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24"/>
          <w:szCs w:val="24"/>
          <w:b w:val="1"/>
          <w:bCs w:val="1"/>
          <w:color w:val="auto"/>
        </w:rPr>
        <w:drawing>
          <wp:anchor simplePos="0" relativeHeight="251657728" behindDoc="1" locked="0" layoutInCell="0" allowOverlap="1">
            <wp:simplePos x="0" y="0"/>
            <wp:positionH relativeFrom="page">
              <wp:posOffset>204470</wp:posOffset>
            </wp:positionH>
            <wp:positionV relativeFrom="page">
              <wp:posOffset>282575</wp:posOffset>
            </wp:positionV>
            <wp:extent cx="7140575" cy="400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0575" cy="40005"/>
                    </a:xfrm>
                    <a:prstGeom prst="rect">
                      <a:avLst/>
                    </a:prstGeom>
                    <a:noFill/>
                  </pic:spPr>
                </pic:pic>
              </a:graphicData>
            </a:graphic>
          </wp:anchor>
        </w:drawing>
        <w:drawing>
          <wp:anchor simplePos="0" relativeHeight="251657728" behindDoc="1" locked="0" layoutInCell="0" allowOverlap="1">
            <wp:simplePos x="0" y="0"/>
            <wp:positionH relativeFrom="page">
              <wp:posOffset>204470</wp:posOffset>
            </wp:positionH>
            <wp:positionV relativeFrom="page">
              <wp:posOffset>338455</wp:posOffset>
            </wp:positionV>
            <wp:extent cx="71405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0575" cy="8255"/>
                    </a:xfrm>
                    <a:prstGeom prst="rect">
                      <a:avLst/>
                    </a:prstGeom>
                    <a:noFill/>
                  </pic:spPr>
                </pic:pic>
              </a:graphicData>
            </a:graphic>
          </wp:anchor>
        </w:drawing>
        <w:t>UNITED STATES</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FORM 6-K</w:t>
      </w:r>
    </w:p>
    <w:p>
      <w:pPr>
        <w:spacing w:after="0" w:line="229"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7"/>
          <w:szCs w:val="17"/>
          <w:color w:val="auto"/>
        </w:rPr>
        <w:t>Report of Foreign Private Issuer</w:t>
      </w:r>
    </w:p>
    <w:p>
      <w:pPr>
        <w:spacing w:after="0" w:line="23"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7"/>
          <w:szCs w:val="17"/>
          <w:color w:val="auto"/>
        </w:rPr>
        <w:t>Pursuant to Rule 13a-16 or 15d-16 under the</w:t>
      </w:r>
    </w:p>
    <w:p>
      <w:pPr>
        <w:spacing w:after="0" w:line="8"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7"/>
          <w:szCs w:val="17"/>
          <w:color w:val="auto"/>
        </w:rPr>
        <w:t>Securities Exchange Act of 1934</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month of May 2026</w:t>
      </w: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Commission File Number: 001-14014</w:t>
      </w:r>
    </w:p>
    <w:p>
      <w:pPr>
        <w:spacing w:after="0" w:line="179"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41"/>
          <w:szCs w:val="41"/>
          <w:b w:val="1"/>
          <w:bCs w:val="1"/>
          <w:color w:val="auto"/>
        </w:rPr>
        <w:t>CREDICORP LTD.</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(Translation of registrant’s name into English)</w:t>
      </w:r>
    </w:p>
    <w:p>
      <w:pPr>
        <w:spacing w:after="0" w:line="18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Of our subsidiary</w:t>
      </w:r>
    </w:p>
    <w:p>
      <w:pPr>
        <w:spacing w:after="0" w:line="2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Banco de Credito del Peru:</w:t>
      </w:r>
    </w:p>
    <w:p>
      <w:pPr>
        <w:spacing w:after="0" w:line="8"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7"/>
          <w:szCs w:val="17"/>
          <w:b w:val="1"/>
          <w:bCs w:val="1"/>
          <w:color w:val="auto"/>
        </w:rPr>
        <w:t>Calle Centenario 156</w:t>
      </w:r>
    </w:p>
    <w:p>
      <w:pPr>
        <w:spacing w:after="0" w:line="8"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7"/>
          <w:szCs w:val="17"/>
          <w:b w:val="1"/>
          <w:bCs w:val="1"/>
          <w:color w:val="auto"/>
        </w:rPr>
        <w:t>La Molina 15026</w:t>
      </w:r>
    </w:p>
    <w:p>
      <w:pPr>
        <w:spacing w:after="0" w:line="8" w:lineRule="exact"/>
        <w:rPr>
          <w:sz w:val="24"/>
          <w:szCs w:val="24"/>
          <w:color w:val="auto"/>
        </w:rPr>
      </w:pPr>
    </w:p>
    <w:p>
      <w:pPr>
        <w:ind w:left="5220"/>
        <w:spacing w:after="0"/>
        <w:rPr>
          <w:sz w:val="20"/>
          <w:szCs w:val="20"/>
          <w:color w:val="auto"/>
        </w:rPr>
      </w:pPr>
      <w:r>
        <w:rPr>
          <w:rFonts w:ascii="Times New Roman" w:cs="Times New Roman" w:eastAsia="Times New Roman" w:hAnsi="Times New Roman"/>
          <w:sz w:val="17"/>
          <w:szCs w:val="17"/>
          <w:b w:val="1"/>
          <w:bCs w:val="1"/>
          <w:color w:val="auto"/>
        </w:rPr>
        <w:t>Lima, Peru</w:t>
      </w:r>
    </w:p>
    <w:p>
      <w:pPr>
        <w:spacing w:after="0" w:line="8"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7"/>
          <w:szCs w:val="17"/>
          <w:color w:val="auto"/>
        </w:rPr>
        <w:t>(Address of principal executive office)</w:t>
      </w:r>
    </w:p>
    <w:p>
      <w:pPr>
        <w:spacing w:after="0" w:line="1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72" w:lineRule="exact"/>
        <w:rPr>
          <w:sz w:val="24"/>
          <w:szCs w:val="24"/>
          <w:color w:val="auto"/>
        </w:rPr>
      </w:pPr>
    </w:p>
    <w:p>
      <w:pPr>
        <w:jc w:val="center"/>
        <w:spacing w:after="0" w:line="196" w:lineRule="exact"/>
        <w:rPr>
          <w:sz w:val="20"/>
          <w:szCs w:val="20"/>
          <w:color w:val="auto"/>
        </w:rPr>
      </w:pPr>
      <w:r>
        <w:rPr>
          <w:rFonts w:ascii="Times New Roman" w:cs="Times New Roman" w:eastAsia="Times New Roman" w:hAnsi="Times New Roman"/>
          <w:sz w:val="17"/>
          <w:szCs w:val="17"/>
          <w:color w:val="auto"/>
        </w:rPr>
        <w:t xml:space="preserve">Form 20-F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Form 40-F </w:t>
      </w:r>
      <w:r>
        <w:rPr>
          <w:rFonts w:ascii="MS PGothic" w:cs="MS PGothic" w:eastAsia="MS PGothic" w:hAnsi="MS PGothic"/>
          <w:sz w:val="17"/>
          <w:szCs w:val="17"/>
          <w:color w:val="auto"/>
        </w:rPr>
        <w:t>☐</w:t>
      </w:r>
    </w:p>
    <w:p>
      <w:pPr>
        <w:spacing w:after="0" w:line="249" w:lineRule="exact"/>
        <w:rPr>
          <w:sz w:val="24"/>
          <w:szCs w:val="24"/>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 xml:space="preserve">The information in this Form 6-K (including any </w:t>
      </w:r>
      <w:r>
        <w:rPr>
          <w:rFonts w:ascii="Times New Roman" w:cs="Times New Roman" w:eastAsia="Times New Roman" w:hAnsi="Times New Roman"/>
          <w:sz w:val="17"/>
          <w:szCs w:val="17"/>
          <w:u w:val="single" w:color="auto"/>
          <w:color w:val="0000EE"/>
        </w:rPr>
        <w:t>exhibit</w:t>
      </w:r>
      <w:r>
        <w:rPr>
          <w:rFonts w:ascii="Times New Roman" w:cs="Times New Roman" w:eastAsia="Times New Roman" w:hAnsi="Times New Roman"/>
          <w:sz w:val="17"/>
          <w:szCs w:val="17"/>
          <w:color w:val="auto"/>
        </w:rPr>
        <w:t xml:space="preserve">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118110</wp:posOffset>
            </wp:positionV>
            <wp:extent cx="71405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057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133985</wp:posOffset>
            </wp:positionV>
            <wp:extent cx="7140575" cy="40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0575" cy="4000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416560</wp:posOffset>
            </wp:positionV>
            <wp:extent cx="7140575" cy="15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723" w:right="339" w:bottom="1440" w:gutter="0" w:footer="0" w:header="0"/>
        </w:sectPr>
      </w:pPr>
    </w:p>
    <w:bookmarkStart w:id="1" w:name="page2"/>
    <w:bookmarkEnd w:id="1"/>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SIGNATURE</w:t>
      </w:r>
    </w:p>
    <w:p>
      <w:pPr>
        <w:spacing w:after="0" w:line="215" w:lineRule="exact"/>
        <w:rPr>
          <w:sz w:val="20"/>
          <w:szCs w:val="20"/>
          <w:color w:val="auto"/>
        </w:rPr>
      </w:pPr>
    </w:p>
    <w:p>
      <w:pPr>
        <w:ind w:firstLine="609"/>
        <w:spacing w:after="0" w:line="27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Date: May 18, 2026</w:t>
      </w:r>
    </w:p>
    <w:p>
      <w:pPr>
        <w:spacing w:after="0" w:line="21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CREDICORP LTD.</w:t>
      </w:r>
    </w:p>
    <w:p>
      <w:pPr>
        <w:spacing w:after="0" w:line="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(Registrant)</w:t>
      </w:r>
    </w:p>
    <w:p>
      <w:pPr>
        <w:spacing w:after="0" w:line="195" w:lineRule="exact"/>
        <w:rPr>
          <w:sz w:val="20"/>
          <w:szCs w:val="20"/>
          <w:color w:val="auto"/>
        </w:rPr>
      </w:pPr>
    </w:p>
    <w:p>
      <w:pPr>
        <w:ind w:left="5740"/>
        <w:spacing w:after="0"/>
        <w:tabs>
          <w:tab w:leader="none" w:pos="628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Milagros Cigüeñas</w:t>
      </w:r>
    </w:p>
    <w:p>
      <w:pPr>
        <w:spacing w:after="0" w:line="23"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7"/>
          <w:szCs w:val="17"/>
          <w:b w:val="1"/>
          <w:bCs w:val="1"/>
          <w:color w:val="auto"/>
        </w:rPr>
        <w:t>Milagros Cigüeñas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4006215</wp:posOffset>
            </wp:positionH>
            <wp:positionV relativeFrom="paragraph">
              <wp:posOffset>-123190</wp:posOffset>
            </wp:positionV>
            <wp:extent cx="23533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53310" cy="8255"/>
                    </a:xfrm>
                    <a:prstGeom prst="rect">
                      <a:avLst/>
                    </a:prstGeom>
                    <a:noFill/>
                  </pic:spPr>
                </pic:pic>
              </a:graphicData>
            </a:graphic>
          </wp:anchor>
        </w:drawing>
      </w:r>
    </w:p>
    <w:p>
      <w:pPr>
        <w:ind w:left="6300"/>
        <w:spacing w:after="0"/>
        <w:rPr>
          <w:sz w:val="20"/>
          <w:szCs w:val="20"/>
          <w:color w:val="auto"/>
        </w:rPr>
      </w:pPr>
      <w:r>
        <w:rPr>
          <w:rFonts w:ascii="Times New Roman" w:cs="Times New Roman" w:eastAsia="Times New Roman" w:hAnsi="Times New Roman"/>
          <w:sz w:val="17"/>
          <w:szCs w:val="17"/>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319405</wp:posOffset>
            </wp:positionV>
            <wp:extent cx="7140575" cy="15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180"/>
          </w:cols>
          <w:pgMar w:left="320" w:top="322" w:right="399" w:bottom="1440" w:gutter="0" w:footer="0" w:header="0"/>
        </w:sectPr>
      </w:pPr>
    </w:p>
    <w:bookmarkStart w:id="2" w:name="page3"/>
    <w:bookmarkEnd w:id="2"/>
    <w:p>
      <w:pPr>
        <w:ind w:left="92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40575" cy="400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0575" cy="4000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154305</wp:posOffset>
            </wp:positionV>
            <wp:extent cx="7140575" cy="89941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0575" cy="8994140"/>
                    </a:xfrm>
                    <a:prstGeom prst="rect">
                      <a:avLst/>
                    </a:prstGeom>
                    <a:noFill/>
                  </pic:spPr>
                </pic:pic>
              </a:graphicData>
            </a:graphic>
          </wp:anchor>
        </w:drawing>
      </w:r>
    </w:p>
    <w:p>
      <w:pPr>
        <w:sectPr>
          <w:pgSz w:w="11900" w:h="16838" w:orient="portrait"/>
          <w:cols w:equalWidth="0" w:num="1">
            <w:col w:w="10120"/>
          </w:cols>
          <w:pgMar w:left="1440" w:top="195" w:right="339" w:bottom="1440" w:gutter="0" w:footer="0" w:header="0"/>
        </w:sectPr>
      </w:pPr>
    </w:p>
    <w:bookmarkStart w:id="3" w:name="page4"/>
    <w:bookmarkEnd w:id="3"/>
    <w:p>
      <w:pPr>
        <w:ind w:left="3200"/>
        <w:spacing w:after="0"/>
        <w:tabs>
          <w:tab w:leader="none" w:pos="3380" w:val="left"/>
        </w:tabs>
        <w:rPr>
          <w:sz w:val="20"/>
          <w:szCs w:val="20"/>
          <w:color w:val="auto"/>
        </w:rPr>
      </w:pPr>
      <w:r>
        <w:rPr>
          <w:rFonts w:ascii="Times New Roman" w:cs="Times New Roman" w:eastAsia="Times New Roman" w:hAnsi="Times New Roman"/>
          <w:sz w:val="14"/>
          <w:szCs w:val="14"/>
          <w:color w:val="A6A6A6"/>
        </w:rPr>
        <w:drawing>
          <wp:anchor simplePos="0" relativeHeight="251657728" behindDoc="1" locked="0" layoutInCell="0" allowOverlap="1">
            <wp:simplePos x="0" y="0"/>
            <wp:positionH relativeFrom="page">
              <wp:posOffset>204470</wp:posOffset>
            </wp:positionH>
            <wp:positionV relativeFrom="page">
              <wp:posOffset>217805</wp:posOffset>
            </wp:positionV>
            <wp:extent cx="7140575" cy="6927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0575" cy="692785"/>
                    </a:xfrm>
                    <a:prstGeom prst="rect">
                      <a:avLst/>
                    </a:prstGeom>
                    <a:noFill/>
                  </pic:spPr>
                </pic:pic>
              </a:graphicData>
            </a:graphic>
          </wp:anchor>
        </w:drawing>
        <w:t>|</w:t>
      </w:r>
      <w:r>
        <w:rPr>
          <w:rFonts w:ascii="Times New Roman" w:cs="Times New Roman" w:eastAsia="Times New Roman" w:hAnsi="Times New Roman"/>
          <w:sz w:val="14"/>
          <w:szCs w:val="14"/>
          <w:color w:val="FFFFFF"/>
        </w:rPr>
        <w:tab/>
        <w:t>Earnings Release 1Q / 2026</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46"/>
          <w:szCs w:val="46"/>
          <w:b w:val="1"/>
          <w:bCs w:val="1"/>
          <w:color w:val="2AD2C8"/>
        </w:rPr>
        <w:t>Table of Contents</w:t>
      </w:r>
    </w:p>
    <w:p>
      <w:pPr>
        <w:spacing w:after="0" w:line="22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0"/>
          <w:szCs w:val="20"/>
          <w:b w:val="1"/>
          <w:bCs w:val="1"/>
          <w:color w:val="A6A6A6"/>
        </w:rPr>
        <w:t>Operating and Financial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-127000</wp:posOffset>
            </wp:positionV>
            <wp:extent cx="104775" cy="1047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4775" cy="104775"/>
                    </a:xfrm>
                    <a:prstGeom prst="rect">
                      <a:avLst/>
                    </a:prstGeom>
                    <a:noFill/>
                  </pic:spPr>
                </pic:pic>
              </a:graphicData>
            </a:graphic>
          </wp:anchor>
        </w:drawing>
      </w:r>
    </w:p>
    <w:p>
      <w:pPr>
        <w:spacing w:after="0" w:line="20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0"/>
          <w:szCs w:val="20"/>
          <w:b w:val="1"/>
          <w:bCs w:val="1"/>
          <w:color w:val="A6A6A6"/>
        </w:rPr>
        <w:t>Senior Management Quotes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-127000</wp:posOffset>
            </wp:positionV>
            <wp:extent cx="104775" cy="1047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4775" cy="104775"/>
                    </a:xfrm>
                    <a:prstGeom prst="rect">
                      <a:avLst/>
                    </a:prstGeom>
                    <a:noFill/>
                  </pic:spPr>
                </pic:pic>
              </a:graphicData>
            </a:graphic>
          </wp:anchor>
        </w:drawing>
      </w:r>
    </w:p>
    <w:p>
      <w:pPr>
        <w:spacing w:after="0" w:line="20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0"/>
          <w:szCs w:val="20"/>
          <w:b w:val="1"/>
          <w:bCs w:val="1"/>
          <w:color w:val="A6A6A6"/>
        </w:rPr>
        <w:t>First Quarter 2026 Earnings Conference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-127000</wp:posOffset>
            </wp:positionV>
            <wp:extent cx="104775" cy="1047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4775" cy="104775"/>
                    </a:xfrm>
                    <a:prstGeom prst="rect">
                      <a:avLst/>
                    </a:prstGeom>
                    <a:noFill/>
                  </pic:spPr>
                </pic:pic>
              </a:graphicData>
            </a:graphic>
          </wp:anchor>
        </w:drawing>
      </w:r>
    </w:p>
    <w:p>
      <w:pPr>
        <w:spacing w:after="0" w:line="20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0"/>
          <w:szCs w:val="20"/>
          <w:b w:val="1"/>
          <w:bCs w:val="1"/>
          <w:color w:val="A6A6A6"/>
        </w:rPr>
        <w:t>Summary of Financial Performance and Outlook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-127000</wp:posOffset>
            </wp:positionV>
            <wp:extent cx="104775" cy="1047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4775" cy="104775"/>
                    </a:xfrm>
                    <a:prstGeom prst="rect">
                      <a:avLst/>
                    </a:prstGeom>
                    <a:noFill/>
                  </pic:spPr>
                </pic:pic>
              </a:graphicData>
            </a:graphic>
          </wp:anchor>
        </w:drawing>
      </w:r>
    </w:p>
    <w:p>
      <w:pPr>
        <w:spacing w:after="0" w:line="20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0"/>
          <w:szCs w:val="20"/>
          <w:b w:val="1"/>
          <w:bCs w:val="1"/>
          <w:color w:val="A6A6A6"/>
        </w:rPr>
        <w:t>Financial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-127000</wp:posOffset>
            </wp:positionV>
            <wp:extent cx="104775" cy="1047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4775" cy="104775"/>
                    </a:xfrm>
                    <a:prstGeom prst="rect">
                      <a:avLst/>
                    </a:prstGeom>
                    <a:noFill/>
                  </pic:spPr>
                </pic:pic>
              </a:graphicData>
            </a:graphic>
          </wp:anchor>
        </w:drawing>
      </w:r>
    </w:p>
    <w:p>
      <w:pPr>
        <w:spacing w:after="0" w:line="20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0"/>
          <w:szCs w:val="20"/>
          <w:b w:val="1"/>
          <w:bCs w:val="1"/>
          <w:color w:val="A6A6A6"/>
        </w:rPr>
        <w:t>Credicorp’s Strategy Update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-127000</wp:posOffset>
            </wp:positionV>
            <wp:extent cx="104775" cy="1047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4775" cy="104775"/>
                    </a:xfrm>
                    <a:prstGeom prst="rect">
                      <a:avLst/>
                    </a:prstGeom>
                    <a:noFill/>
                  </pic:spPr>
                </pic:pic>
              </a:graphicData>
            </a:graphic>
          </wp:anchor>
        </w:drawing>
      </w:r>
    </w:p>
    <w:p>
      <w:pPr>
        <w:spacing w:after="0" w:line="20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0"/>
          <w:szCs w:val="20"/>
          <w:b w:val="1"/>
          <w:bCs w:val="1"/>
          <w:color w:val="A6A6A6"/>
        </w:rPr>
        <w:t>Analysis of 1Q26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-127000</wp:posOffset>
            </wp:positionV>
            <wp:extent cx="104775" cy="1047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4775" cy="104775"/>
                    </a:xfrm>
                    <a:prstGeom prst="rect">
                      <a:avLst/>
                    </a:prstGeom>
                    <a:noFill/>
                  </pic:spPr>
                </pic:pic>
              </a:graphicData>
            </a:graphic>
          </wp:anchor>
        </w:drawing>
      </w:r>
    </w:p>
    <w:p>
      <w:pPr>
        <w:spacing w:after="0" w:line="57" w:lineRule="exact"/>
        <w:rPr>
          <w:sz w:val="20"/>
          <w:szCs w:val="20"/>
          <w:color w:val="auto"/>
        </w:rPr>
      </w:pPr>
    </w:p>
    <w:tbl>
      <w:tblPr>
        <w:tblLayout w:type="fixed"/>
        <w:tblInd w:w="580" w:type="dxa"/>
        <w:tblCellMar>
          <w:top w:w="0" w:type="dxa"/>
          <w:left w:w="0" w:type="dxa"/>
          <w:bottom w:w="0" w:type="dxa"/>
          <w:right w:w="0" w:type="dxa"/>
        </w:tblCellMar>
      </w:tblPr>
      <w:tr>
        <w:trPr>
          <w:trHeight w:val="471"/>
        </w:trPr>
        <w:tc>
          <w:tcPr>
            <w:tcW w:w="640" w:type="dxa"/>
            <w:vAlign w:val="bottom"/>
          </w:tcPr>
          <w:p>
            <w:pPr>
              <w:spacing w:after="0"/>
              <w:rPr>
                <w:sz w:val="20"/>
                <w:szCs w:val="20"/>
                <w:color w:val="auto"/>
              </w:rPr>
            </w:pPr>
            <w:r>
              <w:rPr>
                <w:rFonts w:ascii="Times New Roman" w:cs="Times New Roman" w:eastAsia="Times New Roman" w:hAnsi="Times New Roman"/>
                <w:sz w:val="41"/>
                <w:szCs w:val="41"/>
                <w:b w:val="1"/>
                <w:bCs w:val="1"/>
                <w:color w:val="E93BAC"/>
              </w:rPr>
              <w:t>01</w:t>
            </w:r>
          </w:p>
        </w:tc>
        <w:tc>
          <w:tcPr>
            <w:tcW w:w="492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E93BAC"/>
              </w:rPr>
              <w:t>Loan Portfolio</w:t>
            </w:r>
          </w:p>
        </w:tc>
        <w:tc>
          <w:tcPr>
            <w:tcW w:w="0" w:type="dxa"/>
            <w:vAlign w:val="bottom"/>
          </w:tcPr>
          <w:p>
            <w:pPr>
              <w:spacing w:after="0"/>
              <w:rPr>
                <w:sz w:val="1"/>
                <w:szCs w:val="1"/>
                <w:color w:val="auto"/>
              </w:rPr>
            </w:pPr>
          </w:p>
        </w:tc>
      </w:tr>
      <w:tr>
        <w:trPr>
          <w:trHeight w:val="62"/>
        </w:trPr>
        <w:tc>
          <w:tcPr>
            <w:tcW w:w="640" w:type="dxa"/>
            <w:vAlign w:val="bottom"/>
          </w:tcPr>
          <w:p>
            <w:pPr>
              <w:spacing w:after="0"/>
              <w:rPr>
                <w:sz w:val="5"/>
                <w:szCs w:val="5"/>
                <w:color w:val="auto"/>
              </w:rPr>
            </w:pPr>
          </w:p>
        </w:tc>
        <w:tc>
          <w:tcPr>
            <w:tcW w:w="4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36"/>
        </w:trPr>
        <w:tc>
          <w:tcPr>
            <w:tcW w:w="640" w:type="dxa"/>
            <w:vAlign w:val="bottom"/>
          </w:tcPr>
          <w:p>
            <w:pPr>
              <w:spacing w:after="0"/>
              <w:rPr>
                <w:sz w:val="20"/>
                <w:szCs w:val="20"/>
                <w:color w:val="auto"/>
              </w:rPr>
            </w:pPr>
            <w:r>
              <w:rPr>
                <w:rFonts w:ascii="Times New Roman" w:cs="Times New Roman" w:eastAsia="Times New Roman" w:hAnsi="Times New Roman"/>
                <w:sz w:val="41"/>
                <w:szCs w:val="41"/>
                <w:b w:val="1"/>
                <w:bCs w:val="1"/>
                <w:color w:val="E93BAC"/>
              </w:rPr>
              <w:t>02</w:t>
            </w:r>
          </w:p>
        </w:tc>
        <w:tc>
          <w:tcPr>
            <w:tcW w:w="492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E93BAC"/>
              </w:rPr>
              <w:t>Deposits</w:t>
            </w:r>
          </w:p>
        </w:tc>
        <w:tc>
          <w:tcPr>
            <w:tcW w:w="0" w:type="dxa"/>
            <w:vAlign w:val="bottom"/>
          </w:tcPr>
          <w:p>
            <w:pPr>
              <w:spacing w:after="0"/>
              <w:rPr>
                <w:sz w:val="1"/>
                <w:szCs w:val="1"/>
                <w:color w:val="auto"/>
              </w:rPr>
            </w:pPr>
          </w:p>
        </w:tc>
      </w:tr>
      <w:tr>
        <w:trPr>
          <w:trHeight w:val="62"/>
        </w:trPr>
        <w:tc>
          <w:tcPr>
            <w:tcW w:w="640" w:type="dxa"/>
            <w:vAlign w:val="bottom"/>
          </w:tcPr>
          <w:p>
            <w:pPr>
              <w:spacing w:after="0"/>
              <w:rPr>
                <w:sz w:val="5"/>
                <w:szCs w:val="5"/>
                <w:color w:val="auto"/>
              </w:rPr>
            </w:pPr>
          </w:p>
        </w:tc>
        <w:tc>
          <w:tcPr>
            <w:tcW w:w="4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36"/>
        </w:trPr>
        <w:tc>
          <w:tcPr>
            <w:tcW w:w="640" w:type="dxa"/>
            <w:vAlign w:val="bottom"/>
          </w:tcPr>
          <w:p>
            <w:pPr>
              <w:spacing w:after="0"/>
              <w:rPr>
                <w:sz w:val="20"/>
                <w:szCs w:val="20"/>
                <w:color w:val="auto"/>
              </w:rPr>
            </w:pPr>
            <w:r>
              <w:rPr>
                <w:rFonts w:ascii="Times New Roman" w:cs="Times New Roman" w:eastAsia="Times New Roman" w:hAnsi="Times New Roman"/>
                <w:sz w:val="41"/>
                <w:szCs w:val="41"/>
                <w:b w:val="1"/>
                <w:bCs w:val="1"/>
                <w:color w:val="E93BAC"/>
              </w:rPr>
              <w:t>03</w:t>
            </w:r>
          </w:p>
        </w:tc>
        <w:tc>
          <w:tcPr>
            <w:tcW w:w="492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E93BAC"/>
              </w:rPr>
              <w:t>Interest Earning Assets and Funding</w:t>
            </w:r>
          </w:p>
        </w:tc>
        <w:tc>
          <w:tcPr>
            <w:tcW w:w="0" w:type="dxa"/>
            <w:vAlign w:val="bottom"/>
          </w:tcPr>
          <w:p>
            <w:pPr>
              <w:spacing w:after="0"/>
              <w:rPr>
                <w:sz w:val="1"/>
                <w:szCs w:val="1"/>
                <w:color w:val="auto"/>
              </w:rPr>
            </w:pPr>
          </w:p>
        </w:tc>
      </w:tr>
      <w:tr>
        <w:trPr>
          <w:trHeight w:val="62"/>
        </w:trPr>
        <w:tc>
          <w:tcPr>
            <w:tcW w:w="640" w:type="dxa"/>
            <w:vAlign w:val="bottom"/>
          </w:tcPr>
          <w:p>
            <w:pPr>
              <w:spacing w:after="0"/>
              <w:rPr>
                <w:sz w:val="5"/>
                <w:szCs w:val="5"/>
                <w:color w:val="auto"/>
              </w:rPr>
            </w:pPr>
          </w:p>
        </w:tc>
        <w:tc>
          <w:tcPr>
            <w:tcW w:w="4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36"/>
        </w:trPr>
        <w:tc>
          <w:tcPr>
            <w:tcW w:w="640" w:type="dxa"/>
            <w:vAlign w:val="bottom"/>
          </w:tcPr>
          <w:p>
            <w:pPr>
              <w:spacing w:after="0"/>
              <w:rPr>
                <w:sz w:val="20"/>
                <w:szCs w:val="20"/>
                <w:color w:val="auto"/>
              </w:rPr>
            </w:pPr>
            <w:r>
              <w:rPr>
                <w:rFonts w:ascii="Times New Roman" w:cs="Times New Roman" w:eastAsia="Times New Roman" w:hAnsi="Times New Roman"/>
                <w:sz w:val="41"/>
                <w:szCs w:val="41"/>
                <w:b w:val="1"/>
                <w:bCs w:val="1"/>
                <w:color w:val="E93BAC"/>
              </w:rPr>
              <w:t>04</w:t>
            </w:r>
          </w:p>
        </w:tc>
        <w:tc>
          <w:tcPr>
            <w:tcW w:w="492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E93BAC"/>
              </w:rPr>
              <w:t>Net Interest Income (NII)</w:t>
            </w:r>
          </w:p>
        </w:tc>
        <w:tc>
          <w:tcPr>
            <w:tcW w:w="0" w:type="dxa"/>
            <w:vAlign w:val="bottom"/>
          </w:tcPr>
          <w:p>
            <w:pPr>
              <w:spacing w:after="0"/>
              <w:rPr>
                <w:sz w:val="1"/>
                <w:szCs w:val="1"/>
                <w:color w:val="auto"/>
              </w:rPr>
            </w:pPr>
          </w:p>
        </w:tc>
      </w:tr>
      <w:tr>
        <w:trPr>
          <w:trHeight w:val="62"/>
        </w:trPr>
        <w:tc>
          <w:tcPr>
            <w:tcW w:w="640" w:type="dxa"/>
            <w:vAlign w:val="bottom"/>
          </w:tcPr>
          <w:p>
            <w:pPr>
              <w:spacing w:after="0"/>
              <w:rPr>
                <w:sz w:val="5"/>
                <w:szCs w:val="5"/>
                <w:color w:val="auto"/>
              </w:rPr>
            </w:pPr>
          </w:p>
        </w:tc>
        <w:tc>
          <w:tcPr>
            <w:tcW w:w="4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36"/>
        </w:trPr>
        <w:tc>
          <w:tcPr>
            <w:tcW w:w="640" w:type="dxa"/>
            <w:vAlign w:val="bottom"/>
          </w:tcPr>
          <w:p>
            <w:pPr>
              <w:spacing w:after="0"/>
              <w:rPr>
                <w:sz w:val="20"/>
                <w:szCs w:val="20"/>
                <w:color w:val="auto"/>
              </w:rPr>
            </w:pPr>
            <w:r>
              <w:rPr>
                <w:rFonts w:ascii="Times New Roman" w:cs="Times New Roman" w:eastAsia="Times New Roman" w:hAnsi="Times New Roman"/>
                <w:sz w:val="41"/>
                <w:szCs w:val="41"/>
                <w:b w:val="1"/>
                <w:bCs w:val="1"/>
                <w:color w:val="E93BAC"/>
              </w:rPr>
              <w:t>05</w:t>
            </w:r>
          </w:p>
        </w:tc>
        <w:tc>
          <w:tcPr>
            <w:tcW w:w="492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E93BAC"/>
              </w:rPr>
              <w:t>Portfolio Quality and Provisions</w:t>
            </w:r>
          </w:p>
        </w:tc>
        <w:tc>
          <w:tcPr>
            <w:tcW w:w="0" w:type="dxa"/>
            <w:vAlign w:val="bottom"/>
          </w:tcPr>
          <w:p>
            <w:pPr>
              <w:spacing w:after="0"/>
              <w:rPr>
                <w:sz w:val="1"/>
                <w:szCs w:val="1"/>
                <w:color w:val="auto"/>
              </w:rPr>
            </w:pPr>
          </w:p>
        </w:tc>
      </w:tr>
      <w:tr>
        <w:trPr>
          <w:trHeight w:val="62"/>
        </w:trPr>
        <w:tc>
          <w:tcPr>
            <w:tcW w:w="640" w:type="dxa"/>
            <w:vAlign w:val="bottom"/>
          </w:tcPr>
          <w:p>
            <w:pPr>
              <w:spacing w:after="0"/>
              <w:rPr>
                <w:sz w:val="5"/>
                <w:szCs w:val="5"/>
                <w:color w:val="auto"/>
              </w:rPr>
            </w:pPr>
          </w:p>
        </w:tc>
        <w:tc>
          <w:tcPr>
            <w:tcW w:w="4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36"/>
        </w:trPr>
        <w:tc>
          <w:tcPr>
            <w:tcW w:w="640" w:type="dxa"/>
            <w:vAlign w:val="bottom"/>
          </w:tcPr>
          <w:p>
            <w:pPr>
              <w:spacing w:after="0"/>
              <w:rPr>
                <w:sz w:val="20"/>
                <w:szCs w:val="20"/>
                <w:color w:val="auto"/>
              </w:rPr>
            </w:pPr>
            <w:r>
              <w:rPr>
                <w:rFonts w:ascii="Times New Roman" w:cs="Times New Roman" w:eastAsia="Times New Roman" w:hAnsi="Times New Roman"/>
                <w:sz w:val="41"/>
                <w:szCs w:val="41"/>
                <w:b w:val="1"/>
                <w:bCs w:val="1"/>
                <w:color w:val="E93BAC"/>
              </w:rPr>
              <w:t>06</w:t>
            </w:r>
          </w:p>
        </w:tc>
        <w:tc>
          <w:tcPr>
            <w:tcW w:w="492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E93BAC"/>
              </w:rPr>
              <w:t>Other Income</w:t>
            </w:r>
          </w:p>
        </w:tc>
        <w:tc>
          <w:tcPr>
            <w:tcW w:w="0" w:type="dxa"/>
            <w:vAlign w:val="bottom"/>
          </w:tcPr>
          <w:p>
            <w:pPr>
              <w:spacing w:after="0"/>
              <w:rPr>
                <w:sz w:val="1"/>
                <w:szCs w:val="1"/>
                <w:color w:val="auto"/>
              </w:rPr>
            </w:pPr>
          </w:p>
        </w:tc>
      </w:tr>
      <w:tr>
        <w:trPr>
          <w:trHeight w:val="62"/>
        </w:trPr>
        <w:tc>
          <w:tcPr>
            <w:tcW w:w="640" w:type="dxa"/>
            <w:vAlign w:val="bottom"/>
          </w:tcPr>
          <w:p>
            <w:pPr>
              <w:spacing w:after="0"/>
              <w:rPr>
                <w:sz w:val="5"/>
                <w:szCs w:val="5"/>
                <w:color w:val="auto"/>
              </w:rPr>
            </w:pPr>
          </w:p>
        </w:tc>
        <w:tc>
          <w:tcPr>
            <w:tcW w:w="4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36"/>
        </w:trPr>
        <w:tc>
          <w:tcPr>
            <w:tcW w:w="640" w:type="dxa"/>
            <w:vAlign w:val="bottom"/>
          </w:tcPr>
          <w:p>
            <w:pPr>
              <w:spacing w:after="0"/>
              <w:rPr>
                <w:sz w:val="20"/>
                <w:szCs w:val="20"/>
                <w:color w:val="auto"/>
              </w:rPr>
            </w:pPr>
            <w:r>
              <w:rPr>
                <w:rFonts w:ascii="Times New Roman" w:cs="Times New Roman" w:eastAsia="Times New Roman" w:hAnsi="Times New Roman"/>
                <w:sz w:val="41"/>
                <w:szCs w:val="41"/>
                <w:b w:val="1"/>
                <w:bCs w:val="1"/>
                <w:color w:val="E93BAC"/>
              </w:rPr>
              <w:t>07</w:t>
            </w:r>
          </w:p>
        </w:tc>
        <w:tc>
          <w:tcPr>
            <w:tcW w:w="492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E93BAC"/>
              </w:rPr>
              <w:t>Insurance Underwriting Results and for Medical Services</w:t>
            </w:r>
          </w:p>
        </w:tc>
        <w:tc>
          <w:tcPr>
            <w:tcW w:w="0" w:type="dxa"/>
            <w:vAlign w:val="bottom"/>
          </w:tcPr>
          <w:p>
            <w:pPr>
              <w:spacing w:after="0"/>
              <w:rPr>
                <w:sz w:val="1"/>
                <w:szCs w:val="1"/>
                <w:color w:val="auto"/>
              </w:rPr>
            </w:pPr>
          </w:p>
        </w:tc>
      </w:tr>
      <w:tr>
        <w:trPr>
          <w:trHeight w:val="62"/>
        </w:trPr>
        <w:tc>
          <w:tcPr>
            <w:tcW w:w="640" w:type="dxa"/>
            <w:vAlign w:val="bottom"/>
          </w:tcPr>
          <w:p>
            <w:pPr>
              <w:spacing w:after="0"/>
              <w:rPr>
                <w:sz w:val="5"/>
                <w:szCs w:val="5"/>
                <w:color w:val="auto"/>
              </w:rPr>
            </w:pPr>
          </w:p>
        </w:tc>
        <w:tc>
          <w:tcPr>
            <w:tcW w:w="4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36"/>
        </w:trPr>
        <w:tc>
          <w:tcPr>
            <w:tcW w:w="640" w:type="dxa"/>
            <w:vAlign w:val="bottom"/>
          </w:tcPr>
          <w:p>
            <w:pPr>
              <w:spacing w:after="0"/>
              <w:rPr>
                <w:sz w:val="20"/>
                <w:szCs w:val="20"/>
                <w:color w:val="auto"/>
              </w:rPr>
            </w:pPr>
            <w:r>
              <w:rPr>
                <w:rFonts w:ascii="Times New Roman" w:cs="Times New Roman" w:eastAsia="Times New Roman" w:hAnsi="Times New Roman"/>
                <w:sz w:val="41"/>
                <w:szCs w:val="41"/>
                <w:b w:val="1"/>
                <w:bCs w:val="1"/>
                <w:color w:val="E93BAC"/>
              </w:rPr>
              <w:t>08</w:t>
            </w:r>
          </w:p>
        </w:tc>
        <w:tc>
          <w:tcPr>
            <w:tcW w:w="492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E93BAC"/>
              </w:rPr>
              <w:t>Operating Expenses</w:t>
            </w:r>
          </w:p>
        </w:tc>
        <w:tc>
          <w:tcPr>
            <w:tcW w:w="0" w:type="dxa"/>
            <w:vAlign w:val="bottom"/>
          </w:tcPr>
          <w:p>
            <w:pPr>
              <w:spacing w:after="0"/>
              <w:rPr>
                <w:sz w:val="1"/>
                <w:szCs w:val="1"/>
                <w:color w:val="auto"/>
              </w:rPr>
            </w:pPr>
          </w:p>
        </w:tc>
      </w:tr>
      <w:tr>
        <w:trPr>
          <w:trHeight w:val="62"/>
        </w:trPr>
        <w:tc>
          <w:tcPr>
            <w:tcW w:w="640" w:type="dxa"/>
            <w:vAlign w:val="bottom"/>
          </w:tcPr>
          <w:p>
            <w:pPr>
              <w:spacing w:after="0"/>
              <w:rPr>
                <w:sz w:val="5"/>
                <w:szCs w:val="5"/>
                <w:color w:val="auto"/>
              </w:rPr>
            </w:pPr>
          </w:p>
        </w:tc>
        <w:tc>
          <w:tcPr>
            <w:tcW w:w="4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36"/>
        </w:trPr>
        <w:tc>
          <w:tcPr>
            <w:tcW w:w="640" w:type="dxa"/>
            <w:vAlign w:val="bottom"/>
          </w:tcPr>
          <w:p>
            <w:pPr>
              <w:spacing w:after="0"/>
              <w:rPr>
                <w:sz w:val="20"/>
                <w:szCs w:val="20"/>
                <w:color w:val="auto"/>
              </w:rPr>
            </w:pPr>
            <w:r>
              <w:rPr>
                <w:rFonts w:ascii="Times New Roman" w:cs="Times New Roman" w:eastAsia="Times New Roman" w:hAnsi="Times New Roman"/>
                <w:sz w:val="41"/>
                <w:szCs w:val="41"/>
                <w:b w:val="1"/>
                <w:bCs w:val="1"/>
                <w:color w:val="E93BAC"/>
              </w:rPr>
              <w:t>09</w:t>
            </w:r>
          </w:p>
        </w:tc>
        <w:tc>
          <w:tcPr>
            <w:tcW w:w="492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E93BAC"/>
              </w:rPr>
              <w:t>Operating Efficiency</w:t>
            </w:r>
          </w:p>
        </w:tc>
        <w:tc>
          <w:tcPr>
            <w:tcW w:w="0" w:type="dxa"/>
            <w:vAlign w:val="bottom"/>
          </w:tcPr>
          <w:p>
            <w:pPr>
              <w:spacing w:after="0"/>
              <w:rPr>
                <w:sz w:val="1"/>
                <w:szCs w:val="1"/>
                <w:color w:val="auto"/>
              </w:rPr>
            </w:pPr>
          </w:p>
        </w:tc>
      </w:tr>
      <w:tr>
        <w:trPr>
          <w:trHeight w:val="62"/>
        </w:trPr>
        <w:tc>
          <w:tcPr>
            <w:tcW w:w="640" w:type="dxa"/>
            <w:vAlign w:val="bottom"/>
          </w:tcPr>
          <w:p>
            <w:pPr>
              <w:spacing w:after="0"/>
              <w:rPr>
                <w:sz w:val="5"/>
                <w:szCs w:val="5"/>
                <w:color w:val="auto"/>
              </w:rPr>
            </w:pPr>
          </w:p>
        </w:tc>
        <w:tc>
          <w:tcPr>
            <w:tcW w:w="4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36"/>
        </w:trPr>
        <w:tc>
          <w:tcPr>
            <w:tcW w:w="640" w:type="dxa"/>
            <w:vAlign w:val="bottom"/>
          </w:tcPr>
          <w:p>
            <w:pPr>
              <w:spacing w:after="0"/>
              <w:rPr>
                <w:sz w:val="20"/>
                <w:szCs w:val="20"/>
                <w:color w:val="auto"/>
              </w:rPr>
            </w:pPr>
            <w:r>
              <w:rPr>
                <w:rFonts w:ascii="Times New Roman" w:cs="Times New Roman" w:eastAsia="Times New Roman" w:hAnsi="Times New Roman"/>
                <w:sz w:val="41"/>
                <w:szCs w:val="41"/>
                <w:b w:val="1"/>
                <w:bCs w:val="1"/>
                <w:color w:val="E93BAC"/>
              </w:rPr>
              <w:t>10</w:t>
            </w:r>
          </w:p>
        </w:tc>
        <w:tc>
          <w:tcPr>
            <w:tcW w:w="492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E93BAC"/>
              </w:rPr>
              <w:t>Regulatory Capital</w:t>
            </w:r>
          </w:p>
        </w:tc>
        <w:tc>
          <w:tcPr>
            <w:tcW w:w="0" w:type="dxa"/>
            <w:vAlign w:val="bottom"/>
          </w:tcPr>
          <w:p>
            <w:pPr>
              <w:spacing w:after="0"/>
              <w:rPr>
                <w:sz w:val="1"/>
                <w:szCs w:val="1"/>
                <w:color w:val="auto"/>
              </w:rPr>
            </w:pPr>
          </w:p>
        </w:tc>
      </w:tr>
      <w:tr>
        <w:trPr>
          <w:trHeight w:val="62"/>
        </w:trPr>
        <w:tc>
          <w:tcPr>
            <w:tcW w:w="640" w:type="dxa"/>
            <w:vAlign w:val="bottom"/>
          </w:tcPr>
          <w:p>
            <w:pPr>
              <w:spacing w:after="0"/>
              <w:rPr>
                <w:sz w:val="5"/>
                <w:szCs w:val="5"/>
                <w:color w:val="auto"/>
              </w:rPr>
            </w:pPr>
          </w:p>
        </w:tc>
        <w:tc>
          <w:tcPr>
            <w:tcW w:w="4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36"/>
        </w:trPr>
        <w:tc>
          <w:tcPr>
            <w:tcW w:w="640" w:type="dxa"/>
            <w:vAlign w:val="bottom"/>
          </w:tcPr>
          <w:p>
            <w:pPr>
              <w:spacing w:after="0"/>
              <w:rPr>
                <w:sz w:val="20"/>
                <w:szCs w:val="20"/>
                <w:color w:val="auto"/>
              </w:rPr>
            </w:pPr>
            <w:r>
              <w:rPr>
                <w:rFonts w:ascii="Times New Roman" w:cs="Times New Roman" w:eastAsia="Times New Roman" w:hAnsi="Times New Roman"/>
                <w:sz w:val="41"/>
                <w:szCs w:val="41"/>
                <w:b w:val="1"/>
                <w:bCs w:val="1"/>
                <w:color w:val="E93BAC"/>
              </w:rPr>
              <w:t>11</w:t>
            </w:r>
          </w:p>
        </w:tc>
        <w:tc>
          <w:tcPr>
            <w:tcW w:w="492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E93BAC"/>
              </w:rPr>
              <w:t>Economic Outlook</w:t>
            </w:r>
          </w:p>
        </w:tc>
        <w:tc>
          <w:tcPr>
            <w:tcW w:w="0" w:type="dxa"/>
            <w:vAlign w:val="bottom"/>
          </w:tcPr>
          <w:p>
            <w:pPr>
              <w:spacing w:after="0"/>
              <w:rPr>
                <w:sz w:val="1"/>
                <w:szCs w:val="1"/>
                <w:color w:val="auto"/>
              </w:rPr>
            </w:pPr>
          </w:p>
        </w:tc>
      </w:tr>
      <w:tr>
        <w:trPr>
          <w:trHeight w:val="62"/>
        </w:trPr>
        <w:tc>
          <w:tcPr>
            <w:tcW w:w="640" w:type="dxa"/>
            <w:vAlign w:val="bottom"/>
          </w:tcPr>
          <w:p>
            <w:pPr>
              <w:spacing w:after="0"/>
              <w:rPr>
                <w:sz w:val="5"/>
                <w:szCs w:val="5"/>
                <w:color w:val="auto"/>
              </w:rPr>
            </w:pPr>
          </w:p>
        </w:tc>
        <w:tc>
          <w:tcPr>
            <w:tcW w:w="4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36"/>
        </w:trPr>
        <w:tc>
          <w:tcPr>
            <w:tcW w:w="640" w:type="dxa"/>
            <w:vAlign w:val="bottom"/>
          </w:tcPr>
          <w:p>
            <w:pPr>
              <w:spacing w:after="0"/>
              <w:rPr>
                <w:sz w:val="20"/>
                <w:szCs w:val="20"/>
                <w:color w:val="auto"/>
              </w:rPr>
            </w:pPr>
            <w:r>
              <w:rPr>
                <w:rFonts w:ascii="Times New Roman" w:cs="Times New Roman" w:eastAsia="Times New Roman" w:hAnsi="Times New Roman"/>
                <w:sz w:val="41"/>
                <w:szCs w:val="41"/>
                <w:b w:val="1"/>
                <w:bCs w:val="1"/>
                <w:color w:val="E93BAC"/>
              </w:rPr>
              <w:t>12</w:t>
            </w:r>
          </w:p>
        </w:tc>
        <w:tc>
          <w:tcPr>
            <w:tcW w:w="492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E93BAC"/>
              </w:rPr>
              <w:t>Appendix</w:t>
            </w:r>
          </w:p>
        </w:tc>
        <w:tc>
          <w:tcPr>
            <w:tcW w:w="0" w:type="dxa"/>
            <w:vAlign w:val="bottom"/>
          </w:tcPr>
          <w:p>
            <w:pPr>
              <w:spacing w:after="0"/>
              <w:rPr>
                <w:sz w:val="1"/>
                <w:szCs w:val="1"/>
                <w:color w:val="auto"/>
              </w:rPr>
            </w:pPr>
          </w:p>
        </w:tc>
      </w:tr>
      <w:tr>
        <w:trPr>
          <w:trHeight w:val="62"/>
        </w:trPr>
        <w:tc>
          <w:tcPr>
            <w:tcW w:w="640" w:type="dxa"/>
            <w:vAlign w:val="bottom"/>
          </w:tcPr>
          <w:p>
            <w:pPr>
              <w:spacing w:after="0"/>
              <w:rPr>
                <w:sz w:val="5"/>
                <w:szCs w:val="5"/>
                <w:color w:val="auto"/>
              </w:rPr>
            </w:pPr>
          </w:p>
        </w:tc>
        <w:tc>
          <w:tcPr>
            <w:tcW w:w="4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1177290</wp:posOffset>
            </wp:positionV>
            <wp:extent cx="7140575" cy="158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0575" cy="15875"/>
                    </a:xfrm>
                    <a:prstGeom prst="rect">
                      <a:avLst/>
                    </a:prstGeom>
                    <a:noFill/>
                  </pic:spPr>
                </pic:pic>
              </a:graphicData>
            </a:graphic>
          </wp:anchor>
        </w:drawing>
        <w:drawing>
          <wp:anchor simplePos="0" relativeHeight="251657728" behindDoc="1" locked="0" layoutInCell="0" allowOverlap="1">
            <wp:simplePos x="0" y="0"/>
            <wp:positionH relativeFrom="column">
              <wp:posOffset>57150</wp:posOffset>
            </wp:positionH>
            <wp:positionV relativeFrom="paragraph">
              <wp:posOffset>202565</wp:posOffset>
            </wp:positionV>
            <wp:extent cx="6383020" cy="5480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83020" cy="5480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FF00FF"/>
        </w:rPr>
        <w:t>Analysis of 1Q26 Consolidated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03</w:t>
      </w: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04</w:t>
      </w: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05</w:t>
      </w: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06</w:t>
      </w: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11</w:t>
      </w: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15</w:t>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18</w:t>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21</w:t>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23</w:t>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26</w:t>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30</w:t>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33</w:t>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36</w:t>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38</w:t>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39</w:t>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41</w:t>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44</w:t>
      </w:r>
    </w:p>
    <w:p>
      <w:pPr>
        <w:sectPr>
          <w:pgSz w:w="11900" w:h="16838" w:orient="portrait"/>
          <w:cols w:equalWidth="0" w:num="2">
            <w:col w:w="8360" w:space="720"/>
            <w:col w:w="2160"/>
          </w:cols>
          <w:pgMar w:left="320" w:top="792" w:right="339" w:bottom="1440" w:gutter="0" w:footer="0" w:header="0"/>
        </w:sectPr>
      </w:pPr>
    </w:p>
    <w:bookmarkStart w:id="4" w:name="page5"/>
    <w:bookmarkEnd w:id="4"/>
    <w:p>
      <w:pPr>
        <w:ind w:left="3200"/>
        <w:spacing w:after="0"/>
        <w:tabs>
          <w:tab w:leader="none" w:pos="3380" w:val="left"/>
          <w:tab w:leader="none" w:pos="9060" w:val="left"/>
        </w:tabs>
        <w:rPr>
          <w:sz w:val="20"/>
          <w:szCs w:val="20"/>
          <w:color w:val="auto"/>
        </w:rPr>
      </w:pPr>
      <w:r>
        <w:rPr>
          <w:rFonts w:ascii="Times New Roman" w:cs="Times New Roman" w:eastAsia="Times New Roman" w:hAnsi="Times New Roman"/>
          <w:sz w:val="14"/>
          <w:szCs w:val="14"/>
          <w:color w:val="A6A6A6"/>
        </w:rPr>
        <w:drawing>
          <wp:anchor simplePos="0" relativeHeight="251657728" behindDoc="1" locked="0" layoutInCell="0" allowOverlap="1">
            <wp:simplePos x="0" y="0"/>
            <wp:positionH relativeFrom="page">
              <wp:posOffset>204470</wp:posOffset>
            </wp:positionH>
            <wp:positionV relativeFrom="page">
              <wp:posOffset>217805</wp:posOffset>
            </wp:positionV>
            <wp:extent cx="7140575" cy="6927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0575" cy="692785"/>
                    </a:xfrm>
                    <a:prstGeom prst="rect">
                      <a:avLst/>
                    </a:prstGeom>
                    <a:noFill/>
                  </pic:spPr>
                </pic:pic>
              </a:graphicData>
            </a:graphic>
          </wp:anchor>
        </w:drawing>
        <w:t>|</w:t>
      </w:r>
      <w:r>
        <w:rPr>
          <w:rFonts w:ascii="Times New Roman" w:cs="Times New Roman" w:eastAsia="Times New Roman" w:hAnsi="Times New Roman"/>
          <w:sz w:val="14"/>
          <w:szCs w:val="14"/>
          <w:color w:val="FFFFFF"/>
        </w:rPr>
        <w:tab/>
        <w:t>Earnings Release 1Q / 2026</w:t>
      </w:r>
      <w:r>
        <w:rPr>
          <w:sz w:val="20"/>
          <w:szCs w:val="20"/>
          <w:color w:val="auto"/>
        </w:rPr>
        <w:tab/>
      </w:r>
      <w:r>
        <w:rPr>
          <w:rFonts w:ascii="Times New Roman" w:cs="Times New Roman" w:eastAsia="Times New Roman" w:hAnsi="Times New Roman"/>
          <w:sz w:val="12"/>
          <w:szCs w:val="12"/>
          <w:color w:val="FF00FF"/>
        </w:rPr>
        <w:t>Analysis of 1Q26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7140575" cy="161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0575" cy="161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Credicorp Ltd. Reports Financial and Operating Results for 1Q26</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Record-high net income and 21.1% ROE, driven by broad-based business strength and favorable operating momentum</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Loan book up 8.2% YoY, led by BCP and Mibanco, while asset quality improved with NPL ratio at 4.3% and Cost of Risk at 1.3%</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Core Income at record levels and Risk-Adjusted NIM rose to 5.8%, supported by resilient margins, lower funding costs and effective risk management</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Innovation Portfolio generated 9.0% of risk-adjusted revenues, advancing decoupling strategy toward its 10% year-end target</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b w:val="1"/>
          <w:bCs w:val="1"/>
          <w:color w:val="auto"/>
        </w:rPr>
        <w:t>Lima, Peru – May 14, 2026 – Credicorp Ltd. (“Credicorp” or “the Company”) (NYSE: BAP | BVL: BAP)</w:t>
      </w:r>
      <w:r>
        <w:rPr>
          <w:rFonts w:ascii="Times New Roman" w:cs="Times New Roman" w:eastAsia="Times New Roman" w:hAnsi="Times New Roman"/>
          <w:sz w:val="17"/>
          <w:szCs w:val="17"/>
          <w:color w:val="auto"/>
        </w:rPr>
        <w:t>, the leading financial services holding company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Peru with presence in Chile, Colombia, Bolivia, and Panama today reported its unaudited results for the three-months ended March 31, 2026. Financial results are expressed in Soles and are presented in accordance with IFRS.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1Q26 OPERATING AND FINANCIAL HIGHLIGHTS</w:t>
      </w:r>
    </w:p>
    <w:p>
      <w:pPr>
        <w:spacing w:after="0" w:line="202" w:lineRule="exact"/>
        <w:rPr>
          <w:sz w:val="20"/>
          <w:szCs w:val="20"/>
          <w:color w:val="auto"/>
        </w:rPr>
      </w:pPr>
    </w:p>
    <w:p>
      <w:pPr>
        <w:ind w:left="440" w:hanging="299"/>
        <w:spacing w:after="0" w:line="272" w:lineRule="auto"/>
        <w:tabs>
          <w:tab w:leader="none" w:pos="44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Net Income </w:t>
      </w:r>
      <w:r>
        <w:rPr>
          <w:rFonts w:ascii="Times New Roman" w:cs="Times New Roman" w:eastAsia="Times New Roman" w:hAnsi="Times New Roman"/>
          <w:sz w:val="15"/>
          <w:szCs w:val="15"/>
          <w:color w:val="auto"/>
        </w:rPr>
        <w:t>attributable to Credicorp reached S/2,063 million, up 16.1% YoY and 30.0% QoQ, supported by solid results across all lines of business. ROE reached a record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21.1%.</w:t>
      </w:r>
    </w:p>
    <w:p>
      <w:pPr>
        <w:spacing w:after="0" w:line="1" w:lineRule="exact"/>
        <w:rPr>
          <w:rFonts w:ascii="Times New Roman" w:cs="Times New Roman" w:eastAsia="Times New Roman" w:hAnsi="Times New Roman"/>
          <w:sz w:val="15"/>
          <w:szCs w:val="15"/>
          <w:color w:val="auto"/>
        </w:rPr>
      </w:pPr>
    </w:p>
    <w:p>
      <w:pPr>
        <w:jc w:val="both"/>
        <w:ind w:left="440" w:hanging="299"/>
        <w:spacing w:after="0" w:line="264" w:lineRule="auto"/>
        <w:tabs>
          <w:tab w:leader="none" w:pos="44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Total loans </w:t>
      </w:r>
      <w:r>
        <w:rPr>
          <w:rFonts w:ascii="Times New Roman" w:cs="Times New Roman" w:eastAsia="Times New Roman" w:hAnsi="Times New Roman"/>
          <w:sz w:val="15"/>
          <w:szCs w:val="15"/>
          <w:color w:val="auto"/>
        </w:rPr>
        <w:t>measured in quarter-end balances increased 8.2% YoY, and 1.9% QoQ. Excluding the BCP Bolivia accounting adjustment and FX impacts, loans rose 9.1% YoY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and 1.0% QoQ. The YoY expansion reflected a more favorable macroeconomic backdrop, which supported credit demand across Wholesale Banking, Individuals, SME and Mibanco. QoQ growth was driven mainly by BCP, particularly Wholesale Banking through higher Corporate Banking disbursements, while Mibanco continued to gain momentum with disbursements at an all-time high in March.</w:t>
      </w:r>
    </w:p>
    <w:p>
      <w:pPr>
        <w:spacing w:after="0" w:line="2" w:lineRule="exact"/>
        <w:rPr>
          <w:rFonts w:ascii="Times New Roman" w:cs="Times New Roman" w:eastAsia="Times New Roman" w:hAnsi="Times New Roman"/>
          <w:sz w:val="15"/>
          <w:szCs w:val="15"/>
          <w:color w:val="auto"/>
        </w:rPr>
      </w:pPr>
    </w:p>
    <w:p>
      <w:pPr>
        <w:ind w:left="440" w:hanging="299"/>
        <w:spacing w:after="0" w:line="264" w:lineRule="auto"/>
        <w:tabs>
          <w:tab w:leader="none" w:pos="44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Total Deposits </w:t>
      </w:r>
      <w:r>
        <w:rPr>
          <w:rFonts w:ascii="Times New Roman" w:cs="Times New Roman" w:eastAsia="Times New Roman" w:hAnsi="Times New Roman"/>
          <w:sz w:val="15"/>
          <w:szCs w:val="15"/>
          <w:color w:val="auto"/>
        </w:rPr>
        <w:t>expanded 13.3% YoY and 4.8% QoQ. Excluding the BCP Bolivia accounting adjustment and FX impacts, deposits increased 13.7% YoY and 0.8% QoQ,</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primarily reflecting higher low-cost deposit balances, which represented 74.9% of total deposits and 63.9% of the funding base.</w:t>
      </w:r>
    </w:p>
    <w:p>
      <w:pPr>
        <w:spacing w:after="0" w:line="1" w:lineRule="exact"/>
        <w:rPr>
          <w:rFonts w:ascii="Times New Roman" w:cs="Times New Roman" w:eastAsia="Times New Roman" w:hAnsi="Times New Roman"/>
          <w:sz w:val="15"/>
          <w:szCs w:val="15"/>
          <w:color w:val="auto"/>
        </w:rPr>
      </w:pPr>
    </w:p>
    <w:p>
      <w:pPr>
        <w:ind w:left="440" w:hanging="299"/>
        <w:spacing w:after="0" w:line="264" w:lineRule="auto"/>
        <w:tabs>
          <w:tab w:leader="none" w:pos="44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Net Interest Income (NII) </w:t>
      </w:r>
      <w:r>
        <w:rPr>
          <w:rFonts w:ascii="Times New Roman" w:cs="Times New Roman" w:eastAsia="Times New Roman" w:hAnsi="Times New Roman"/>
          <w:sz w:val="15"/>
          <w:szCs w:val="15"/>
          <w:color w:val="auto"/>
        </w:rPr>
        <w:t>grew 10.9% YoY driven by loan growth at BCP and Mibanco, and lower funding costs amid lower rates. QoQ, NII expanded 4.2%, reflecting</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interest income from securities and increased loan interest income from portfolio growth. NIM stood at 6.58%, up 36 bps YoY and slightly down 4 bps QoQ.</w:t>
      </w:r>
    </w:p>
    <w:p>
      <w:pPr>
        <w:spacing w:after="0" w:line="1" w:lineRule="exact"/>
        <w:rPr>
          <w:rFonts w:ascii="Times New Roman" w:cs="Times New Roman" w:eastAsia="Times New Roman" w:hAnsi="Times New Roman"/>
          <w:sz w:val="15"/>
          <w:szCs w:val="15"/>
          <w:color w:val="auto"/>
        </w:rPr>
      </w:pPr>
    </w:p>
    <w:p>
      <w:pPr>
        <w:ind w:left="440" w:hanging="299"/>
        <w:spacing w:after="0" w:line="264" w:lineRule="auto"/>
        <w:tabs>
          <w:tab w:leader="none" w:pos="44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Asset Quality </w:t>
      </w:r>
      <w:r>
        <w:rPr>
          <w:rFonts w:ascii="Times New Roman" w:cs="Times New Roman" w:eastAsia="Times New Roman" w:hAnsi="Times New Roman"/>
          <w:sz w:val="15"/>
          <w:szCs w:val="15"/>
          <w:color w:val="auto"/>
        </w:rPr>
        <w:t>strengthened further, with the NPL ratio declining 83 bps YoY and 28 bps QoQ to 4.3%, supported by more robust risk management, better payment behavior and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debt repayments amid a favorable macroeconomic backdrop.</w:t>
      </w:r>
    </w:p>
    <w:p>
      <w:pPr>
        <w:spacing w:after="0" w:line="1" w:lineRule="exact"/>
        <w:rPr>
          <w:rFonts w:ascii="Times New Roman" w:cs="Times New Roman" w:eastAsia="Times New Roman" w:hAnsi="Times New Roman"/>
          <w:sz w:val="15"/>
          <w:szCs w:val="15"/>
          <w:color w:val="auto"/>
        </w:rPr>
      </w:pPr>
    </w:p>
    <w:p>
      <w:pPr>
        <w:jc w:val="both"/>
        <w:ind w:left="440" w:hanging="299"/>
        <w:spacing w:after="0" w:line="264" w:lineRule="auto"/>
        <w:tabs>
          <w:tab w:leader="none" w:pos="44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Provisions </w:t>
      </w:r>
      <w:r>
        <w:rPr>
          <w:rFonts w:ascii="Times New Roman" w:cs="Times New Roman" w:eastAsia="Times New Roman" w:hAnsi="Times New Roman"/>
          <w:sz w:val="15"/>
          <w:szCs w:val="15"/>
          <w:color w:val="auto"/>
        </w:rPr>
        <w:t>declined 17.2% YoY, driven mainly by BCP, largely reflecting improved payment behavior in Retail Banking, particularly across Consumer and Credit Card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vintages, alongside provision reversals in Wholesale Banking; partially offset by Mibanco. QoQ, provisions fell 25.4%, also led by BCP, reflecting lower Wholesale provisions and a higher share of lower-risk vintages in SME-Pyme, Consumer and Credit Cards. </w:t>
      </w:r>
      <w:r>
        <w:rPr>
          <w:rFonts w:ascii="Times New Roman" w:cs="Times New Roman" w:eastAsia="Times New Roman" w:hAnsi="Times New Roman"/>
          <w:sz w:val="15"/>
          <w:szCs w:val="15"/>
          <w:b w:val="1"/>
          <w:bCs w:val="1"/>
          <w:color w:val="auto"/>
        </w:rPr>
        <w:t>Cost of Risk</w:t>
      </w:r>
      <w:r>
        <w:rPr>
          <w:rFonts w:ascii="Times New Roman" w:cs="Times New Roman" w:eastAsia="Times New Roman" w:hAnsi="Times New Roman"/>
          <w:sz w:val="15"/>
          <w:szCs w:val="15"/>
          <w:color w:val="auto"/>
        </w:rPr>
        <w:t xml:space="preserve"> stood at 1.3%, while Risk-Adjusted NIM continued to trend upward to 5.8%.</w:t>
      </w:r>
    </w:p>
    <w:p>
      <w:pPr>
        <w:spacing w:after="0" w:line="1" w:lineRule="exact"/>
        <w:rPr>
          <w:rFonts w:ascii="Times New Roman" w:cs="Times New Roman" w:eastAsia="Times New Roman" w:hAnsi="Times New Roman"/>
          <w:sz w:val="15"/>
          <w:szCs w:val="15"/>
          <w:color w:val="auto"/>
        </w:rPr>
      </w:pPr>
    </w:p>
    <w:p>
      <w:pPr>
        <w:ind w:left="440" w:hanging="299"/>
        <w:spacing w:after="0" w:line="264" w:lineRule="auto"/>
        <w:tabs>
          <w:tab w:leader="none" w:pos="44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Other Core Income </w:t>
      </w:r>
      <w:r>
        <w:rPr>
          <w:rFonts w:ascii="Times New Roman" w:cs="Times New Roman" w:eastAsia="Times New Roman" w:hAnsi="Times New Roman"/>
          <w:sz w:val="15"/>
          <w:szCs w:val="15"/>
          <w:color w:val="auto"/>
        </w:rPr>
        <w:t>reached a historic high, increasing 19.5% YoY and 3.4% QoQ. YoY growth was driven by stronger transactional activity at Yape and by solid performance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in BCP’s core banking business, on the back of consistent execution of Credicorp’s revenue diversification and decoupling strategy.</w:t>
      </w:r>
    </w:p>
    <w:p>
      <w:pPr>
        <w:spacing w:after="0" w:line="1" w:lineRule="exact"/>
        <w:rPr>
          <w:rFonts w:ascii="Times New Roman" w:cs="Times New Roman" w:eastAsia="Times New Roman" w:hAnsi="Times New Roman"/>
          <w:sz w:val="15"/>
          <w:szCs w:val="15"/>
          <w:color w:val="auto"/>
        </w:rPr>
      </w:pPr>
    </w:p>
    <w:p>
      <w:pPr>
        <w:jc w:val="both"/>
        <w:ind w:left="440" w:hanging="299"/>
        <w:spacing w:after="0" w:line="264" w:lineRule="auto"/>
        <w:tabs>
          <w:tab w:leader="none" w:pos="44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Insurance Underwriting Result </w:t>
      </w:r>
      <w:r>
        <w:rPr>
          <w:rFonts w:ascii="Times New Roman" w:cs="Times New Roman" w:eastAsia="Times New Roman" w:hAnsi="Times New Roman"/>
          <w:sz w:val="15"/>
          <w:szCs w:val="15"/>
          <w:color w:val="auto"/>
        </w:rPr>
        <w:t>declined 9.1% YoY, mainly due to lower premiums in Commercial Lines and Cars, and higher inflation-linked claims in Life, which were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offset in interest income. Life Credit continued to expand through bancassurance and retail channels. </w:t>
      </w:r>
      <w:r>
        <w:rPr>
          <w:rFonts w:ascii="Times New Roman" w:cs="Times New Roman" w:eastAsia="Times New Roman" w:hAnsi="Times New Roman"/>
          <w:sz w:val="15"/>
          <w:szCs w:val="15"/>
          <w:b w:val="1"/>
          <w:bCs w:val="1"/>
          <w:color w:val="auto"/>
        </w:rPr>
        <w:t>Medical Services Result</w:t>
      </w:r>
      <w:r>
        <w:rPr>
          <w:rFonts w:ascii="Times New Roman" w:cs="Times New Roman" w:eastAsia="Times New Roman" w:hAnsi="Times New Roman"/>
          <w:sz w:val="15"/>
          <w:szCs w:val="15"/>
          <w:color w:val="auto"/>
        </w:rPr>
        <w:t>, consolidated through Pacifico Salud, continued to advance with operating and commercial discipline. QoQ, results declined 6.8% reflecting lower income from Commercial Lines and Cars, as well as higher claims in EPS.</w:t>
      </w:r>
    </w:p>
    <w:p>
      <w:pPr>
        <w:spacing w:after="0" w:line="1" w:lineRule="exact"/>
        <w:rPr>
          <w:rFonts w:ascii="Times New Roman" w:cs="Times New Roman" w:eastAsia="Times New Roman" w:hAnsi="Times New Roman"/>
          <w:sz w:val="15"/>
          <w:szCs w:val="15"/>
          <w:color w:val="auto"/>
        </w:rPr>
      </w:pPr>
    </w:p>
    <w:p>
      <w:pPr>
        <w:ind w:left="440" w:hanging="299"/>
        <w:spacing w:after="0" w:line="264" w:lineRule="auto"/>
        <w:tabs>
          <w:tab w:leader="none" w:pos="44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With 16.4 million monthly active users (MAU), </w:t>
      </w:r>
      <w:r>
        <w:rPr>
          <w:rFonts w:ascii="Times New Roman" w:cs="Times New Roman" w:eastAsia="Times New Roman" w:hAnsi="Times New Roman"/>
          <w:sz w:val="15"/>
          <w:szCs w:val="15"/>
          <w:b w:val="1"/>
          <w:bCs w:val="1"/>
          <w:color w:val="auto"/>
        </w:rPr>
        <w:t>Yape</w:t>
      </w:r>
      <w:r>
        <w:rPr>
          <w:rFonts w:ascii="Times New Roman" w:cs="Times New Roman" w:eastAsia="Times New Roman" w:hAnsi="Times New Roman"/>
          <w:sz w:val="15"/>
          <w:szCs w:val="15"/>
          <w:color w:val="auto"/>
        </w:rPr>
        <w:t xml:space="preserve"> continued to expand engagement and monetization reaching 67 monthly transactions per MAU. Revenue per MAU increased 65% YoY to S/10.3, outpacing growth in expenses per MAU. Yape represented 17% of the Group’s fee income and 8% of its risk-adjusted revenues.</w:t>
      </w:r>
    </w:p>
    <w:p>
      <w:pPr>
        <w:spacing w:after="0" w:line="1" w:lineRule="exact"/>
        <w:rPr>
          <w:rFonts w:ascii="Times New Roman" w:cs="Times New Roman" w:eastAsia="Times New Roman" w:hAnsi="Times New Roman"/>
          <w:sz w:val="15"/>
          <w:szCs w:val="15"/>
          <w:color w:val="auto"/>
        </w:rPr>
      </w:pPr>
    </w:p>
    <w:p>
      <w:pPr>
        <w:ind w:left="440" w:hanging="299"/>
        <w:spacing w:after="0" w:line="264" w:lineRule="auto"/>
        <w:tabs>
          <w:tab w:leader="none" w:pos="44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Efficiency Ratio </w:t>
      </w:r>
      <w:r>
        <w:rPr>
          <w:rFonts w:ascii="Times New Roman" w:cs="Times New Roman" w:eastAsia="Times New Roman" w:hAnsi="Times New Roman"/>
          <w:sz w:val="15"/>
          <w:szCs w:val="15"/>
          <w:color w:val="auto"/>
        </w:rPr>
        <w:t>stood at 45.8%, in line with 2026 guidance and consistently stable YoY. Operating expenses increased 13.1% YoY, driven by BCP’s core business, reflecting</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new initiatives aimed at strengthening commercial, technological and transactional capabilities, and investments in the Innovation Portfolio.</w:t>
      </w:r>
    </w:p>
    <w:p>
      <w:pPr>
        <w:spacing w:after="0" w:line="1" w:lineRule="exact"/>
        <w:rPr>
          <w:rFonts w:ascii="Times New Roman" w:cs="Times New Roman" w:eastAsia="Times New Roman" w:hAnsi="Times New Roman"/>
          <w:sz w:val="15"/>
          <w:szCs w:val="15"/>
          <w:color w:val="auto"/>
        </w:rPr>
      </w:pPr>
    </w:p>
    <w:p>
      <w:pPr>
        <w:ind w:left="440" w:hanging="299"/>
        <w:spacing w:after="0"/>
        <w:tabs>
          <w:tab w:leader="none" w:pos="44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Capital base continued moving closer to target, with </w:t>
      </w:r>
      <w:r>
        <w:rPr>
          <w:rFonts w:ascii="Times New Roman" w:cs="Times New Roman" w:eastAsia="Times New Roman" w:hAnsi="Times New Roman"/>
          <w:sz w:val="15"/>
          <w:szCs w:val="15"/>
          <w:b w:val="1"/>
          <w:bCs w:val="1"/>
          <w:color w:val="auto"/>
        </w:rPr>
        <w:t>IFRS CET1 Ratio</w:t>
      </w:r>
      <w:r>
        <w:rPr>
          <w:rFonts w:ascii="Times New Roman" w:cs="Times New Roman" w:eastAsia="Times New Roman" w:hAnsi="Times New Roman"/>
          <w:sz w:val="15"/>
          <w:szCs w:val="15"/>
          <w:color w:val="auto"/>
        </w:rPr>
        <w:t xml:space="preserve"> standing at 11.3% at BCP Stand-alone and 15.7% at Mibanco.</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Subsequent Events</w:t>
      </w:r>
    </w:p>
    <w:p>
      <w:pPr>
        <w:spacing w:after="0" w:line="208" w:lineRule="exact"/>
        <w:rPr>
          <w:sz w:val="20"/>
          <w:szCs w:val="20"/>
          <w:color w:val="auto"/>
        </w:rPr>
      </w:pPr>
    </w:p>
    <w:p>
      <w:pPr>
        <w:jc w:val="both"/>
        <w:ind w:left="440" w:hanging="299"/>
        <w:spacing w:after="0" w:line="270" w:lineRule="auto"/>
        <w:tabs>
          <w:tab w:leader="none" w:pos="44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Subsequent to quarter-end</w:t>
      </w:r>
      <w:r>
        <w:rPr>
          <w:rFonts w:ascii="Times New Roman" w:cs="Times New Roman" w:eastAsia="Times New Roman" w:hAnsi="Times New Roman"/>
          <w:sz w:val="15"/>
          <w:szCs w:val="15"/>
          <w:color w:val="auto"/>
        </w:rPr>
        <w:t>, Credicorp announced the appointment of three new directors and the re-election of six existing directors, following a structured, skills-based Board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refreshment process aligned with the Company’s long-term strategy, evolving risk profile and capital allocation priorities. The new Board composition further strengthens expertise in technology and AI oversight, financial and regulatory governance, and strategic execution.</w:t>
      </w:r>
    </w:p>
    <w:p>
      <w:pPr>
        <w:ind w:left="440" w:hanging="299"/>
        <w:spacing w:after="0"/>
        <w:tabs>
          <w:tab w:leader="none" w:pos="44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Credicorp also declared a record-high ordinary </w:t>
      </w:r>
      <w:r>
        <w:rPr>
          <w:rFonts w:ascii="Times New Roman" w:cs="Times New Roman" w:eastAsia="Times New Roman" w:hAnsi="Times New Roman"/>
          <w:sz w:val="15"/>
          <w:szCs w:val="15"/>
          <w:b w:val="1"/>
          <w:bCs w:val="1"/>
          <w:color w:val="auto"/>
        </w:rPr>
        <w:t>dividend</w:t>
      </w:r>
      <w:r>
        <w:rPr>
          <w:rFonts w:ascii="Times New Roman" w:cs="Times New Roman" w:eastAsia="Times New Roman" w:hAnsi="Times New Roman"/>
          <w:sz w:val="15"/>
          <w:szCs w:val="15"/>
          <w:color w:val="auto"/>
        </w:rPr>
        <w:t xml:space="preserve"> of S/50 per share based on 2025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1118235</wp:posOffset>
            </wp:positionV>
            <wp:extent cx="7140575" cy="158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0575" cy="15875"/>
                    </a:xfrm>
                    <a:prstGeom prst="rect">
                      <a:avLst/>
                    </a:prstGeom>
                    <a:noFill/>
                  </pic:spPr>
                </pic:pic>
              </a:graphicData>
            </a:graphic>
          </wp:anchor>
        </w:drawing>
        <w:drawing>
          <wp:anchor simplePos="0" relativeHeight="251657728" behindDoc="1" locked="0" layoutInCell="0" allowOverlap="1">
            <wp:simplePos x="0" y="0"/>
            <wp:positionH relativeFrom="column">
              <wp:posOffset>331470</wp:posOffset>
            </wp:positionH>
            <wp:positionV relativeFrom="paragraph">
              <wp:posOffset>143510</wp:posOffset>
            </wp:positionV>
            <wp:extent cx="6447155" cy="5480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447155" cy="54800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 w:name="page6"/>
    <w:bookmarkEnd w:id="5"/>
    <w:p>
      <w:pPr>
        <w:jc w:val="both"/>
        <w:ind w:left="3200"/>
        <w:spacing w:after="0"/>
        <w:tabs>
          <w:tab w:leader="none" w:pos="3380" w:val="left"/>
          <w:tab w:leader="none" w:pos="9060" w:val="left"/>
        </w:tabs>
        <w:rPr>
          <w:sz w:val="20"/>
          <w:szCs w:val="20"/>
          <w:color w:val="auto"/>
        </w:rPr>
      </w:pPr>
      <w:r>
        <w:rPr>
          <w:rFonts w:ascii="Times New Roman" w:cs="Times New Roman" w:eastAsia="Times New Roman" w:hAnsi="Times New Roman"/>
          <w:sz w:val="14"/>
          <w:szCs w:val="14"/>
          <w:color w:val="A6A6A6"/>
        </w:rPr>
        <w:drawing>
          <wp:anchor simplePos="0" relativeHeight="251657728" behindDoc="1" locked="0" layoutInCell="0" allowOverlap="1">
            <wp:simplePos x="0" y="0"/>
            <wp:positionH relativeFrom="page">
              <wp:posOffset>204470</wp:posOffset>
            </wp:positionH>
            <wp:positionV relativeFrom="page">
              <wp:posOffset>217805</wp:posOffset>
            </wp:positionV>
            <wp:extent cx="7140575" cy="6927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0575" cy="692785"/>
                    </a:xfrm>
                    <a:prstGeom prst="rect">
                      <a:avLst/>
                    </a:prstGeom>
                    <a:noFill/>
                  </pic:spPr>
                </pic:pic>
              </a:graphicData>
            </a:graphic>
          </wp:anchor>
        </w:drawing>
        <w:t>|</w:t>
      </w:r>
      <w:r>
        <w:rPr>
          <w:rFonts w:ascii="Times New Roman" w:cs="Times New Roman" w:eastAsia="Times New Roman" w:hAnsi="Times New Roman"/>
          <w:sz w:val="14"/>
          <w:szCs w:val="14"/>
          <w:color w:val="FFFFFF"/>
        </w:rPr>
        <w:tab/>
        <w:t>Earnings Release 1Q / 2026</w:t>
      </w:r>
      <w:r>
        <w:rPr>
          <w:sz w:val="20"/>
          <w:szCs w:val="20"/>
          <w:color w:val="auto"/>
        </w:rPr>
        <w:tab/>
      </w:r>
      <w:r>
        <w:rPr>
          <w:rFonts w:ascii="Times New Roman" w:cs="Times New Roman" w:eastAsia="Times New Roman" w:hAnsi="Times New Roman"/>
          <w:sz w:val="12"/>
          <w:szCs w:val="12"/>
          <w:color w:val="FF00FF"/>
        </w:rPr>
        <w:t>Analysis of 1Q26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7140575" cy="161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0575" cy="161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SENIOR MANAGEMENT QUOTES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7138670</wp:posOffset>
            </wp:positionV>
            <wp:extent cx="7140575" cy="158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0575" cy="15875"/>
                    </a:xfrm>
                    <a:prstGeom prst="rect">
                      <a:avLst/>
                    </a:prstGeom>
                    <a:noFill/>
                  </pic:spPr>
                </pic:pic>
              </a:graphicData>
            </a:graphic>
          </wp:anchor>
        </w:drawing>
        <w:drawing>
          <wp:anchor simplePos="0" relativeHeight="251657728" behindDoc="1" locked="0" layoutInCell="0" allowOverlap="1">
            <wp:simplePos x="0" y="0"/>
            <wp:positionH relativeFrom="column">
              <wp:posOffset>331470</wp:posOffset>
            </wp:positionH>
            <wp:positionV relativeFrom="paragraph">
              <wp:posOffset>271780</wp:posOffset>
            </wp:positionV>
            <wp:extent cx="6447155" cy="64395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447155" cy="6439535"/>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6" w:name="page7"/>
    <w:bookmarkEnd w:id="6"/>
    <w:p>
      <w:pPr>
        <w:jc w:val="both"/>
        <w:ind w:left="3200"/>
        <w:spacing w:after="0"/>
        <w:tabs>
          <w:tab w:leader="none" w:pos="3380" w:val="left"/>
          <w:tab w:leader="none" w:pos="9060" w:val="left"/>
        </w:tabs>
        <w:rPr>
          <w:sz w:val="20"/>
          <w:szCs w:val="20"/>
          <w:color w:val="auto"/>
        </w:rPr>
      </w:pPr>
      <w:r>
        <w:rPr>
          <w:rFonts w:ascii="Times New Roman" w:cs="Times New Roman" w:eastAsia="Times New Roman" w:hAnsi="Times New Roman"/>
          <w:sz w:val="14"/>
          <w:szCs w:val="14"/>
          <w:color w:val="A6A6A6"/>
        </w:rPr>
        <w:drawing>
          <wp:anchor simplePos="0" relativeHeight="251657728" behindDoc="1" locked="0" layoutInCell="0" allowOverlap="1">
            <wp:simplePos x="0" y="0"/>
            <wp:positionH relativeFrom="page">
              <wp:posOffset>204470</wp:posOffset>
            </wp:positionH>
            <wp:positionV relativeFrom="page">
              <wp:posOffset>217805</wp:posOffset>
            </wp:positionV>
            <wp:extent cx="7140575" cy="6927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0575" cy="692785"/>
                    </a:xfrm>
                    <a:prstGeom prst="rect">
                      <a:avLst/>
                    </a:prstGeom>
                    <a:noFill/>
                  </pic:spPr>
                </pic:pic>
              </a:graphicData>
            </a:graphic>
          </wp:anchor>
        </w:drawing>
        <w:t>|</w:t>
      </w:r>
      <w:r>
        <w:rPr>
          <w:rFonts w:ascii="Times New Roman" w:cs="Times New Roman" w:eastAsia="Times New Roman" w:hAnsi="Times New Roman"/>
          <w:sz w:val="14"/>
          <w:szCs w:val="14"/>
          <w:color w:val="FFFFFF"/>
        </w:rPr>
        <w:tab/>
        <w:t>Earnings Release 1Q / 2026</w:t>
      </w:r>
      <w:r>
        <w:rPr>
          <w:sz w:val="20"/>
          <w:szCs w:val="20"/>
          <w:color w:val="auto"/>
        </w:rPr>
        <w:tab/>
      </w:r>
      <w:r>
        <w:rPr>
          <w:rFonts w:ascii="Times New Roman" w:cs="Times New Roman" w:eastAsia="Times New Roman" w:hAnsi="Times New Roman"/>
          <w:sz w:val="12"/>
          <w:szCs w:val="12"/>
          <w:color w:val="FF00FF"/>
        </w:rPr>
        <w:t>Analysis of 1Q26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7140575" cy="169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0575" cy="1695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b w:val="1"/>
          <w:bCs w:val="1"/>
          <w:color w:val="FFFFFF"/>
        </w:rPr>
        <w:t>First Quarter 2026 Earnings Conference Call</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First 2026 EARNINGS CONFERENCE CALL</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121212"/>
        </w:rPr>
        <w:t xml:space="preserve">Date: </w:t>
      </w:r>
      <w:r>
        <w:rPr>
          <w:rFonts w:ascii="Times New Roman" w:cs="Times New Roman" w:eastAsia="Times New Roman" w:hAnsi="Times New Roman"/>
          <w:sz w:val="19"/>
          <w:szCs w:val="19"/>
          <w:color w:val="121212"/>
        </w:rPr>
        <w:t>Friday, May 15</w:t>
      </w:r>
      <w:r>
        <w:rPr>
          <w:rFonts w:ascii="Times New Roman" w:cs="Times New Roman" w:eastAsia="Times New Roman" w:hAnsi="Times New Roman"/>
          <w:sz w:val="31"/>
          <w:szCs w:val="31"/>
          <w:color w:val="121212"/>
          <w:vertAlign w:val="superscript"/>
        </w:rPr>
        <w:t>th</w:t>
      </w:r>
      <w:r>
        <w:rPr>
          <w:rFonts w:ascii="Times New Roman" w:cs="Times New Roman" w:eastAsia="Times New Roman" w:hAnsi="Times New Roman"/>
          <w:sz w:val="19"/>
          <w:szCs w:val="19"/>
          <w:color w:val="121212"/>
        </w:rPr>
        <w:t>, 2026</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121212"/>
        </w:rPr>
        <w:t xml:space="preserve">Time: </w:t>
      </w:r>
      <w:r>
        <w:rPr>
          <w:rFonts w:ascii="Times New Roman" w:cs="Times New Roman" w:eastAsia="Times New Roman" w:hAnsi="Times New Roman"/>
          <w:sz w:val="19"/>
          <w:szCs w:val="19"/>
          <w:color w:val="121212"/>
        </w:rPr>
        <w:t>10:30 am E.T. (9:30 am Lima, Perú)</w:t>
      </w:r>
    </w:p>
    <w:p>
      <w:pPr>
        <w:spacing w:after="0" w:line="213" w:lineRule="exact"/>
        <w:rPr>
          <w:sz w:val="20"/>
          <w:szCs w:val="20"/>
          <w:color w:val="auto"/>
        </w:rPr>
      </w:pPr>
    </w:p>
    <w:p>
      <w:pPr>
        <w:ind w:right="180"/>
        <w:spacing w:after="0" w:line="295" w:lineRule="auto"/>
        <w:rPr>
          <w:sz w:val="20"/>
          <w:szCs w:val="20"/>
          <w:color w:val="auto"/>
        </w:rPr>
      </w:pPr>
      <w:r>
        <w:rPr>
          <w:rFonts w:ascii="Times New Roman" w:cs="Times New Roman" w:eastAsia="Times New Roman" w:hAnsi="Times New Roman"/>
          <w:sz w:val="18"/>
          <w:szCs w:val="18"/>
          <w:b w:val="1"/>
          <w:bCs w:val="1"/>
          <w:color w:val="121212"/>
        </w:rPr>
        <w:t xml:space="preserve">Hosts: </w:t>
      </w:r>
      <w:r>
        <w:rPr>
          <w:rFonts w:ascii="Times New Roman" w:cs="Times New Roman" w:eastAsia="Times New Roman" w:hAnsi="Times New Roman"/>
          <w:sz w:val="18"/>
          <w:szCs w:val="18"/>
          <w:color w:val="121212"/>
        </w:rPr>
        <w:t>Gianfranco Ferrari – Chief Executive Officer; Alejandro Perez-Reyes – Chief Financial Officer; Francesca Raffo – Chief Innovation Officer;</w:t>
      </w:r>
      <w:r>
        <w:rPr>
          <w:rFonts w:ascii="Times New Roman" w:cs="Times New Roman" w:eastAsia="Times New Roman" w:hAnsi="Times New Roman"/>
          <w:sz w:val="18"/>
          <w:szCs w:val="18"/>
          <w:b w:val="1"/>
          <w:bCs w:val="1"/>
          <w:color w:val="121212"/>
        </w:rPr>
        <w:t xml:space="preserve"> </w:t>
      </w:r>
      <w:r>
        <w:rPr>
          <w:rFonts w:ascii="Times New Roman" w:cs="Times New Roman" w:eastAsia="Times New Roman" w:hAnsi="Times New Roman"/>
          <w:sz w:val="18"/>
          <w:szCs w:val="18"/>
          <w:color w:val="121212"/>
        </w:rPr>
        <w:t>Cesar Rios – Chief Risk Officer; Eduardo Montero – Head of Insurance and Pensions and CEO of Pacífico; and the Investor Relations Team.</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To pre-register for the listen-only webcast presentation use the following link:</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https://dpregister.com/DiamondPassRegistration/register?confirmationNumber=10208758&amp;linkSecurityString=103ed5 b9252</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121212"/>
        </w:rPr>
        <w:t>Callers who pre-register will be given a conference passcode and unique PIN to gain immediate access to the call and bypass the live operator.</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121212"/>
        </w:rPr>
        <w:t>Participants may pre-register at any time, including up to and after the call start time.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121212"/>
        </w:rPr>
        <w:t>Those unable to pre-register may dial in by calling:</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121212"/>
        </w:rPr>
        <w:t xml:space="preserve">1 844 435 0321 </w:t>
      </w:r>
      <w:r>
        <w:rPr>
          <w:rFonts w:ascii="Times New Roman" w:cs="Times New Roman" w:eastAsia="Times New Roman" w:hAnsi="Times New Roman"/>
          <w:sz w:val="19"/>
          <w:szCs w:val="19"/>
          <w:color w:val="121212"/>
        </w:rPr>
        <w:t>(U.S. toll free)</w:t>
      </w:r>
    </w:p>
    <w:p>
      <w:pPr>
        <w:spacing w:after="0" w:line="237" w:lineRule="auto"/>
        <w:rPr>
          <w:sz w:val="20"/>
          <w:szCs w:val="20"/>
          <w:color w:val="auto"/>
        </w:rPr>
      </w:pPr>
      <w:r>
        <w:rPr>
          <w:rFonts w:ascii="Times New Roman" w:cs="Times New Roman" w:eastAsia="Times New Roman" w:hAnsi="Times New Roman"/>
          <w:sz w:val="19"/>
          <w:szCs w:val="19"/>
          <w:b w:val="1"/>
          <w:bCs w:val="1"/>
          <w:color w:val="121212"/>
        </w:rPr>
        <w:t xml:space="preserve">1 412 317 5615 </w:t>
      </w:r>
      <w:r>
        <w:rPr>
          <w:rFonts w:ascii="Times New Roman" w:cs="Times New Roman" w:eastAsia="Times New Roman" w:hAnsi="Times New Roman"/>
          <w:sz w:val="19"/>
          <w:szCs w:val="19"/>
          <w:color w:val="121212"/>
        </w:rPr>
        <w:t>(International)</w:t>
      </w:r>
    </w:p>
    <w:p>
      <w:pPr>
        <w:spacing w:after="0" w:line="237" w:lineRule="auto"/>
        <w:rPr>
          <w:sz w:val="20"/>
          <w:szCs w:val="20"/>
          <w:color w:val="auto"/>
        </w:rPr>
      </w:pPr>
      <w:r>
        <w:rPr>
          <w:rFonts w:ascii="Times New Roman" w:cs="Times New Roman" w:eastAsia="Times New Roman" w:hAnsi="Times New Roman"/>
          <w:sz w:val="19"/>
          <w:szCs w:val="19"/>
          <w:b w:val="1"/>
          <w:bCs w:val="1"/>
          <w:color w:val="121212"/>
        </w:rPr>
        <w:t xml:space="preserve">Participant Web Phone: </w:t>
      </w:r>
      <w:r>
        <w:rPr>
          <w:rFonts w:ascii="Times New Roman" w:cs="Times New Roman" w:eastAsia="Times New Roman" w:hAnsi="Times New Roman"/>
          <w:sz w:val="19"/>
          <w:szCs w:val="19"/>
          <w:u w:val="single" w:color="auto"/>
          <w:color w:val="121212"/>
        </w:rPr>
        <w:t>Click Aquí</w:t>
      </w:r>
    </w:p>
    <w:p>
      <w:pPr>
        <w:spacing w:after="0"/>
        <w:rPr>
          <w:sz w:val="20"/>
          <w:szCs w:val="20"/>
          <w:color w:val="auto"/>
        </w:rPr>
      </w:pPr>
      <w:r>
        <w:rPr>
          <w:rFonts w:ascii="Times New Roman" w:cs="Times New Roman" w:eastAsia="Times New Roman" w:hAnsi="Times New Roman"/>
          <w:sz w:val="19"/>
          <w:szCs w:val="19"/>
          <w:b w:val="1"/>
          <w:bCs w:val="1"/>
          <w:color w:val="121212"/>
        </w:rPr>
        <w:t>Conference ID: Credicorp Conference Call</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121212"/>
        </w:rPr>
        <w:t>The webcast will be archived for one year on our investor relations website at: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https://credicorp.gcs-web.com/events-and-presentations/upcoming-events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For a full version of Credicorp´s Fourth Quarter 2025 Earnings Release, please visit: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https://credicorp.gcs-web.com/company-reports/quarterly-materials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1216025</wp:posOffset>
            </wp:positionV>
            <wp:extent cx="7140575" cy="158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0575" cy="15875"/>
                    </a:xfrm>
                    <a:prstGeom prst="rect">
                      <a:avLst/>
                    </a:prstGeom>
                    <a:noFill/>
                  </pic:spPr>
                </pic:pic>
              </a:graphicData>
            </a:graphic>
          </wp:anchor>
        </w:drawing>
        <w:drawing>
          <wp:anchor simplePos="0" relativeHeight="251657728" behindDoc="1" locked="0" layoutInCell="0" allowOverlap="1">
            <wp:simplePos x="0" y="0"/>
            <wp:positionH relativeFrom="column">
              <wp:posOffset>347345</wp:posOffset>
            </wp:positionH>
            <wp:positionV relativeFrom="paragraph">
              <wp:posOffset>256540</wp:posOffset>
            </wp:positionV>
            <wp:extent cx="6447155" cy="5638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447155" cy="563880"/>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7" w:name="page8"/>
    <w:bookmarkEnd w:id="7"/>
    <w:p>
      <w:pPr>
        <w:jc w:val="both"/>
        <w:ind w:left="3140"/>
        <w:spacing w:after="0"/>
        <w:tabs>
          <w:tab w:leader="none" w:pos="3380" w:val="left"/>
          <w:tab w:leader="none" w:pos="9060" w:val="left"/>
        </w:tabs>
        <w:rPr>
          <w:sz w:val="20"/>
          <w:szCs w:val="20"/>
          <w:color w:val="auto"/>
        </w:rPr>
      </w:pPr>
      <w:r>
        <w:rPr>
          <w:rFonts w:ascii="Times New Roman" w:cs="Times New Roman" w:eastAsia="Times New Roman" w:hAnsi="Times New Roman"/>
          <w:sz w:val="14"/>
          <w:szCs w:val="14"/>
          <w:b w:val="1"/>
          <w:bCs w:val="1"/>
          <w:color w:val="A6A6A6"/>
        </w:rPr>
        <w:drawing>
          <wp:anchor simplePos="0" relativeHeight="251657728" behindDoc="1" locked="0" layoutInCell="0" allowOverlap="1">
            <wp:simplePos x="0" y="0"/>
            <wp:positionH relativeFrom="page">
              <wp:posOffset>204470</wp:posOffset>
            </wp:positionH>
            <wp:positionV relativeFrom="page">
              <wp:posOffset>217805</wp:posOffset>
            </wp:positionV>
            <wp:extent cx="7140575" cy="6127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0575" cy="612775"/>
                    </a:xfrm>
                    <a:prstGeom prst="rect">
                      <a:avLst/>
                    </a:prstGeom>
                    <a:noFill/>
                  </pic:spPr>
                </pic:pic>
              </a:graphicData>
            </a:graphic>
          </wp:anchor>
        </w:drawing>
        <w:t>|</w:t>
      </w:r>
      <w:r>
        <w:rPr>
          <w:sz w:val="20"/>
          <w:szCs w:val="20"/>
          <w:color w:val="auto"/>
        </w:rPr>
        <w:tab/>
      </w:r>
      <w:r>
        <w:rPr>
          <w:rFonts w:ascii="Times New Roman" w:cs="Times New Roman" w:eastAsia="Times New Roman" w:hAnsi="Times New Roman"/>
          <w:sz w:val="14"/>
          <w:szCs w:val="14"/>
          <w:color w:val="FFFFFF"/>
        </w:rPr>
        <w:t>Earnings Release 1Q / 2026</w:t>
      </w:r>
      <w:r>
        <w:rPr>
          <w:sz w:val="20"/>
          <w:szCs w:val="20"/>
          <w:color w:val="auto"/>
        </w:rPr>
        <w:tab/>
      </w:r>
      <w:r>
        <w:rPr>
          <w:rFonts w:ascii="Times New Roman" w:cs="Times New Roman" w:eastAsia="Times New Roman" w:hAnsi="Times New Roman"/>
          <w:sz w:val="12"/>
          <w:szCs w:val="12"/>
          <w:color w:val="FF00FF"/>
        </w:rPr>
        <w:t>Analysis of 1Q26 Consolidated Results</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2AD2C8"/>
        </w:rPr>
        <w:t>Loans in Quarter-end Balances (EOP)</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Total loans (measured in EOP) expanded 1.9% QoQ and 8.2% YoY.</w:t>
      </w:r>
    </w:p>
    <w:p>
      <w:pPr>
        <w:spacing w:after="0" w:line="200" w:lineRule="exact"/>
        <w:rPr>
          <w:sz w:val="20"/>
          <w:szCs w:val="20"/>
          <w:color w:val="auto"/>
        </w:rPr>
      </w:pPr>
    </w:p>
    <w:p>
      <w:pPr>
        <w:jc w:val="both"/>
        <w:ind w:right="5600"/>
        <w:spacing w:after="0" w:line="200" w:lineRule="auto"/>
        <w:rPr>
          <w:sz w:val="20"/>
          <w:szCs w:val="20"/>
          <w:color w:val="auto"/>
        </w:rPr>
      </w:pPr>
      <w:r>
        <w:rPr>
          <w:rFonts w:ascii="Times New Roman" w:cs="Times New Roman" w:eastAsia="Times New Roman" w:hAnsi="Times New Roman"/>
          <w:sz w:val="17"/>
          <w:szCs w:val="17"/>
          <w:color w:val="auto"/>
        </w:rPr>
        <w:t>If we exclude the non-cash accounting adjustment at BCP Bolivia</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7"/>
          <w:szCs w:val="17"/>
          <w:color w:val="auto"/>
        </w:rPr>
        <w:t xml:space="preserve"> and the depreciation of the USD against PEN, loans rose 1.0% QoQ and 9.1% YoY: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3732530</wp:posOffset>
            </wp:positionH>
            <wp:positionV relativeFrom="paragraph">
              <wp:posOffset>-142875</wp:posOffset>
            </wp:positionV>
            <wp:extent cx="3223895" cy="20548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23895" cy="2054860"/>
                    </a:xfrm>
                    <a:prstGeom prst="rect">
                      <a:avLst/>
                    </a:prstGeom>
                    <a:noFill/>
                  </pic:spPr>
                </pic:pic>
              </a:graphicData>
            </a:graphic>
          </wp:anchor>
        </w:drawing>
      </w:r>
    </w:p>
    <w:p>
      <w:pPr>
        <w:spacing w:after="0" w:line="169" w:lineRule="exact"/>
        <w:rPr>
          <w:sz w:val="20"/>
          <w:szCs w:val="20"/>
          <w:color w:val="auto"/>
        </w:rPr>
      </w:pPr>
    </w:p>
    <w:p>
      <w:pPr>
        <w:jc w:val="both"/>
        <w:ind w:right="5600"/>
        <w:spacing w:after="0" w:line="252" w:lineRule="auto"/>
        <w:rPr>
          <w:sz w:val="20"/>
          <w:szCs w:val="20"/>
          <w:color w:val="auto"/>
        </w:rPr>
      </w:pPr>
      <w:r>
        <w:rPr>
          <w:rFonts w:ascii="Times New Roman" w:cs="Times New Roman" w:eastAsia="Times New Roman" w:hAnsi="Times New Roman"/>
          <w:sz w:val="17"/>
          <w:szCs w:val="17"/>
          <w:color w:val="auto"/>
        </w:rPr>
        <w:t>Growth was led by BCP, and Wholesale Banking in particular, where Corporate Banking drove growth through an uptick in medium and long-term loans. In the aggregate, Retail Banking remained stable over the period. In the disaggregate, expansion in Individuals was led by Consumer and driven by Yape as well as an uptick in the risk appetite at BCP Stand-alone. Mortgage and SME-Pyme, in turn, ticked up due to a rise in demand in a favorable macroeconomic environment. These positive dynamics were offset by a contraction in SME-Business, where annual resegmentation processes migrated some clients to the Wholesale Banking portfolio. At Mibanco, the portfolio expanded after disbursements accelerated to hit a record high in March. Growth was concentrated in smaller ticket, higher-yield loans.</w:t>
      </w:r>
    </w:p>
    <w:p>
      <w:pPr>
        <w:spacing w:after="0" w:line="179" w:lineRule="exact"/>
        <w:rPr>
          <w:sz w:val="20"/>
          <w:szCs w:val="20"/>
          <w:color w:val="auto"/>
        </w:rPr>
      </w:pPr>
    </w:p>
    <w:p>
      <w:pPr>
        <w:jc w:val="both"/>
        <w:ind w:right="5600"/>
        <w:spacing w:after="0" w:line="256" w:lineRule="auto"/>
        <w:rPr>
          <w:sz w:val="20"/>
          <w:szCs w:val="20"/>
          <w:color w:val="auto"/>
        </w:rPr>
      </w:pPr>
      <w:r>
        <w:rPr>
          <w:rFonts w:ascii="Times New Roman" w:cs="Times New Roman" w:eastAsia="Times New Roman" w:hAnsi="Times New Roman"/>
          <w:sz w:val="17"/>
          <w:szCs w:val="17"/>
          <w:color w:val="auto"/>
        </w:rPr>
        <w:t>The YoY result was primarily attributable to a more favorable macroeconomic environment, where loan demand continued to gain traction. The main factors that drove this evolution were: (i) loan growth acceleration in both Wholesale and Retail Banking at BCP, and (ii) an increase in the pace of disbursements at Mibanco.</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2AD2C8"/>
        </w:rPr>
        <w:t>Deposits</w:t>
      </w:r>
    </w:p>
    <w:p>
      <w:pPr>
        <w:spacing w:after="0" w:line="215" w:lineRule="exact"/>
        <w:rPr>
          <w:sz w:val="20"/>
          <w:szCs w:val="20"/>
          <w:color w:val="auto"/>
        </w:rPr>
      </w:pPr>
    </w:p>
    <w:p>
      <w:pPr>
        <w:ind w:right="5600"/>
        <w:spacing w:after="0" w:line="277" w:lineRule="auto"/>
        <w:rPr>
          <w:sz w:val="20"/>
          <w:szCs w:val="20"/>
          <w:color w:val="auto"/>
        </w:rPr>
      </w:pPr>
      <w:r>
        <w:rPr>
          <w:rFonts w:ascii="Times New Roman" w:cs="Times New Roman" w:eastAsia="Times New Roman" w:hAnsi="Times New Roman"/>
          <w:sz w:val="17"/>
          <w:szCs w:val="17"/>
          <w:color w:val="auto"/>
        </w:rPr>
        <w:t>The balance for total deposits (measured in EOP) expanded 4.8% QoQ and 13.3% YoY.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3732530</wp:posOffset>
            </wp:positionH>
            <wp:positionV relativeFrom="paragraph">
              <wp:posOffset>-275590</wp:posOffset>
            </wp:positionV>
            <wp:extent cx="3223895" cy="21596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23895" cy="2159635"/>
                    </a:xfrm>
                    <a:prstGeom prst="rect">
                      <a:avLst/>
                    </a:prstGeom>
                    <a:noFill/>
                  </pic:spPr>
                </pic:pic>
              </a:graphicData>
            </a:graphic>
          </wp:anchor>
        </w:drawing>
      </w:r>
    </w:p>
    <w:p>
      <w:pPr>
        <w:spacing w:after="0" w:line="138" w:lineRule="exact"/>
        <w:rPr>
          <w:sz w:val="20"/>
          <w:szCs w:val="20"/>
          <w:color w:val="auto"/>
        </w:rPr>
      </w:pPr>
    </w:p>
    <w:p>
      <w:pPr>
        <w:jc w:val="both"/>
        <w:ind w:right="5600"/>
        <w:spacing w:after="0" w:line="210" w:lineRule="auto"/>
        <w:rPr>
          <w:sz w:val="20"/>
          <w:szCs w:val="20"/>
          <w:color w:val="auto"/>
        </w:rPr>
      </w:pPr>
      <w:r>
        <w:rPr>
          <w:rFonts w:ascii="Times New Roman" w:cs="Times New Roman" w:eastAsia="Times New Roman" w:hAnsi="Times New Roman"/>
          <w:sz w:val="17"/>
          <w:szCs w:val="17"/>
          <w:color w:val="auto"/>
        </w:rPr>
        <w:t>If we exclude the impacts generated by a non-cash accounting adjustment at BCP Bolivia</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7"/>
          <w:szCs w:val="17"/>
          <w:color w:val="auto"/>
        </w:rPr>
        <w:t xml:space="preserve"> and the depreciation of the USD against PEN, deposits rose 0.8% QoQ and 13.7% YoY:</w:t>
      </w:r>
    </w:p>
    <w:p>
      <w:pPr>
        <w:spacing w:after="0" w:line="188" w:lineRule="exact"/>
        <w:rPr>
          <w:sz w:val="20"/>
          <w:szCs w:val="20"/>
          <w:color w:val="auto"/>
        </w:rPr>
      </w:pPr>
    </w:p>
    <w:p>
      <w:pPr>
        <w:jc w:val="both"/>
        <w:ind w:right="5600"/>
        <w:spacing w:after="0" w:line="230" w:lineRule="auto"/>
        <w:rPr>
          <w:sz w:val="20"/>
          <w:szCs w:val="20"/>
          <w:color w:val="auto"/>
        </w:rPr>
      </w:pPr>
      <w:r>
        <w:rPr>
          <w:rFonts w:ascii="Times New Roman" w:cs="Times New Roman" w:eastAsia="Times New Roman" w:hAnsi="Times New Roman"/>
          <w:sz w:val="16"/>
          <w:szCs w:val="16"/>
          <w:color w:val="auto"/>
        </w:rPr>
        <w:t>QoQ growth reflects an increase in the balance for Low-cost Deposits, which was bolstered primarily by inflows from the 8</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6"/>
          <w:szCs w:val="16"/>
          <w:color w:val="auto"/>
        </w:rPr>
        <w:t xml:space="preserve"> private pension fund withdrawal. YoY, this evolution was driven mainly by growth in the balance for Low-cost Deposits, which rose 17.4% to represent 74.9% of our total deposit base at quarter-end.</w:t>
      </w:r>
    </w:p>
    <w:p>
      <w:pPr>
        <w:spacing w:after="0" w:line="189" w:lineRule="exact"/>
        <w:rPr>
          <w:sz w:val="20"/>
          <w:szCs w:val="20"/>
          <w:color w:val="auto"/>
        </w:rPr>
      </w:pPr>
    </w:p>
    <w:p>
      <w:pPr>
        <w:jc w:val="both"/>
        <w:ind w:right="5600"/>
        <w:spacing w:after="0" w:line="258" w:lineRule="auto"/>
        <w:rPr>
          <w:sz w:val="20"/>
          <w:szCs w:val="20"/>
          <w:color w:val="auto"/>
        </w:rPr>
      </w:pPr>
      <w:r>
        <w:rPr>
          <w:rFonts w:ascii="Times New Roman" w:cs="Times New Roman" w:eastAsia="Times New Roman" w:hAnsi="Times New Roman"/>
          <w:sz w:val="17"/>
          <w:szCs w:val="17"/>
          <w:color w:val="auto"/>
        </w:rPr>
        <w:t>At BCP, the Liquidity Coverage Ratio (RCL) in PEN at 30 days stood at 195.3% under regulatory standards and 164.8% by stricter internal standards. The LCR in US at 30 days stood at 206.5% under regulatory standards and 143.6% under stricter internal standards.</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5"/>
          <w:szCs w:val="15"/>
          <w:color w:val="auto"/>
        </w:rPr>
        <w:t>Accounting revaluations throughout 2025 applied exchange rates that were better aligned with the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889635</wp:posOffset>
            </wp:positionV>
            <wp:extent cx="7140575" cy="158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0575" cy="15875"/>
                    </a:xfrm>
                    <a:prstGeom prst="rect">
                      <a:avLst/>
                    </a:prstGeom>
                    <a:noFill/>
                  </pic:spPr>
                </pic:pic>
              </a:graphicData>
            </a:graphic>
          </wp:anchor>
        </w:drawing>
        <w:drawing>
          <wp:anchor simplePos="0" relativeHeight="251657728" behindDoc="1" locked="0" layoutInCell="0" allowOverlap="1">
            <wp:simplePos x="0" y="0"/>
            <wp:positionH relativeFrom="column">
              <wp:posOffset>339725</wp:posOffset>
            </wp:positionH>
            <wp:positionV relativeFrom="paragraph">
              <wp:posOffset>75565</wp:posOffset>
            </wp:positionV>
            <wp:extent cx="6447155" cy="5480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447155" cy="548005"/>
                    </a:xfrm>
                    <a:prstGeom prst="rect">
                      <a:avLst/>
                    </a:prstGeom>
                    <a:noFill/>
                  </pic:spPr>
                </pic:pic>
              </a:graphicData>
            </a:graphic>
          </wp:anchor>
        </w:drawing>
      </w:r>
    </w:p>
    <w:p>
      <w:pPr>
        <w:sectPr>
          <w:pgSz w:w="11900" w:h="16838" w:orient="portrait"/>
          <w:cols w:equalWidth="0" w:num="1">
            <w:col w:w="11220"/>
          </w:cols>
          <w:pgMar w:left="320" w:top="724" w:right="359" w:bottom="1440" w:gutter="0" w:footer="0" w:header="0"/>
        </w:sectPr>
      </w:pPr>
    </w:p>
    <w:bookmarkStart w:id="8" w:name="page9"/>
    <w:bookmarkEnd w:id="8"/>
    <w:p>
      <w:pPr>
        <w:jc w:val="both"/>
        <w:ind w:left="3140"/>
        <w:spacing w:after="0"/>
        <w:tabs>
          <w:tab w:leader="none" w:pos="3380" w:val="left"/>
          <w:tab w:leader="none" w:pos="9060" w:val="left"/>
        </w:tabs>
        <w:rPr>
          <w:sz w:val="20"/>
          <w:szCs w:val="20"/>
          <w:color w:val="auto"/>
        </w:rPr>
      </w:pPr>
      <w:r>
        <w:rPr>
          <w:rFonts w:ascii="Times New Roman" w:cs="Times New Roman" w:eastAsia="Times New Roman" w:hAnsi="Times New Roman"/>
          <w:sz w:val="14"/>
          <w:szCs w:val="14"/>
          <w:b w:val="1"/>
          <w:bCs w:val="1"/>
          <w:color w:val="A6A6A6"/>
        </w:rPr>
        <w:drawing>
          <wp:anchor simplePos="0" relativeHeight="251657728" behindDoc="1" locked="0" layoutInCell="0" allowOverlap="1">
            <wp:simplePos x="0" y="0"/>
            <wp:positionH relativeFrom="page">
              <wp:posOffset>204470</wp:posOffset>
            </wp:positionH>
            <wp:positionV relativeFrom="page">
              <wp:posOffset>217805</wp:posOffset>
            </wp:positionV>
            <wp:extent cx="7140575" cy="6127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0575" cy="612775"/>
                    </a:xfrm>
                    <a:prstGeom prst="rect">
                      <a:avLst/>
                    </a:prstGeom>
                    <a:noFill/>
                  </pic:spPr>
                </pic:pic>
              </a:graphicData>
            </a:graphic>
          </wp:anchor>
        </w:drawing>
        <w:t>|</w:t>
      </w:r>
      <w:r>
        <w:rPr>
          <w:sz w:val="20"/>
          <w:szCs w:val="20"/>
          <w:color w:val="auto"/>
        </w:rPr>
        <w:tab/>
      </w:r>
      <w:r>
        <w:rPr>
          <w:rFonts w:ascii="Times New Roman" w:cs="Times New Roman" w:eastAsia="Times New Roman" w:hAnsi="Times New Roman"/>
          <w:sz w:val="14"/>
          <w:szCs w:val="14"/>
          <w:color w:val="FFFFFF"/>
        </w:rPr>
        <w:t>Earnings Release 1Q / 2026</w:t>
      </w:r>
      <w:r>
        <w:rPr>
          <w:sz w:val="20"/>
          <w:szCs w:val="20"/>
          <w:color w:val="auto"/>
        </w:rPr>
        <w:tab/>
      </w:r>
      <w:r>
        <w:rPr>
          <w:rFonts w:ascii="Times New Roman" w:cs="Times New Roman" w:eastAsia="Times New Roman" w:hAnsi="Times New Roman"/>
          <w:sz w:val="12"/>
          <w:szCs w:val="12"/>
          <w:color w:val="FF00FF"/>
        </w:rPr>
        <w:t>Analysis of 1Q26 Consolidated Results</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2AD2C8"/>
        </w:rPr>
        <w:t>Net Interest Income (NII) and Margin (NIM)</w:t>
      </w:r>
    </w:p>
    <w:p>
      <w:pPr>
        <w:spacing w:after="0" w:line="215" w:lineRule="exact"/>
        <w:rPr>
          <w:sz w:val="20"/>
          <w:szCs w:val="20"/>
          <w:color w:val="auto"/>
        </w:rPr>
      </w:pPr>
    </w:p>
    <w:p>
      <w:pPr>
        <w:jc w:val="both"/>
        <w:ind w:right="5600"/>
        <w:spacing w:after="0" w:line="252" w:lineRule="auto"/>
        <w:rPr>
          <w:sz w:val="20"/>
          <w:szCs w:val="20"/>
          <w:color w:val="auto"/>
        </w:rPr>
      </w:pPr>
      <w:r>
        <w:rPr>
          <w:rFonts w:ascii="Times New Roman" w:cs="Times New Roman" w:eastAsia="Times New Roman" w:hAnsi="Times New Roman"/>
          <w:sz w:val="17"/>
          <w:szCs w:val="17"/>
          <w:color w:val="auto"/>
        </w:rPr>
        <w:t>NII rose 3.2% QoQ, driven primarily by an uptick in Interest and Similar Income. This evolution was fueled by (i) an increase in interest on securities, which rose on the back of BCP’s investment strategy to capitalize surplus liquidity, and (ii) growth in interest on loans, which rose alongside portfolio growth at BCP and Mibanco. To a lesser extent, Interest and Similar Expenses also contributed to the increase in NII given that ample liquidity was captured as low-cost deposits, which led to a drop in funding from more expensive sources such as time deposits and BCRP Instruments. In this context, NIM stood at 6.58% at quarter-end, compared to 6.62% in 4Q25 and 6.22% in 1Q25.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3732530</wp:posOffset>
            </wp:positionH>
            <wp:positionV relativeFrom="paragraph">
              <wp:posOffset>-1145540</wp:posOffset>
            </wp:positionV>
            <wp:extent cx="3223895" cy="17405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23895" cy="1740535"/>
                    </a:xfrm>
                    <a:prstGeom prst="rect">
                      <a:avLst/>
                    </a:prstGeom>
                    <a:noFill/>
                  </pic:spPr>
                </pic:pic>
              </a:graphicData>
            </a:graphic>
          </wp:anchor>
        </w:drawing>
      </w:r>
    </w:p>
    <w:p>
      <w:pPr>
        <w:spacing w:after="0" w:line="163" w:lineRule="exact"/>
        <w:rPr>
          <w:sz w:val="20"/>
          <w:szCs w:val="20"/>
          <w:color w:val="auto"/>
        </w:rPr>
      </w:pPr>
    </w:p>
    <w:p>
      <w:pPr>
        <w:jc w:val="both"/>
        <w:ind w:right="5600"/>
        <w:spacing w:after="0" w:line="258" w:lineRule="auto"/>
        <w:rPr>
          <w:sz w:val="20"/>
          <w:szCs w:val="20"/>
          <w:color w:val="auto"/>
        </w:rPr>
      </w:pPr>
      <w:r>
        <w:rPr>
          <w:rFonts w:ascii="Times New Roman" w:cs="Times New Roman" w:eastAsia="Times New Roman" w:hAnsi="Times New Roman"/>
          <w:sz w:val="17"/>
          <w:szCs w:val="17"/>
          <w:color w:val="auto"/>
        </w:rPr>
        <w:t>YoY, NII rose 10.9%, driven primarily by Interest and Similar Income. This evolution was fueled by growth in interest on loans, in line with an uptick in loan volumes at BCP and Mibanco. Interest and Similar Expenses dropped in a lower-interest rates environment. In this context, NIM rose 36 bps YoY.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2AD2C8"/>
        </w:rPr>
        <w:t>Portfolio Quality and Cost of Risk</w:t>
      </w:r>
    </w:p>
    <w:p>
      <w:pPr>
        <w:spacing w:after="0" w:line="215" w:lineRule="exact"/>
        <w:rPr>
          <w:sz w:val="20"/>
          <w:szCs w:val="20"/>
          <w:color w:val="auto"/>
        </w:rPr>
      </w:pPr>
    </w:p>
    <w:p>
      <w:pPr>
        <w:jc w:val="both"/>
        <w:ind w:right="5600"/>
        <w:spacing w:after="0" w:line="258" w:lineRule="auto"/>
        <w:rPr>
          <w:sz w:val="20"/>
          <w:szCs w:val="20"/>
          <w:color w:val="auto"/>
        </w:rPr>
      </w:pPr>
      <w:r>
        <w:rPr>
          <w:rFonts w:ascii="Times New Roman" w:cs="Times New Roman" w:eastAsia="Times New Roman" w:hAnsi="Times New Roman"/>
          <w:sz w:val="17"/>
          <w:szCs w:val="17"/>
          <w:color w:val="auto"/>
        </w:rPr>
        <w:t>Our portfolio quality indicators and cost of risk have improved significantly over the last year and continue to strengthen thanks to fortified risk management, an uptick in payment performance, and a more favorable macroeconomic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3780790</wp:posOffset>
            </wp:positionH>
            <wp:positionV relativeFrom="paragraph">
              <wp:posOffset>-522605</wp:posOffset>
            </wp:positionV>
            <wp:extent cx="3159125" cy="19342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159125" cy="1934210"/>
                    </a:xfrm>
                    <a:prstGeom prst="rect">
                      <a:avLst/>
                    </a:prstGeom>
                    <a:noFill/>
                  </pic:spPr>
                </pic:pic>
              </a:graphicData>
            </a:graphic>
          </wp:anchor>
        </w:drawing>
      </w:r>
    </w:p>
    <w:p>
      <w:pPr>
        <w:spacing w:after="0" w:line="151" w:lineRule="exact"/>
        <w:rPr>
          <w:sz w:val="20"/>
          <w:szCs w:val="20"/>
          <w:color w:val="auto"/>
        </w:rPr>
      </w:pPr>
    </w:p>
    <w:p>
      <w:pPr>
        <w:jc w:val="both"/>
        <w:ind w:right="5600"/>
        <w:spacing w:after="0" w:line="257" w:lineRule="auto"/>
        <w:rPr>
          <w:sz w:val="20"/>
          <w:szCs w:val="20"/>
          <w:color w:val="auto"/>
        </w:rPr>
      </w:pPr>
      <w:r>
        <w:rPr>
          <w:rFonts w:ascii="Times New Roman" w:cs="Times New Roman" w:eastAsia="Times New Roman" w:hAnsi="Times New Roman"/>
          <w:sz w:val="17"/>
          <w:szCs w:val="17"/>
          <w:color w:val="auto"/>
        </w:rPr>
        <w:t xml:space="preserve">QoQ, the NPL balance dropped 4.4%, driven mainly by </w:t>
      </w:r>
      <w:r>
        <w:rPr>
          <w:rFonts w:ascii="Times New Roman" w:cs="Times New Roman" w:eastAsia="Times New Roman" w:hAnsi="Times New Roman"/>
          <w:sz w:val="17"/>
          <w:szCs w:val="17"/>
          <w:b w:val="1"/>
          <w:bCs w:val="1"/>
          <w:color w:val="auto"/>
        </w:rPr>
        <w:t>BCP Stand-alone</w:t>
      </w:r>
      <w:r>
        <w:rPr>
          <w:rFonts w:ascii="Times New Roman" w:cs="Times New Roman" w:eastAsia="Times New Roman" w:hAnsi="Times New Roman"/>
          <w:sz w:val="17"/>
          <w:szCs w:val="17"/>
          <w:color w:val="auto"/>
        </w:rPr>
        <w:t xml:space="preserve">. At </w:t>
      </w:r>
      <w:r>
        <w:rPr>
          <w:rFonts w:ascii="Times New Roman" w:cs="Times New Roman" w:eastAsia="Times New Roman" w:hAnsi="Times New Roman"/>
          <w:sz w:val="17"/>
          <w:szCs w:val="17"/>
          <w:b w:val="1"/>
          <w:bCs w:val="1"/>
          <w:color w:val="auto"/>
        </w:rPr>
        <w:t xml:space="preserve">BCP Stand-alone, </w:t>
      </w:r>
      <w:r>
        <w:rPr>
          <w:rFonts w:ascii="Times New Roman" w:cs="Times New Roman" w:eastAsia="Times New Roman" w:hAnsi="Times New Roman"/>
          <w:sz w:val="17"/>
          <w:szCs w:val="17"/>
          <w:color w:val="auto"/>
        </w:rPr>
        <w:t>the decline was fueled by</w:t>
      </w:r>
      <w:r>
        <w:rPr>
          <w:rFonts w:ascii="Times New Roman" w:cs="Times New Roman" w:eastAsia="Times New Roman" w:hAnsi="Times New Roman"/>
          <w:sz w:val="17"/>
          <w:szCs w:val="17"/>
          <w:b w:val="1"/>
          <w:bCs w:val="1"/>
          <w:color w:val="auto"/>
        </w:rPr>
        <w:t xml:space="preserve"> Retail Banking</w:t>
      </w:r>
      <w:r>
        <w:rPr>
          <w:rFonts w:ascii="Times New Roman" w:cs="Times New Roman" w:eastAsia="Times New Roman" w:hAnsi="Times New Roman"/>
          <w:sz w:val="17"/>
          <w:szCs w:val="17"/>
          <w:color w:val="auto"/>
        </w:rPr>
        <w:t>, primarily through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debt payments in (i) </w:t>
      </w:r>
      <w:r>
        <w:rPr>
          <w:rFonts w:ascii="Times New Roman" w:cs="Times New Roman" w:eastAsia="Times New Roman" w:hAnsi="Times New Roman"/>
          <w:sz w:val="17"/>
          <w:szCs w:val="17"/>
          <w:b w:val="1"/>
          <w:bCs w:val="1"/>
          <w:color w:val="auto"/>
        </w:rPr>
        <w:t>SME-Pyme</w:t>
      </w:r>
      <w:r>
        <w:rPr>
          <w:rFonts w:ascii="Times New Roman" w:cs="Times New Roman" w:eastAsia="Times New Roman" w:hAnsi="Times New Roman"/>
          <w:sz w:val="17"/>
          <w:szCs w:val="17"/>
          <w:color w:val="auto"/>
        </w:rPr>
        <w:t xml:space="preserve">, by clients with loans under judicial recovery, and in (i) </w:t>
      </w:r>
      <w:r>
        <w:rPr>
          <w:rFonts w:ascii="Times New Roman" w:cs="Times New Roman" w:eastAsia="Times New Roman" w:hAnsi="Times New Roman"/>
          <w:sz w:val="17"/>
          <w:szCs w:val="17"/>
          <w:b w:val="1"/>
          <w:bCs w:val="1"/>
          <w:color w:val="auto"/>
        </w:rPr>
        <w:t>Individuals</w:t>
      </w:r>
      <w:r>
        <w:rPr>
          <w:rFonts w:ascii="Times New Roman" w:cs="Times New Roman" w:eastAsia="Times New Roman" w:hAnsi="Times New Roman"/>
          <w:sz w:val="17"/>
          <w:szCs w:val="17"/>
          <w:color w:val="auto"/>
        </w:rPr>
        <w:t>, which benefitted from an uptick in liquidity through inflows from the pension fund withdrawal.</w:t>
      </w:r>
    </w:p>
    <w:p>
      <w:pPr>
        <w:spacing w:after="0" w:line="172" w:lineRule="exact"/>
        <w:rPr>
          <w:sz w:val="20"/>
          <w:szCs w:val="20"/>
          <w:color w:val="auto"/>
        </w:rPr>
      </w:pPr>
    </w:p>
    <w:p>
      <w:pPr>
        <w:jc w:val="both"/>
        <w:ind w:right="5600"/>
        <w:spacing w:after="0" w:line="275" w:lineRule="auto"/>
        <w:rPr>
          <w:sz w:val="20"/>
          <w:szCs w:val="20"/>
          <w:color w:val="auto"/>
        </w:rPr>
      </w:pPr>
      <w:r>
        <w:rPr>
          <w:rFonts w:ascii="Times New Roman" w:cs="Times New Roman" w:eastAsia="Times New Roman" w:hAnsi="Times New Roman"/>
          <w:sz w:val="16"/>
          <w:szCs w:val="16"/>
          <w:color w:val="auto"/>
        </w:rPr>
        <w:t xml:space="preserve">YoY, the NPL portfolio decreased 9.5%, driven by </w:t>
      </w:r>
      <w:r>
        <w:rPr>
          <w:rFonts w:ascii="Times New Roman" w:cs="Times New Roman" w:eastAsia="Times New Roman" w:hAnsi="Times New Roman"/>
          <w:sz w:val="16"/>
          <w:szCs w:val="16"/>
          <w:b w:val="1"/>
          <w:bCs w:val="1"/>
          <w:color w:val="auto"/>
        </w:rPr>
        <w:t>BCP Stand-alone</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b w:val="1"/>
          <w:bCs w:val="1"/>
          <w:color w:val="auto"/>
        </w:rPr>
        <w:t>Mibanco</w:t>
      </w:r>
      <w:r>
        <w:rPr>
          <w:rFonts w:ascii="Times New Roman" w:cs="Times New Roman" w:eastAsia="Times New Roman" w:hAnsi="Times New Roman"/>
          <w:sz w:val="16"/>
          <w:szCs w:val="16"/>
          <w:color w:val="auto"/>
        </w:rPr>
        <w:t>. At</w:t>
      </w:r>
      <w:r>
        <w:rPr>
          <w:rFonts w:ascii="Times New Roman" w:cs="Times New Roman" w:eastAsia="Times New Roman" w:hAnsi="Times New Roman"/>
          <w:sz w:val="16"/>
          <w:szCs w:val="16"/>
          <w:b w:val="1"/>
          <w:bCs w:val="1"/>
          <w:color w:val="auto"/>
        </w:rPr>
        <w:t xml:space="preserve"> BCP Stand-alone</w:t>
      </w:r>
      <w:r>
        <w:rPr>
          <w:rFonts w:ascii="Times New Roman" w:cs="Times New Roman" w:eastAsia="Times New Roman" w:hAnsi="Times New Roman"/>
          <w:sz w:val="16"/>
          <w:szCs w:val="16"/>
          <w:color w:val="auto"/>
        </w:rPr>
        <w:t>, the reduction was fueled by: (i)</w:t>
      </w:r>
      <w:r>
        <w:rPr>
          <w:rFonts w:ascii="Times New Roman" w:cs="Times New Roman" w:eastAsia="Times New Roman" w:hAnsi="Times New Roman"/>
          <w:sz w:val="16"/>
          <w:szCs w:val="16"/>
          <w:b w:val="1"/>
          <w:bCs w:val="1"/>
          <w:color w:val="auto"/>
        </w:rPr>
        <w:t xml:space="preserve"> Retail Banking</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driven by the same dynamics in play </w:t>
      </w:r>
      <w:r>
        <w:rPr>
          <w:rFonts w:ascii="Times New Roman" w:cs="Times New Roman" w:eastAsia="Times New Roman" w:hAnsi="Times New Roman"/>
          <w:sz w:val="16"/>
          <w:szCs w:val="16"/>
          <w:b w:val="1"/>
          <w:bCs w:val="1"/>
          <w:color w:val="auto"/>
        </w:rPr>
        <w:t>QoQ</w:t>
      </w:r>
      <w:r>
        <w:rPr>
          <w:rFonts w:ascii="Times New Roman" w:cs="Times New Roman" w:eastAsia="Times New Roman" w:hAnsi="Times New Roman"/>
          <w:sz w:val="16"/>
          <w:szCs w:val="16"/>
          <w:color w:val="auto"/>
        </w:rPr>
        <w:t xml:space="preserve">, and (ii) </w:t>
      </w:r>
      <w:r>
        <w:rPr>
          <w:rFonts w:ascii="Times New Roman" w:cs="Times New Roman" w:eastAsia="Times New Roman" w:hAnsi="Times New Roman"/>
          <w:sz w:val="16"/>
          <w:szCs w:val="16"/>
          <w:b w:val="1"/>
          <w:bCs w:val="1"/>
          <w:color w:val="auto"/>
        </w:rPr>
        <w:t>Wholesale Banking,</w:t>
      </w:r>
      <w:r>
        <w:rPr>
          <w:rFonts w:ascii="Times New Roman" w:cs="Times New Roman" w:eastAsia="Times New Roman" w:hAnsi="Times New Roman"/>
          <w:sz w:val="16"/>
          <w:szCs w:val="16"/>
          <w:color w:val="auto"/>
        </w:rPr>
        <w:t xml:space="preserve"> which registered debt amortizations by corporate clients in the real estate and commercial sectors. At </w:t>
      </w:r>
      <w:r>
        <w:rPr>
          <w:rFonts w:ascii="Times New Roman" w:cs="Times New Roman" w:eastAsia="Times New Roman" w:hAnsi="Times New Roman"/>
          <w:sz w:val="16"/>
          <w:szCs w:val="16"/>
          <w:b w:val="1"/>
          <w:bCs w:val="1"/>
          <w:color w:val="auto"/>
        </w:rPr>
        <w:t>Mibanco</w:t>
      </w:r>
      <w:r>
        <w:rPr>
          <w:rFonts w:ascii="Times New Roman" w:cs="Times New Roman" w:eastAsia="Times New Roman" w:hAnsi="Times New Roman"/>
          <w:sz w:val="16"/>
          <w:szCs w:val="16"/>
          <w:color w:val="auto"/>
        </w:rPr>
        <w:t>, the decrease was driven by lower overdue loans, reflecting improvements in origination quality and enhanced debt collection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3732530</wp:posOffset>
            </wp:positionH>
            <wp:positionV relativeFrom="paragraph">
              <wp:posOffset>-144780</wp:posOffset>
            </wp:positionV>
            <wp:extent cx="3223895" cy="17653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23895" cy="1765300"/>
                    </a:xfrm>
                    <a:prstGeom prst="rect">
                      <a:avLst/>
                    </a:prstGeom>
                    <a:noFill/>
                  </pic:spPr>
                </pic:pic>
              </a:graphicData>
            </a:graphic>
          </wp:anchor>
        </w:drawing>
      </w:r>
    </w:p>
    <w:p>
      <w:pPr>
        <w:spacing w:after="0" w:line="141" w:lineRule="exact"/>
        <w:rPr>
          <w:sz w:val="20"/>
          <w:szCs w:val="20"/>
          <w:color w:val="auto"/>
        </w:rPr>
      </w:pPr>
    </w:p>
    <w:p>
      <w:pPr>
        <w:jc w:val="both"/>
        <w:ind w:right="5600"/>
        <w:spacing w:after="0" w:line="277" w:lineRule="auto"/>
        <w:rPr>
          <w:sz w:val="20"/>
          <w:szCs w:val="20"/>
          <w:color w:val="auto"/>
        </w:rPr>
      </w:pPr>
      <w:r>
        <w:rPr>
          <w:rFonts w:ascii="Times New Roman" w:cs="Times New Roman" w:eastAsia="Times New Roman" w:hAnsi="Times New Roman"/>
          <w:sz w:val="17"/>
          <w:szCs w:val="17"/>
          <w:color w:val="auto"/>
        </w:rPr>
        <w:t>In this context, the NPL Ratio dropped 28 bps QoQ and 83 bps YoY to stand at 4.3% at quarter-end.</w:t>
      </w:r>
    </w:p>
    <w:p>
      <w:pPr>
        <w:spacing w:after="0" w:line="154" w:lineRule="exact"/>
        <w:rPr>
          <w:sz w:val="20"/>
          <w:szCs w:val="20"/>
          <w:color w:val="auto"/>
        </w:rPr>
      </w:pPr>
    </w:p>
    <w:p>
      <w:pPr>
        <w:jc w:val="both"/>
        <w:ind w:right="5600"/>
        <w:spacing w:after="0" w:line="253" w:lineRule="auto"/>
        <w:rPr>
          <w:sz w:val="20"/>
          <w:szCs w:val="20"/>
          <w:color w:val="auto"/>
        </w:rPr>
      </w:pPr>
      <w:r>
        <w:rPr>
          <w:rFonts w:ascii="Times New Roman" w:cs="Times New Roman" w:eastAsia="Times New Roman" w:hAnsi="Times New Roman"/>
          <w:sz w:val="17"/>
          <w:szCs w:val="17"/>
          <w:color w:val="auto"/>
        </w:rPr>
        <w:t xml:space="preserve">Provisions fell 25.4% QoQ, fueled by </w:t>
      </w:r>
      <w:r>
        <w:rPr>
          <w:rFonts w:ascii="Times New Roman" w:cs="Times New Roman" w:eastAsia="Times New Roman" w:hAnsi="Times New Roman"/>
          <w:sz w:val="17"/>
          <w:szCs w:val="17"/>
          <w:b w:val="1"/>
          <w:bCs w:val="1"/>
          <w:color w:val="auto"/>
        </w:rPr>
        <w:t>BCP Stand-alone</w:t>
      </w:r>
      <w:r>
        <w:rPr>
          <w:rFonts w:ascii="Times New Roman" w:cs="Times New Roman" w:eastAsia="Times New Roman" w:hAnsi="Times New Roman"/>
          <w:sz w:val="17"/>
          <w:szCs w:val="17"/>
          <w:color w:val="auto"/>
        </w:rPr>
        <w:t xml:space="preserve"> and partially offset by </w:t>
      </w:r>
      <w:r>
        <w:rPr>
          <w:rFonts w:ascii="Times New Roman" w:cs="Times New Roman" w:eastAsia="Times New Roman" w:hAnsi="Times New Roman"/>
          <w:sz w:val="17"/>
          <w:szCs w:val="17"/>
          <w:b w:val="1"/>
          <w:bCs w:val="1"/>
          <w:color w:val="auto"/>
        </w:rPr>
        <w:t>Mibanco</w:t>
      </w:r>
      <w:r>
        <w:rPr>
          <w:rFonts w:ascii="Times New Roman" w:cs="Times New Roman" w:eastAsia="Times New Roman" w:hAnsi="Times New Roman"/>
          <w:sz w:val="17"/>
          <w:szCs w:val="17"/>
          <w:color w:val="auto"/>
        </w:rPr>
        <w:t>. At</w:t>
      </w:r>
      <w:r>
        <w:rPr>
          <w:rFonts w:ascii="Times New Roman" w:cs="Times New Roman" w:eastAsia="Times New Roman" w:hAnsi="Times New Roman"/>
          <w:sz w:val="17"/>
          <w:szCs w:val="17"/>
          <w:b w:val="1"/>
          <w:bCs w:val="1"/>
          <w:color w:val="auto"/>
        </w:rPr>
        <w:t xml:space="preserve"> BCP Stand-alone</w:t>
      </w:r>
      <w:r>
        <w:rPr>
          <w:rFonts w:ascii="Times New Roman" w:cs="Times New Roman" w:eastAsia="Times New Roman" w:hAnsi="Times New Roman"/>
          <w:sz w:val="17"/>
          <w:szCs w:val="17"/>
          <w:color w:val="auto"/>
        </w:rPr>
        <w:t>, the reduction in provisions was primarily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attributable to </w:t>
      </w:r>
      <w:r>
        <w:rPr>
          <w:rFonts w:ascii="Times New Roman" w:cs="Times New Roman" w:eastAsia="Times New Roman" w:hAnsi="Times New Roman"/>
          <w:sz w:val="17"/>
          <w:szCs w:val="17"/>
          <w:b w:val="1"/>
          <w:bCs w:val="1"/>
          <w:color w:val="auto"/>
        </w:rPr>
        <w:t>Wholesale Banking</w:t>
      </w:r>
      <w:r>
        <w:rPr>
          <w:rFonts w:ascii="Times New Roman" w:cs="Times New Roman" w:eastAsia="Times New Roman" w:hAnsi="Times New Roman"/>
          <w:sz w:val="17"/>
          <w:szCs w:val="17"/>
          <w:color w:val="auto"/>
        </w:rPr>
        <w:t xml:space="preserve">, which was impacted by a base effect given that some clients in the construction sector saw an increase in risk for indirect exposure in 4Q25. In </w:t>
      </w:r>
      <w:r>
        <w:rPr>
          <w:rFonts w:ascii="Times New Roman" w:cs="Times New Roman" w:eastAsia="Times New Roman" w:hAnsi="Times New Roman"/>
          <w:sz w:val="17"/>
          <w:szCs w:val="17"/>
          <w:b w:val="1"/>
          <w:bCs w:val="1"/>
          <w:color w:val="auto"/>
        </w:rPr>
        <w:t>Retail Banking</w:t>
      </w:r>
      <w:r>
        <w:rPr>
          <w:rFonts w:ascii="Times New Roman" w:cs="Times New Roman" w:eastAsia="Times New Roman" w:hAnsi="Times New Roman"/>
          <w:sz w:val="17"/>
          <w:szCs w:val="17"/>
          <w:color w:val="auto"/>
        </w:rPr>
        <w:t xml:space="preserve">, the decrease in provisions was mainly driven by an uptick in the share of lower-risk vintages in the </w:t>
      </w:r>
      <w:r>
        <w:rPr>
          <w:rFonts w:ascii="Times New Roman" w:cs="Times New Roman" w:eastAsia="Times New Roman" w:hAnsi="Times New Roman"/>
          <w:sz w:val="17"/>
          <w:szCs w:val="17"/>
          <w:b w:val="1"/>
          <w:bCs w:val="1"/>
          <w:color w:val="auto"/>
        </w:rPr>
        <w:t>SME</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Pyme,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Consumer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b w:val="1"/>
          <w:bCs w:val="1"/>
          <w:color w:val="auto"/>
        </w:rPr>
        <w:t xml:space="preserve"> Credit Card </w:t>
      </w:r>
      <w:r>
        <w:rPr>
          <w:rFonts w:ascii="Times New Roman" w:cs="Times New Roman" w:eastAsia="Times New Roman" w:hAnsi="Times New Roman"/>
          <w:sz w:val="17"/>
          <w:szCs w:val="17"/>
          <w:color w:val="auto"/>
        </w:rPr>
        <w:t>segments, where payment performance was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bolstered by macroeconomic improvements. At </w:t>
      </w:r>
      <w:r>
        <w:rPr>
          <w:rFonts w:ascii="Times New Roman" w:cs="Times New Roman" w:eastAsia="Times New Roman" w:hAnsi="Times New Roman"/>
          <w:sz w:val="17"/>
          <w:szCs w:val="17"/>
          <w:b w:val="1"/>
          <w:bCs w:val="1"/>
          <w:color w:val="auto"/>
        </w:rPr>
        <w:t>Mibanco</w:t>
      </w:r>
      <w:r>
        <w:rPr>
          <w:rFonts w:ascii="Times New Roman" w:cs="Times New Roman" w:eastAsia="Times New Roman" w:hAnsi="Times New Roman"/>
          <w:sz w:val="17"/>
          <w:szCs w:val="17"/>
          <w:color w:val="auto"/>
        </w:rPr>
        <w:t>, provisions rose on the back of loan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979170</wp:posOffset>
            </wp:positionV>
            <wp:extent cx="7140575" cy="158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0575" cy="15875"/>
                    </a:xfrm>
                    <a:prstGeom prst="rect">
                      <a:avLst/>
                    </a:prstGeom>
                    <a:noFill/>
                  </pic:spPr>
                </pic:pic>
              </a:graphicData>
            </a:graphic>
          </wp:anchor>
        </w:drawing>
        <w:drawing>
          <wp:anchor simplePos="0" relativeHeight="251657728" behindDoc="1" locked="0" layoutInCell="0" allowOverlap="1">
            <wp:simplePos x="0" y="0"/>
            <wp:positionH relativeFrom="column">
              <wp:posOffset>331470</wp:posOffset>
            </wp:positionH>
            <wp:positionV relativeFrom="paragraph">
              <wp:posOffset>124460</wp:posOffset>
            </wp:positionV>
            <wp:extent cx="6447155" cy="5886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447155" cy="588645"/>
                    </a:xfrm>
                    <a:prstGeom prst="rect">
                      <a:avLst/>
                    </a:prstGeom>
                    <a:noFill/>
                  </pic:spPr>
                </pic:pic>
              </a:graphicData>
            </a:graphic>
          </wp:anchor>
        </w:drawing>
      </w:r>
    </w:p>
    <w:p>
      <w:pPr>
        <w:sectPr>
          <w:pgSz w:w="11900" w:h="16838" w:orient="portrait"/>
          <w:cols w:equalWidth="0" w:num="1">
            <w:col w:w="11220"/>
          </w:cols>
          <w:pgMar w:left="320" w:top="724" w:right="359" w:bottom="1440" w:gutter="0" w:footer="0" w:header="0"/>
        </w:sectPr>
      </w:pPr>
    </w:p>
    <w:bookmarkStart w:id="9" w:name="page10"/>
    <w:bookmarkEnd w:id="9"/>
    <w:p>
      <w:pPr>
        <w:jc w:val="both"/>
        <w:ind w:left="3140"/>
        <w:spacing w:after="0"/>
        <w:tabs>
          <w:tab w:leader="none" w:pos="3380" w:val="left"/>
          <w:tab w:leader="none" w:pos="9060" w:val="left"/>
        </w:tabs>
        <w:rPr>
          <w:sz w:val="20"/>
          <w:szCs w:val="20"/>
          <w:color w:val="auto"/>
        </w:rPr>
      </w:pPr>
      <w:r>
        <w:rPr>
          <w:rFonts w:ascii="Times New Roman" w:cs="Times New Roman" w:eastAsia="Times New Roman" w:hAnsi="Times New Roman"/>
          <w:sz w:val="14"/>
          <w:szCs w:val="14"/>
          <w:b w:val="1"/>
          <w:bCs w:val="1"/>
          <w:color w:val="A6A6A6"/>
        </w:rPr>
        <w:drawing>
          <wp:anchor simplePos="0" relativeHeight="251657728" behindDoc="1" locked="0" layoutInCell="0" allowOverlap="1">
            <wp:simplePos x="0" y="0"/>
            <wp:positionH relativeFrom="page">
              <wp:posOffset>204470</wp:posOffset>
            </wp:positionH>
            <wp:positionV relativeFrom="page">
              <wp:posOffset>217805</wp:posOffset>
            </wp:positionV>
            <wp:extent cx="7140575" cy="6127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0575" cy="612775"/>
                    </a:xfrm>
                    <a:prstGeom prst="rect">
                      <a:avLst/>
                    </a:prstGeom>
                    <a:noFill/>
                  </pic:spPr>
                </pic:pic>
              </a:graphicData>
            </a:graphic>
          </wp:anchor>
        </w:drawing>
        <w:t>|</w:t>
      </w:r>
      <w:r>
        <w:rPr>
          <w:sz w:val="20"/>
          <w:szCs w:val="20"/>
          <w:color w:val="auto"/>
        </w:rPr>
        <w:tab/>
      </w:r>
      <w:r>
        <w:rPr>
          <w:rFonts w:ascii="Times New Roman" w:cs="Times New Roman" w:eastAsia="Times New Roman" w:hAnsi="Times New Roman"/>
          <w:sz w:val="14"/>
          <w:szCs w:val="14"/>
          <w:color w:val="FFFFFF"/>
        </w:rPr>
        <w:t>Earnings Release 1Q / 2026</w:t>
      </w:r>
      <w:r>
        <w:rPr>
          <w:sz w:val="20"/>
          <w:szCs w:val="20"/>
          <w:color w:val="auto"/>
        </w:rPr>
        <w:tab/>
      </w:r>
      <w:r>
        <w:rPr>
          <w:rFonts w:ascii="Times New Roman" w:cs="Times New Roman" w:eastAsia="Times New Roman" w:hAnsi="Times New Roman"/>
          <w:sz w:val="12"/>
          <w:szCs w:val="12"/>
          <w:color w:val="FF00FF"/>
        </w:rPr>
        <w:t>Analysis of 1Q26 Consolidated Results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right="5600"/>
        <w:spacing w:after="0" w:line="254" w:lineRule="auto"/>
        <w:rPr>
          <w:sz w:val="20"/>
          <w:szCs w:val="20"/>
          <w:color w:val="auto"/>
        </w:rPr>
      </w:pPr>
      <w:r>
        <w:rPr>
          <w:rFonts w:ascii="Times New Roman" w:cs="Times New Roman" w:eastAsia="Times New Roman" w:hAnsi="Times New Roman"/>
          <w:sz w:val="17"/>
          <w:szCs w:val="17"/>
          <w:color w:val="auto"/>
        </w:rPr>
        <w:t xml:space="preserve">YoY, provisions fell 17.2%, fueled by </w:t>
      </w:r>
      <w:r>
        <w:rPr>
          <w:rFonts w:ascii="Times New Roman" w:cs="Times New Roman" w:eastAsia="Times New Roman" w:hAnsi="Times New Roman"/>
          <w:sz w:val="17"/>
          <w:szCs w:val="17"/>
          <w:b w:val="1"/>
          <w:bCs w:val="1"/>
          <w:color w:val="auto"/>
        </w:rPr>
        <w:t>BCP Stand-alone</w:t>
      </w:r>
      <w:r>
        <w:rPr>
          <w:rFonts w:ascii="Times New Roman" w:cs="Times New Roman" w:eastAsia="Times New Roman" w:hAnsi="Times New Roman"/>
          <w:sz w:val="17"/>
          <w:szCs w:val="17"/>
          <w:color w:val="auto"/>
        </w:rPr>
        <w:t xml:space="preserve"> and partially offset by </w:t>
      </w:r>
      <w:r>
        <w:rPr>
          <w:rFonts w:ascii="Times New Roman" w:cs="Times New Roman" w:eastAsia="Times New Roman" w:hAnsi="Times New Roman"/>
          <w:sz w:val="17"/>
          <w:szCs w:val="17"/>
          <w:b w:val="1"/>
          <w:bCs w:val="1"/>
          <w:color w:val="auto"/>
        </w:rPr>
        <w:t>Mibanco</w:t>
      </w:r>
      <w:r>
        <w:rPr>
          <w:rFonts w:ascii="Times New Roman" w:cs="Times New Roman" w:eastAsia="Times New Roman" w:hAnsi="Times New Roman"/>
          <w:sz w:val="17"/>
          <w:szCs w:val="17"/>
          <w:color w:val="auto"/>
        </w:rPr>
        <w:t>. At</w:t>
      </w:r>
      <w:r>
        <w:rPr>
          <w:rFonts w:ascii="Times New Roman" w:cs="Times New Roman" w:eastAsia="Times New Roman" w:hAnsi="Times New Roman"/>
          <w:sz w:val="17"/>
          <w:szCs w:val="17"/>
          <w:b w:val="1"/>
          <w:bCs w:val="1"/>
          <w:color w:val="auto"/>
        </w:rPr>
        <w:t xml:space="preserve"> BCP Stand-alone</w:t>
      </w:r>
      <w:r>
        <w:rPr>
          <w:rFonts w:ascii="Times New Roman" w:cs="Times New Roman" w:eastAsia="Times New Roman" w:hAnsi="Times New Roman"/>
          <w:sz w:val="17"/>
          <w:szCs w:val="17"/>
          <w:color w:val="auto"/>
        </w:rPr>
        <w:t>, the drop in provisions was driven by</w:t>
      </w:r>
      <w:r>
        <w:rPr>
          <w:rFonts w:ascii="Times New Roman" w:cs="Times New Roman" w:eastAsia="Times New Roman" w:hAnsi="Times New Roman"/>
          <w:sz w:val="17"/>
          <w:szCs w:val="17"/>
          <w:b w:val="1"/>
          <w:bCs w:val="1"/>
          <w:color w:val="auto"/>
        </w:rPr>
        <w:t xml:space="preserve"> Retail Banking</w:t>
      </w:r>
      <w:r>
        <w:rPr>
          <w:rFonts w:ascii="Times New Roman" w:cs="Times New Roman" w:eastAsia="Times New Roman" w:hAnsi="Times New Roman"/>
          <w:sz w:val="17"/>
          <w:szCs w:val="17"/>
          <w:color w:val="auto"/>
        </w:rPr>
        <w:t>, mainly due to</w:t>
      </w:r>
      <w:r>
        <w:rPr>
          <w:rFonts w:ascii="Times New Roman" w:cs="Times New Roman" w:eastAsia="Times New Roman" w:hAnsi="Times New Roman"/>
          <w:sz w:val="17"/>
          <w:szCs w:val="17"/>
          <w:b w:val="1"/>
          <w:bCs w:val="1"/>
          <w:color w:val="auto"/>
        </w:rPr>
        <w:t xml:space="preserve"> Consumer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b w:val="1"/>
          <w:bCs w:val="1"/>
          <w:color w:val="auto"/>
        </w:rPr>
        <w:t xml:space="preserve"> Credit Cards, </w:t>
      </w:r>
      <w:r>
        <w:rPr>
          <w:rFonts w:ascii="Times New Roman" w:cs="Times New Roman" w:eastAsia="Times New Roman" w:hAnsi="Times New Roman"/>
          <w:sz w:val="17"/>
          <w:szCs w:val="17"/>
          <w:color w:val="auto"/>
        </w:rPr>
        <w:t>which registered 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improvement in payment performance of earlier vintages. </w:t>
      </w:r>
      <w:r>
        <w:rPr>
          <w:rFonts w:ascii="Times New Roman" w:cs="Times New Roman" w:eastAsia="Times New Roman" w:hAnsi="Times New Roman"/>
          <w:sz w:val="17"/>
          <w:szCs w:val="17"/>
          <w:b w:val="1"/>
          <w:bCs w:val="1"/>
          <w:color w:val="auto"/>
        </w:rPr>
        <w:t>Wholesale Banking</w:t>
      </w:r>
      <w:r>
        <w:rPr>
          <w:rFonts w:ascii="Times New Roman" w:cs="Times New Roman" w:eastAsia="Times New Roman" w:hAnsi="Times New Roman"/>
          <w:sz w:val="17"/>
          <w:szCs w:val="17"/>
          <w:color w:val="auto"/>
        </w:rPr>
        <w:t xml:space="preserve"> also contributed to the drop in provisions following an uptick in reversals after a corporate client regularized its refinanced debt and returned to up-to-date status. At </w:t>
      </w:r>
      <w:r>
        <w:rPr>
          <w:rFonts w:ascii="Times New Roman" w:cs="Times New Roman" w:eastAsia="Times New Roman" w:hAnsi="Times New Roman"/>
          <w:sz w:val="17"/>
          <w:szCs w:val="17"/>
          <w:b w:val="1"/>
          <w:bCs w:val="1"/>
          <w:color w:val="auto"/>
        </w:rPr>
        <w:t>Mibanco</w:t>
      </w:r>
      <w:r>
        <w:rPr>
          <w:rFonts w:ascii="Times New Roman" w:cs="Times New Roman" w:eastAsia="Times New Roman" w:hAnsi="Times New Roman"/>
          <w:sz w:val="17"/>
          <w:szCs w:val="17"/>
          <w:color w:val="auto"/>
        </w:rPr>
        <w:t>, growth in provisions was driven by the same factors that drove the QoQ evolution.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4103370</wp:posOffset>
            </wp:positionH>
            <wp:positionV relativeFrom="paragraph">
              <wp:posOffset>-287655</wp:posOffset>
            </wp:positionV>
            <wp:extent cx="2482215" cy="17164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482215" cy="1716405"/>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2AD2C8"/>
        </w:rPr>
        <w:t>Other Income</w:t>
      </w:r>
    </w:p>
    <w:p>
      <w:pPr>
        <w:spacing w:after="0" w:line="211" w:lineRule="exact"/>
        <w:rPr>
          <w:sz w:val="20"/>
          <w:szCs w:val="20"/>
          <w:color w:val="auto"/>
        </w:rPr>
      </w:pPr>
    </w:p>
    <w:p>
      <w:pPr>
        <w:jc w:val="both"/>
        <w:ind w:right="5600"/>
        <w:spacing w:after="0" w:line="254" w:lineRule="auto"/>
        <w:rPr>
          <w:sz w:val="20"/>
          <w:szCs w:val="20"/>
          <w:color w:val="auto"/>
        </w:rPr>
      </w:pPr>
      <w:r>
        <w:rPr>
          <w:rFonts w:ascii="Times New Roman" w:cs="Times New Roman" w:eastAsia="Times New Roman" w:hAnsi="Times New Roman"/>
          <w:sz w:val="17"/>
          <w:szCs w:val="17"/>
          <w:b w:val="1"/>
          <w:bCs w:val="1"/>
          <w:color w:val="auto"/>
        </w:rPr>
        <w:t xml:space="preserve">Other Core Income </w:t>
      </w:r>
      <w:r>
        <w:rPr>
          <w:rFonts w:ascii="Times New Roman" w:cs="Times New Roman" w:eastAsia="Times New Roman" w:hAnsi="Times New Roman"/>
          <w:sz w:val="17"/>
          <w:szCs w:val="17"/>
          <w:color w:val="auto"/>
        </w:rPr>
        <w:t>hit a record high this quarter, growing 3.4% QoQ and 19.5%</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YoY. With these levels, other core income represented 27.7% of Credicorp’s total risk-adjusted income in 1Q26 (28.4% in 4Q25 and 26.5% in 1Q25). The quarter-end improvement reflects consistent execution of strategy to diversify revenue streams and decouple from the macroeconomy as we strengthen our model’s resilience. QoQ and YoY, other core income rose on the back of solid performance in the core business at </w:t>
      </w:r>
      <w:r>
        <w:rPr>
          <w:rFonts w:ascii="Times New Roman" w:cs="Times New Roman" w:eastAsia="Times New Roman" w:hAnsi="Times New Roman"/>
          <w:sz w:val="17"/>
          <w:szCs w:val="17"/>
          <w:b w:val="1"/>
          <w:bCs w:val="1"/>
          <w:color w:val="auto"/>
        </w:rPr>
        <w:t>BCP Stand-alone</w:t>
      </w:r>
      <w:r>
        <w:rPr>
          <w:rFonts w:ascii="Times New Roman" w:cs="Times New Roman" w:eastAsia="Times New Roman" w:hAnsi="Times New Roman"/>
          <w:sz w:val="17"/>
          <w:szCs w:val="17"/>
          <w:color w:val="auto"/>
        </w:rPr>
        <w:t xml:space="preserve"> and an uptick in transactions through </w:t>
      </w:r>
      <w:r>
        <w:rPr>
          <w:rFonts w:ascii="Times New Roman" w:cs="Times New Roman" w:eastAsia="Times New Roman" w:hAnsi="Times New Roman"/>
          <w:sz w:val="17"/>
          <w:szCs w:val="17"/>
          <w:b w:val="1"/>
          <w:bCs w:val="1"/>
          <w:color w:val="auto"/>
        </w:rPr>
        <w:t>Yape</w:t>
      </w:r>
      <w:r>
        <w:rPr>
          <w:rFonts w:ascii="Times New Roman" w:cs="Times New Roman" w:eastAsia="Times New Roman" w:hAnsi="Times New Roman"/>
          <w:sz w:val="17"/>
          <w:szCs w:val="17"/>
          <w:color w:val="auto"/>
        </w:rPr>
        <w:t>.</w:t>
      </w:r>
    </w:p>
    <w:p>
      <w:pPr>
        <w:sectPr>
          <w:pgSz w:w="11900" w:h="16838" w:orient="portrait"/>
          <w:cols w:equalWidth="0" w:num="1">
            <w:col w:w="11220"/>
          </w:cols>
          <w:pgMar w:left="320" w:top="724" w:right="359" w:bottom="1440" w:gutter="0" w:footer="0" w:header="0"/>
        </w:sectPr>
      </w:pP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2AD2C8"/>
        </w:rPr>
        <w:t>Insurance Underwriting and Medical Services Results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ind w:right="1580"/>
        <w:spacing w:after="0"/>
        <w:rPr>
          <w:sz w:val="20"/>
          <w:szCs w:val="20"/>
          <w:color w:val="auto"/>
        </w:rPr>
      </w:pPr>
      <w:r>
        <w:rPr>
          <w:rFonts w:ascii="Times New Roman" w:cs="Times New Roman" w:eastAsia="Times New Roman" w:hAnsi="Times New Roman"/>
          <w:sz w:val="16"/>
          <w:szCs w:val="16"/>
          <w:b w:val="1"/>
          <w:bCs w:val="1"/>
          <w:color w:val="auto"/>
        </w:rPr>
        <w:t>Insurance Underwriting Results*</w:t>
      </w:r>
    </w:p>
    <w:p>
      <w:pPr>
        <w:spacing w:after="0" w:line="39" w:lineRule="exact"/>
        <w:rPr>
          <w:sz w:val="20"/>
          <w:szCs w:val="20"/>
          <w:color w:val="auto"/>
        </w:rPr>
      </w:pPr>
    </w:p>
    <w:p>
      <w:pPr>
        <w:jc w:val="center"/>
        <w:ind w:right="1580"/>
        <w:spacing w:after="0"/>
        <w:rPr>
          <w:sz w:val="20"/>
          <w:szCs w:val="20"/>
          <w:color w:val="auto"/>
        </w:rPr>
      </w:pPr>
      <w:r>
        <w:rPr>
          <w:rFonts w:ascii="Times New Roman" w:cs="Times New Roman" w:eastAsia="Times New Roman" w:hAnsi="Times New Roman"/>
          <w:sz w:val="17"/>
          <w:szCs w:val="17"/>
          <w:b w:val="1"/>
          <w:bCs w:val="1"/>
          <w:color w:val="auto"/>
        </w:rPr>
        <w:t>(S/ millions)</w:t>
      </w:r>
    </w:p>
    <w:p>
      <w:pPr>
        <w:spacing w:after="0" w:line="195" w:lineRule="exact"/>
        <w:rPr>
          <w:sz w:val="20"/>
          <w:szCs w:val="20"/>
          <w:color w:val="auto"/>
        </w:rPr>
      </w:pPr>
    </w:p>
    <w:p>
      <w:pPr>
        <w:sectPr>
          <w:pgSz w:w="11900" w:h="16838" w:orient="portrait"/>
          <w:cols w:equalWidth="0" w:num="2">
            <w:col w:w="6520" w:space="720"/>
            <w:col w:w="3980"/>
          </w:cols>
          <w:pgMar w:left="320" w:top="724" w:right="359" w:bottom="1440" w:gutter="0" w:footer="0" w:header="0"/>
          <w:type w:val="continuous"/>
        </w:sectPr>
      </w:pPr>
    </w:p>
    <w:p>
      <w:pPr>
        <w:jc w:val="both"/>
        <w:ind w:right="5600"/>
        <w:spacing w:after="0" w:line="252" w:lineRule="auto"/>
        <w:rPr>
          <w:sz w:val="20"/>
          <w:szCs w:val="20"/>
          <w:color w:val="auto"/>
        </w:rPr>
      </w:pPr>
      <w:r>
        <w:rPr>
          <w:rFonts w:ascii="Times New Roman" w:cs="Times New Roman" w:eastAsia="Times New Roman" w:hAnsi="Times New Roman"/>
          <w:sz w:val="17"/>
          <w:szCs w:val="17"/>
          <w:color w:val="auto"/>
        </w:rPr>
        <w:t>The Insurance Underwriting Result (IUR) reflected an execution consistent with our strategy, supported by healthy commercial dynamism in retail segments. QoQ, the IUR fell 6.8%, primarily due to (i) P&amp;C, through lower income from Commercial Lines and Cars, and (ii) Corporate Health, through higher claims. YoY, the IUR decreased 9.1%, due to (i) P&amp;C, which registered a decrease in premiums in Commercial Lines and Cars, which fell on the back of exchange rate depreciation, and (ii) Life, which was impacted by an inflation-related increase in expenses —which was offset in the Interest income line. Credit Life, which has become a channel for structural business growth, continued to expand its policy base through bancassurance and retail channels.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3756660</wp:posOffset>
            </wp:positionH>
            <wp:positionV relativeFrom="paragraph">
              <wp:posOffset>-1292225</wp:posOffset>
            </wp:positionV>
            <wp:extent cx="3223895" cy="24098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223895" cy="2409825"/>
                    </a:xfrm>
                    <a:prstGeom prst="rect">
                      <a:avLst/>
                    </a:prstGeom>
                    <a:noFill/>
                  </pic:spPr>
                </pic:pic>
              </a:graphicData>
            </a:graphic>
          </wp:anchor>
        </w:drawing>
      </w:r>
    </w:p>
    <w:p>
      <w:pPr>
        <w:spacing w:after="0" w:line="161" w:lineRule="exact"/>
        <w:rPr>
          <w:sz w:val="20"/>
          <w:szCs w:val="20"/>
          <w:color w:val="auto"/>
        </w:rPr>
      </w:pPr>
    </w:p>
    <w:p>
      <w:pPr>
        <w:jc w:val="both"/>
        <w:ind w:right="5600"/>
        <w:spacing w:after="0" w:line="277" w:lineRule="auto"/>
        <w:rPr>
          <w:sz w:val="20"/>
          <w:szCs w:val="20"/>
          <w:color w:val="auto"/>
        </w:rPr>
      </w:pPr>
      <w:r>
        <w:rPr>
          <w:rFonts w:ascii="Times New Roman" w:cs="Times New Roman" w:eastAsia="Times New Roman" w:hAnsi="Times New Roman"/>
          <w:sz w:val="17"/>
          <w:szCs w:val="17"/>
          <w:color w:val="auto"/>
        </w:rPr>
        <w:t>Medical Services Results continued to advance with operating and commercial discipline.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right"/>
        <w:ind w:right="1180"/>
        <w:spacing w:after="0"/>
        <w:rPr>
          <w:sz w:val="20"/>
          <w:szCs w:val="20"/>
          <w:color w:val="auto"/>
        </w:rPr>
      </w:pPr>
      <w:r>
        <w:rPr>
          <w:rFonts w:ascii="Times New Roman" w:cs="Times New Roman" w:eastAsia="Times New Roman" w:hAnsi="Times New Roman"/>
          <w:sz w:val="12"/>
          <w:szCs w:val="12"/>
          <w:color w:val="auto"/>
        </w:rPr>
        <w:t>*Totals may differ from the sum of the parts due to eliminations in PGA consolidation.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1010285</wp:posOffset>
            </wp:positionV>
            <wp:extent cx="7140575" cy="158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0575" cy="15875"/>
                    </a:xfrm>
                    <a:prstGeom prst="rect">
                      <a:avLst/>
                    </a:prstGeom>
                    <a:noFill/>
                  </pic:spPr>
                </pic:pic>
              </a:graphicData>
            </a:graphic>
          </wp:anchor>
        </w:drawing>
        <w:drawing>
          <wp:anchor simplePos="0" relativeHeight="251657728" behindDoc="1" locked="0" layoutInCell="0" allowOverlap="1">
            <wp:simplePos x="0" y="0"/>
            <wp:positionH relativeFrom="column">
              <wp:posOffset>331470</wp:posOffset>
            </wp:positionH>
            <wp:positionV relativeFrom="paragraph">
              <wp:posOffset>180340</wp:posOffset>
            </wp:positionV>
            <wp:extent cx="6447155" cy="5638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447155" cy="563880"/>
                    </a:xfrm>
                    <a:prstGeom prst="rect">
                      <a:avLst/>
                    </a:prstGeom>
                    <a:noFill/>
                  </pic:spPr>
                </pic:pic>
              </a:graphicData>
            </a:graphic>
          </wp:anchor>
        </w:drawing>
      </w:r>
    </w:p>
    <w:p>
      <w:pPr>
        <w:sectPr>
          <w:pgSz w:w="11900" w:h="16838" w:orient="portrait"/>
          <w:cols w:equalWidth="0" w:num="1">
            <w:col w:w="11220"/>
          </w:cols>
          <w:pgMar w:left="320" w:top="724" w:right="359" w:bottom="1440" w:gutter="0" w:footer="0" w:header="0"/>
          <w:type w:val="continuous"/>
        </w:sectPr>
      </w:pPr>
    </w:p>
    <w:bookmarkStart w:id="10" w:name="page11"/>
    <w:bookmarkEnd w:id="10"/>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2AD2C8"/>
        </w:rPr>
        <w:t>Efficiency</w:t>
      </w:r>
    </w:p>
    <w:p>
      <w:pPr>
        <w:spacing w:after="0" w:line="20" w:lineRule="exact"/>
        <w:rPr>
          <w:sz w:val="20"/>
          <w:szCs w:val="20"/>
          <w:color w:val="auto"/>
        </w:rPr>
      </w:pPr>
      <w:r>
        <w:rPr>
          <w:sz w:val="20"/>
          <w:szCs w:val="20"/>
          <w:color w:val="auto"/>
        </w:rPr>
        <w:br w:type="column"/>
      </w:r>
    </w:p>
    <w:p>
      <w:pPr>
        <w:spacing w:after="0"/>
        <w:tabs>
          <w:tab w:leader="none" w:pos="240" w:val="left"/>
          <w:tab w:leader="none" w:pos="5920" w:val="left"/>
        </w:tabs>
        <w:rPr>
          <w:sz w:val="20"/>
          <w:szCs w:val="20"/>
          <w:color w:val="auto"/>
        </w:rPr>
      </w:pPr>
      <w:r>
        <w:rPr>
          <w:rFonts w:ascii="Times New Roman" w:cs="Times New Roman" w:eastAsia="Times New Roman" w:hAnsi="Times New Roman"/>
          <w:sz w:val="14"/>
          <w:szCs w:val="14"/>
          <w:b w:val="1"/>
          <w:bCs w:val="1"/>
          <w:color w:val="A6A6A6"/>
        </w:rPr>
        <w:t>|</w:t>
      </w:r>
      <w:r>
        <w:rPr>
          <w:sz w:val="20"/>
          <w:szCs w:val="20"/>
          <w:color w:val="auto"/>
        </w:rPr>
        <w:tab/>
      </w:r>
      <w:r>
        <w:rPr>
          <w:rFonts w:ascii="Times New Roman" w:cs="Times New Roman" w:eastAsia="Times New Roman" w:hAnsi="Times New Roman"/>
          <w:sz w:val="14"/>
          <w:szCs w:val="14"/>
          <w:color w:val="FFFFFF"/>
        </w:rPr>
        <w:t>Earnings Release 1Q / 2026</w:t>
      </w:r>
      <w:r>
        <w:rPr>
          <w:sz w:val="20"/>
          <w:szCs w:val="20"/>
          <w:color w:val="auto"/>
        </w:rPr>
        <w:tab/>
      </w:r>
      <w:r>
        <w:rPr>
          <w:rFonts w:ascii="Times New Roman" w:cs="Times New Roman" w:eastAsia="Times New Roman" w:hAnsi="Times New Roman"/>
          <w:sz w:val="12"/>
          <w:szCs w:val="12"/>
          <w:color w:val="FF00FF"/>
        </w:rPr>
        <w:t>Analysis of 1Q26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-1991995</wp:posOffset>
            </wp:positionH>
            <wp:positionV relativeFrom="paragraph">
              <wp:posOffset>-344170</wp:posOffset>
            </wp:positionV>
            <wp:extent cx="7140575" cy="6127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0575" cy="61277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7"/>
          <w:szCs w:val="17"/>
          <w:b w:val="1"/>
          <w:bCs w:val="1"/>
          <w:color w:val="auto"/>
        </w:rPr>
        <w:t>Efficiency ratio</w:t>
      </w:r>
    </w:p>
    <w:p>
      <w:pPr>
        <w:spacing w:after="0" w:line="264" w:lineRule="exact"/>
        <w:rPr>
          <w:sz w:val="20"/>
          <w:szCs w:val="20"/>
          <w:color w:val="auto"/>
        </w:rPr>
      </w:pPr>
    </w:p>
    <w:p>
      <w:pPr>
        <w:sectPr>
          <w:pgSz w:w="11900" w:h="16838" w:orient="portrait"/>
          <w:cols w:equalWidth="0" w:num="2">
            <w:col w:w="2420" w:space="720"/>
            <w:col w:w="8080"/>
          </w:cols>
          <w:pgMar w:left="320" w:top="724" w:right="359" w:bottom="1440" w:gutter="0" w:footer="0" w:header="0"/>
        </w:sectPr>
      </w:pPr>
    </w:p>
    <w:p>
      <w:pPr>
        <w:spacing w:after="0" w:line="27" w:lineRule="exact"/>
        <w:rPr>
          <w:sz w:val="20"/>
          <w:szCs w:val="20"/>
          <w:color w:val="auto"/>
        </w:rPr>
      </w:pPr>
    </w:p>
    <w:p>
      <w:pPr>
        <w:jc w:val="both"/>
        <w:ind w:right="5600"/>
        <w:spacing w:after="0" w:line="253" w:lineRule="auto"/>
        <w:rPr>
          <w:sz w:val="20"/>
          <w:szCs w:val="20"/>
          <w:color w:val="auto"/>
        </w:rPr>
      </w:pPr>
      <w:r>
        <w:rPr>
          <w:rFonts w:ascii="Times New Roman" w:cs="Times New Roman" w:eastAsia="Times New Roman" w:hAnsi="Times New Roman"/>
          <w:sz w:val="17"/>
          <w:szCs w:val="17"/>
          <w:color w:val="auto"/>
        </w:rPr>
        <w:t>Operating expenses increased 13.1% YoY, mainly driven by core businesses of BCP, Mibanco and Pacífico, as well as by initiatives within Credicorp’s innovation portfolio. Expenses in the ordinary businesses increased primarily due to BCP, reflecting higher personnel expenses, associated with increased headcount to support new initiatives aimed at strengthening commercial, technological and transactional capabilities. Expenses related to Credicorp’s innovation portfolio initiatives rose 40.2% YoY, mainly driven by Yape, reflecting higher cloud usage due to increased transaction volumes.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4199890</wp:posOffset>
            </wp:positionH>
            <wp:positionV relativeFrom="paragraph">
              <wp:posOffset>-1035685</wp:posOffset>
            </wp:positionV>
            <wp:extent cx="2280920" cy="11607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280920" cy="1160780"/>
                    </a:xfrm>
                    <a:prstGeom prst="rect">
                      <a:avLst/>
                    </a:prstGeom>
                    <a:noFill/>
                  </pic:spPr>
                </pic:pic>
              </a:graphicData>
            </a:graphic>
          </wp:anchor>
        </w:drawing>
      </w:r>
    </w:p>
    <w:p>
      <w:pPr>
        <w:spacing w:after="0" w:line="159" w:lineRule="exact"/>
        <w:rPr>
          <w:sz w:val="20"/>
          <w:szCs w:val="20"/>
          <w:color w:val="auto"/>
        </w:rPr>
      </w:pPr>
    </w:p>
    <w:p>
      <w:pPr>
        <w:jc w:val="both"/>
        <w:ind w:right="5600"/>
        <w:spacing w:after="0" w:line="255" w:lineRule="auto"/>
        <w:rPr>
          <w:sz w:val="20"/>
          <w:szCs w:val="20"/>
          <w:color w:val="auto"/>
        </w:rPr>
      </w:pPr>
      <w:r>
        <w:rPr>
          <w:rFonts w:ascii="Times New Roman" w:cs="Times New Roman" w:eastAsia="Times New Roman" w:hAnsi="Times New Roman"/>
          <w:sz w:val="17"/>
          <w:szCs w:val="17"/>
          <w:color w:val="auto"/>
        </w:rPr>
        <w:t>Operating Income, in turn, increased 12.9% over the same period. In this context, the Efficiency Ratio stood at 45.8% at the end of 1Q26, in line with guidance for the year.</w:t>
      </w:r>
    </w:p>
    <w:p>
      <w:pPr>
        <w:sectPr>
          <w:pgSz w:w="11900" w:h="16838" w:orient="portrait"/>
          <w:cols w:equalWidth="0" w:num="1">
            <w:col w:w="11220"/>
          </w:cols>
          <w:pgMar w:left="320" w:top="724" w:right="359" w:bottom="1440" w:gutter="0" w:footer="0" w:header="0"/>
          <w:type w:val="continuous"/>
        </w:sectPr>
      </w:pP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2AD2C8"/>
        </w:rPr>
        <w:t>Net income attributable to Credicorp</w:t>
      </w:r>
    </w:p>
    <w:p>
      <w:pPr>
        <w:spacing w:after="0" w:line="20" w:lineRule="exact"/>
        <w:rPr>
          <w:sz w:val="20"/>
          <w:szCs w:val="20"/>
          <w:color w:val="auto"/>
        </w:rPr>
      </w:pPr>
      <w:r>
        <w:rPr>
          <w:sz w:val="20"/>
          <w:szCs w:val="20"/>
          <w:color w:val="auto"/>
        </w:rPr>
        <w:br w:type="column"/>
      </w:r>
    </w:p>
    <w:p>
      <w:pPr>
        <w:jc w:val="center"/>
        <w:ind w:right="2080"/>
        <w:spacing w:after="0"/>
        <w:rPr>
          <w:sz w:val="20"/>
          <w:szCs w:val="20"/>
          <w:color w:val="auto"/>
        </w:rPr>
      </w:pPr>
      <w:r>
        <w:rPr>
          <w:rFonts w:ascii="Times New Roman" w:cs="Times New Roman" w:eastAsia="Times New Roman" w:hAnsi="Times New Roman"/>
          <w:sz w:val="16"/>
          <w:szCs w:val="16"/>
          <w:b w:val="1"/>
          <w:bCs w:val="1"/>
          <w:color w:val="auto"/>
        </w:rPr>
        <w:t>Net Income &amp; ROE</w:t>
      </w:r>
    </w:p>
    <w:p>
      <w:pPr>
        <w:spacing w:after="0" w:line="19" w:lineRule="exact"/>
        <w:rPr>
          <w:sz w:val="20"/>
          <w:szCs w:val="20"/>
          <w:color w:val="auto"/>
        </w:rPr>
      </w:pPr>
    </w:p>
    <w:p>
      <w:pPr>
        <w:jc w:val="center"/>
        <w:ind w:right="2080"/>
        <w:spacing w:after="0"/>
        <w:rPr>
          <w:sz w:val="20"/>
          <w:szCs w:val="20"/>
          <w:color w:val="auto"/>
        </w:rPr>
      </w:pPr>
      <w:r>
        <w:rPr>
          <w:rFonts w:ascii="Times New Roman" w:cs="Times New Roman" w:eastAsia="Times New Roman" w:hAnsi="Times New Roman"/>
          <w:sz w:val="17"/>
          <w:szCs w:val="17"/>
          <w:b w:val="1"/>
          <w:bCs w:val="1"/>
          <w:color w:val="auto"/>
        </w:rPr>
        <w:t>(S/ millions)</w:t>
      </w:r>
    </w:p>
    <w:p>
      <w:pPr>
        <w:spacing w:after="0" w:line="244" w:lineRule="exact"/>
        <w:rPr>
          <w:sz w:val="20"/>
          <w:szCs w:val="20"/>
          <w:color w:val="auto"/>
        </w:rPr>
      </w:pPr>
    </w:p>
    <w:p>
      <w:pPr>
        <w:sectPr>
          <w:pgSz w:w="11900" w:h="16838" w:orient="portrait"/>
          <w:cols w:equalWidth="0" w:num="2">
            <w:col w:w="7000" w:space="720"/>
            <w:col w:w="3500"/>
          </w:cols>
          <w:pgMar w:left="320" w:top="724" w:right="359" w:bottom="1440" w:gutter="0" w:footer="0" w:header="0"/>
          <w:type w:val="continuous"/>
        </w:sectPr>
      </w:pPr>
    </w:p>
    <w:p>
      <w:pPr>
        <w:spacing w:after="0" w:line="27" w:lineRule="exact"/>
        <w:rPr>
          <w:sz w:val="20"/>
          <w:szCs w:val="20"/>
          <w:color w:val="auto"/>
        </w:rPr>
      </w:pPr>
    </w:p>
    <w:p>
      <w:pPr>
        <w:ind w:right="5620"/>
        <w:spacing w:after="0" w:line="258" w:lineRule="auto"/>
        <w:rPr>
          <w:sz w:val="20"/>
          <w:szCs w:val="20"/>
          <w:color w:val="auto"/>
        </w:rPr>
      </w:pPr>
      <w:r>
        <w:rPr>
          <w:rFonts w:ascii="Times New Roman" w:cs="Times New Roman" w:eastAsia="Times New Roman" w:hAnsi="Times New Roman"/>
          <w:sz w:val="17"/>
          <w:szCs w:val="17"/>
          <w:color w:val="auto"/>
        </w:rPr>
        <w:t>In 1Q26, Credicorp reported a record high net attributable income of S/2,063.2 million (+30.0% QoQ and +16.1% YoY), backed by solid results in all our lines of business. Net Shareholders’ Equity stood at S/40,015 million (+4.3% QoQ and +11.6% YoY). In this scenario, ROE stood at 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4159885</wp:posOffset>
            </wp:positionH>
            <wp:positionV relativeFrom="paragraph">
              <wp:posOffset>-522605</wp:posOffset>
            </wp:positionV>
            <wp:extent cx="2418080" cy="1168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418080" cy="1168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2AD2C8"/>
        </w:rPr>
        <w:t>Contributions and ROE by subsidiary in 1Q26</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2AD2C8"/>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549275</wp:posOffset>
            </wp:positionH>
            <wp:positionV relativeFrom="paragraph">
              <wp:posOffset>130175</wp:posOffset>
            </wp:positionV>
            <wp:extent cx="6044565" cy="28047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44565" cy="2804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60" w:hanging="258"/>
        <w:spacing w:after="0"/>
        <w:tabs>
          <w:tab w:leader="none" w:pos="26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BCP Stand-alone, the figure is lower than the net profit since the contribution eliminates investment gains in other subsidiaries of Credicorp (Mibanco).</w:t>
      </w:r>
    </w:p>
    <w:p>
      <w:pPr>
        <w:ind w:left="260" w:hanging="258"/>
        <w:spacing w:after="0" w:line="220" w:lineRule="auto"/>
        <w:tabs>
          <w:tab w:leader="none" w:pos="26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Mibanco, the figure is less than the net profit because Credicorp owns (directly and indirectly) 99.921% of Mibanco.</w:t>
      </w:r>
    </w:p>
    <w:p>
      <w:pPr>
        <w:ind w:left="260" w:hanging="258"/>
        <w:spacing w:after="0"/>
        <w:tabs>
          <w:tab w:leader="none" w:pos="260" w:val="left"/>
        </w:tabs>
        <w:numPr>
          <w:ilvl w:val="0"/>
          <w:numId w:val="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contribution for Grupo Pacifico presented here is greater than the profit of Pacifico Seguros since 100% of Crediseguros is being included (including 48% under Grupo Crédito)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1098550</wp:posOffset>
            </wp:positionV>
            <wp:extent cx="7140575" cy="158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0575" cy="15875"/>
                    </a:xfrm>
                    <a:prstGeom prst="rect">
                      <a:avLst/>
                    </a:prstGeom>
                    <a:noFill/>
                  </pic:spPr>
                </pic:pic>
              </a:graphicData>
            </a:graphic>
          </wp:anchor>
        </w:drawing>
        <w:drawing>
          <wp:anchor simplePos="0" relativeHeight="251657728" behindDoc="1" locked="0" layoutInCell="0" allowOverlap="1">
            <wp:simplePos x="0" y="0"/>
            <wp:positionH relativeFrom="column">
              <wp:posOffset>331470</wp:posOffset>
            </wp:positionH>
            <wp:positionV relativeFrom="paragraph">
              <wp:posOffset>131445</wp:posOffset>
            </wp:positionV>
            <wp:extent cx="6447155" cy="5721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447155" cy="572135"/>
                    </a:xfrm>
                    <a:prstGeom prst="rect">
                      <a:avLst/>
                    </a:prstGeom>
                    <a:noFill/>
                  </pic:spPr>
                </pic:pic>
              </a:graphicData>
            </a:graphic>
          </wp:anchor>
        </w:drawing>
      </w:r>
    </w:p>
    <w:p>
      <w:pPr>
        <w:sectPr>
          <w:pgSz w:w="11900" w:h="16838" w:orient="portrait"/>
          <w:cols w:equalWidth="0" w:num="1">
            <w:col w:w="11220"/>
          </w:cols>
          <w:pgMar w:left="320" w:top="724" w:right="359" w:bottom="144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673"/>
        </w:trPr>
        <w:tc>
          <w:tcPr>
            <w:tcW w:w="3500" w:type="dxa"/>
            <w:vAlign w:val="bottom"/>
            <w:shd w:val="clear" w:color="auto" w:fill="000000"/>
          </w:tcPr>
          <w:p>
            <w:pPr>
              <w:jc w:val="right"/>
              <w:ind w:right="164"/>
              <w:spacing w:after="0"/>
              <w:rPr>
                <w:sz w:val="20"/>
                <w:szCs w:val="20"/>
                <w:color w:val="auto"/>
              </w:rPr>
            </w:pPr>
            <w:r>
              <w:rPr>
                <w:rFonts w:ascii="Times New Roman" w:cs="Times New Roman" w:eastAsia="Times New Roman" w:hAnsi="Times New Roman"/>
                <w:sz w:val="15"/>
                <w:szCs w:val="15"/>
                <w:color w:val="A6A6A6"/>
              </w:rPr>
              <w:t>|</w:t>
            </w:r>
          </w:p>
        </w:tc>
        <w:tc>
          <w:tcPr>
            <w:tcW w:w="4350" w:type="dxa"/>
            <w:vAlign w:val="bottom"/>
            <w:shd w:val="clear" w:color="auto" w:fill="000000"/>
          </w:tcPr>
          <w:p>
            <w:pPr>
              <w:ind w:left="40"/>
              <w:spacing w:after="0"/>
              <w:rPr>
                <w:sz w:val="20"/>
                <w:szCs w:val="20"/>
                <w:color w:val="auto"/>
              </w:rPr>
            </w:pPr>
            <w:r>
              <w:rPr>
                <w:rFonts w:ascii="Times New Roman" w:cs="Times New Roman" w:eastAsia="Times New Roman" w:hAnsi="Times New Roman"/>
                <w:sz w:val="14"/>
                <w:szCs w:val="14"/>
                <w:color w:val="FFFFFF"/>
              </w:rPr>
              <w:t>Earnings Release 1Q / 2026</w:t>
            </w:r>
          </w:p>
        </w:tc>
        <w:tc>
          <w:tcPr>
            <w:tcW w:w="3390" w:type="dxa"/>
            <w:vAlign w:val="bottom"/>
            <w:shd w:val="clear" w:color="auto" w:fill="000000"/>
          </w:tcPr>
          <w:p>
            <w:pPr>
              <w:ind w:left="1210"/>
              <w:spacing w:after="0"/>
              <w:rPr>
                <w:sz w:val="20"/>
                <w:szCs w:val="20"/>
                <w:color w:val="auto"/>
              </w:rPr>
            </w:pPr>
            <w:r>
              <w:rPr>
                <w:rFonts w:ascii="Times New Roman" w:cs="Times New Roman" w:eastAsia="Times New Roman" w:hAnsi="Times New Roman"/>
                <w:sz w:val="14"/>
                <w:szCs w:val="14"/>
                <w:color w:val="FF00FF"/>
                <w:w w:val="97"/>
              </w:rPr>
              <w:t>Analysis of 1Q26 Consolidated Results</w:t>
            </w:r>
          </w:p>
        </w:tc>
      </w:tr>
      <w:tr>
        <w:trPr>
          <w:trHeight w:val="546"/>
        </w:trPr>
        <w:tc>
          <w:tcPr>
            <w:tcW w:w="3500" w:type="dxa"/>
            <w:vAlign w:val="bottom"/>
            <w:shd w:val="clear" w:color="auto" w:fill="000000"/>
          </w:tcPr>
          <w:p>
            <w:pPr>
              <w:spacing w:after="0"/>
              <w:rPr>
                <w:sz w:val="24"/>
                <w:szCs w:val="24"/>
                <w:color w:val="auto"/>
              </w:rPr>
            </w:pPr>
          </w:p>
        </w:tc>
        <w:tc>
          <w:tcPr>
            <w:tcW w:w="4350" w:type="dxa"/>
            <w:vAlign w:val="bottom"/>
            <w:shd w:val="clear" w:color="auto" w:fill="000000"/>
          </w:tcPr>
          <w:p>
            <w:pPr>
              <w:spacing w:after="0"/>
              <w:rPr>
                <w:sz w:val="24"/>
                <w:szCs w:val="24"/>
                <w:color w:val="auto"/>
              </w:rPr>
            </w:pPr>
          </w:p>
        </w:tc>
        <w:tc>
          <w:tcPr>
            <w:tcW w:w="3390" w:type="dxa"/>
            <w:vAlign w:val="bottom"/>
            <w:shd w:val="clear" w:color="auto" w:fill="000000"/>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-555625</wp:posOffset>
            </wp:positionV>
            <wp:extent cx="1861820" cy="3384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861820" cy="3384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128905</wp:posOffset>
            </wp:positionV>
            <wp:extent cx="7140575" cy="4514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0575" cy="451485"/>
                    </a:xfrm>
                    <a:prstGeom prst="rect">
                      <a:avLst/>
                    </a:prstGeom>
                    <a:noFill/>
                  </pic:spPr>
                </pic:pic>
              </a:graphicData>
            </a:graphic>
          </wp:anchor>
        </w:drawing>
      </w:r>
    </w:p>
    <w:p>
      <w:pPr>
        <w:spacing w:after="0" w:line="395" w:lineRule="exact"/>
        <w:rPr>
          <w:sz w:val="20"/>
          <w:szCs w:val="20"/>
          <w:color w:val="auto"/>
        </w:rPr>
      </w:pPr>
    </w:p>
    <w:p>
      <w:pPr>
        <w:ind w:left="1880"/>
        <w:spacing w:after="0"/>
        <w:tabs>
          <w:tab w:leader="none" w:pos="7940" w:val="left"/>
        </w:tabs>
        <w:rPr>
          <w:sz w:val="20"/>
          <w:szCs w:val="20"/>
          <w:color w:val="auto"/>
        </w:rPr>
      </w:pPr>
      <w:r>
        <w:rPr>
          <w:rFonts w:ascii="Times New Roman" w:cs="Times New Roman" w:eastAsia="Times New Roman" w:hAnsi="Times New Roman"/>
          <w:sz w:val="20"/>
          <w:szCs w:val="20"/>
          <w:b w:val="1"/>
          <w:bCs w:val="1"/>
          <w:color w:val="FFFFFF"/>
        </w:rPr>
        <w:t>Universal Banking</w:t>
      </w:r>
      <w:r>
        <w:rPr>
          <w:sz w:val="20"/>
          <w:szCs w:val="20"/>
          <w:color w:val="auto"/>
        </w:rPr>
        <w:tab/>
      </w:r>
      <w:r>
        <w:rPr>
          <w:rFonts w:ascii="Times New Roman" w:cs="Times New Roman" w:eastAsia="Times New Roman" w:hAnsi="Times New Roman"/>
          <w:sz w:val="20"/>
          <w:szCs w:val="20"/>
          <w:b w:val="1"/>
          <w:bCs w:val="1"/>
          <w:color w:val="FFFFFF"/>
        </w:rPr>
        <w:t>Microfinance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257175</wp:posOffset>
            </wp:positionV>
            <wp:extent cx="7145020" cy="1551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5020" cy="1551940"/>
                    </a:xfrm>
                    <a:prstGeom prst="rect">
                      <a:avLst/>
                    </a:prstGeom>
                    <a:noFill/>
                  </pic:spPr>
                </pic:pic>
              </a:graphicData>
            </a:graphic>
          </wp:anchor>
        </w:drawing>
      </w:r>
    </w:p>
    <w:p>
      <w:pPr>
        <w:sectPr>
          <w:pgSz w:w="11900" w:h="16838" w:orient="portrait"/>
          <w:cols w:equalWidth="0" w:num="1">
            <w:col w:w="11240"/>
          </w:cols>
          <w:pgMar w:left="320" w:top="343" w:right="339" w:bottom="1440" w:gutter="0" w:footer="0" w:header="0"/>
        </w:sectPr>
      </w:pPr>
    </w:p>
    <w:p>
      <w:pPr>
        <w:spacing w:after="0" w:line="200" w:lineRule="exact"/>
        <w:rPr>
          <w:sz w:val="20"/>
          <w:szCs w:val="20"/>
          <w:color w:val="auto"/>
        </w:rPr>
      </w:pPr>
    </w:p>
    <w:p>
      <w:pPr>
        <w:spacing w:after="0" w:line="251" w:lineRule="exact"/>
        <w:rPr>
          <w:sz w:val="20"/>
          <w:szCs w:val="20"/>
          <w:color w:val="auto"/>
        </w:rPr>
      </w:pPr>
    </w:p>
    <w:p>
      <w:pPr>
        <w:jc w:val="both"/>
        <w:ind w:left="60"/>
        <w:spacing w:after="0"/>
        <w:rPr>
          <w:sz w:val="20"/>
          <w:szCs w:val="20"/>
          <w:color w:val="auto"/>
        </w:rPr>
      </w:pPr>
      <w:r>
        <w:rPr>
          <w:rFonts w:ascii="Times New Roman" w:cs="Times New Roman" w:eastAsia="Times New Roman" w:hAnsi="Times New Roman"/>
          <w:sz w:val="19"/>
          <w:szCs w:val="19"/>
          <w:color w:val="auto"/>
        </w:rPr>
        <w:t>Profitability at BCP was off to a start this year, bolstered by loan growth under disciplined risk management and on-going diversification in revenue streams. In this context, ROE stood at 30.5%. The Risk-adjusted margin rose, sustained by improvements in client payment performance in a more favorable economic environment; solid transactional funding; and a shift toward a broader base for retail loans. BCP continues to invest in developing technological and business capacities to enable growth, innovation and operating leverage down the 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360045</wp:posOffset>
            </wp:positionV>
            <wp:extent cx="3425190" cy="4514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5190" cy="4514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jc w:val="both"/>
        <w:ind w:right="60"/>
        <w:spacing w:after="0" w:line="238" w:lineRule="auto"/>
        <w:rPr>
          <w:sz w:val="20"/>
          <w:szCs w:val="20"/>
          <w:color w:val="auto"/>
        </w:rPr>
      </w:pPr>
      <w:r>
        <w:rPr>
          <w:rFonts w:ascii="Times New Roman" w:cs="Times New Roman" w:eastAsia="Times New Roman" w:hAnsi="Times New Roman"/>
          <w:sz w:val="18"/>
          <w:szCs w:val="18"/>
          <w:color w:val="auto"/>
        </w:rPr>
        <w:t>Mibanco registered solid performance by leveraging opportunities in a dynamic economic environment and focusing on disciplined strategy execution. Armed with a stronger transactional offering, improvements in productivity, and prudent risk management, the bank outperformed its peers this quarter. Profitability is backed by resilient margins, active pricing management, lower funding costs and on-going improvements in portfolio quality. Mibanco continues to invest in strategic digital transformation projects to modernize its technological infrastructure and elevate the client experience. In Colombia, the business continued to follow an upward trajectory as it leverages consistent commercial and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130175</wp:posOffset>
            </wp:positionV>
            <wp:extent cx="3425190" cy="5962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5190" cy="5962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40" w:space="580"/>
            <w:col w:w="5320"/>
          </w:cols>
          <w:pgMar w:left="320" w:top="343" w:right="339" w:bottom="1440" w:gutter="0" w:footer="0" w:header="0"/>
          <w:type w:val="continuous"/>
        </w:sectPr>
      </w:pPr>
    </w:p>
    <w:p>
      <w:pPr>
        <w:spacing w:after="0" w:line="293"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0"/>
          <w:szCs w:val="20"/>
          <w:b w:val="1"/>
          <w:bCs w:val="1"/>
          <w:color w:val="FFFFFF"/>
        </w:rPr>
        <w:t>Insurance and Pensions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257175</wp:posOffset>
            </wp:positionV>
            <wp:extent cx="3429635" cy="9880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635" cy="98806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jc w:val="both"/>
        <w:ind w:left="60"/>
        <w:spacing w:after="0"/>
        <w:rPr>
          <w:sz w:val="20"/>
          <w:szCs w:val="20"/>
          <w:color w:val="auto"/>
        </w:rPr>
      </w:pPr>
      <w:r>
        <w:rPr>
          <w:rFonts w:ascii="Times New Roman" w:cs="Times New Roman" w:eastAsia="Times New Roman" w:hAnsi="Times New Roman"/>
          <w:sz w:val="18"/>
          <w:szCs w:val="18"/>
          <w:color w:val="auto"/>
        </w:rPr>
        <w:t>Grupo Pacifico’s performance was solid, backed by healthy commercial dynamics and consistent strategy execution. The Life Business was a strong driver of commercial activity, registering growth in bancassurance channels and optional policies in retail segments, while registering an uptick in investment results. The P&amp;C, business reflected a decrease in premiums in the corporate segment. In parallel, Medical Services continue to advance with operating and commercial discipline</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0"/>
          <w:szCs w:val="20"/>
          <w:b w:val="1"/>
          <w:bCs w:val="1"/>
          <w:color w:val="FFFFFF"/>
        </w:rPr>
        <w:t>Investment Management and</w:t>
      </w:r>
    </w:p>
    <w:p>
      <w:pPr>
        <w:spacing w:after="0" w:line="2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0"/>
          <w:szCs w:val="20"/>
          <w:b w:val="1"/>
          <w:bCs w:val="1"/>
          <w:color w:val="FFFFFF"/>
        </w:rPr>
        <w:t>Advisory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240665</wp:posOffset>
            </wp:positionV>
            <wp:extent cx="3429635" cy="12458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635" cy="124587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jc w:val="both"/>
        <w:ind w:right="60"/>
        <w:spacing w:after="0"/>
        <w:rPr>
          <w:sz w:val="20"/>
          <w:szCs w:val="20"/>
          <w:color w:val="auto"/>
        </w:rPr>
      </w:pPr>
      <w:r>
        <w:rPr>
          <w:rFonts w:ascii="Times New Roman" w:cs="Times New Roman" w:eastAsia="Times New Roman" w:hAnsi="Times New Roman"/>
          <w:sz w:val="19"/>
          <w:szCs w:val="19"/>
          <w:color w:val="auto"/>
        </w:rPr>
        <w:t>Investment maintained profitability, Management and Advisory healthy levels of operating which was supported by solid results in core businesses. Strong commercial dynamics in the Capital Markets and Asset and Wealth Management, which were sustained by an increase in market activity, drove growth in income and in AUMs. These trends partially offset higher operating expenses associated with comparative base effects, reflecting a resilient performance of the business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168910</wp:posOffset>
            </wp:positionV>
            <wp:extent cx="7145020" cy="10013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5020" cy="10013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40" w:space="580"/>
            <w:col w:w="5320"/>
          </w:cols>
          <w:pgMar w:left="320" w:top="343" w:right="339" w:bottom="1440" w:gutter="0" w:footer="0" w:header="0"/>
          <w:type w:val="continuous"/>
        </w:sect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FFFFFF"/>
        </w:rPr>
        <w:t>Outlook</w:t>
      </w:r>
    </w:p>
    <w:p>
      <w:pPr>
        <w:spacing w:after="0" w:line="200" w:lineRule="exact"/>
        <w:rPr>
          <w:sz w:val="20"/>
          <w:szCs w:val="20"/>
          <w:color w:val="auto"/>
        </w:rPr>
      </w:pPr>
    </w:p>
    <w:p>
      <w:pPr>
        <w:spacing w:after="0" w:line="238" w:lineRule="exact"/>
        <w:rPr>
          <w:sz w:val="20"/>
          <w:szCs w:val="20"/>
          <w:color w:val="auto"/>
        </w:rPr>
      </w:pPr>
    </w:p>
    <w:p>
      <w:pPr>
        <w:jc w:val="center"/>
        <w:ind w:left="200" w:right="180"/>
        <w:spacing w:after="0" w:line="262" w:lineRule="auto"/>
        <w:rPr>
          <w:sz w:val="20"/>
          <w:szCs w:val="20"/>
          <w:color w:val="auto"/>
        </w:rPr>
      </w:pPr>
      <w:r>
        <w:rPr>
          <w:rFonts w:ascii="Times New Roman" w:cs="Times New Roman" w:eastAsia="Times New Roman" w:hAnsi="Times New Roman"/>
          <w:sz w:val="19"/>
          <w:szCs w:val="19"/>
          <w:color w:val="auto"/>
        </w:rPr>
        <w:t>We expect to close 2026 with an ROE around 19.5%. We believe this result will be driven by: (i) an acceleration in the pace of growth of our loan portfolio, particularly in the retail segment, (ii) an increase in our NIM, and (iii) a controlled cost of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975360</wp:posOffset>
            </wp:positionV>
            <wp:extent cx="7140575" cy="158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0575" cy="15875"/>
                    </a:xfrm>
                    <a:prstGeom prst="rect">
                      <a:avLst/>
                    </a:prstGeom>
                    <a:noFill/>
                  </pic:spPr>
                </pic:pic>
              </a:graphicData>
            </a:graphic>
          </wp:anchor>
        </w:drawing>
        <w:drawing>
          <wp:anchor simplePos="0" relativeHeight="251657728" behindDoc="1" locked="0" layoutInCell="0" allowOverlap="1">
            <wp:simplePos x="0" y="0"/>
            <wp:positionH relativeFrom="column">
              <wp:posOffset>331470</wp:posOffset>
            </wp:positionH>
            <wp:positionV relativeFrom="paragraph">
              <wp:posOffset>274320</wp:posOffset>
            </wp:positionV>
            <wp:extent cx="6447155" cy="5638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447155" cy="563880"/>
                    </a:xfrm>
                    <a:prstGeom prst="rect">
                      <a:avLst/>
                    </a:prstGeom>
                    <a:noFill/>
                  </pic:spPr>
                </pic:pic>
              </a:graphicData>
            </a:graphic>
          </wp:anchor>
        </w:drawing>
      </w:r>
    </w:p>
    <w:p>
      <w:pPr>
        <w:sectPr>
          <w:pgSz w:w="11900" w:h="16838" w:orient="portrait"/>
          <w:cols w:equalWidth="0" w:num="1">
            <w:col w:w="11240"/>
          </w:cols>
          <w:pgMar w:left="320" w:top="343" w:right="339" w:bottom="1440" w:gutter="0" w:footer="0" w:header="0"/>
          <w:type w:val="continuous"/>
        </w:sectPr>
      </w:pPr>
    </w:p>
    <w:bookmarkStart w:id="12" w:name="page13"/>
    <w:bookmarkEnd w:id="12"/>
    <w:p>
      <w:pPr>
        <w:ind w:left="3218"/>
        <w:spacing w:after="0"/>
        <w:tabs>
          <w:tab w:leader="none" w:pos="3518" w:val="left"/>
          <w:tab w:leader="none" w:pos="9038" w:val="left"/>
        </w:tabs>
        <w:rPr>
          <w:sz w:val="20"/>
          <w:szCs w:val="20"/>
          <w:color w:val="auto"/>
        </w:rPr>
      </w:pPr>
      <w:r>
        <w:rPr>
          <w:rFonts w:ascii="Times New Roman" w:cs="Times New Roman" w:eastAsia="Times New Roman" w:hAnsi="Times New Roman"/>
          <w:sz w:val="15"/>
          <w:szCs w:val="15"/>
          <w:color w:val="A6A6A6"/>
        </w:rPr>
        <w:drawing>
          <wp:anchor simplePos="0" relativeHeight="251657728" behindDoc="1" locked="0" layoutInCell="0" allowOverlap="1">
            <wp:simplePos x="0" y="0"/>
            <wp:positionH relativeFrom="page">
              <wp:posOffset>204470</wp:posOffset>
            </wp:positionH>
            <wp:positionV relativeFrom="page">
              <wp:posOffset>88900</wp:posOffset>
            </wp:positionV>
            <wp:extent cx="7140575" cy="7734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0575" cy="773430"/>
                    </a:xfrm>
                    <a:prstGeom prst="rect">
                      <a:avLst/>
                    </a:prstGeom>
                    <a:noFill/>
                  </pic:spPr>
                </pic:pic>
              </a:graphicData>
            </a:graphic>
          </wp:anchor>
        </w:drawing>
        <w:t>|</w:t>
      </w:r>
      <w:r>
        <w:rPr>
          <w:sz w:val="20"/>
          <w:szCs w:val="20"/>
          <w:color w:val="auto"/>
        </w:rPr>
        <w:tab/>
      </w:r>
      <w:r>
        <w:rPr>
          <w:rFonts w:ascii="Times New Roman" w:cs="Times New Roman" w:eastAsia="Times New Roman" w:hAnsi="Times New Roman"/>
          <w:sz w:val="14"/>
          <w:szCs w:val="14"/>
          <w:color w:val="FFFFFF"/>
        </w:rPr>
        <w:t>Earnings Release 1Q / 2026</w:t>
      </w:r>
      <w:r>
        <w:rPr>
          <w:sz w:val="20"/>
          <w:szCs w:val="20"/>
          <w:color w:val="auto"/>
        </w:rPr>
        <w:tab/>
      </w:r>
      <w:r>
        <w:rPr>
          <w:rFonts w:ascii="Times New Roman" w:cs="Times New Roman" w:eastAsia="Times New Roman" w:hAnsi="Times New Roman"/>
          <w:sz w:val="12"/>
          <w:szCs w:val="12"/>
          <w:color w:val="FF00FF"/>
        </w:rPr>
        <w:t>Analysis of 1Q26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349250</wp:posOffset>
            </wp:positionV>
            <wp:extent cx="7140575" cy="2012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0575" cy="20129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58"/>
        <w:spacing w:after="0"/>
        <w:rPr>
          <w:sz w:val="20"/>
          <w:szCs w:val="20"/>
          <w:color w:val="auto"/>
        </w:rPr>
      </w:pPr>
      <w:r>
        <w:rPr>
          <w:rFonts w:ascii="Times New Roman" w:cs="Times New Roman" w:eastAsia="Times New Roman" w:hAnsi="Times New Roman"/>
          <w:sz w:val="19"/>
          <w:szCs w:val="19"/>
          <w:b w:val="1"/>
          <w:bCs w:val="1"/>
          <w:color w:val="FFFFFF"/>
        </w:rPr>
        <w:t>Financial Overview</w:t>
      </w:r>
    </w:p>
    <w:p>
      <w:pPr>
        <w:spacing w:after="0" w:line="256" w:lineRule="exact"/>
        <w:rPr>
          <w:sz w:val="20"/>
          <w:szCs w:val="20"/>
          <w:color w:val="auto"/>
        </w:rPr>
      </w:pPr>
    </w:p>
    <w:tbl>
      <w:tblPr>
        <w:tblLayout w:type="fixed"/>
        <w:tblInd w:w="1148" w:type="dxa"/>
        <w:tblCellMar>
          <w:top w:w="0" w:type="dxa"/>
          <w:left w:w="0" w:type="dxa"/>
          <w:bottom w:w="0" w:type="dxa"/>
          <w:right w:w="0" w:type="dxa"/>
        </w:tblCellMar>
      </w:tblPr>
      <w:tr>
        <w:trPr>
          <w:trHeight w:val="122"/>
        </w:trPr>
        <w:tc>
          <w:tcPr>
            <w:tcW w:w="3380" w:type="dxa"/>
            <w:vAlign w:val="bottom"/>
            <w:tcBorders>
              <w:top w:val="single" w:sz="8" w:color="auto"/>
              <w:left w:val="single" w:sz="8" w:color="auto"/>
              <w:right w:val="single" w:sz="8" w:color="auto"/>
            </w:tcBorders>
            <w:shd w:val="clear" w:color="auto" w:fill="2AD2C9"/>
          </w:tcPr>
          <w:p>
            <w:pPr>
              <w:ind w:left="40"/>
              <w:spacing w:after="0" w:line="122" w:lineRule="exact"/>
              <w:rPr>
                <w:sz w:val="20"/>
                <w:szCs w:val="20"/>
                <w:color w:val="auto"/>
              </w:rPr>
            </w:pPr>
            <w:r>
              <w:rPr>
                <w:rFonts w:ascii="Times New Roman" w:cs="Times New Roman" w:eastAsia="Times New Roman" w:hAnsi="Times New Roman"/>
                <w:sz w:val="12"/>
                <w:szCs w:val="12"/>
                <w:b w:val="1"/>
                <w:bCs w:val="1"/>
                <w:color w:val="FFFFFF"/>
              </w:rPr>
              <w:t>Credicorp Ltd.</w:t>
            </w:r>
          </w:p>
        </w:tc>
        <w:tc>
          <w:tcPr>
            <w:tcW w:w="1100" w:type="dxa"/>
            <w:vAlign w:val="bottom"/>
            <w:tcBorders>
              <w:top w:val="single" w:sz="8" w:color="auto"/>
            </w:tcBorders>
            <w:shd w:val="clear" w:color="auto" w:fill="2AD2C9"/>
          </w:tcPr>
          <w:p>
            <w:pPr>
              <w:spacing w:after="0"/>
              <w:rPr>
                <w:sz w:val="10"/>
                <w:szCs w:val="10"/>
                <w:color w:val="auto"/>
              </w:rPr>
            </w:pPr>
          </w:p>
        </w:tc>
        <w:tc>
          <w:tcPr>
            <w:tcW w:w="1120" w:type="dxa"/>
            <w:vAlign w:val="bottom"/>
            <w:tcBorders>
              <w:top w:val="single" w:sz="8" w:color="auto"/>
            </w:tcBorders>
            <w:shd w:val="clear" w:color="auto" w:fill="2AD2C9"/>
          </w:tcPr>
          <w:p>
            <w:pPr>
              <w:ind w:left="360"/>
              <w:spacing w:after="0" w:line="122" w:lineRule="exact"/>
              <w:rPr>
                <w:sz w:val="20"/>
                <w:szCs w:val="20"/>
                <w:color w:val="auto"/>
              </w:rPr>
            </w:pPr>
            <w:r>
              <w:rPr>
                <w:rFonts w:ascii="Times New Roman" w:cs="Times New Roman" w:eastAsia="Times New Roman" w:hAnsi="Times New Roman"/>
                <w:sz w:val="12"/>
                <w:szCs w:val="12"/>
                <w:b w:val="1"/>
                <w:bCs w:val="1"/>
                <w:color w:val="FFFFFF"/>
              </w:rPr>
              <w:t>Quarter</w:t>
            </w:r>
          </w:p>
        </w:tc>
        <w:tc>
          <w:tcPr>
            <w:tcW w:w="1140" w:type="dxa"/>
            <w:vAlign w:val="bottom"/>
            <w:tcBorders>
              <w:top w:val="single" w:sz="8" w:color="auto"/>
              <w:right w:val="single" w:sz="8" w:color="auto"/>
            </w:tcBorders>
            <w:shd w:val="clear" w:color="auto" w:fill="2AD2C9"/>
          </w:tcPr>
          <w:p>
            <w:pPr>
              <w:spacing w:after="0"/>
              <w:rPr>
                <w:sz w:val="10"/>
                <w:szCs w:val="10"/>
                <w:color w:val="auto"/>
              </w:rPr>
            </w:pPr>
          </w:p>
        </w:tc>
        <w:tc>
          <w:tcPr>
            <w:tcW w:w="800" w:type="dxa"/>
            <w:vAlign w:val="bottom"/>
            <w:tcBorders>
              <w:top w:val="single" w:sz="8" w:color="auto"/>
            </w:tcBorders>
            <w:shd w:val="clear" w:color="auto" w:fill="2AD2C9"/>
          </w:tcPr>
          <w:p>
            <w:pPr>
              <w:spacing w:after="0"/>
              <w:rPr>
                <w:sz w:val="10"/>
                <w:szCs w:val="10"/>
                <w:color w:val="auto"/>
              </w:rPr>
            </w:pPr>
          </w:p>
        </w:tc>
        <w:tc>
          <w:tcPr>
            <w:tcW w:w="1440" w:type="dxa"/>
            <w:vAlign w:val="bottom"/>
            <w:tcBorders>
              <w:top w:val="single" w:sz="8" w:color="auto"/>
              <w:right w:val="single" w:sz="8" w:color="auto"/>
            </w:tcBorders>
            <w:shd w:val="clear" w:color="auto" w:fill="2AD2C9"/>
          </w:tcPr>
          <w:p>
            <w:pPr>
              <w:ind w:left="60"/>
              <w:spacing w:after="0" w:line="122" w:lineRule="exact"/>
              <w:rPr>
                <w:sz w:val="20"/>
                <w:szCs w:val="20"/>
                <w:color w:val="auto"/>
              </w:rPr>
            </w:pPr>
            <w:r>
              <w:rPr>
                <w:rFonts w:ascii="Times New Roman" w:cs="Times New Roman" w:eastAsia="Times New Roman" w:hAnsi="Times New Roman"/>
                <w:sz w:val="12"/>
                <w:szCs w:val="12"/>
                <w:b w:val="1"/>
                <w:bCs w:val="1"/>
                <w:color w:val="FFFFFF"/>
              </w:rPr>
              <w:t>% change</w:t>
            </w:r>
          </w:p>
        </w:tc>
        <w:tc>
          <w:tcPr>
            <w:tcW w:w="0" w:type="dxa"/>
            <w:vAlign w:val="bottom"/>
          </w:tcPr>
          <w:p>
            <w:pPr>
              <w:spacing w:after="0"/>
              <w:rPr>
                <w:sz w:val="1"/>
                <w:szCs w:val="1"/>
                <w:color w:val="auto"/>
              </w:rPr>
            </w:pPr>
          </w:p>
        </w:tc>
      </w:tr>
      <w:tr>
        <w:trPr>
          <w:trHeight w:val="145"/>
        </w:trPr>
        <w:tc>
          <w:tcPr>
            <w:tcW w:w="3380" w:type="dxa"/>
            <w:vAlign w:val="bottom"/>
            <w:tcBorders>
              <w:left w:val="single" w:sz="8" w:color="auto"/>
              <w:bottom w:val="single" w:sz="8" w:color="auto"/>
              <w:right w:val="single" w:sz="8" w:color="auto"/>
            </w:tcBorders>
            <w:shd w:val="clear" w:color="auto" w:fill="2AD2C9"/>
          </w:tcPr>
          <w:p>
            <w:pPr>
              <w:ind w:left="40"/>
              <w:spacing w:after="0"/>
              <w:rPr>
                <w:sz w:val="20"/>
                <w:szCs w:val="20"/>
                <w:color w:val="auto"/>
              </w:rPr>
            </w:pPr>
            <w:r>
              <w:rPr>
                <w:rFonts w:ascii="Times New Roman" w:cs="Times New Roman" w:eastAsia="Times New Roman" w:hAnsi="Times New Roman"/>
                <w:sz w:val="12"/>
                <w:szCs w:val="12"/>
                <w:b w:val="1"/>
                <w:bCs w:val="1"/>
                <w:color w:val="FFFFFF"/>
              </w:rPr>
              <w:t>S/ 000</w:t>
            </w:r>
          </w:p>
        </w:tc>
        <w:tc>
          <w:tcPr>
            <w:tcW w:w="1100" w:type="dxa"/>
            <w:vAlign w:val="bottom"/>
            <w:tcBorders>
              <w:bottom w:val="single" w:sz="8" w:color="auto"/>
            </w:tcBorders>
            <w:shd w:val="clear" w:color="auto" w:fill="2AD2C9"/>
          </w:tcPr>
          <w:p>
            <w:pPr>
              <w:jc w:val="center"/>
              <w:spacing w:after="0"/>
              <w:rPr>
                <w:sz w:val="20"/>
                <w:szCs w:val="20"/>
                <w:color w:val="auto"/>
              </w:rPr>
            </w:pPr>
            <w:r>
              <w:rPr>
                <w:rFonts w:ascii="Times New Roman" w:cs="Times New Roman" w:eastAsia="Times New Roman" w:hAnsi="Times New Roman"/>
                <w:sz w:val="12"/>
                <w:szCs w:val="12"/>
                <w:b w:val="1"/>
                <w:bCs w:val="1"/>
                <w:color w:val="FFFFFF"/>
                <w:w w:val="94"/>
              </w:rPr>
              <w:t>1Q25</w:t>
            </w:r>
          </w:p>
        </w:tc>
        <w:tc>
          <w:tcPr>
            <w:tcW w:w="1120" w:type="dxa"/>
            <w:vAlign w:val="bottom"/>
            <w:tcBorders>
              <w:bottom w:val="single" w:sz="8" w:color="auto"/>
            </w:tcBorders>
            <w:shd w:val="clear" w:color="auto" w:fill="2AD2C9"/>
          </w:tcPr>
          <w:p>
            <w:pPr>
              <w:jc w:val="center"/>
              <w:spacing w:after="0"/>
              <w:rPr>
                <w:sz w:val="20"/>
                <w:szCs w:val="20"/>
                <w:color w:val="auto"/>
              </w:rPr>
            </w:pPr>
            <w:r>
              <w:rPr>
                <w:rFonts w:ascii="Times New Roman" w:cs="Times New Roman" w:eastAsia="Times New Roman" w:hAnsi="Times New Roman"/>
                <w:sz w:val="12"/>
                <w:szCs w:val="12"/>
                <w:b w:val="1"/>
                <w:bCs w:val="1"/>
                <w:color w:val="FFFFFF"/>
              </w:rPr>
              <w:t>4Q25</w:t>
            </w:r>
          </w:p>
        </w:tc>
        <w:tc>
          <w:tcPr>
            <w:tcW w:w="114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Times New Roman" w:cs="Times New Roman" w:eastAsia="Times New Roman" w:hAnsi="Times New Roman"/>
                <w:sz w:val="12"/>
                <w:szCs w:val="12"/>
                <w:b w:val="1"/>
                <w:bCs w:val="1"/>
                <w:color w:val="FFFFFF"/>
              </w:rPr>
              <w:t>1Q26</w:t>
            </w:r>
          </w:p>
        </w:tc>
        <w:tc>
          <w:tcPr>
            <w:tcW w:w="800" w:type="dxa"/>
            <w:vAlign w:val="bottom"/>
            <w:tcBorders>
              <w:bottom w:val="single" w:sz="8" w:color="auto"/>
            </w:tcBorders>
            <w:shd w:val="clear" w:color="auto" w:fill="2AD2C9"/>
          </w:tcPr>
          <w:p>
            <w:pPr>
              <w:jc w:val="center"/>
              <w:ind w:left="221"/>
              <w:spacing w:after="0"/>
              <w:rPr>
                <w:sz w:val="20"/>
                <w:szCs w:val="20"/>
                <w:color w:val="auto"/>
              </w:rPr>
            </w:pPr>
            <w:r>
              <w:rPr>
                <w:rFonts w:ascii="Times New Roman" w:cs="Times New Roman" w:eastAsia="Times New Roman" w:hAnsi="Times New Roman"/>
                <w:sz w:val="12"/>
                <w:szCs w:val="12"/>
                <w:b w:val="1"/>
                <w:bCs w:val="1"/>
                <w:color w:val="FFFFFF"/>
                <w:w w:val="97"/>
              </w:rPr>
              <w:t>QoQ</w:t>
            </w:r>
          </w:p>
        </w:tc>
        <w:tc>
          <w:tcPr>
            <w:tcW w:w="1440" w:type="dxa"/>
            <w:vAlign w:val="bottom"/>
            <w:tcBorders>
              <w:bottom w:val="single" w:sz="8" w:color="auto"/>
              <w:right w:val="single" w:sz="8" w:color="auto"/>
            </w:tcBorders>
            <w:shd w:val="clear" w:color="auto" w:fill="2AD2C9"/>
          </w:tcPr>
          <w:p>
            <w:pPr>
              <w:jc w:val="center"/>
              <w:ind w:left="221"/>
              <w:spacing w:after="0"/>
              <w:rPr>
                <w:sz w:val="20"/>
                <w:szCs w:val="20"/>
                <w:color w:val="auto"/>
              </w:rPr>
            </w:pPr>
            <w:r>
              <w:rPr>
                <w:rFonts w:ascii="Times New Roman" w:cs="Times New Roman" w:eastAsia="Times New Roman" w:hAnsi="Times New Roman"/>
                <w:sz w:val="12"/>
                <w:szCs w:val="12"/>
                <w:b w:val="1"/>
                <w:bCs w:val="1"/>
                <w:color w:val="FFFFFF"/>
                <w:w w:val="85"/>
              </w:rPr>
              <w:t>YoY</w:t>
            </w:r>
          </w:p>
        </w:tc>
        <w:tc>
          <w:tcPr>
            <w:tcW w:w="0" w:type="dxa"/>
            <w:vAlign w:val="bottom"/>
          </w:tcPr>
          <w:p>
            <w:pPr>
              <w:spacing w:after="0"/>
              <w:rPr>
                <w:sz w:val="1"/>
                <w:szCs w:val="1"/>
                <w:color w:val="auto"/>
              </w:rPr>
            </w:pPr>
          </w:p>
        </w:tc>
      </w:tr>
      <w:tr>
        <w:trPr>
          <w:trHeight w:val="104"/>
        </w:trPr>
        <w:tc>
          <w:tcPr>
            <w:tcW w:w="3380" w:type="dxa"/>
            <w:vAlign w:val="bottom"/>
            <w:tcBorders>
              <w:left w:val="single" w:sz="8" w:color="auto"/>
              <w:right w:val="single" w:sz="8" w:color="auto"/>
            </w:tcBorders>
          </w:tcPr>
          <w:p>
            <w:pPr>
              <w:ind w:left="40"/>
              <w:spacing w:after="0" w:line="104" w:lineRule="exact"/>
              <w:rPr>
                <w:sz w:val="20"/>
                <w:szCs w:val="20"/>
                <w:color w:val="auto"/>
              </w:rPr>
            </w:pPr>
            <w:r>
              <w:rPr>
                <w:rFonts w:ascii="Times New Roman" w:cs="Times New Roman" w:eastAsia="Times New Roman" w:hAnsi="Times New Roman"/>
                <w:sz w:val="12"/>
                <w:szCs w:val="12"/>
                <w:color w:val="auto"/>
              </w:rPr>
              <w:t>Net interest, similar income and expenses</w:t>
            </w:r>
          </w:p>
        </w:tc>
        <w:tc>
          <w:tcPr>
            <w:tcW w:w="1100" w:type="dxa"/>
            <w:vAlign w:val="bottom"/>
          </w:tcPr>
          <w:p>
            <w:pPr>
              <w:jc w:val="center"/>
              <w:spacing w:after="0" w:line="104" w:lineRule="exact"/>
              <w:rPr>
                <w:sz w:val="20"/>
                <w:szCs w:val="20"/>
                <w:color w:val="auto"/>
              </w:rPr>
            </w:pPr>
            <w:r>
              <w:rPr>
                <w:rFonts w:ascii="Times New Roman" w:cs="Times New Roman" w:eastAsia="Times New Roman" w:hAnsi="Times New Roman"/>
                <w:sz w:val="12"/>
                <w:szCs w:val="12"/>
                <w:color w:val="auto"/>
                <w:w w:val="95"/>
              </w:rPr>
              <w:t>3,572,012</w:t>
            </w:r>
          </w:p>
        </w:tc>
        <w:tc>
          <w:tcPr>
            <w:tcW w:w="1120" w:type="dxa"/>
            <w:vAlign w:val="bottom"/>
          </w:tcPr>
          <w:p>
            <w:pPr>
              <w:jc w:val="center"/>
              <w:spacing w:after="0" w:line="104" w:lineRule="exact"/>
              <w:rPr>
                <w:sz w:val="20"/>
                <w:szCs w:val="20"/>
                <w:color w:val="auto"/>
              </w:rPr>
            </w:pPr>
            <w:r>
              <w:rPr>
                <w:rFonts w:ascii="Times New Roman" w:cs="Times New Roman" w:eastAsia="Times New Roman" w:hAnsi="Times New Roman"/>
                <w:sz w:val="12"/>
                <w:szCs w:val="12"/>
                <w:color w:val="auto"/>
                <w:w w:val="99"/>
              </w:rPr>
              <w:t>3,841,267</w:t>
            </w:r>
          </w:p>
        </w:tc>
        <w:tc>
          <w:tcPr>
            <w:tcW w:w="1140" w:type="dxa"/>
            <w:vAlign w:val="bottom"/>
            <w:tcBorders>
              <w:right w:val="single" w:sz="8" w:color="auto"/>
            </w:tcBorders>
          </w:tcPr>
          <w:p>
            <w:pPr>
              <w:jc w:val="center"/>
              <w:spacing w:after="0" w:line="104" w:lineRule="exact"/>
              <w:rPr>
                <w:sz w:val="20"/>
                <w:szCs w:val="20"/>
                <w:color w:val="auto"/>
              </w:rPr>
            </w:pPr>
            <w:r>
              <w:rPr>
                <w:rFonts w:ascii="Times New Roman" w:cs="Times New Roman" w:eastAsia="Times New Roman" w:hAnsi="Times New Roman"/>
                <w:sz w:val="12"/>
                <w:szCs w:val="12"/>
                <w:color w:val="auto"/>
                <w:w w:val="99"/>
              </w:rPr>
              <w:t>3,962,727</w:t>
            </w:r>
          </w:p>
        </w:tc>
        <w:tc>
          <w:tcPr>
            <w:tcW w:w="800" w:type="dxa"/>
            <w:vAlign w:val="bottom"/>
          </w:tcPr>
          <w:p>
            <w:pPr>
              <w:jc w:val="center"/>
              <w:ind w:left="221"/>
              <w:spacing w:after="0" w:line="104" w:lineRule="exact"/>
              <w:rPr>
                <w:sz w:val="20"/>
                <w:szCs w:val="20"/>
                <w:color w:val="auto"/>
              </w:rPr>
            </w:pPr>
            <w:r>
              <w:rPr>
                <w:rFonts w:ascii="Times New Roman" w:cs="Times New Roman" w:eastAsia="Times New Roman" w:hAnsi="Times New Roman"/>
                <w:sz w:val="12"/>
                <w:szCs w:val="12"/>
                <w:color w:val="auto"/>
                <w:w w:val="95"/>
              </w:rPr>
              <w:t>3.2%</w:t>
            </w:r>
          </w:p>
        </w:tc>
        <w:tc>
          <w:tcPr>
            <w:tcW w:w="1440" w:type="dxa"/>
            <w:vAlign w:val="bottom"/>
            <w:tcBorders>
              <w:right w:val="single" w:sz="8" w:color="auto"/>
            </w:tcBorders>
          </w:tcPr>
          <w:p>
            <w:pPr>
              <w:jc w:val="center"/>
              <w:ind w:left="221"/>
              <w:spacing w:after="0" w:line="104" w:lineRule="exact"/>
              <w:rPr>
                <w:sz w:val="20"/>
                <w:szCs w:val="20"/>
                <w:color w:val="auto"/>
              </w:rPr>
            </w:pPr>
            <w:r>
              <w:rPr>
                <w:rFonts w:ascii="Times New Roman" w:cs="Times New Roman" w:eastAsia="Times New Roman" w:hAnsi="Times New Roman"/>
                <w:sz w:val="12"/>
                <w:szCs w:val="12"/>
                <w:color w:val="auto"/>
              </w:rPr>
              <w:t>10.9%</w:t>
            </w:r>
          </w:p>
        </w:tc>
        <w:tc>
          <w:tcPr>
            <w:tcW w:w="0" w:type="dxa"/>
            <w:vAlign w:val="bottom"/>
          </w:tcPr>
          <w:p>
            <w:pPr>
              <w:spacing w:after="0"/>
              <w:rPr>
                <w:sz w:val="1"/>
                <w:szCs w:val="1"/>
                <w:color w:val="auto"/>
              </w:rPr>
            </w:pPr>
          </w:p>
        </w:tc>
      </w:tr>
      <w:tr>
        <w:trPr>
          <w:trHeight w:val="125"/>
        </w:trPr>
        <w:tc>
          <w:tcPr>
            <w:tcW w:w="3380" w:type="dxa"/>
            <w:vAlign w:val="bottom"/>
            <w:tcBorders>
              <w:left w:val="single" w:sz="8" w:color="auto"/>
              <w:right w:val="single" w:sz="8" w:color="auto"/>
            </w:tcBorders>
          </w:tcPr>
          <w:p>
            <w:pPr>
              <w:ind w:left="40"/>
              <w:spacing w:after="0" w:line="125" w:lineRule="exact"/>
              <w:rPr>
                <w:sz w:val="20"/>
                <w:szCs w:val="20"/>
                <w:color w:val="auto"/>
              </w:rPr>
            </w:pPr>
            <w:r>
              <w:rPr>
                <w:rFonts w:ascii="Times New Roman" w:cs="Times New Roman" w:eastAsia="Times New Roman" w:hAnsi="Times New Roman"/>
                <w:sz w:val="12"/>
                <w:szCs w:val="12"/>
                <w:color w:val="auto"/>
              </w:rPr>
              <w:t>Provision for credit losses on loan portfolio, net of recoveries</w:t>
            </w:r>
          </w:p>
        </w:tc>
        <w:tc>
          <w:tcPr>
            <w:tcW w:w="110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auto"/>
                <w:w w:val="97"/>
              </w:rPr>
              <w:t>(581,893)</w:t>
            </w:r>
          </w:p>
        </w:tc>
        <w:tc>
          <w:tcPr>
            <w:tcW w:w="112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auto"/>
                <w:w w:val="97"/>
              </w:rPr>
              <w:t>(646,286)</w:t>
            </w:r>
          </w:p>
        </w:tc>
        <w:tc>
          <w:tcPr>
            <w:tcW w:w="1140" w:type="dxa"/>
            <w:vAlign w:val="bottom"/>
            <w:tcBorders>
              <w:right w:val="single" w:sz="8" w:color="auto"/>
            </w:tcBorders>
          </w:tcPr>
          <w:p>
            <w:pPr>
              <w:jc w:val="center"/>
              <w:spacing w:after="0" w:line="125" w:lineRule="exact"/>
              <w:rPr>
                <w:sz w:val="20"/>
                <w:szCs w:val="20"/>
                <w:color w:val="auto"/>
              </w:rPr>
            </w:pPr>
            <w:r>
              <w:rPr>
                <w:rFonts w:ascii="Times New Roman" w:cs="Times New Roman" w:eastAsia="Times New Roman" w:hAnsi="Times New Roman"/>
                <w:sz w:val="12"/>
                <w:szCs w:val="12"/>
                <w:color w:val="auto"/>
              </w:rPr>
              <w:t>(482,088)</w:t>
            </w:r>
          </w:p>
        </w:tc>
        <w:tc>
          <w:tcPr>
            <w:tcW w:w="800" w:type="dxa"/>
            <w:vAlign w:val="bottom"/>
          </w:tcPr>
          <w:p>
            <w:pPr>
              <w:jc w:val="center"/>
              <w:ind w:left="241"/>
              <w:spacing w:after="0" w:line="125" w:lineRule="exact"/>
              <w:rPr>
                <w:sz w:val="20"/>
                <w:szCs w:val="20"/>
                <w:color w:val="auto"/>
              </w:rPr>
            </w:pPr>
            <w:r>
              <w:rPr>
                <w:rFonts w:ascii="Times New Roman" w:cs="Times New Roman" w:eastAsia="Times New Roman" w:hAnsi="Times New Roman"/>
                <w:sz w:val="12"/>
                <w:szCs w:val="12"/>
                <w:color w:val="auto"/>
                <w:w w:val="97"/>
              </w:rPr>
              <w:t>-25.4%</w:t>
            </w:r>
          </w:p>
        </w:tc>
        <w:tc>
          <w:tcPr>
            <w:tcW w:w="1440" w:type="dxa"/>
            <w:vAlign w:val="bottom"/>
            <w:tcBorders>
              <w:right w:val="single" w:sz="8" w:color="auto"/>
            </w:tcBorders>
          </w:tcPr>
          <w:p>
            <w:pPr>
              <w:jc w:val="center"/>
              <w:ind w:left="221"/>
              <w:spacing w:after="0" w:line="125" w:lineRule="exact"/>
              <w:rPr>
                <w:sz w:val="20"/>
                <w:szCs w:val="20"/>
                <w:color w:val="auto"/>
              </w:rPr>
            </w:pPr>
            <w:r>
              <w:rPr>
                <w:rFonts w:ascii="Times New Roman" w:cs="Times New Roman" w:eastAsia="Times New Roman" w:hAnsi="Times New Roman"/>
                <w:sz w:val="12"/>
                <w:szCs w:val="12"/>
                <w:color w:val="auto"/>
              </w:rPr>
              <w:t>-17.2%</w:t>
            </w:r>
          </w:p>
        </w:tc>
        <w:tc>
          <w:tcPr>
            <w:tcW w:w="0" w:type="dxa"/>
            <w:vAlign w:val="bottom"/>
          </w:tcPr>
          <w:p>
            <w:pPr>
              <w:spacing w:after="0"/>
              <w:rPr>
                <w:sz w:val="1"/>
                <w:szCs w:val="1"/>
                <w:color w:val="auto"/>
              </w:rPr>
            </w:pPr>
          </w:p>
        </w:tc>
      </w:tr>
      <w:tr>
        <w:trPr>
          <w:trHeight w:val="127"/>
        </w:trPr>
        <w:tc>
          <w:tcPr>
            <w:tcW w:w="3380" w:type="dxa"/>
            <w:vAlign w:val="bottom"/>
            <w:tcBorders>
              <w:left w:val="single" w:sz="8" w:color="auto"/>
              <w:right w:val="single" w:sz="8" w:color="auto"/>
            </w:tcBorders>
          </w:tcPr>
          <w:p>
            <w:pPr>
              <w:ind w:left="40"/>
              <w:spacing w:after="0" w:line="127" w:lineRule="exact"/>
              <w:rPr>
                <w:sz w:val="20"/>
                <w:szCs w:val="20"/>
                <w:color w:val="auto"/>
              </w:rPr>
            </w:pPr>
            <w:r>
              <w:rPr>
                <w:rFonts w:ascii="Times New Roman" w:cs="Times New Roman" w:eastAsia="Times New Roman" w:hAnsi="Times New Roman"/>
                <w:sz w:val="12"/>
                <w:szCs w:val="12"/>
                <w:b w:val="1"/>
                <w:bCs w:val="1"/>
                <w:color w:val="auto"/>
              </w:rPr>
              <w:t>Net interest, similar income and expenses, after provision for</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2,990,119</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3,194,981</w:t>
            </w: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3,480,639</w:t>
            </w:r>
          </w:p>
        </w:tc>
        <w:tc>
          <w:tcPr>
            <w:tcW w:w="800" w:type="dxa"/>
            <w:vAlign w:val="bottom"/>
            <w:vMerge w:val="restart"/>
          </w:tcPr>
          <w:p>
            <w:pPr>
              <w:jc w:val="center"/>
              <w:ind w:left="221"/>
              <w:spacing w:after="0"/>
              <w:rPr>
                <w:sz w:val="20"/>
                <w:szCs w:val="20"/>
                <w:color w:val="auto"/>
              </w:rPr>
            </w:pPr>
            <w:r>
              <w:rPr>
                <w:rFonts w:ascii="Times New Roman" w:cs="Times New Roman" w:eastAsia="Times New Roman" w:hAnsi="Times New Roman"/>
                <w:sz w:val="12"/>
                <w:szCs w:val="12"/>
                <w:b w:val="1"/>
                <w:bCs w:val="1"/>
                <w:color w:val="auto"/>
              </w:rPr>
              <w:t>8.9%</w:t>
            </w:r>
          </w:p>
        </w:tc>
        <w:tc>
          <w:tcPr>
            <w:tcW w:w="1440" w:type="dxa"/>
            <w:vAlign w:val="bottom"/>
            <w:tcBorders>
              <w:right w:val="single" w:sz="8" w:color="auto"/>
            </w:tcBorders>
            <w:vMerge w:val="restart"/>
          </w:tcPr>
          <w:p>
            <w:pPr>
              <w:jc w:val="center"/>
              <w:ind w:left="221"/>
              <w:spacing w:after="0"/>
              <w:rPr>
                <w:sz w:val="20"/>
                <w:szCs w:val="20"/>
                <w:color w:val="auto"/>
              </w:rPr>
            </w:pPr>
            <w:r>
              <w:rPr>
                <w:rFonts w:ascii="Times New Roman" w:cs="Times New Roman" w:eastAsia="Times New Roman" w:hAnsi="Times New Roman"/>
                <w:sz w:val="12"/>
                <w:szCs w:val="12"/>
                <w:b w:val="1"/>
                <w:bCs w:val="1"/>
                <w:color w:val="auto"/>
                <w:w w:val="96"/>
              </w:rPr>
              <w:t>16.4%</w:t>
            </w:r>
          </w:p>
        </w:tc>
        <w:tc>
          <w:tcPr>
            <w:tcW w:w="0" w:type="dxa"/>
            <w:vAlign w:val="bottom"/>
          </w:tcPr>
          <w:p>
            <w:pPr>
              <w:spacing w:after="0"/>
              <w:rPr>
                <w:sz w:val="1"/>
                <w:szCs w:val="1"/>
                <w:color w:val="auto"/>
              </w:rPr>
            </w:pPr>
          </w:p>
        </w:tc>
      </w:tr>
      <w:tr>
        <w:trPr>
          <w:trHeight w:val="92"/>
        </w:trPr>
        <w:tc>
          <w:tcPr>
            <w:tcW w:w="3380" w:type="dxa"/>
            <w:vAlign w:val="bottom"/>
            <w:tcBorders>
              <w:left w:val="single" w:sz="8" w:color="auto"/>
              <w:right w:val="single" w:sz="8" w:color="auto"/>
            </w:tcBorders>
            <w:vMerge w:val="restart"/>
          </w:tcPr>
          <w:p>
            <w:pPr>
              <w:ind w:left="40"/>
              <w:spacing w:after="0" w:line="129" w:lineRule="exact"/>
              <w:rPr>
                <w:sz w:val="20"/>
                <w:szCs w:val="20"/>
                <w:color w:val="auto"/>
              </w:rPr>
            </w:pPr>
            <w:r>
              <w:rPr>
                <w:rFonts w:ascii="Times New Roman" w:cs="Times New Roman" w:eastAsia="Times New Roman" w:hAnsi="Times New Roman"/>
                <w:sz w:val="12"/>
                <w:szCs w:val="12"/>
                <w:b w:val="1"/>
                <w:bCs w:val="1"/>
                <w:color w:val="auto"/>
              </w:rPr>
              <w:t>credit losses on loan portfolio</w:t>
            </w:r>
          </w:p>
        </w:tc>
        <w:tc>
          <w:tcPr>
            <w:tcW w:w="1100" w:type="dxa"/>
            <w:vAlign w:val="bottom"/>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14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7"/>
        </w:trPr>
        <w:tc>
          <w:tcPr>
            <w:tcW w:w="3380" w:type="dxa"/>
            <w:vAlign w:val="bottom"/>
            <w:tcBorders>
              <w:left w:val="single" w:sz="8" w:color="auto"/>
              <w:right w:val="single" w:sz="8" w:color="auto"/>
            </w:tcBorders>
            <w:vMerge w:val="continue"/>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40" w:type="dxa"/>
            <w:vAlign w:val="bottom"/>
            <w:tcBorders>
              <w:right w:val="single" w:sz="8" w:color="auto"/>
            </w:tcBorders>
          </w:tcPr>
          <w:p>
            <w:pPr>
              <w:spacing w:after="0"/>
              <w:rPr>
                <w:sz w:val="3"/>
                <w:szCs w:val="3"/>
                <w:color w:val="auto"/>
              </w:rPr>
            </w:pPr>
          </w:p>
        </w:tc>
        <w:tc>
          <w:tcPr>
            <w:tcW w:w="800" w:type="dxa"/>
            <w:vAlign w:val="bottom"/>
          </w:tcPr>
          <w:p>
            <w:pPr>
              <w:spacing w:after="0"/>
              <w:rPr>
                <w:sz w:val="3"/>
                <w:szCs w:val="3"/>
                <w:color w:val="auto"/>
              </w:rPr>
            </w:pPr>
          </w:p>
        </w:tc>
        <w:tc>
          <w:tcPr>
            <w:tcW w:w="144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3380" w:type="dxa"/>
            <w:vAlign w:val="bottom"/>
            <w:tcBorders>
              <w:left w:val="single" w:sz="8" w:color="auto"/>
              <w:right w:val="single" w:sz="8" w:color="auto"/>
            </w:tcBorders>
          </w:tcPr>
          <w:p>
            <w:pPr>
              <w:ind w:left="40"/>
              <w:spacing w:after="0" w:line="127" w:lineRule="exact"/>
              <w:rPr>
                <w:sz w:val="20"/>
                <w:szCs w:val="20"/>
                <w:color w:val="auto"/>
              </w:rPr>
            </w:pPr>
            <w:r>
              <w:rPr>
                <w:rFonts w:ascii="Times New Roman" w:cs="Times New Roman" w:eastAsia="Times New Roman" w:hAnsi="Times New Roman"/>
                <w:sz w:val="12"/>
                <w:szCs w:val="12"/>
                <w:color w:val="auto"/>
              </w:rPr>
              <w:t>Other income</w:t>
            </w:r>
          </w:p>
        </w:tc>
        <w:tc>
          <w:tcPr>
            <w:tcW w:w="110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5"/>
              </w:rPr>
              <w:t>1,690,216</w:t>
            </w:r>
          </w:p>
        </w:tc>
        <w:tc>
          <w:tcPr>
            <w:tcW w:w="112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9"/>
              </w:rPr>
              <w:t>1,799,499</w:t>
            </w:r>
          </w:p>
        </w:tc>
        <w:tc>
          <w:tcPr>
            <w:tcW w:w="1140" w:type="dxa"/>
            <w:vAlign w:val="bottom"/>
            <w:tcBorders>
              <w:right w:val="single" w:sz="8" w:color="auto"/>
            </w:tcBorders>
          </w:tcPr>
          <w:p>
            <w:pPr>
              <w:jc w:val="center"/>
              <w:spacing w:after="0" w:line="127" w:lineRule="exact"/>
              <w:rPr>
                <w:sz w:val="20"/>
                <w:szCs w:val="20"/>
                <w:color w:val="auto"/>
              </w:rPr>
            </w:pPr>
            <w:r>
              <w:rPr>
                <w:rFonts w:ascii="Times New Roman" w:cs="Times New Roman" w:eastAsia="Times New Roman" w:hAnsi="Times New Roman"/>
                <w:sz w:val="12"/>
                <w:szCs w:val="12"/>
                <w:color w:val="auto"/>
                <w:w w:val="99"/>
              </w:rPr>
              <w:t>1,856,324</w:t>
            </w:r>
          </w:p>
        </w:tc>
        <w:tc>
          <w:tcPr>
            <w:tcW w:w="800" w:type="dxa"/>
            <w:vAlign w:val="bottom"/>
          </w:tcPr>
          <w:p>
            <w:pPr>
              <w:jc w:val="center"/>
              <w:ind w:left="221"/>
              <w:spacing w:after="0" w:line="127" w:lineRule="exact"/>
              <w:rPr>
                <w:sz w:val="20"/>
                <w:szCs w:val="20"/>
                <w:color w:val="auto"/>
              </w:rPr>
            </w:pPr>
            <w:r>
              <w:rPr>
                <w:rFonts w:ascii="Times New Roman" w:cs="Times New Roman" w:eastAsia="Times New Roman" w:hAnsi="Times New Roman"/>
                <w:sz w:val="12"/>
                <w:szCs w:val="12"/>
                <w:color w:val="auto"/>
                <w:w w:val="95"/>
              </w:rPr>
              <w:t>3.2%</w:t>
            </w:r>
          </w:p>
        </w:tc>
        <w:tc>
          <w:tcPr>
            <w:tcW w:w="1440" w:type="dxa"/>
            <w:vAlign w:val="bottom"/>
            <w:tcBorders>
              <w:right w:val="single" w:sz="8" w:color="auto"/>
            </w:tcBorders>
          </w:tcPr>
          <w:p>
            <w:pPr>
              <w:jc w:val="center"/>
              <w:ind w:left="221"/>
              <w:spacing w:after="0" w:line="127" w:lineRule="exact"/>
              <w:rPr>
                <w:sz w:val="20"/>
                <w:szCs w:val="20"/>
                <w:color w:val="auto"/>
              </w:rPr>
            </w:pPr>
            <w:r>
              <w:rPr>
                <w:rFonts w:ascii="Times New Roman" w:cs="Times New Roman" w:eastAsia="Times New Roman" w:hAnsi="Times New Roman"/>
                <w:sz w:val="12"/>
                <w:szCs w:val="12"/>
                <w:color w:val="auto"/>
                <w:w w:val="95"/>
              </w:rPr>
              <w:t>9.8%</w:t>
            </w:r>
          </w:p>
        </w:tc>
        <w:tc>
          <w:tcPr>
            <w:tcW w:w="0" w:type="dxa"/>
            <w:vAlign w:val="bottom"/>
          </w:tcPr>
          <w:p>
            <w:pPr>
              <w:spacing w:after="0"/>
              <w:rPr>
                <w:sz w:val="1"/>
                <w:szCs w:val="1"/>
                <w:color w:val="auto"/>
              </w:rPr>
            </w:pPr>
          </w:p>
        </w:tc>
      </w:tr>
      <w:tr>
        <w:trPr>
          <w:trHeight w:val="127"/>
        </w:trPr>
        <w:tc>
          <w:tcPr>
            <w:tcW w:w="3380" w:type="dxa"/>
            <w:vAlign w:val="bottom"/>
            <w:tcBorders>
              <w:left w:val="single" w:sz="8" w:color="auto"/>
              <w:right w:val="single" w:sz="8" w:color="auto"/>
            </w:tcBorders>
          </w:tcPr>
          <w:p>
            <w:pPr>
              <w:ind w:left="40"/>
              <w:spacing w:after="0" w:line="127" w:lineRule="exact"/>
              <w:rPr>
                <w:sz w:val="20"/>
                <w:szCs w:val="20"/>
                <w:color w:val="auto"/>
              </w:rPr>
            </w:pPr>
            <w:r>
              <w:rPr>
                <w:rFonts w:ascii="Times New Roman" w:cs="Times New Roman" w:eastAsia="Times New Roman" w:hAnsi="Times New Roman"/>
                <w:sz w:val="12"/>
                <w:szCs w:val="12"/>
                <w:color w:val="auto"/>
              </w:rPr>
              <w:t>Insurance underwriting result</w:t>
            </w:r>
          </w:p>
        </w:tc>
        <w:tc>
          <w:tcPr>
            <w:tcW w:w="110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7"/>
              </w:rPr>
              <w:t>329,134</w:t>
            </w:r>
          </w:p>
        </w:tc>
        <w:tc>
          <w:tcPr>
            <w:tcW w:w="112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7"/>
              </w:rPr>
              <w:t>320,843</w:t>
            </w:r>
          </w:p>
        </w:tc>
        <w:tc>
          <w:tcPr>
            <w:tcW w:w="1140" w:type="dxa"/>
            <w:vAlign w:val="bottom"/>
            <w:tcBorders>
              <w:right w:val="single" w:sz="8" w:color="auto"/>
            </w:tcBorders>
          </w:tcPr>
          <w:p>
            <w:pPr>
              <w:jc w:val="center"/>
              <w:spacing w:after="0" w:line="127" w:lineRule="exact"/>
              <w:rPr>
                <w:sz w:val="20"/>
                <w:szCs w:val="20"/>
                <w:color w:val="auto"/>
              </w:rPr>
            </w:pPr>
            <w:r>
              <w:rPr>
                <w:rFonts w:ascii="Times New Roman" w:cs="Times New Roman" w:eastAsia="Times New Roman" w:hAnsi="Times New Roman"/>
                <w:sz w:val="12"/>
                <w:szCs w:val="12"/>
                <w:color w:val="auto"/>
              </w:rPr>
              <w:t>299,063</w:t>
            </w:r>
          </w:p>
        </w:tc>
        <w:tc>
          <w:tcPr>
            <w:tcW w:w="800" w:type="dxa"/>
            <w:vAlign w:val="bottom"/>
          </w:tcPr>
          <w:p>
            <w:pPr>
              <w:jc w:val="center"/>
              <w:ind w:left="221"/>
              <w:spacing w:after="0" w:line="127" w:lineRule="exact"/>
              <w:rPr>
                <w:sz w:val="20"/>
                <w:szCs w:val="20"/>
                <w:color w:val="auto"/>
              </w:rPr>
            </w:pPr>
            <w:r>
              <w:rPr>
                <w:rFonts w:ascii="Times New Roman" w:cs="Times New Roman" w:eastAsia="Times New Roman" w:hAnsi="Times New Roman"/>
                <w:sz w:val="12"/>
                <w:szCs w:val="12"/>
                <w:color w:val="auto"/>
                <w:w w:val="96"/>
              </w:rPr>
              <w:t>-6.8%</w:t>
            </w:r>
          </w:p>
        </w:tc>
        <w:tc>
          <w:tcPr>
            <w:tcW w:w="1440" w:type="dxa"/>
            <w:vAlign w:val="bottom"/>
            <w:tcBorders>
              <w:right w:val="single" w:sz="8" w:color="auto"/>
            </w:tcBorders>
          </w:tcPr>
          <w:p>
            <w:pPr>
              <w:jc w:val="center"/>
              <w:ind w:left="221"/>
              <w:spacing w:after="0" w:line="127" w:lineRule="exact"/>
              <w:rPr>
                <w:sz w:val="20"/>
                <w:szCs w:val="20"/>
                <w:color w:val="auto"/>
              </w:rPr>
            </w:pPr>
            <w:r>
              <w:rPr>
                <w:rFonts w:ascii="Times New Roman" w:cs="Times New Roman" w:eastAsia="Times New Roman" w:hAnsi="Times New Roman"/>
                <w:sz w:val="12"/>
                <w:szCs w:val="12"/>
                <w:color w:val="auto"/>
                <w:w w:val="96"/>
              </w:rPr>
              <w:t>-9.1%</w:t>
            </w:r>
          </w:p>
        </w:tc>
        <w:tc>
          <w:tcPr>
            <w:tcW w:w="0" w:type="dxa"/>
            <w:vAlign w:val="bottom"/>
          </w:tcPr>
          <w:p>
            <w:pPr>
              <w:spacing w:after="0"/>
              <w:rPr>
                <w:sz w:val="1"/>
                <w:szCs w:val="1"/>
                <w:color w:val="auto"/>
              </w:rPr>
            </w:pPr>
          </w:p>
        </w:tc>
      </w:tr>
      <w:tr>
        <w:trPr>
          <w:trHeight w:val="127"/>
        </w:trPr>
        <w:tc>
          <w:tcPr>
            <w:tcW w:w="3380" w:type="dxa"/>
            <w:vAlign w:val="bottom"/>
            <w:tcBorders>
              <w:left w:val="single" w:sz="8" w:color="auto"/>
              <w:right w:val="single" w:sz="8" w:color="auto"/>
            </w:tcBorders>
          </w:tcPr>
          <w:p>
            <w:pPr>
              <w:ind w:left="40"/>
              <w:spacing w:after="0" w:line="127" w:lineRule="exact"/>
              <w:rPr>
                <w:sz w:val="20"/>
                <w:szCs w:val="20"/>
                <w:color w:val="auto"/>
              </w:rPr>
            </w:pPr>
            <w:r>
              <w:rPr>
                <w:rFonts w:ascii="Times New Roman" w:cs="Times New Roman" w:eastAsia="Times New Roman" w:hAnsi="Times New Roman"/>
                <w:sz w:val="12"/>
                <w:szCs w:val="12"/>
                <w:color w:val="auto"/>
              </w:rPr>
              <w:t>Medical services result</w:t>
            </w:r>
          </w:p>
        </w:tc>
        <w:tc>
          <w:tcPr>
            <w:tcW w:w="1100" w:type="dxa"/>
            <w:vAlign w:val="bottom"/>
          </w:tcPr>
          <w:p>
            <w:pPr>
              <w:ind w:left="320"/>
              <w:spacing w:after="0" w:line="127" w:lineRule="exact"/>
              <w:rPr>
                <w:sz w:val="20"/>
                <w:szCs w:val="20"/>
                <w:color w:val="auto"/>
              </w:rPr>
            </w:pPr>
            <w:r>
              <w:rPr>
                <w:rFonts w:ascii="Times New Roman" w:cs="Times New Roman" w:eastAsia="Times New Roman" w:hAnsi="Times New Roman"/>
                <w:sz w:val="12"/>
                <w:szCs w:val="12"/>
                <w:color w:val="auto"/>
              </w:rPr>
              <w:t>42,689 pp</w:t>
            </w:r>
          </w:p>
        </w:tc>
        <w:tc>
          <w:tcPr>
            <w:tcW w:w="112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7"/>
              </w:rPr>
              <w:t>124,673</w:t>
            </w:r>
          </w:p>
        </w:tc>
        <w:tc>
          <w:tcPr>
            <w:tcW w:w="1140" w:type="dxa"/>
            <w:vAlign w:val="bottom"/>
            <w:tcBorders>
              <w:right w:val="single" w:sz="8" w:color="auto"/>
            </w:tcBorders>
          </w:tcPr>
          <w:p>
            <w:pPr>
              <w:jc w:val="center"/>
              <w:spacing w:after="0" w:line="127" w:lineRule="exact"/>
              <w:rPr>
                <w:sz w:val="20"/>
                <w:szCs w:val="20"/>
                <w:color w:val="auto"/>
              </w:rPr>
            </w:pPr>
            <w:r>
              <w:rPr>
                <w:rFonts w:ascii="Times New Roman" w:cs="Times New Roman" w:eastAsia="Times New Roman" w:hAnsi="Times New Roman"/>
                <w:sz w:val="12"/>
                <w:szCs w:val="12"/>
                <w:color w:val="auto"/>
              </w:rPr>
              <w:t>123,838</w:t>
            </w:r>
          </w:p>
        </w:tc>
        <w:tc>
          <w:tcPr>
            <w:tcW w:w="800" w:type="dxa"/>
            <w:vAlign w:val="bottom"/>
          </w:tcPr>
          <w:p>
            <w:pPr>
              <w:jc w:val="center"/>
              <w:ind w:left="221"/>
              <w:spacing w:after="0" w:line="127" w:lineRule="exact"/>
              <w:rPr>
                <w:sz w:val="20"/>
                <w:szCs w:val="20"/>
                <w:color w:val="auto"/>
              </w:rPr>
            </w:pPr>
            <w:r>
              <w:rPr>
                <w:rFonts w:ascii="Times New Roman" w:cs="Times New Roman" w:eastAsia="Times New Roman" w:hAnsi="Times New Roman"/>
                <w:sz w:val="12"/>
                <w:szCs w:val="12"/>
                <w:color w:val="auto"/>
                <w:w w:val="96"/>
              </w:rPr>
              <w:t>-0.7%</w:t>
            </w:r>
          </w:p>
        </w:tc>
        <w:tc>
          <w:tcPr>
            <w:tcW w:w="1440" w:type="dxa"/>
            <w:vAlign w:val="bottom"/>
            <w:tcBorders>
              <w:right w:val="single" w:sz="8" w:color="auto"/>
            </w:tcBorders>
          </w:tcPr>
          <w:p>
            <w:pPr>
              <w:jc w:val="center"/>
              <w:ind w:left="221"/>
              <w:spacing w:after="0" w:line="127" w:lineRule="exact"/>
              <w:rPr>
                <w:sz w:val="20"/>
                <w:szCs w:val="20"/>
                <w:color w:val="auto"/>
              </w:rPr>
            </w:pPr>
            <w:r>
              <w:rPr>
                <w:rFonts w:ascii="Times New Roman" w:cs="Times New Roman" w:eastAsia="Times New Roman" w:hAnsi="Times New Roman"/>
                <w:sz w:val="12"/>
                <w:szCs w:val="12"/>
                <w:color w:val="auto"/>
                <w:w w:val="97"/>
              </w:rPr>
              <w:t>190.1%</w:t>
            </w:r>
          </w:p>
        </w:tc>
        <w:tc>
          <w:tcPr>
            <w:tcW w:w="0" w:type="dxa"/>
            <w:vAlign w:val="bottom"/>
          </w:tcPr>
          <w:p>
            <w:pPr>
              <w:spacing w:after="0"/>
              <w:rPr>
                <w:sz w:val="1"/>
                <w:szCs w:val="1"/>
                <w:color w:val="auto"/>
              </w:rPr>
            </w:pPr>
          </w:p>
        </w:tc>
      </w:tr>
      <w:tr>
        <w:trPr>
          <w:trHeight w:val="125"/>
        </w:trPr>
        <w:tc>
          <w:tcPr>
            <w:tcW w:w="3380" w:type="dxa"/>
            <w:vAlign w:val="bottom"/>
            <w:tcBorders>
              <w:left w:val="single" w:sz="8" w:color="auto"/>
              <w:right w:val="single" w:sz="8" w:color="auto"/>
            </w:tcBorders>
          </w:tcPr>
          <w:p>
            <w:pPr>
              <w:ind w:left="40"/>
              <w:spacing w:after="0" w:line="125" w:lineRule="exact"/>
              <w:rPr>
                <w:sz w:val="20"/>
                <w:szCs w:val="20"/>
                <w:color w:val="auto"/>
              </w:rPr>
            </w:pPr>
            <w:r>
              <w:rPr>
                <w:rFonts w:ascii="Times New Roman" w:cs="Times New Roman" w:eastAsia="Times New Roman" w:hAnsi="Times New Roman"/>
                <w:sz w:val="12"/>
                <w:szCs w:val="12"/>
                <w:color w:val="auto"/>
              </w:rPr>
              <w:t>Total expenses</w:t>
            </w:r>
          </w:p>
        </w:tc>
        <w:tc>
          <w:tcPr>
            <w:tcW w:w="110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auto"/>
                <w:w w:val="96"/>
              </w:rPr>
              <w:t>(2,532,874)</w:t>
            </w:r>
          </w:p>
        </w:tc>
        <w:tc>
          <w:tcPr>
            <w:tcW w:w="112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auto"/>
                <w:w w:val="99"/>
              </w:rPr>
              <w:t>(3,079,957)</w:t>
            </w:r>
          </w:p>
        </w:tc>
        <w:tc>
          <w:tcPr>
            <w:tcW w:w="1140" w:type="dxa"/>
            <w:vAlign w:val="bottom"/>
            <w:tcBorders>
              <w:right w:val="single" w:sz="8" w:color="auto"/>
            </w:tcBorders>
          </w:tcPr>
          <w:p>
            <w:pPr>
              <w:jc w:val="center"/>
              <w:spacing w:after="0" w:line="125" w:lineRule="exact"/>
              <w:rPr>
                <w:sz w:val="20"/>
                <w:szCs w:val="20"/>
                <w:color w:val="auto"/>
              </w:rPr>
            </w:pPr>
            <w:r>
              <w:rPr>
                <w:rFonts w:ascii="Times New Roman" w:cs="Times New Roman" w:eastAsia="Times New Roman" w:hAnsi="Times New Roman"/>
                <w:sz w:val="12"/>
                <w:szCs w:val="12"/>
                <w:color w:val="auto"/>
                <w:w w:val="99"/>
              </w:rPr>
              <w:t>(2,840,831)</w:t>
            </w:r>
          </w:p>
        </w:tc>
        <w:tc>
          <w:tcPr>
            <w:tcW w:w="800" w:type="dxa"/>
            <w:vAlign w:val="bottom"/>
          </w:tcPr>
          <w:p>
            <w:pPr>
              <w:jc w:val="center"/>
              <w:ind w:left="221"/>
              <w:spacing w:after="0" w:line="125" w:lineRule="exact"/>
              <w:rPr>
                <w:sz w:val="20"/>
                <w:szCs w:val="20"/>
                <w:color w:val="auto"/>
              </w:rPr>
            </w:pPr>
            <w:r>
              <w:rPr>
                <w:rFonts w:ascii="Times New Roman" w:cs="Times New Roman" w:eastAsia="Times New Roman" w:hAnsi="Times New Roman"/>
                <w:sz w:val="12"/>
                <w:szCs w:val="12"/>
                <w:color w:val="auto"/>
                <w:w w:val="96"/>
              </w:rPr>
              <w:t>-7.8%</w:t>
            </w:r>
          </w:p>
        </w:tc>
        <w:tc>
          <w:tcPr>
            <w:tcW w:w="1440" w:type="dxa"/>
            <w:vAlign w:val="bottom"/>
            <w:tcBorders>
              <w:right w:val="single" w:sz="8" w:color="auto"/>
            </w:tcBorders>
          </w:tcPr>
          <w:p>
            <w:pPr>
              <w:jc w:val="center"/>
              <w:ind w:left="221"/>
              <w:spacing w:after="0" w:line="125" w:lineRule="exact"/>
              <w:rPr>
                <w:sz w:val="20"/>
                <w:szCs w:val="20"/>
                <w:color w:val="auto"/>
              </w:rPr>
            </w:pPr>
            <w:r>
              <w:rPr>
                <w:rFonts w:ascii="Times New Roman" w:cs="Times New Roman" w:eastAsia="Times New Roman" w:hAnsi="Times New Roman"/>
                <w:sz w:val="12"/>
                <w:szCs w:val="12"/>
                <w:color w:val="auto"/>
              </w:rPr>
              <w:t>12.2%</w:t>
            </w:r>
          </w:p>
        </w:tc>
        <w:tc>
          <w:tcPr>
            <w:tcW w:w="0" w:type="dxa"/>
            <w:vAlign w:val="bottom"/>
          </w:tcPr>
          <w:p>
            <w:pPr>
              <w:spacing w:after="0"/>
              <w:rPr>
                <w:sz w:val="1"/>
                <w:szCs w:val="1"/>
                <w:color w:val="auto"/>
              </w:rPr>
            </w:pPr>
          </w:p>
        </w:tc>
      </w:tr>
      <w:tr>
        <w:trPr>
          <w:trHeight w:val="129"/>
        </w:trPr>
        <w:tc>
          <w:tcPr>
            <w:tcW w:w="3380" w:type="dxa"/>
            <w:vAlign w:val="bottom"/>
            <w:tcBorders>
              <w:left w:val="single" w:sz="8" w:color="auto"/>
              <w:right w:val="single" w:sz="8" w:color="auto"/>
            </w:tcBorders>
          </w:tcPr>
          <w:p>
            <w:pPr>
              <w:ind w:left="40"/>
              <w:spacing w:after="0" w:line="129" w:lineRule="exact"/>
              <w:rPr>
                <w:sz w:val="20"/>
                <w:szCs w:val="20"/>
                <w:color w:val="auto"/>
              </w:rPr>
            </w:pPr>
            <w:r>
              <w:rPr>
                <w:rFonts w:ascii="Times New Roman" w:cs="Times New Roman" w:eastAsia="Times New Roman" w:hAnsi="Times New Roman"/>
                <w:sz w:val="12"/>
                <w:szCs w:val="12"/>
                <w:b w:val="1"/>
                <w:bCs w:val="1"/>
                <w:color w:val="auto"/>
              </w:rPr>
              <w:t>Profit before income tax</w:t>
            </w:r>
          </w:p>
        </w:tc>
        <w:tc>
          <w:tcPr>
            <w:tcW w:w="1100" w:type="dxa"/>
            <w:vAlign w:val="bottom"/>
          </w:tcPr>
          <w:p>
            <w:pPr>
              <w:jc w:val="center"/>
              <w:spacing w:after="0" w:line="129" w:lineRule="exact"/>
              <w:rPr>
                <w:sz w:val="20"/>
                <w:szCs w:val="20"/>
                <w:color w:val="auto"/>
              </w:rPr>
            </w:pPr>
            <w:r>
              <w:rPr>
                <w:rFonts w:ascii="Times New Roman" w:cs="Times New Roman" w:eastAsia="Times New Roman" w:hAnsi="Times New Roman"/>
                <w:sz w:val="12"/>
                <w:szCs w:val="12"/>
                <w:b w:val="1"/>
                <w:bCs w:val="1"/>
                <w:color w:val="auto"/>
                <w:w w:val="95"/>
              </w:rPr>
              <w:t>2,519,284</w:t>
            </w:r>
          </w:p>
        </w:tc>
        <w:tc>
          <w:tcPr>
            <w:tcW w:w="1120" w:type="dxa"/>
            <w:vAlign w:val="bottom"/>
          </w:tcPr>
          <w:p>
            <w:pPr>
              <w:jc w:val="center"/>
              <w:spacing w:after="0" w:line="129" w:lineRule="exact"/>
              <w:rPr>
                <w:sz w:val="20"/>
                <w:szCs w:val="20"/>
                <w:color w:val="auto"/>
              </w:rPr>
            </w:pPr>
            <w:r>
              <w:rPr>
                <w:rFonts w:ascii="Times New Roman" w:cs="Times New Roman" w:eastAsia="Times New Roman" w:hAnsi="Times New Roman"/>
                <w:sz w:val="12"/>
                <w:szCs w:val="12"/>
                <w:b w:val="1"/>
                <w:bCs w:val="1"/>
                <w:color w:val="auto"/>
                <w:w w:val="99"/>
              </w:rPr>
              <w:t>2,360,039</w:t>
            </w:r>
          </w:p>
        </w:tc>
        <w:tc>
          <w:tcPr>
            <w:tcW w:w="1140" w:type="dxa"/>
            <w:vAlign w:val="bottom"/>
            <w:tcBorders>
              <w:right w:val="single" w:sz="8" w:color="auto"/>
            </w:tcBorders>
          </w:tcPr>
          <w:p>
            <w:pPr>
              <w:jc w:val="center"/>
              <w:spacing w:after="0" w:line="129" w:lineRule="exact"/>
              <w:rPr>
                <w:sz w:val="20"/>
                <w:szCs w:val="20"/>
                <w:color w:val="auto"/>
              </w:rPr>
            </w:pPr>
            <w:r>
              <w:rPr>
                <w:rFonts w:ascii="Times New Roman" w:cs="Times New Roman" w:eastAsia="Times New Roman" w:hAnsi="Times New Roman"/>
                <w:sz w:val="12"/>
                <w:szCs w:val="12"/>
                <w:b w:val="1"/>
                <w:bCs w:val="1"/>
                <w:color w:val="auto"/>
                <w:w w:val="99"/>
              </w:rPr>
              <w:t>2,919,033</w:t>
            </w:r>
          </w:p>
        </w:tc>
        <w:tc>
          <w:tcPr>
            <w:tcW w:w="800" w:type="dxa"/>
            <w:vAlign w:val="bottom"/>
          </w:tcPr>
          <w:p>
            <w:pPr>
              <w:jc w:val="center"/>
              <w:ind w:left="221"/>
              <w:spacing w:after="0" w:line="129" w:lineRule="exact"/>
              <w:rPr>
                <w:sz w:val="20"/>
                <w:szCs w:val="20"/>
                <w:color w:val="auto"/>
              </w:rPr>
            </w:pPr>
            <w:r>
              <w:rPr>
                <w:rFonts w:ascii="Times New Roman" w:cs="Times New Roman" w:eastAsia="Times New Roman" w:hAnsi="Times New Roman"/>
                <w:sz w:val="12"/>
                <w:szCs w:val="12"/>
                <w:b w:val="1"/>
                <w:bCs w:val="1"/>
                <w:color w:val="auto"/>
                <w:w w:val="96"/>
              </w:rPr>
              <w:t>23.7%</w:t>
            </w:r>
          </w:p>
        </w:tc>
        <w:tc>
          <w:tcPr>
            <w:tcW w:w="1440" w:type="dxa"/>
            <w:vAlign w:val="bottom"/>
            <w:tcBorders>
              <w:right w:val="single" w:sz="8" w:color="auto"/>
            </w:tcBorders>
          </w:tcPr>
          <w:p>
            <w:pPr>
              <w:jc w:val="center"/>
              <w:ind w:left="221"/>
              <w:spacing w:after="0" w:line="129" w:lineRule="exact"/>
              <w:rPr>
                <w:sz w:val="20"/>
                <w:szCs w:val="20"/>
                <w:color w:val="auto"/>
              </w:rPr>
            </w:pPr>
            <w:r>
              <w:rPr>
                <w:rFonts w:ascii="Times New Roman" w:cs="Times New Roman" w:eastAsia="Times New Roman" w:hAnsi="Times New Roman"/>
                <w:sz w:val="12"/>
                <w:szCs w:val="12"/>
                <w:b w:val="1"/>
                <w:bCs w:val="1"/>
                <w:color w:val="auto"/>
                <w:w w:val="96"/>
              </w:rPr>
              <w:t>15.9%</w:t>
            </w:r>
          </w:p>
        </w:tc>
        <w:tc>
          <w:tcPr>
            <w:tcW w:w="0" w:type="dxa"/>
            <w:vAlign w:val="bottom"/>
          </w:tcPr>
          <w:p>
            <w:pPr>
              <w:spacing w:after="0"/>
              <w:rPr>
                <w:sz w:val="1"/>
                <w:szCs w:val="1"/>
                <w:color w:val="auto"/>
              </w:rPr>
            </w:pPr>
          </w:p>
        </w:tc>
      </w:tr>
      <w:tr>
        <w:trPr>
          <w:trHeight w:val="125"/>
        </w:trPr>
        <w:tc>
          <w:tcPr>
            <w:tcW w:w="3380" w:type="dxa"/>
            <w:vAlign w:val="bottom"/>
            <w:tcBorders>
              <w:left w:val="single" w:sz="8" w:color="auto"/>
              <w:right w:val="single" w:sz="8" w:color="auto"/>
            </w:tcBorders>
          </w:tcPr>
          <w:p>
            <w:pPr>
              <w:ind w:left="40"/>
              <w:spacing w:after="0" w:line="125" w:lineRule="exact"/>
              <w:rPr>
                <w:sz w:val="20"/>
                <w:szCs w:val="20"/>
                <w:color w:val="auto"/>
              </w:rPr>
            </w:pPr>
            <w:r>
              <w:rPr>
                <w:rFonts w:ascii="Times New Roman" w:cs="Times New Roman" w:eastAsia="Times New Roman" w:hAnsi="Times New Roman"/>
                <w:sz w:val="12"/>
                <w:szCs w:val="12"/>
                <w:color w:val="auto"/>
              </w:rPr>
              <w:t>Income tax</w:t>
            </w:r>
          </w:p>
        </w:tc>
        <w:tc>
          <w:tcPr>
            <w:tcW w:w="110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auto"/>
                <w:w w:val="97"/>
              </w:rPr>
              <w:t>(704,469)</w:t>
            </w:r>
          </w:p>
        </w:tc>
        <w:tc>
          <w:tcPr>
            <w:tcW w:w="112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auto"/>
                <w:w w:val="97"/>
              </w:rPr>
              <w:t>(735,153)</w:t>
            </w:r>
          </w:p>
        </w:tc>
        <w:tc>
          <w:tcPr>
            <w:tcW w:w="1140" w:type="dxa"/>
            <w:vAlign w:val="bottom"/>
            <w:tcBorders>
              <w:right w:val="single" w:sz="8" w:color="auto"/>
            </w:tcBorders>
          </w:tcPr>
          <w:p>
            <w:pPr>
              <w:jc w:val="center"/>
              <w:spacing w:after="0" w:line="125" w:lineRule="exact"/>
              <w:rPr>
                <w:sz w:val="20"/>
                <w:szCs w:val="20"/>
                <w:color w:val="auto"/>
              </w:rPr>
            </w:pPr>
            <w:r>
              <w:rPr>
                <w:rFonts w:ascii="Times New Roman" w:cs="Times New Roman" w:eastAsia="Times New Roman" w:hAnsi="Times New Roman"/>
                <w:sz w:val="12"/>
                <w:szCs w:val="12"/>
                <w:color w:val="auto"/>
              </w:rPr>
              <w:t>(808,891)</w:t>
            </w:r>
          </w:p>
        </w:tc>
        <w:tc>
          <w:tcPr>
            <w:tcW w:w="800" w:type="dxa"/>
            <w:vAlign w:val="bottom"/>
          </w:tcPr>
          <w:p>
            <w:pPr>
              <w:jc w:val="center"/>
              <w:ind w:left="221"/>
              <w:spacing w:after="0" w:line="125" w:lineRule="exact"/>
              <w:rPr>
                <w:sz w:val="20"/>
                <w:szCs w:val="20"/>
                <w:color w:val="auto"/>
              </w:rPr>
            </w:pPr>
            <w:r>
              <w:rPr>
                <w:rFonts w:ascii="Times New Roman" w:cs="Times New Roman" w:eastAsia="Times New Roman" w:hAnsi="Times New Roman"/>
                <w:sz w:val="12"/>
                <w:szCs w:val="12"/>
                <w:color w:val="auto"/>
              </w:rPr>
              <w:t>10.0%</w:t>
            </w:r>
          </w:p>
        </w:tc>
        <w:tc>
          <w:tcPr>
            <w:tcW w:w="1440" w:type="dxa"/>
            <w:vAlign w:val="bottom"/>
            <w:tcBorders>
              <w:right w:val="single" w:sz="8" w:color="auto"/>
            </w:tcBorders>
          </w:tcPr>
          <w:p>
            <w:pPr>
              <w:jc w:val="center"/>
              <w:ind w:left="221"/>
              <w:spacing w:after="0" w:line="125" w:lineRule="exact"/>
              <w:rPr>
                <w:sz w:val="20"/>
                <w:szCs w:val="20"/>
                <w:color w:val="auto"/>
              </w:rPr>
            </w:pPr>
            <w:r>
              <w:rPr>
                <w:rFonts w:ascii="Times New Roman" w:cs="Times New Roman" w:eastAsia="Times New Roman" w:hAnsi="Times New Roman"/>
                <w:sz w:val="12"/>
                <w:szCs w:val="12"/>
                <w:color w:val="auto"/>
              </w:rPr>
              <w:t>14.8%</w:t>
            </w:r>
          </w:p>
        </w:tc>
        <w:tc>
          <w:tcPr>
            <w:tcW w:w="0" w:type="dxa"/>
            <w:vAlign w:val="bottom"/>
          </w:tcPr>
          <w:p>
            <w:pPr>
              <w:spacing w:after="0"/>
              <w:rPr>
                <w:sz w:val="1"/>
                <w:szCs w:val="1"/>
                <w:color w:val="auto"/>
              </w:rPr>
            </w:pPr>
          </w:p>
        </w:tc>
      </w:tr>
      <w:tr>
        <w:trPr>
          <w:trHeight w:val="129"/>
        </w:trPr>
        <w:tc>
          <w:tcPr>
            <w:tcW w:w="3380" w:type="dxa"/>
            <w:vAlign w:val="bottom"/>
            <w:tcBorders>
              <w:left w:val="single" w:sz="8" w:color="auto"/>
              <w:right w:val="single" w:sz="8" w:color="auto"/>
            </w:tcBorders>
          </w:tcPr>
          <w:p>
            <w:pPr>
              <w:ind w:left="40"/>
              <w:spacing w:after="0" w:line="129" w:lineRule="exact"/>
              <w:rPr>
                <w:sz w:val="20"/>
                <w:szCs w:val="20"/>
                <w:color w:val="auto"/>
              </w:rPr>
            </w:pPr>
            <w:r>
              <w:rPr>
                <w:rFonts w:ascii="Times New Roman" w:cs="Times New Roman" w:eastAsia="Times New Roman" w:hAnsi="Times New Roman"/>
                <w:sz w:val="12"/>
                <w:szCs w:val="12"/>
                <w:b w:val="1"/>
                <w:bCs w:val="1"/>
                <w:color w:val="auto"/>
              </w:rPr>
              <w:t>Net profit</w:t>
            </w:r>
          </w:p>
        </w:tc>
        <w:tc>
          <w:tcPr>
            <w:tcW w:w="1100" w:type="dxa"/>
            <w:vAlign w:val="bottom"/>
          </w:tcPr>
          <w:p>
            <w:pPr>
              <w:jc w:val="center"/>
              <w:spacing w:after="0" w:line="129" w:lineRule="exact"/>
              <w:rPr>
                <w:sz w:val="20"/>
                <w:szCs w:val="20"/>
                <w:color w:val="auto"/>
              </w:rPr>
            </w:pPr>
            <w:r>
              <w:rPr>
                <w:rFonts w:ascii="Times New Roman" w:cs="Times New Roman" w:eastAsia="Times New Roman" w:hAnsi="Times New Roman"/>
                <w:sz w:val="12"/>
                <w:szCs w:val="12"/>
                <w:b w:val="1"/>
                <w:bCs w:val="1"/>
                <w:color w:val="auto"/>
                <w:w w:val="95"/>
              </w:rPr>
              <w:t>1,814,815</w:t>
            </w:r>
          </w:p>
        </w:tc>
        <w:tc>
          <w:tcPr>
            <w:tcW w:w="1120" w:type="dxa"/>
            <w:vAlign w:val="bottom"/>
          </w:tcPr>
          <w:p>
            <w:pPr>
              <w:jc w:val="center"/>
              <w:spacing w:after="0" w:line="129" w:lineRule="exact"/>
              <w:rPr>
                <w:sz w:val="20"/>
                <w:szCs w:val="20"/>
                <w:color w:val="auto"/>
              </w:rPr>
            </w:pPr>
            <w:r>
              <w:rPr>
                <w:rFonts w:ascii="Times New Roman" w:cs="Times New Roman" w:eastAsia="Times New Roman" w:hAnsi="Times New Roman"/>
                <w:sz w:val="12"/>
                <w:szCs w:val="12"/>
                <w:b w:val="1"/>
                <w:bCs w:val="1"/>
                <w:color w:val="auto"/>
                <w:w w:val="99"/>
              </w:rPr>
              <w:t>1,624,886</w:t>
            </w:r>
          </w:p>
        </w:tc>
        <w:tc>
          <w:tcPr>
            <w:tcW w:w="1140" w:type="dxa"/>
            <w:vAlign w:val="bottom"/>
            <w:tcBorders>
              <w:right w:val="single" w:sz="8" w:color="auto"/>
            </w:tcBorders>
          </w:tcPr>
          <w:p>
            <w:pPr>
              <w:jc w:val="center"/>
              <w:spacing w:after="0" w:line="129" w:lineRule="exact"/>
              <w:rPr>
                <w:sz w:val="20"/>
                <w:szCs w:val="20"/>
                <w:color w:val="auto"/>
              </w:rPr>
            </w:pPr>
            <w:r>
              <w:rPr>
                <w:rFonts w:ascii="Times New Roman" w:cs="Times New Roman" w:eastAsia="Times New Roman" w:hAnsi="Times New Roman"/>
                <w:sz w:val="12"/>
                <w:szCs w:val="12"/>
                <w:b w:val="1"/>
                <w:bCs w:val="1"/>
                <w:color w:val="auto"/>
                <w:w w:val="99"/>
              </w:rPr>
              <w:t>2,110,142</w:t>
            </w:r>
          </w:p>
        </w:tc>
        <w:tc>
          <w:tcPr>
            <w:tcW w:w="800" w:type="dxa"/>
            <w:vAlign w:val="bottom"/>
          </w:tcPr>
          <w:p>
            <w:pPr>
              <w:jc w:val="center"/>
              <w:ind w:left="221"/>
              <w:spacing w:after="0" w:line="129" w:lineRule="exact"/>
              <w:rPr>
                <w:sz w:val="20"/>
                <w:szCs w:val="20"/>
                <w:color w:val="auto"/>
              </w:rPr>
            </w:pPr>
            <w:r>
              <w:rPr>
                <w:rFonts w:ascii="Times New Roman" w:cs="Times New Roman" w:eastAsia="Times New Roman" w:hAnsi="Times New Roman"/>
                <w:sz w:val="12"/>
                <w:szCs w:val="12"/>
                <w:b w:val="1"/>
                <w:bCs w:val="1"/>
                <w:color w:val="auto"/>
                <w:w w:val="96"/>
              </w:rPr>
              <w:t>29.9%</w:t>
            </w:r>
          </w:p>
        </w:tc>
        <w:tc>
          <w:tcPr>
            <w:tcW w:w="1440" w:type="dxa"/>
            <w:vAlign w:val="bottom"/>
            <w:tcBorders>
              <w:right w:val="single" w:sz="8" w:color="auto"/>
            </w:tcBorders>
          </w:tcPr>
          <w:p>
            <w:pPr>
              <w:jc w:val="center"/>
              <w:ind w:left="221"/>
              <w:spacing w:after="0" w:line="129" w:lineRule="exact"/>
              <w:rPr>
                <w:sz w:val="20"/>
                <w:szCs w:val="20"/>
                <w:color w:val="auto"/>
              </w:rPr>
            </w:pPr>
            <w:r>
              <w:rPr>
                <w:rFonts w:ascii="Times New Roman" w:cs="Times New Roman" w:eastAsia="Times New Roman" w:hAnsi="Times New Roman"/>
                <w:sz w:val="12"/>
                <w:szCs w:val="12"/>
                <w:b w:val="1"/>
                <w:bCs w:val="1"/>
                <w:color w:val="auto"/>
                <w:w w:val="96"/>
              </w:rPr>
              <w:t>16.3%</w:t>
            </w:r>
          </w:p>
        </w:tc>
        <w:tc>
          <w:tcPr>
            <w:tcW w:w="0" w:type="dxa"/>
            <w:vAlign w:val="bottom"/>
          </w:tcPr>
          <w:p>
            <w:pPr>
              <w:spacing w:after="0"/>
              <w:rPr>
                <w:sz w:val="1"/>
                <w:szCs w:val="1"/>
                <w:color w:val="auto"/>
              </w:rPr>
            </w:pPr>
          </w:p>
        </w:tc>
      </w:tr>
      <w:tr>
        <w:trPr>
          <w:trHeight w:val="125"/>
        </w:trPr>
        <w:tc>
          <w:tcPr>
            <w:tcW w:w="3380" w:type="dxa"/>
            <w:vAlign w:val="bottom"/>
            <w:tcBorders>
              <w:left w:val="single" w:sz="8" w:color="auto"/>
              <w:right w:val="single" w:sz="8" w:color="auto"/>
            </w:tcBorders>
          </w:tcPr>
          <w:p>
            <w:pPr>
              <w:ind w:left="40"/>
              <w:spacing w:after="0" w:line="125" w:lineRule="exact"/>
              <w:rPr>
                <w:sz w:val="20"/>
                <w:szCs w:val="20"/>
                <w:color w:val="auto"/>
              </w:rPr>
            </w:pPr>
            <w:r>
              <w:rPr>
                <w:rFonts w:ascii="Times New Roman" w:cs="Times New Roman" w:eastAsia="Times New Roman" w:hAnsi="Times New Roman"/>
                <w:sz w:val="12"/>
                <w:szCs w:val="12"/>
                <w:color w:val="auto"/>
              </w:rPr>
              <w:t>Non-controlling interest</w:t>
            </w:r>
          </w:p>
        </w:tc>
        <w:tc>
          <w:tcPr>
            <w:tcW w:w="110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auto"/>
                <w:w w:val="96"/>
              </w:rPr>
              <w:t>37,118</w:t>
            </w:r>
          </w:p>
        </w:tc>
        <w:tc>
          <w:tcPr>
            <w:tcW w:w="112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auto"/>
                <w:w w:val="96"/>
              </w:rPr>
              <w:t>37,876</w:t>
            </w:r>
          </w:p>
        </w:tc>
        <w:tc>
          <w:tcPr>
            <w:tcW w:w="1140" w:type="dxa"/>
            <w:vAlign w:val="bottom"/>
            <w:tcBorders>
              <w:right w:val="single" w:sz="8" w:color="auto"/>
            </w:tcBorders>
          </w:tcPr>
          <w:p>
            <w:pPr>
              <w:jc w:val="center"/>
              <w:spacing w:after="0" w:line="125" w:lineRule="exact"/>
              <w:rPr>
                <w:sz w:val="20"/>
                <w:szCs w:val="20"/>
                <w:color w:val="auto"/>
              </w:rPr>
            </w:pPr>
            <w:r>
              <w:rPr>
                <w:rFonts w:ascii="Times New Roman" w:cs="Times New Roman" w:eastAsia="Times New Roman" w:hAnsi="Times New Roman"/>
                <w:sz w:val="12"/>
                <w:szCs w:val="12"/>
                <w:color w:val="auto"/>
                <w:w w:val="96"/>
              </w:rPr>
              <w:t>46,958</w:t>
            </w:r>
          </w:p>
        </w:tc>
        <w:tc>
          <w:tcPr>
            <w:tcW w:w="800" w:type="dxa"/>
            <w:vAlign w:val="bottom"/>
          </w:tcPr>
          <w:p>
            <w:pPr>
              <w:jc w:val="center"/>
              <w:ind w:left="221"/>
              <w:spacing w:after="0" w:line="125" w:lineRule="exact"/>
              <w:rPr>
                <w:sz w:val="20"/>
                <w:szCs w:val="20"/>
                <w:color w:val="auto"/>
              </w:rPr>
            </w:pPr>
            <w:r>
              <w:rPr>
                <w:rFonts w:ascii="Times New Roman" w:cs="Times New Roman" w:eastAsia="Times New Roman" w:hAnsi="Times New Roman"/>
                <w:sz w:val="12"/>
                <w:szCs w:val="12"/>
                <w:color w:val="auto"/>
              </w:rPr>
              <w:t>24.0%</w:t>
            </w:r>
          </w:p>
        </w:tc>
        <w:tc>
          <w:tcPr>
            <w:tcW w:w="1440" w:type="dxa"/>
            <w:vAlign w:val="bottom"/>
            <w:tcBorders>
              <w:right w:val="single" w:sz="8" w:color="auto"/>
            </w:tcBorders>
          </w:tcPr>
          <w:p>
            <w:pPr>
              <w:jc w:val="center"/>
              <w:ind w:left="221"/>
              <w:spacing w:after="0" w:line="125" w:lineRule="exact"/>
              <w:rPr>
                <w:sz w:val="20"/>
                <w:szCs w:val="20"/>
                <w:color w:val="auto"/>
              </w:rPr>
            </w:pPr>
            <w:r>
              <w:rPr>
                <w:rFonts w:ascii="Times New Roman" w:cs="Times New Roman" w:eastAsia="Times New Roman" w:hAnsi="Times New Roman"/>
                <w:sz w:val="12"/>
                <w:szCs w:val="12"/>
                <w:color w:val="auto"/>
              </w:rPr>
              <w:t>26.5%</w:t>
            </w:r>
          </w:p>
        </w:tc>
        <w:tc>
          <w:tcPr>
            <w:tcW w:w="0" w:type="dxa"/>
            <w:vAlign w:val="bottom"/>
          </w:tcPr>
          <w:p>
            <w:pPr>
              <w:spacing w:after="0"/>
              <w:rPr>
                <w:sz w:val="1"/>
                <w:szCs w:val="1"/>
                <w:color w:val="auto"/>
              </w:rPr>
            </w:pPr>
          </w:p>
        </w:tc>
      </w:tr>
      <w:tr>
        <w:trPr>
          <w:trHeight w:val="129"/>
        </w:trPr>
        <w:tc>
          <w:tcPr>
            <w:tcW w:w="3380" w:type="dxa"/>
            <w:vAlign w:val="bottom"/>
            <w:tcBorders>
              <w:left w:val="single" w:sz="8" w:color="auto"/>
              <w:right w:val="single" w:sz="8" w:color="auto"/>
            </w:tcBorders>
          </w:tcPr>
          <w:p>
            <w:pPr>
              <w:ind w:left="40"/>
              <w:spacing w:after="0" w:line="129" w:lineRule="exact"/>
              <w:rPr>
                <w:sz w:val="20"/>
                <w:szCs w:val="20"/>
                <w:color w:val="auto"/>
              </w:rPr>
            </w:pPr>
            <w:r>
              <w:rPr>
                <w:rFonts w:ascii="Times New Roman" w:cs="Times New Roman" w:eastAsia="Times New Roman" w:hAnsi="Times New Roman"/>
                <w:sz w:val="12"/>
                <w:szCs w:val="12"/>
                <w:b w:val="1"/>
                <w:bCs w:val="1"/>
                <w:color w:val="auto"/>
              </w:rPr>
              <w:t>Net profit attributable to Credicorp</w:t>
            </w:r>
          </w:p>
        </w:tc>
        <w:tc>
          <w:tcPr>
            <w:tcW w:w="1100" w:type="dxa"/>
            <w:vAlign w:val="bottom"/>
          </w:tcPr>
          <w:p>
            <w:pPr>
              <w:jc w:val="center"/>
              <w:spacing w:after="0" w:line="129" w:lineRule="exact"/>
              <w:rPr>
                <w:sz w:val="20"/>
                <w:szCs w:val="20"/>
                <w:color w:val="auto"/>
              </w:rPr>
            </w:pPr>
            <w:r>
              <w:rPr>
                <w:rFonts w:ascii="Times New Roman" w:cs="Times New Roman" w:eastAsia="Times New Roman" w:hAnsi="Times New Roman"/>
                <w:sz w:val="12"/>
                <w:szCs w:val="12"/>
                <w:b w:val="1"/>
                <w:bCs w:val="1"/>
                <w:color w:val="auto"/>
                <w:w w:val="95"/>
              </w:rPr>
              <w:t>1,777,697</w:t>
            </w:r>
          </w:p>
        </w:tc>
        <w:tc>
          <w:tcPr>
            <w:tcW w:w="1120" w:type="dxa"/>
            <w:vAlign w:val="bottom"/>
          </w:tcPr>
          <w:p>
            <w:pPr>
              <w:jc w:val="center"/>
              <w:spacing w:after="0" w:line="129" w:lineRule="exact"/>
              <w:rPr>
                <w:sz w:val="20"/>
                <w:szCs w:val="20"/>
                <w:color w:val="auto"/>
              </w:rPr>
            </w:pPr>
            <w:r>
              <w:rPr>
                <w:rFonts w:ascii="Times New Roman" w:cs="Times New Roman" w:eastAsia="Times New Roman" w:hAnsi="Times New Roman"/>
                <w:sz w:val="12"/>
                <w:szCs w:val="12"/>
                <w:b w:val="1"/>
                <w:bCs w:val="1"/>
                <w:color w:val="auto"/>
                <w:w w:val="99"/>
              </w:rPr>
              <w:t>1,587,010</w:t>
            </w:r>
          </w:p>
        </w:tc>
        <w:tc>
          <w:tcPr>
            <w:tcW w:w="1140" w:type="dxa"/>
            <w:vAlign w:val="bottom"/>
            <w:tcBorders>
              <w:right w:val="single" w:sz="8" w:color="auto"/>
            </w:tcBorders>
          </w:tcPr>
          <w:p>
            <w:pPr>
              <w:jc w:val="center"/>
              <w:spacing w:after="0" w:line="129" w:lineRule="exact"/>
              <w:rPr>
                <w:sz w:val="20"/>
                <w:szCs w:val="20"/>
                <w:color w:val="auto"/>
              </w:rPr>
            </w:pPr>
            <w:r>
              <w:rPr>
                <w:rFonts w:ascii="Times New Roman" w:cs="Times New Roman" w:eastAsia="Times New Roman" w:hAnsi="Times New Roman"/>
                <w:sz w:val="12"/>
                <w:szCs w:val="12"/>
                <w:b w:val="1"/>
                <w:bCs w:val="1"/>
                <w:color w:val="auto"/>
                <w:w w:val="99"/>
              </w:rPr>
              <w:t>2,063,184</w:t>
            </w:r>
          </w:p>
        </w:tc>
        <w:tc>
          <w:tcPr>
            <w:tcW w:w="800" w:type="dxa"/>
            <w:vAlign w:val="bottom"/>
          </w:tcPr>
          <w:p>
            <w:pPr>
              <w:jc w:val="center"/>
              <w:ind w:left="221"/>
              <w:spacing w:after="0" w:line="129" w:lineRule="exact"/>
              <w:rPr>
                <w:sz w:val="20"/>
                <w:szCs w:val="20"/>
                <w:color w:val="auto"/>
              </w:rPr>
            </w:pPr>
            <w:r>
              <w:rPr>
                <w:rFonts w:ascii="Times New Roman" w:cs="Times New Roman" w:eastAsia="Times New Roman" w:hAnsi="Times New Roman"/>
                <w:sz w:val="12"/>
                <w:szCs w:val="12"/>
                <w:b w:val="1"/>
                <w:bCs w:val="1"/>
                <w:color w:val="auto"/>
                <w:w w:val="96"/>
              </w:rPr>
              <w:t>30.0%</w:t>
            </w:r>
          </w:p>
        </w:tc>
        <w:tc>
          <w:tcPr>
            <w:tcW w:w="1440" w:type="dxa"/>
            <w:vAlign w:val="bottom"/>
            <w:tcBorders>
              <w:right w:val="single" w:sz="8" w:color="auto"/>
            </w:tcBorders>
          </w:tcPr>
          <w:p>
            <w:pPr>
              <w:jc w:val="center"/>
              <w:ind w:left="221"/>
              <w:spacing w:after="0" w:line="129" w:lineRule="exact"/>
              <w:rPr>
                <w:sz w:val="20"/>
                <w:szCs w:val="20"/>
                <w:color w:val="auto"/>
              </w:rPr>
            </w:pPr>
            <w:r>
              <w:rPr>
                <w:rFonts w:ascii="Times New Roman" w:cs="Times New Roman" w:eastAsia="Times New Roman" w:hAnsi="Times New Roman"/>
                <w:sz w:val="12"/>
                <w:szCs w:val="12"/>
                <w:b w:val="1"/>
                <w:bCs w:val="1"/>
                <w:color w:val="auto"/>
                <w:w w:val="96"/>
              </w:rPr>
              <w:t>16.1%</w:t>
            </w:r>
          </w:p>
        </w:tc>
        <w:tc>
          <w:tcPr>
            <w:tcW w:w="0" w:type="dxa"/>
            <w:vAlign w:val="bottom"/>
          </w:tcPr>
          <w:p>
            <w:pPr>
              <w:spacing w:after="0"/>
              <w:rPr>
                <w:sz w:val="1"/>
                <w:szCs w:val="1"/>
                <w:color w:val="auto"/>
              </w:rPr>
            </w:pPr>
          </w:p>
        </w:tc>
      </w:tr>
      <w:tr>
        <w:trPr>
          <w:trHeight w:val="127"/>
        </w:trPr>
        <w:tc>
          <w:tcPr>
            <w:tcW w:w="3380" w:type="dxa"/>
            <w:vAlign w:val="bottom"/>
            <w:tcBorders>
              <w:left w:val="single" w:sz="8" w:color="auto"/>
              <w:right w:val="single" w:sz="8" w:color="auto"/>
            </w:tcBorders>
          </w:tcPr>
          <w:p>
            <w:pPr>
              <w:ind w:left="40"/>
              <w:spacing w:after="0" w:line="127" w:lineRule="exact"/>
              <w:rPr>
                <w:sz w:val="20"/>
                <w:szCs w:val="20"/>
                <w:color w:val="auto"/>
              </w:rPr>
            </w:pPr>
            <w:r>
              <w:rPr>
                <w:rFonts w:ascii="Times New Roman" w:cs="Times New Roman" w:eastAsia="Times New Roman" w:hAnsi="Times New Roman"/>
                <w:sz w:val="12"/>
                <w:szCs w:val="12"/>
                <w:color w:val="auto"/>
              </w:rPr>
              <w:t>Dividends paid to third parties</w:t>
            </w:r>
          </w:p>
        </w:tc>
        <w:tc>
          <w:tcPr>
            <w:tcW w:w="110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8"/>
              </w:rPr>
              <w:t>-</w:t>
            </w:r>
          </w:p>
        </w:tc>
        <w:tc>
          <w:tcPr>
            <w:tcW w:w="112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8"/>
              </w:rPr>
              <w:t>-</w:t>
            </w:r>
          </w:p>
        </w:tc>
        <w:tc>
          <w:tcPr>
            <w:tcW w:w="1140" w:type="dxa"/>
            <w:vAlign w:val="bottom"/>
            <w:tcBorders>
              <w:right w:val="single" w:sz="8" w:color="auto"/>
            </w:tcBorders>
          </w:tcPr>
          <w:p>
            <w:pPr>
              <w:jc w:val="center"/>
              <w:spacing w:after="0" w:line="127" w:lineRule="exact"/>
              <w:rPr>
                <w:sz w:val="20"/>
                <w:szCs w:val="20"/>
                <w:color w:val="auto"/>
              </w:rPr>
            </w:pPr>
            <w:r>
              <w:rPr>
                <w:rFonts w:ascii="Times New Roman" w:cs="Times New Roman" w:eastAsia="Times New Roman" w:hAnsi="Times New Roman"/>
                <w:sz w:val="12"/>
                <w:szCs w:val="12"/>
                <w:color w:val="auto"/>
                <w:w w:val="99"/>
              </w:rPr>
              <w:t>0</w:t>
            </w:r>
          </w:p>
        </w:tc>
        <w:tc>
          <w:tcPr>
            <w:tcW w:w="800" w:type="dxa"/>
            <w:vAlign w:val="bottom"/>
          </w:tcPr>
          <w:p>
            <w:pPr>
              <w:jc w:val="center"/>
              <w:ind w:left="221"/>
              <w:spacing w:after="0" w:line="127" w:lineRule="exact"/>
              <w:rPr>
                <w:sz w:val="20"/>
                <w:szCs w:val="20"/>
                <w:color w:val="auto"/>
              </w:rPr>
            </w:pPr>
            <w:r>
              <w:rPr>
                <w:rFonts w:ascii="Times New Roman" w:cs="Times New Roman" w:eastAsia="Times New Roman" w:hAnsi="Times New Roman"/>
                <w:sz w:val="12"/>
                <w:szCs w:val="12"/>
                <w:color w:val="auto"/>
                <w:w w:val="97"/>
              </w:rPr>
              <w:t>-100.0%</w:t>
            </w:r>
          </w:p>
        </w:tc>
        <w:tc>
          <w:tcPr>
            <w:tcW w:w="1440" w:type="dxa"/>
            <w:vAlign w:val="bottom"/>
            <w:tcBorders>
              <w:right w:val="single" w:sz="8" w:color="auto"/>
            </w:tcBorders>
          </w:tcPr>
          <w:p>
            <w:pPr>
              <w:jc w:val="center"/>
              <w:ind w:left="221"/>
              <w:spacing w:after="0" w:line="127" w:lineRule="exact"/>
              <w:rPr>
                <w:sz w:val="20"/>
                <w:szCs w:val="20"/>
                <w:color w:val="auto"/>
              </w:rPr>
            </w:pPr>
            <w:r>
              <w:rPr>
                <w:rFonts w:ascii="Times New Roman" w:cs="Times New Roman" w:eastAsia="Times New Roman" w:hAnsi="Times New Roman"/>
                <w:sz w:val="12"/>
                <w:szCs w:val="12"/>
                <w:color w:val="auto"/>
                <w:w w:val="92"/>
              </w:rPr>
              <w:t>n.a.</w:t>
            </w:r>
          </w:p>
        </w:tc>
        <w:tc>
          <w:tcPr>
            <w:tcW w:w="0" w:type="dxa"/>
            <w:vAlign w:val="bottom"/>
          </w:tcPr>
          <w:p>
            <w:pPr>
              <w:spacing w:after="0"/>
              <w:rPr>
                <w:sz w:val="1"/>
                <w:szCs w:val="1"/>
                <w:color w:val="auto"/>
              </w:rPr>
            </w:pPr>
          </w:p>
        </w:tc>
      </w:tr>
      <w:tr>
        <w:trPr>
          <w:trHeight w:val="127"/>
        </w:trPr>
        <w:tc>
          <w:tcPr>
            <w:tcW w:w="3380" w:type="dxa"/>
            <w:vAlign w:val="bottom"/>
            <w:tcBorders>
              <w:left w:val="single" w:sz="8" w:color="auto"/>
              <w:right w:val="single" w:sz="8" w:color="auto"/>
            </w:tcBorders>
          </w:tcPr>
          <w:p>
            <w:pPr>
              <w:ind w:left="40"/>
              <w:spacing w:after="0" w:line="127" w:lineRule="exact"/>
              <w:rPr>
                <w:sz w:val="20"/>
                <w:szCs w:val="20"/>
                <w:color w:val="auto"/>
              </w:rPr>
            </w:pPr>
            <w:r>
              <w:rPr>
                <w:rFonts w:ascii="Times New Roman" w:cs="Times New Roman" w:eastAsia="Times New Roman" w:hAnsi="Times New Roman"/>
                <w:sz w:val="12"/>
                <w:szCs w:val="12"/>
                <w:color w:val="auto"/>
              </w:rPr>
              <w:t>Net income / share (S/)</w:t>
            </w:r>
          </w:p>
        </w:tc>
        <w:tc>
          <w:tcPr>
            <w:tcW w:w="110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rPr>
              <w:t>22.3</w:t>
            </w:r>
          </w:p>
        </w:tc>
        <w:tc>
          <w:tcPr>
            <w:tcW w:w="112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5"/>
              </w:rPr>
              <w:t>19.9</w:t>
            </w:r>
          </w:p>
        </w:tc>
        <w:tc>
          <w:tcPr>
            <w:tcW w:w="1140" w:type="dxa"/>
            <w:vAlign w:val="bottom"/>
            <w:tcBorders>
              <w:right w:val="single" w:sz="8" w:color="auto"/>
            </w:tcBorders>
          </w:tcPr>
          <w:p>
            <w:pPr>
              <w:jc w:val="center"/>
              <w:spacing w:after="0" w:line="127" w:lineRule="exact"/>
              <w:rPr>
                <w:sz w:val="20"/>
                <w:szCs w:val="20"/>
                <w:color w:val="auto"/>
              </w:rPr>
            </w:pPr>
            <w:r>
              <w:rPr>
                <w:rFonts w:ascii="Times New Roman" w:cs="Times New Roman" w:eastAsia="Times New Roman" w:hAnsi="Times New Roman"/>
                <w:sz w:val="12"/>
                <w:szCs w:val="12"/>
                <w:color w:val="auto"/>
                <w:w w:val="95"/>
              </w:rPr>
              <w:t>25.9</w:t>
            </w:r>
          </w:p>
        </w:tc>
        <w:tc>
          <w:tcPr>
            <w:tcW w:w="800" w:type="dxa"/>
            <w:vAlign w:val="bottom"/>
          </w:tcPr>
          <w:p>
            <w:pPr>
              <w:jc w:val="center"/>
              <w:ind w:left="221"/>
              <w:spacing w:after="0" w:line="127" w:lineRule="exact"/>
              <w:rPr>
                <w:sz w:val="20"/>
                <w:szCs w:val="20"/>
                <w:color w:val="auto"/>
              </w:rPr>
            </w:pPr>
            <w:r>
              <w:rPr>
                <w:rFonts w:ascii="Times New Roman" w:cs="Times New Roman" w:eastAsia="Times New Roman" w:hAnsi="Times New Roman"/>
                <w:sz w:val="12"/>
                <w:szCs w:val="12"/>
                <w:color w:val="auto"/>
              </w:rPr>
              <w:t>30.0%</w:t>
            </w:r>
          </w:p>
        </w:tc>
        <w:tc>
          <w:tcPr>
            <w:tcW w:w="1440" w:type="dxa"/>
            <w:vAlign w:val="bottom"/>
            <w:tcBorders>
              <w:right w:val="single" w:sz="8" w:color="auto"/>
            </w:tcBorders>
          </w:tcPr>
          <w:p>
            <w:pPr>
              <w:jc w:val="center"/>
              <w:ind w:left="221"/>
              <w:spacing w:after="0" w:line="127" w:lineRule="exact"/>
              <w:rPr>
                <w:sz w:val="20"/>
                <w:szCs w:val="20"/>
                <w:color w:val="auto"/>
              </w:rPr>
            </w:pPr>
            <w:r>
              <w:rPr>
                <w:rFonts w:ascii="Times New Roman" w:cs="Times New Roman" w:eastAsia="Times New Roman" w:hAnsi="Times New Roman"/>
                <w:sz w:val="12"/>
                <w:szCs w:val="12"/>
                <w:color w:val="auto"/>
              </w:rPr>
              <w:t>16.1%</w:t>
            </w:r>
          </w:p>
        </w:tc>
        <w:tc>
          <w:tcPr>
            <w:tcW w:w="0" w:type="dxa"/>
            <w:vAlign w:val="bottom"/>
          </w:tcPr>
          <w:p>
            <w:pPr>
              <w:spacing w:after="0"/>
              <w:rPr>
                <w:sz w:val="1"/>
                <w:szCs w:val="1"/>
                <w:color w:val="auto"/>
              </w:rPr>
            </w:pPr>
          </w:p>
        </w:tc>
      </w:tr>
      <w:tr>
        <w:trPr>
          <w:trHeight w:val="143"/>
        </w:trPr>
        <w:tc>
          <w:tcPr>
            <w:tcW w:w="33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2"/>
                <w:szCs w:val="12"/>
                <w:color w:val="auto"/>
              </w:rPr>
              <w:t>Dividends per Share (S/)</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5"/>
              </w:rPr>
              <w:t>0.00</w:t>
            </w:r>
          </w:p>
        </w:tc>
        <w:tc>
          <w:tcPr>
            <w:tcW w:w="800" w:type="dxa"/>
            <w:vAlign w:val="bottom"/>
            <w:tcBorders>
              <w:bottom w:val="single" w:sz="8" w:color="auto"/>
            </w:tcBorders>
          </w:tcPr>
          <w:p>
            <w:pPr>
              <w:jc w:val="center"/>
              <w:ind w:left="221"/>
              <w:spacing w:after="0"/>
              <w:rPr>
                <w:sz w:val="20"/>
                <w:szCs w:val="20"/>
                <w:color w:val="auto"/>
              </w:rPr>
            </w:pPr>
            <w:r>
              <w:rPr>
                <w:rFonts w:ascii="Times New Roman" w:cs="Times New Roman" w:eastAsia="Times New Roman" w:hAnsi="Times New Roman"/>
                <w:sz w:val="12"/>
                <w:szCs w:val="12"/>
                <w:color w:val="auto"/>
                <w:w w:val="92"/>
              </w:rPr>
              <w:t>n.a.</w:t>
            </w:r>
          </w:p>
        </w:tc>
        <w:tc>
          <w:tcPr>
            <w:tcW w:w="1440" w:type="dxa"/>
            <w:vAlign w:val="bottom"/>
            <w:tcBorders>
              <w:bottom w:val="single" w:sz="8" w:color="auto"/>
              <w:right w:val="single" w:sz="8" w:color="auto"/>
            </w:tcBorders>
          </w:tcPr>
          <w:p>
            <w:pPr>
              <w:jc w:val="center"/>
              <w:ind w:left="221"/>
              <w:spacing w:after="0"/>
              <w:rPr>
                <w:sz w:val="20"/>
                <w:szCs w:val="20"/>
                <w:color w:val="auto"/>
              </w:rPr>
            </w:pPr>
            <w:r>
              <w:rPr>
                <w:rFonts w:ascii="Times New Roman" w:cs="Times New Roman" w:eastAsia="Times New Roman" w:hAnsi="Times New Roman"/>
                <w:sz w:val="12"/>
                <w:szCs w:val="12"/>
                <w:color w:val="auto"/>
                <w:w w:val="92"/>
              </w:rPr>
              <w:t>n.a.</w:t>
            </w:r>
          </w:p>
        </w:tc>
        <w:tc>
          <w:tcPr>
            <w:tcW w:w="0" w:type="dxa"/>
            <w:vAlign w:val="bottom"/>
          </w:tcPr>
          <w:p>
            <w:pPr>
              <w:spacing w:after="0"/>
              <w:rPr>
                <w:sz w:val="1"/>
                <w:szCs w:val="1"/>
                <w:color w:val="auto"/>
              </w:rPr>
            </w:pPr>
          </w:p>
        </w:tc>
      </w:tr>
      <w:tr>
        <w:trPr>
          <w:trHeight w:val="104"/>
        </w:trPr>
        <w:tc>
          <w:tcPr>
            <w:tcW w:w="3380" w:type="dxa"/>
            <w:vAlign w:val="bottom"/>
            <w:tcBorders>
              <w:left w:val="single" w:sz="8" w:color="auto"/>
              <w:right w:val="single" w:sz="8" w:color="auto"/>
            </w:tcBorders>
          </w:tcPr>
          <w:p>
            <w:pPr>
              <w:ind w:left="40"/>
              <w:spacing w:after="0" w:line="104" w:lineRule="exact"/>
              <w:rPr>
                <w:sz w:val="20"/>
                <w:szCs w:val="20"/>
                <w:color w:val="auto"/>
              </w:rPr>
            </w:pPr>
            <w:r>
              <w:rPr>
                <w:rFonts w:ascii="Times New Roman" w:cs="Times New Roman" w:eastAsia="Times New Roman" w:hAnsi="Times New Roman"/>
                <w:sz w:val="12"/>
                <w:szCs w:val="12"/>
                <w:color w:val="auto"/>
              </w:rPr>
              <w:t>Loans</w:t>
            </w:r>
          </w:p>
        </w:tc>
        <w:tc>
          <w:tcPr>
            <w:tcW w:w="1100" w:type="dxa"/>
            <w:vAlign w:val="bottom"/>
          </w:tcPr>
          <w:p>
            <w:pPr>
              <w:jc w:val="center"/>
              <w:spacing w:after="0" w:line="104" w:lineRule="exact"/>
              <w:rPr>
                <w:sz w:val="20"/>
                <w:szCs w:val="20"/>
                <w:color w:val="auto"/>
              </w:rPr>
            </w:pPr>
            <w:r>
              <w:rPr>
                <w:rFonts w:ascii="Times New Roman" w:cs="Times New Roman" w:eastAsia="Times New Roman" w:hAnsi="Times New Roman"/>
                <w:sz w:val="12"/>
                <w:szCs w:val="12"/>
                <w:color w:val="auto"/>
                <w:w w:val="96"/>
              </w:rPr>
              <w:t>141,196,646</w:t>
            </w:r>
          </w:p>
        </w:tc>
        <w:tc>
          <w:tcPr>
            <w:tcW w:w="1120" w:type="dxa"/>
            <w:vAlign w:val="bottom"/>
          </w:tcPr>
          <w:p>
            <w:pPr>
              <w:jc w:val="center"/>
              <w:spacing w:after="0" w:line="104" w:lineRule="exact"/>
              <w:rPr>
                <w:sz w:val="20"/>
                <w:szCs w:val="20"/>
                <w:color w:val="auto"/>
              </w:rPr>
            </w:pPr>
            <w:r>
              <w:rPr>
                <w:rFonts w:ascii="Times New Roman" w:cs="Times New Roman" w:eastAsia="Times New Roman" w:hAnsi="Times New Roman"/>
                <w:sz w:val="12"/>
                <w:szCs w:val="12"/>
                <w:color w:val="auto"/>
                <w:w w:val="99"/>
              </w:rPr>
              <w:t>149,984,954</w:t>
            </w:r>
          </w:p>
        </w:tc>
        <w:tc>
          <w:tcPr>
            <w:tcW w:w="1140" w:type="dxa"/>
            <w:vAlign w:val="bottom"/>
            <w:tcBorders>
              <w:right w:val="single" w:sz="8" w:color="auto"/>
            </w:tcBorders>
          </w:tcPr>
          <w:p>
            <w:pPr>
              <w:jc w:val="center"/>
              <w:spacing w:after="0" w:line="104" w:lineRule="exact"/>
              <w:rPr>
                <w:sz w:val="20"/>
                <w:szCs w:val="20"/>
                <w:color w:val="auto"/>
              </w:rPr>
            </w:pPr>
            <w:r>
              <w:rPr>
                <w:rFonts w:ascii="Times New Roman" w:cs="Times New Roman" w:eastAsia="Times New Roman" w:hAnsi="Times New Roman"/>
                <w:sz w:val="12"/>
                <w:szCs w:val="12"/>
                <w:color w:val="auto"/>
                <w:w w:val="99"/>
              </w:rPr>
              <w:t>152,824,685</w:t>
            </w:r>
          </w:p>
        </w:tc>
        <w:tc>
          <w:tcPr>
            <w:tcW w:w="800" w:type="dxa"/>
            <w:vAlign w:val="bottom"/>
          </w:tcPr>
          <w:p>
            <w:pPr>
              <w:jc w:val="center"/>
              <w:ind w:left="221"/>
              <w:spacing w:after="0" w:line="104" w:lineRule="exact"/>
              <w:rPr>
                <w:sz w:val="20"/>
                <w:szCs w:val="20"/>
                <w:color w:val="auto"/>
              </w:rPr>
            </w:pPr>
            <w:r>
              <w:rPr>
                <w:rFonts w:ascii="Times New Roman" w:cs="Times New Roman" w:eastAsia="Times New Roman" w:hAnsi="Times New Roman"/>
                <w:sz w:val="12"/>
                <w:szCs w:val="12"/>
                <w:color w:val="auto"/>
                <w:w w:val="95"/>
              </w:rPr>
              <w:t>1.9%</w:t>
            </w:r>
          </w:p>
        </w:tc>
        <w:tc>
          <w:tcPr>
            <w:tcW w:w="1440" w:type="dxa"/>
            <w:vAlign w:val="bottom"/>
            <w:tcBorders>
              <w:right w:val="single" w:sz="8" w:color="auto"/>
            </w:tcBorders>
          </w:tcPr>
          <w:p>
            <w:pPr>
              <w:jc w:val="center"/>
              <w:ind w:left="221"/>
              <w:spacing w:after="0" w:line="104" w:lineRule="exact"/>
              <w:rPr>
                <w:sz w:val="20"/>
                <w:szCs w:val="20"/>
                <w:color w:val="auto"/>
              </w:rPr>
            </w:pPr>
            <w:r>
              <w:rPr>
                <w:rFonts w:ascii="Times New Roman" w:cs="Times New Roman" w:eastAsia="Times New Roman" w:hAnsi="Times New Roman"/>
                <w:sz w:val="12"/>
                <w:szCs w:val="12"/>
                <w:color w:val="auto"/>
                <w:w w:val="95"/>
              </w:rPr>
              <w:t>8.2%</w:t>
            </w:r>
          </w:p>
        </w:tc>
        <w:tc>
          <w:tcPr>
            <w:tcW w:w="0" w:type="dxa"/>
            <w:vAlign w:val="bottom"/>
          </w:tcPr>
          <w:p>
            <w:pPr>
              <w:spacing w:after="0"/>
              <w:rPr>
                <w:sz w:val="1"/>
                <w:szCs w:val="1"/>
                <w:color w:val="auto"/>
              </w:rPr>
            </w:pPr>
          </w:p>
        </w:tc>
      </w:tr>
      <w:tr>
        <w:trPr>
          <w:trHeight w:val="127"/>
        </w:trPr>
        <w:tc>
          <w:tcPr>
            <w:tcW w:w="3380" w:type="dxa"/>
            <w:vAlign w:val="bottom"/>
            <w:tcBorders>
              <w:left w:val="single" w:sz="8" w:color="auto"/>
              <w:right w:val="single" w:sz="8" w:color="auto"/>
            </w:tcBorders>
          </w:tcPr>
          <w:p>
            <w:pPr>
              <w:ind w:left="40"/>
              <w:spacing w:after="0" w:line="127" w:lineRule="exact"/>
              <w:rPr>
                <w:sz w:val="20"/>
                <w:szCs w:val="20"/>
                <w:color w:val="auto"/>
              </w:rPr>
            </w:pPr>
            <w:r>
              <w:rPr>
                <w:rFonts w:ascii="Times New Roman" w:cs="Times New Roman" w:eastAsia="Times New Roman" w:hAnsi="Times New Roman"/>
                <w:sz w:val="12"/>
                <w:szCs w:val="12"/>
                <w:color w:val="auto"/>
              </w:rPr>
              <w:t>Deposits and obligations</w:t>
            </w:r>
          </w:p>
        </w:tc>
        <w:tc>
          <w:tcPr>
            <w:tcW w:w="110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6"/>
              </w:rPr>
              <w:t>157,619,082</w:t>
            </w:r>
          </w:p>
        </w:tc>
        <w:tc>
          <w:tcPr>
            <w:tcW w:w="112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9"/>
              </w:rPr>
              <w:t>170,401,633</w:t>
            </w:r>
          </w:p>
        </w:tc>
        <w:tc>
          <w:tcPr>
            <w:tcW w:w="1140" w:type="dxa"/>
            <w:vAlign w:val="bottom"/>
            <w:tcBorders>
              <w:right w:val="single" w:sz="8" w:color="auto"/>
            </w:tcBorders>
          </w:tcPr>
          <w:p>
            <w:pPr>
              <w:jc w:val="center"/>
              <w:spacing w:after="0" w:line="127" w:lineRule="exact"/>
              <w:rPr>
                <w:sz w:val="20"/>
                <w:szCs w:val="20"/>
                <w:color w:val="auto"/>
              </w:rPr>
            </w:pPr>
            <w:r>
              <w:rPr>
                <w:rFonts w:ascii="Times New Roman" w:cs="Times New Roman" w:eastAsia="Times New Roman" w:hAnsi="Times New Roman"/>
                <w:sz w:val="12"/>
                <w:szCs w:val="12"/>
                <w:color w:val="auto"/>
                <w:w w:val="99"/>
              </w:rPr>
              <w:t>178,627,906</w:t>
            </w:r>
          </w:p>
        </w:tc>
        <w:tc>
          <w:tcPr>
            <w:tcW w:w="800" w:type="dxa"/>
            <w:vAlign w:val="bottom"/>
          </w:tcPr>
          <w:p>
            <w:pPr>
              <w:jc w:val="center"/>
              <w:ind w:left="221"/>
              <w:spacing w:after="0" w:line="127" w:lineRule="exact"/>
              <w:rPr>
                <w:sz w:val="20"/>
                <w:szCs w:val="20"/>
                <w:color w:val="auto"/>
              </w:rPr>
            </w:pPr>
            <w:r>
              <w:rPr>
                <w:rFonts w:ascii="Times New Roman" w:cs="Times New Roman" w:eastAsia="Times New Roman" w:hAnsi="Times New Roman"/>
                <w:sz w:val="12"/>
                <w:szCs w:val="12"/>
                <w:color w:val="auto"/>
                <w:w w:val="95"/>
              </w:rPr>
              <w:t>4.8%</w:t>
            </w:r>
          </w:p>
        </w:tc>
        <w:tc>
          <w:tcPr>
            <w:tcW w:w="1440" w:type="dxa"/>
            <w:vAlign w:val="bottom"/>
            <w:tcBorders>
              <w:right w:val="single" w:sz="8" w:color="auto"/>
            </w:tcBorders>
          </w:tcPr>
          <w:p>
            <w:pPr>
              <w:jc w:val="center"/>
              <w:ind w:left="221"/>
              <w:spacing w:after="0" w:line="127" w:lineRule="exact"/>
              <w:rPr>
                <w:sz w:val="20"/>
                <w:szCs w:val="20"/>
                <w:color w:val="auto"/>
              </w:rPr>
            </w:pPr>
            <w:r>
              <w:rPr>
                <w:rFonts w:ascii="Times New Roman" w:cs="Times New Roman" w:eastAsia="Times New Roman" w:hAnsi="Times New Roman"/>
                <w:sz w:val="12"/>
                <w:szCs w:val="12"/>
                <w:color w:val="auto"/>
              </w:rPr>
              <w:t>13.3%</w:t>
            </w:r>
          </w:p>
        </w:tc>
        <w:tc>
          <w:tcPr>
            <w:tcW w:w="0" w:type="dxa"/>
            <w:vAlign w:val="bottom"/>
          </w:tcPr>
          <w:p>
            <w:pPr>
              <w:spacing w:after="0"/>
              <w:rPr>
                <w:sz w:val="1"/>
                <w:szCs w:val="1"/>
                <w:color w:val="auto"/>
              </w:rPr>
            </w:pPr>
          </w:p>
        </w:tc>
      </w:tr>
      <w:tr>
        <w:trPr>
          <w:trHeight w:val="143"/>
        </w:trPr>
        <w:tc>
          <w:tcPr>
            <w:tcW w:w="33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2"/>
                <w:szCs w:val="12"/>
                <w:color w:val="auto"/>
              </w:rPr>
              <w:t>Net equity</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35,843,202</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6"/>
              </w:rPr>
              <w:t>38,366,950</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6"/>
              </w:rPr>
              <w:t>40,018,343</w:t>
            </w:r>
          </w:p>
        </w:tc>
        <w:tc>
          <w:tcPr>
            <w:tcW w:w="800" w:type="dxa"/>
            <w:vAlign w:val="bottom"/>
            <w:tcBorders>
              <w:bottom w:val="single" w:sz="8" w:color="auto"/>
            </w:tcBorders>
          </w:tcPr>
          <w:p>
            <w:pPr>
              <w:jc w:val="center"/>
              <w:ind w:left="221"/>
              <w:spacing w:after="0"/>
              <w:rPr>
                <w:sz w:val="20"/>
                <w:szCs w:val="20"/>
                <w:color w:val="auto"/>
              </w:rPr>
            </w:pPr>
            <w:r>
              <w:rPr>
                <w:rFonts w:ascii="Times New Roman" w:cs="Times New Roman" w:eastAsia="Times New Roman" w:hAnsi="Times New Roman"/>
                <w:sz w:val="12"/>
                <w:szCs w:val="12"/>
                <w:color w:val="auto"/>
                <w:w w:val="95"/>
              </w:rPr>
              <w:t>4.3%</w:t>
            </w:r>
          </w:p>
        </w:tc>
        <w:tc>
          <w:tcPr>
            <w:tcW w:w="1440" w:type="dxa"/>
            <w:vAlign w:val="bottom"/>
            <w:tcBorders>
              <w:bottom w:val="single" w:sz="8" w:color="auto"/>
              <w:right w:val="single" w:sz="8" w:color="auto"/>
            </w:tcBorders>
          </w:tcPr>
          <w:p>
            <w:pPr>
              <w:jc w:val="center"/>
              <w:ind w:left="221"/>
              <w:spacing w:after="0"/>
              <w:rPr>
                <w:sz w:val="20"/>
                <w:szCs w:val="20"/>
                <w:color w:val="auto"/>
              </w:rPr>
            </w:pPr>
            <w:r>
              <w:rPr>
                <w:rFonts w:ascii="Times New Roman" w:cs="Times New Roman" w:eastAsia="Times New Roman" w:hAnsi="Times New Roman"/>
                <w:sz w:val="12"/>
                <w:szCs w:val="12"/>
                <w:color w:val="auto"/>
              </w:rPr>
              <w:t>11.6%</w:t>
            </w:r>
          </w:p>
        </w:tc>
        <w:tc>
          <w:tcPr>
            <w:tcW w:w="0" w:type="dxa"/>
            <w:vAlign w:val="bottom"/>
          </w:tcPr>
          <w:p>
            <w:pPr>
              <w:spacing w:after="0"/>
              <w:rPr>
                <w:sz w:val="1"/>
                <w:szCs w:val="1"/>
                <w:color w:val="auto"/>
              </w:rPr>
            </w:pPr>
          </w:p>
        </w:tc>
      </w:tr>
      <w:tr>
        <w:trPr>
          <w:trHeight w:val="98"/>
        </w:trPr>
        <w:tc>
          <w:tcPr>
            <w:tcW w:w="3380" w:type="dxa"/>
            <w:vAlign w:val="bottom"/>
            <w:tcBorders>
              <w:left w:val="single" w:sz="8" w:color="auto"/>
              <w:right w:val="single" w:sz="8" w:color="auto"/>
            </w:tcBorders>
          </w:tcPr>
          <w:p>
            <w:pPr>
              <w:ind w:left="40"/>
              <w:spacing w:after="0" w:line="98" w:lineRule="exact"/>
              <w:rPr>
                <w:sz w:val="20"/>
                <w:szCs w:val="20"/>
                <w:color w:val="auto"/>
              </w:rPr>
            </w:pPr>
            <w:r>
              <w:rPr>
                <w:rFonts w:ascii="Times New Roman" w:cs="Times New Roman" w:eastAsia="Times New Roman" w:hAnsi="Times New Roman"/>
                <w:sz w:val="11"/>
                <w:szCs w:val="11"/>
                <w:b w:val="1"/>
                <w:bCs w:val="1"/>
                <w:color w:val="auto"/>
              </w:rPr>
              <w:t>Profitability</w:t>
            </w: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Borders>
              <w:right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14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3380" w:type="dxa"/>
            <w:vAlign w:val="bottom"/>
            <w:tcBorders>
              <w:left w:val="single" w:sz="8" w:color="auto"/>
              <w:right w:val="single" w:sz="8" w:color="auto"/>
            </w:tcBorders>
          </w:tcPr>
          <w:p>
            <w:pPr>
              <w:ind w:left="40"/>
              <w:spacing w:after="0" w:line="133" w:lineRule="exact"/>
              <w:rPr>
                <w:sz w:val="20"/>
                <w:szCs w:val="20"/>
                <w:color w:val="auto"/>
              </w:rPr>
            </w:pPr>
            <w:r>
              <w:rPr>
                <w:rFonts w:ascii="Times New Roman" w:cs="Times New Roman" w:eastAsia="Times New Roman" w:hAnsi="Times New Roman"/>
                <w:sz w:val="10"/>
                <w:szCs w:val="10"/>
                <w:color w:val="auto"/>
              </w:rPr>
              <w:t>Net interest margin</w:t>
            </w:r>
            <w:r>
              <w:rPr>
                <w:rFonts w:ascii="Times New Roman" w:cs="Times New Roman" w:eastAsia="Times New Roman" w:hAnsi="Times New Roman"/>
                <w:sz w:val="15"/>
                <w:szCs w:val="15"/>
                <w:color w:val="auto"/>
                <w:vertAlign w:val="superscript"/>
              </w:rPr>
              <w:t>(1)</w:t>
            </w:r>
          </w:p>
        </w:tc>
        <w:tc>
          <w:tcPr>
            <w:tcW w:w="110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6.2%</w:t>
            </w:r>
          </w:p>
        </w:tc>
        <w:tc>
          <w:tcPr>
            <w:tcW w:w="112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5"/>
              </w:rPr>
              <w:t>6.6%</w:t>
            </w:r>
          </w:p>
        </w:tc>
        <w:tc>
          <w:tcPr>
            <w:tcW w:w="1140" w:type="dxa"/>
            <w:vAlign w:val="bottom"/>
            <w:tcBorders>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5"/>
              </w:rPr>
              <w:t>6.6%</w:t>
            </w:r>
          </w:p>
        </w:tc>
        <w:tc>
          <w:tcPr>
            <w:tcW w:w="800" w:type="dxa"/>
            <w:vAlign w:val="bottom"/>
          </w:tcPr>
          <w:p>
            <w:pPr>
              <w:jc w:val="center"/>
              <w:ind w:left="261"/>
              <w:spacing w:after="0" w:line="133" w:lineRule="exact"/>
              <w:rPr>
                <w:sz w:val="20"/>
                <w:szCs w:val="20"/>
                <w:color w:val="auto"/>
              </w:rPr>
            </w:pPr>
            <w:r>
              <w:rPr>
                <w:rFonts w:ascii="Times New Roman" w:cs="Times New Roman" w:eastAsia="Times New Roman" w:hAnsi="Times New Roman"/>
                <w:sz w:val="12"/>
                <w:szCs w:val="12"/>
                <w:color w:val="auto"/>
                <w:w w:val="94"/>
              </w:rPr>
              <w:t>-4 bps</w:t>
            </w:r>
          </w:p>
        </w:tc>
        <w:tc>
          <w:tcPr>
            <w:tcW w:w="1440" w:type="dxa"/>
            <w:vAlign w:val="bottom"/>
            <w:tcBorders>
              <w:right w:val="single" w:sz="8" w:color="auto"/>
            </w:tcBorders>
          </w:tcPr>
          <w:p>
            <w:pPr>
              <w:jc w:val="center"/>
              <w:ind w:left="261"/>
              <w:spacing w:after="0" w:line="133" w:lineRule="exact"/>
              <w:rPr>
                <w:sz w:val="20"/>
                <w:szCs w:val="20"/>
                <w:color w:val="auto"/>
              </w:rPr>
            </w:pPr>
            <w:r>
              <w:rPr>
                <w:rFonts w:ascii="Times New Roman" w:cs="Times New Roman" w:eastAsia="Times New Roman" w:hAnsi="Times New Roman"/>
                <w:sz w:val="12"/>
                <w:szCs w:val="12"/>
                <w:color w:val="auto"/>
              </w:rPr>
              <w:t>36 bps</w:t>
            </w:r>
          </w:p>
        </w:tc>
        <w:tc>
          <w:tcPr>
            <w:tcW w:w="0" w:type="dxa"/>
            <w:vAlign w:val="bottom"/>
          </w:tcPr>
          <w:p>
            <w:pPr>
              <w:spacing w:after="0"/>
              <w:rPr>
                <w:sz w:val="1"/>
                <w:szCs w:val="1"/>
                <w:color w:val="auto"/>
              </w:rPr>
            </w:pPr>
          </w:p>
        </w:tc>
      </w:tr>
      <w:tr>
        <w:trPr>
          <w:trHeight w:val="121"/>
        </w:trPr>
        <w:tc>
          <w:tcPr>
            <w:tcW w:w="3380" w:type="dxa"/>
            <w:vAlign w:val="bottom"/>
            <w:tcBorders>
              <w:left w:val="single" w:sz="8" w:color="auto"/>
              <w:right w:val="single" w:sz="8" w:color="auto"/>
            </w:tcBorders>
          </w:tcPr>
          <w:p>
            <w:pPr>
              <w:ind w:left="40"/>
              <w:spacing w:after="0" w:line="121" w:lineRule="exact"/>
              <w:rPr>
                <w:sz w:val="20"/>
                <w:szCs w:val="20"/>
                <w:color w:val="auto"/>
              </w:rPr>
            </w:pPr>
            <w:r>
              <w:rPr>
                <w:rFonts w:ascii="Times New Roman" w:cs="Times New Roman" w:eastAsia="Times New Roman" w:hAnsi="Times New Roman"/>
                <w:sz w:val="12"/>
                <w:szCs w:val="12"/>
                <w:color w:val="auto"/>
              </w:rPr>
              <w:t>Risk-adjusted Net interest margin</w:t>
            </w:r>
          </w:p>
        </w:tc>
        <w:tc>
          <w:tcPr>
            <w:tcW w:w="1100" w:type="dxa"/>
            <w:vAlign w:val="bottom"/>
          </w:tcPr>
          <w:p>
            <w:pPr>
              <w:jc w:val="center"/>
              <w:spacing w:after="0" w:line="121" w:lineRule="exact"/>
              <w:rPr>
                <w:sz w:val="20"/>
                <w:szCs w:val="20"/>
                <w:color w:val="auto"/>
              </w:rPr>
            </w:pPr>
            <w:r>
              <w:rPr>
                <w:rFonts w:ascii="Times New Roman" w:cs="Times New Roman" w:eastAsia="Times New Roman" w:hAnsi="Times New Roman"/>
                <w:sz w:val="12"/>
                <w:szCs w:val="12"/>
                <w:color w:val="auto"/>
              </w:rPr>
              <w:t>5.2%</w:t>
            </w:r>
          </w:p>
        </w:tc>
        <w:tc>
          <w:tcPr>
            <w:tcW w:w="1120" w:type="dxa"/>
            <w:vAlign w:val="bottom"/>
          </w:tcPr>
          <w:p>
            <w:pPr>
              <w:jc w:val="center"/>
              <w:spacing w:after="0" w:line="121" w:lineRule="exact"/>
              <w:rPr>
                <w:sz w:val="20"/>
                <w:szCs w:val="20"/>
                <w:color w:val="auto"/>
              </w:rPr>
            </w:pPr>
            <w:r>
              <w:rPr>
                <w:rFonts w:ascii="Times New Roman" w:cs="Times New Roman" w:eastAsia="Times New Roman" w:hAnsi="Times New Roman"/>
                <w:sz w:val="12"/>
                <w:szCs w:val="12"/>
                <w:color w:val="auto"/>
                <w:w w:val="95"/>
              </w:rPr>
              <w:t>5.5%</w:t>
            </w:r>
          </w:p>
        </w:tc>
        <w:tc>
          <w:tcPr>
            <w:tcW w:w="1140" w:type="dxa"/>
            <w:vAlign w:val="bottom"/>
            <w:tcBorders>
              <w:right w:val="single" w:sz="8" w:color="auto"/>
            </w:tcBorders>
          </w:tcPr>
          <w:p>
            <w:pPr>
              <w:jc w:val="center"/>
              <w:spacing w:after="0" w:line="121" w:lineRule="exact"/>
              <w:rPr>
                <w:sz w:val="20"/>
                <w:szCs w:val="20"/>
                <w:color w:val="auto"/>
              </w:rPr>
            </w:pPr>
            <w:r>
              <w:rPr>
                <w:rFonts w:ascii="Times New Roman" w:cs="Times New Roman" w:eastAsia="Times New Roman" w:hAnsi="Times New Roman"/>
                <w:sz w:val="12"/>
                <w:szCs w:val="12"/>
                <w:color w:val="auto"/>
                <w:w w:val="95"/>
              </w:rPr>
              <w:t>5.8%</w:t>
            </w:r>
          </w:p>
        </w:tc>
        <w:tc>
          <w:tcPr>
            <w:tcW w:w="800" w:type="dxa"/>
            <w:vAlign w:val="bottom"/>
          </w:tcPr>
          <w:p>
            <w:pPr>
              <w:jc w:val="center"/>
              <w:ind w:left="261"/>
              <w:spacing w:after="0" w:line="121" w:lineRule="exact"/>
              <w:rPr>
                <w:sz w:val="20"/>
                <w:szCs w:val="20"/>
                <w:color w:val="auto"/>
              </w:rPr>
            </w:pPr>
            <w:r>
              <w:rPr>
                <w:rFonts w:ascii="Times New Roman" w:cs="Times New Roman" w:eastAsia="Times New Roman" w:hAnsi="Times New Roman"/>
                <w:sz w:val="12"/>
                <w:szCs w:val="12"/>
                <w:color w:val="auto"/>
              </w:rPr>
              <w:t>26 bps</w:t>
            </w:r>
          </w:p>
        </w:tc>
        <w:tc>
          <w:tcPr>
            <w:tcW w:w="1440" w:type="dxa"/>
            <w:vAlign w:val="bottom"/>
            <w:tcBorders>
              <w:right w:val="single" w:sz="8" w:color="auto"/>
            </w:tcBorders>
          </w:tcPr>
          <w:p>
            <w:pPr>
              <w:jc w:val="center"/>
              <w:ind w:left="261"/>
              <w:spacing w:after="0" w:line="121" w:lineRule="exact"/>
              <w:rPr>
                <w:sz w:val="20"/>
                <w:szCs w:val="20"/>
                <w:color w:val="auto"/>
              </w:rPr>
            </w:pPr>
            <w:r>
              <w:rPr>
                <w:rFonts w:ascii="Times New Roman" w:cs="Times New Roman" w:eastAsia="Times New Roman" w:hAnsi="Times New Roman"/>
                <w:sz w:val="12"/>
                <w:szCs w:val="12"/>
                <w:color w:val="auto"/>
              </w:rPr>
              <w:t>57 bps</w:t>
            </w:r>
          </w:p>
        </w:tc>
        <w:tc>
          <w:tcPr>
            <w:tcW w:w="0" w:type="dxa"/>
            <w:vAlign w:val="bottom"/>
          </w:tcPr>
          <w:p>
            <w:pPr>
              <w:spacing w:after="0"/>
              <w:rPr>
                <w:sz w:val="1"/>
                <w:szCs w:val="1"/>
                <w:color w:val="auto"/>
              </w:rPr>
            </w:pPr>
          </w:p>
        </w:tc>
      </w:tr>
      <w:tr>
        <w:trPr>
          <w:trHeight w:val="133"/>
        </w:trPr>
        <w:tc>
          <w:tcPr>
            <w:tcW w:w="3380" w:type="dxa"/>
            <w:vAlign w:val="bottom"/>
            <w:tcBorders>
              <w:left w:val="single" w:sz="8" w:color="auto"/>
              <w:right w:val="single" w:sz="8" w:color="auto"/>
            </w:tcBorders>
          </w:tcPr>
          <w:p>
            <w:pPr>
              <w:ind w:left="40"/>
              <w:spacing w:after="0" w:line="133" w:lineRule="exact"/>
              <w:rPr>
                <w:sz w:val="20"/>
                <w:szCs w:val="20"/>
                <w:color w:val="auto"/>
              </w:rPr>
            </w:pPr>
            <w:r>
              <w:rPr>
                <w:rFonts w:ascii="Times New Roman" w:cs="Times New Roman" w:eastAsia="Times New Roman" w:hAnsi="Times New Roman"/>
                <w:sz w:val="10"/>
                <w:szCs w:val="10"/>
                <w:color w:val="auto"/>
              </w:rPr>
              <w:t>Funding cost</w:t>
            </w:r>
            <w:r>
              <w:rPr>
                <w:rFonts w:ascii="Times New Roman" w:cs="Times New Roman" w:eastAsia="Times New Roman" w:hAnsi="Times New Roman"/>
                <w:sz w:val="15"/>
                <w:szCs w:val="15"/>
                <w:color w:val="auto"/>
                <w:vertAlign w:val="superscript"/>
              </w:rPr>
              <w:t>(2)</w:t>
            </w:r>
          </w:p>
        </w:tc>
        <w:tc>
          <w:tcPr>
            <w:tcW w:w="110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2.4%</w:t>
            </w:r>
          </w:p>
        </w:tc>
        <w:tc>
          <w:tcPr>
            <w:tcW w:w="112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5"/>
              </w:rPr>
              <w:t>2.3%</w:t>
            </w:r>
          </w:p>
        </w:tc>
        <w:tc>
          <w:tcPr>
            <w:tcW w:w="1140" w:type="dxa"/>
            <w:vAlign w:val="bottom"/>
            <w:tcBorders>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5"/>
              </w:rPr>
              <w:t>2.1%</w:t>
            </w:r>
          </w:p>
        </w:tc>
        <w:tc>
          <w:tcPr>
            <w:tcW w:w="800" w:type="dxa"/>
            <w:vAlign w:val="bottom"/>
          </w:tcPr>
          <w:p>
            <w:pPr>
              <w:jc w:val="center"/>
              <w:ind w:left="261"/>
              <w:spacing w:after="0" w:line="133" w:lineRule="exact"/>
              <w:rPr>
                <w:sz w:val="20"/>
                <w:szCs w:val="20"/>
                <w:color w:val="auto"/>
              </w:rPr>
            </w:pPr>
            <w:r>
              <w:rPr>
                <w:rFonts w:ascii="Times New Roman" w:cs="Times New Roman" w:eastAsia="Times New Roman" w:hAnsi="Times New Roman"/>
                <w:sz w:val="12"/>
                <w:szCs w:val="12"/>
                <w:color w:val="auto"/>
              </w:rPr>
              <w:t>-20 bps</w:t>
            </w:r>
          </w:p>
        </w:tc>
        <w:tc>
          <w:tcPr>
            <w:tcW w:w="1440" w:type="dxa"/>
            <w:vAlign w:val="bottom"/>
            <w:tcBorders>
              <w:right w:val="single" w:sz="8" w:color="auto"/>
            </w:tcBorders>
          </w:tcPr>
          <w:p>
            <w:pPr>
              <w:jc w:val="center"/>
              <w:ind w:left="261"/>
              <w:spacing w:after="0" w:line="133" w:lineRule="exact"/>
              <w:rPr>
                <w:sz w:val="20"/>
                <w:szCs w:val="20"/>
                <w:color w:val="auto"/>
              </w:rPr>
            </w:pPr>
            <w:r>
              <w:rPr>
                <w:rFonts w:ascii="Times New Roman" w:cs="Times New Roman" w:eastAsia="Times New Roman" w:hAnsi="Times New Roman"/>
                <w:sz w:val="12"/>
                <w:szCs w:val="12"/>
                <w:color w:val="auto"/>
              </w:rPr>
              <w:t>-31 bps</w:t>
            </w:r>
          </w:p>
        </w:tc>
        <w:tc>
          <w:tcPr>
            <w:tcW w:w="0" w:type="dxa"/>
            <w:vAlign w:val="bottom"/>
          </w:tcPr>
          <w:p>
            <w:pPr>
              <w:spacing w:after="0"/>
              <w:rPr>
                <w:sz w:val="1"/>
                <w:szCs w:val="1"/>
                <w:color w:val="auto"/>
              </w:rPr>
            </w:pPr>
          </w:p>
        </w:tc>
      </w:tr>
      <w:tr>
        <w:trPr>
          <w:trHeight w:val="127"/>
        </w:trPr>
        <w:tc>
          <w:tcPr>
            <w:tcW w:w="3380" w:type="dxa"/>
            <w:vAlign w:val="bottom"/>
            <w:tcBorders>
              <w:left w:val="single" w:sz="8" w:color="auto"/>
              <w:right w:val="single" w:sz="8" w:color="auto"/>
            </w:tcBorders>
          </w:tcPr>
          <w:p>
            <w:pPr>
              <w:ind w:left="40"/>
              <w:spacing w:after="0" w:line="127" w:lineRule="exact"/>
              <w:rPr>
                <w:sz w:val="20"/>
                <w:szCs w:val="20"/>
                <w:color w:val="auto"/>
              </w:rPr>
            </w:pPr>
            <w:r>
              <w:rPr>
                <w:rFonts w:ascii="Times New Roman" w:cs="Times New Roman" w:eastAsia="Times New Roman" w:hAnsi="Times New Roman"/>
                <w:sz w:val="12"/>
                <w:szCs w:val="12"/>
                <w:color w:val="auto"/>
              </w:rPr>
              <w:t>ROAE</w:t>
            </w:r>
          </w:p>
        </w:tc>
        <w:tc>
          <w:tcPr>
            <w:tcW w:w="110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6"/>
              </w:rPr>
              <w:t>20.3%</w:t>
            </w:r>
          </w:p>
        </w:tc>
        <w:tc>
          <w:tcPr>
            <w:tcW w:w="112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rPr>
              <w:t>16.9%</w:t>
            </w:r>
          </w:p>
        </w:tc>
        <w:tc>
          <w:tcPr>
            <w:tcW w:w="1140" w:type="dxa"/>
            <w:vAlign w:val="bottom"/>
            <w:tcBorders>
              <w:right w:val="single" w:sz="8" w:color="auto"/>
            </w:tcBorders>
          </w:tcPr>
          <w:p>
            <w:pPr>
              <w:jc w:val="center"/>
              <w:spacing w:after="0" w:line="127" w:lineRule="exact"/>
              <w:rPr>
                <w:sz w:val="20"/>
                <w:szCs w:val="20"/>
                <w:color w:val="auto"/>
              </w:rPr>
            </w:pPr>
            <w:r>
              <w:rPr>
                <w:rFonts w:ascii="Times New Roman" w:cs="Times New Roman" w:eastAsia="Times New Roman" w:hAnsi="Times New Roman"/>
                <w:sz w:val="12"/>
                <w:szCs w:val="12"/>
                <w:color w:val="auto"/>
              </w:rPr>
              <w:t>21.1%</w:t>
            </w:r>
          </w:p>
        </w:tc>
        <w:tc>
          <w:tcPr>
            <w:tcW w:w="800" w:type="dxa"/>
            <w:vAlign w:val="bottom"/>
          </w:tcPr>
          <w:p>
            <w:pPr>
              <w:jc w:val="center"/>
              <w:ind w:left="261"/>
              <w:spacing w:after="0" w:line="127" w:lineRule="exact"/>
              <w:rPr>
                <w:sz w:val="20"/>
                <w:szCs w:val="20"/>
                <w:color w:val="auto"/>
              </w:rPr>
            </w:pPr>
            <w:r>
              <w:rPr>
                <w:rFonts w:ascii="Times New Roman" w:cs="Times New Roman" w:eastAsia="Times New Roman" w:hAnsi="Times New Roman"/>
                <w:sz w:val="12"/>
                <w:szCs w:val="12"/>
                <w:color w:val="auto"/>
                <w:w w:val="95"/>
              </w:rPr>
              <w:t>420 bps</w:t>
            </w:r>
          </w:p>
        </w:tc>
        <w:tc>
          <w:tcPr>
            <w:tcW w:w="1440" w:type="dxa"/>
            <w:vAlign w:val="bottom"/>
            <w:tcBorders>
              <w:right w:val="single" w:sz="8" w:color="auto"/>
            </w:tcBorders>
          </w:tcPr>
          <w:p>
            <w:pPr>
              <w:jc w:val="center"/>
              <w:ind w:left="261"/>
              <w:spacing w:after="0" w:line="127" w:lineRule="exact"/>
              <w:rPr>
                <w:sz w:val="20"/>
                <w:szCs w:val="20"/>
                <w:color w:val="auto"/>
              </w:rPr>
            </w:pPr>
            <w:r>
              <w:rPr>
                <w:rFonts w:ascii="Times New Roman" w:cs="Times New Roman" w:eastAsia="Times New Roman" w:hAnsi="Times New Roman"/>
                <w:sz w:val="12"/>
                <w:szCs w:val="12"/>
                <w:color w:val="auto"/>
              </w:rPr>
              <w:t>80 bps</w:t>
            </w:r>
          </w:p>
        </w:tc>
        <w:tc>
          <w:tcPr>
            <w:tcW w:w="0" w:type="dxa"/>
            <w:vAlign w:val="bottom"/>
          </w:tcPr>
          <w:p>
            <w:pPr>
              <w:spacing w:after="0"/>
              <w:rPr>
                <w:sz w:val="1"/>
                <w:szCs w:val="1"/>
                <w:color w:val="auto"/>
              </w:rPr>
            </w:pPr>
          </w:p>
        </w:tc>
      </w:tr>
      <w:tr>
        <w:trPr>
          <w:trHeight w:val="143"/>
        </w:trPr>
        <w:tc>
          <w:tcPr>
            <w:tcW w:w="33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2"/>
                <w:szCs w:val="12"/>
                <w:color w:val="auto"/>
              </w:rPr>
              <w:t>ROAA</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2.8%</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5"/>
              </w:rPr>
              <w:t>2.4%</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5"/>
              </w:rPr>
              <w:t>3.0%</w:t>
            </w:r>
          </w:p>
        </w:tc>
        <w:tc>
          <w:tcPr>
            <w:tcW w:w="800" w:type="dxa"/>
            <w:vAlign w:val="bottom"/>
            <w:tcBorders>
              <w:bottom w:val="single" w:sz="8" w:color="auto"/>
            </w:tcBorders>
          </w:tcPr>
          <w:p>
            <w:pPr>
              <w:jc w:val="center"/>
              <w:ind w:left="261"/>
              <w:spacing w:after="0"/>
              <w:rPr>
                <w:sz w:val="20"/>
                <w:szCs w:val="20"/>
                <w:color w:val="auto"/>
              </w:rPr>
            </w:pPr>
            <w:r>
              <w:rPr>
                <w:rFonts w:ascii="Times New Roman" w:cs="Times New Roman" w:eastAsia="Times New Roman" w:hAnsi="Times New Roman"/>
                <w:sz w:val="12"/>
                <w:szCs w:val="12"/>
                <w:color w:val="auto"/>
              </w:rPr>
              <w:t>60 bps</w:t>
            </w:r>
          </w:p>
        </w:tc>
        <w:tc>
          <w:tcPr>
            <w:tcW w:w="1440" w:type="dxa"/>
            <w:vAlign w:val="bottom"/>
            <w:tcBorders>
              <w:bottom w:val="single" w:sz="8" w:color="auto"/>
              <w:right w:val="single" w:sz="8" w:color="auto"/>
            </w:tcBorders>
          </w:tcPr>
          <w:p>
            <w:pPr>
              <w:jc w:val="center"/>
              <w:ind w:left="261"/>
              <w:spacing w:after="0"/>
              <w:rPr>
                <w:sz w:val="20"/>
                <w:szCs w:val="20"/>
                <w:color w:val="auto"/>
              </w:rPr>
            </w:pPr>
            <w:r>
              <w:rPr>
                <w:rFonts w:ascii="Times New Roman" w:cs="Times New Roman" w:eastAsia="Times New Roman" w:hAnsi="Times New Roman"/>
                <w:sz w:val="12"/>
                <w:szCs w:val="12"/>
                <w:color w:val="auto"/>
              </w:rPr>
              <w:t>20 bps</w:t>
            </w:r>
          </w:p>
        </w:tc>
        <w:tc>
          <w:tcPr>
            <w:tcW w:w="0" w:type="dxa"/>
            <w:vAlign w:val="bottom"/>
          </w:tcPr>
          <w:p>
            <w:pPr>
              <w:spacing w:after="0"/>
              <w:rPr>
                <w:sz w:val="1"/>
                <w:szCs w:val="1"/>
                <w:color w:val="auto"/>
              </w:rPr>
            </w:pPr>
          </w:p>
        </w:tc>
      </w:tr>
      <w:tr>
        <w:trPr>
          <w:trHeight w:val="98"/>
        </w:trPr>
        <w:tc>
          <w:tcPr>
            <w:tcW w:w="3380" w:type="dxa"/>
            <w:vAlign w:val="bottom"/>
            <w:tcBorders>
              <w:left w:val="single" w:sz="8" w:color="auto"/>
              <w:right w:val="single" w:sz="8" w:color="auto"/>
            </w:tcBorders>
          </w:tcPr>
          <w:p>
            <w:pPr>
              <w:ind w:left="40"/>
              <w:spacing w:after="0" w:line="98" w:lineRule="exact"/>
              <w:rPr>
                <w:sz w:val="20"/>
                <w:szCs w:val="20"/>
                <w:color w:val="auto"/>
              </w:rPr>
            </w:pPr>
            <w:r>
              <w:rPr>
                <w:rFonts w:ascii="Times New Roman" w:cs="Times New Roman" w:eastAsia="Times New Roman" w:hAnsi="Times New Roman"/>
                <w:sz w:val="11"/>
                <w:szCs w:val="11"/>
                <w:b w:val="1"/>
                <w:bCs w:val="1"/>
                <w:color w:val="auto"/>
              </w:rPr>
              <w:t>Loan portfolio quality</w:t>
            </w: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Borders>
              <w:right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14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3380" w:type="dxa"/>
            <w:vAlign w:val="bottom"/>
            <w:tcBorders>
              <w:left w:val="single" w:sz="8" w:color="auto"/>
              <w:right w:val="single" w:sz="8" w:color="auto"/>
            </w:tcBorders>
          </w:tcPr>
          <w:p>
            <w:pPr>
              <w:ind w:left="40"/>
              <w:spacing w:after="0" w:line="133" w:lineRule="exact"/>
              <w:rPr>
                <w:sz w:val="20"/>
                <w:szCs w:val="20"/>
                <w:color w:val="auto"/>
              </w:rPr>
            </w:pPr>
            <w:r>
              <w:rPr>
                <w:rFonts w:ascii="Times New Roman" w:cs="Times New Roman" w:eastAsia="Times New Roman" w:hAnsi="Times New Roman"/>
                <w:sz w:val="10"/>
                <w:szCs w:val="10"/>
                <w:color w:val="auto"/>
              </w:rPr>
              <w:t>Internal overdue ratio</w:t>
            </w:r>
            <w:r>
              <w:rPr>
                <w:rFonts w:ascii="Times New Roman" w:cs="Times New Roman" w:eastAsia="Times New Roman" w:hAnsi="Times New Roman"/>
                <w:sz w:val="15"/>
                <w:szCs w:val="15"/>
                <w:color w:val="auto"/>
                <w:vertAlign w:val="superscript"/>
              </w:rPr>
              <w:t>(3)</w:t>
            </w:r>
          </w:p>
        </w:tc>
        <w:tc>
          <w:tcPr>
            <w:tcW w:w="110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3.7%</w:t>
            </w:r>
          </w:p>
        </w:tc>
        <w:tc>
          <w:tcPr>
            <w:tcW w:w="112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5"/>
              </w:rPr>
              <w:t>3.2%</w:t>
            </w:r>
          </w:p>
        </w:tc>
        <w:tc>
          <w:tcPr>
            <w:tcW w:w="1140" w:type="dxa"/>
            <w:vAlign w:val="bottom"/>
            <w:tcBorders>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5"/>
              </w:rPr>
              <w:t>2.9%</w:t>
            </w:r>
          </w:p>
        </w:tc>
        <w:tc>
          <w:tcPr>
            <w:tcW w:w="800" w:type="dxa"/>
            <w:vAlign w:val="bottom"/>
          </w:tcPr>
          <w:p>
            <w:pPr>
              <w:jc w:val="center"/>
              <w:ind w:left="261"/>
              <w:spacing w:after="0" w:line="133" w:lineRule="exact"/>
              <w:rPr>
                <w:sz w:val="20"/>
                <w:szCs w:val="20"/>
                <w:color w:val="auto"/>
              </w:rPr>
            </w:pPr>
            <w:r>
              <w:rPr>
                <w:rFonts w:ascii="Times New Roman" w:cs="Times New Roman" w:eastAsia="Times New Roman" w:hAnsi="Times New Roman"/>
                <w:sz w:val="12"/>
                <w:szCs w:val="12"/>
                <w:color w:val="auto"/>
              </w:rPr>
              <w:t>-28 bps</w:t>
            </w:r>
          </w:p>
        </w:tc>
        <w:tc>
          <w:tcPr>
            <w:tcW w:w="1440" w:type="dxa"/>
            <w:vAlign w:val="bottom"/>
            <w:tcBorders>
              <w:right w:val="single" w:sz="8" w:color="auto"/>
            </w:tcBorders>
          </w:tcPr>
          <w:p>
            <w:pPr>
              <w:jc w:val="center"/>
              <w:ind w:left="261"/>
              <w:spacing w:after="0" w:line="133" w:lineRule="exact"/>
              <w:rPr>
                <w:sz w:val="20"/>
                <w:szCs w:val="20"/>
                <w:color w:val="auto"/>
              </w:rPr>
            </w:pPr>
            <w:r>
              <w:rPr>
                <w:rFonts w:ascii="Times New Roman" w:cs="Times New Roman" w:eastAsia="Times New Roman" w:hAnsi="Times New Roman"/>
                <w:sz w:val="12"/>
                <w:szCs w:val="12"/>
                <w:color w:val="auto"/>
              </w:rPr>
              <w:t>-76 bps</w:t>
            </w:r>
          </w:p>
        </w:tc>
        <w:tc>
          <w:tcPr>
            <w:tcW w:w="0" w:type="dxa"/>
            <w:vAlign w:val="bottom"/>
          </w:tcPr>
          <w:p>
            <w:pPr>
              <w:spacing w:after="0"/>
              <w:rPr>
                <w:sz w:val="1"/>
                <w:szCs w:val="1"/>
                <w:color w:val="auto"/>
              </w:rPr>
            </w:pPr>
          </w:p>
        </w:tc>
      </w:tr>
      <w:tr>
        <w:trPr>
          <w:trHeight w:val="121"/>
        </w:trPr>
        <w:tc>
          <w:tcPr>
            <w:tcW w:w="3380" w:type="dxa"/>
            <w:vAlign w:val="bottom"/>
            <w:tcBorders>
              <w:left w:val="single" w:sz="8" w:color="auto"/>
              <w:right w:val="single" w:sz="8" w:color="auto"/>
            </w:tcBorders>
          </w:tcPr>
          <w:p>
            <w:pPr>
              <w:ind w:left="40"/>
              <w:spacing w:after="0" w:line="121" w:lineRule="exact"/>
              <w:rPr>
                <w:sz w:val="20"/>
                <w:szCs w:val="20"/>
                <w:color w:val="auto"/>
              </w:rPr>
            </w:pPr>
            <w:r>
              <w:rPr>
                <w:rFonts w:ascii="Times New Roman" w:cs="Times New Roman" w:eastAsia="Times New Roman" w:hAnsi="Times New Roman"/>
                <w:sz w:val="12"/>
                <w:szCs w:val="12"/>
                <w:color w:val="auto"/>
              </w:rPr>
              <w:t>Internal overdue ratio over 90 days</w:t>
            </w:r>
          </w:p>
        </w:tc>
        <w:tc>
          <w:tcPr>
            <w:tcW w:w="1100" w:type="dxa"/>
            <w:vAlign w:val="bottom"/>
          </w:tcPr>
          <w:p>
            <w:pPr>
              <w:jc w:val="center"/>
              <w:spacing w:after="0" w:line="121" w:lineRule="exact"/>
              <w:rPr>
                <w:sz w:val="20"/>
                <w:szCs w:val="20"/>
                <w:color w:val="auto"/>
              </w:rPr>
            </w:pPr>
            <w:r>
              <w:rPr>
                <w:rFonts w:ascii="Times New Roman" w:cs="Times New Roman" w:eastAsia="Times New Roman" w:hAnsi="Times New Roman"/>
                <w:sz w:val="12"/>
                <w:szCs w:val="12"/>
                <w:color w:val="auto"/>
              </w:rPr>
              <w:t>3.0%</w:t>
            </w:r>
          </w:p>
        </w:tc>
        <w:tc>
          <w:tcPr>
            <w:tcW w:w="1120" w:type="dxa"/>
            <w:vAlign w:val="bottom"/>
          </w:tcPr>
          <w:p>
            <w:pPr>
              <w:jc w:val="center"/>
              <w:spacing w:after="0" w:line="121" w:lineRule="exact"/>
              <w:rPr>
                <w:sz w:val="20"/>
                <w:szCs w:val="20"/>
                <w:color w:val="auto"/>
              </w:rPr>
            </w:pPr>
            <w:r>
              <w:rPr>
                <w:rFonts w:ascii="Times New Roman" w:cs="Times New Roman" w:eastAsia="Times New Roman" w:hAnsi="Times New Roman"/>
                <w:sz w:val="12"/>
                <w:szCs w:val="12"/>
                <w:color w:val="auto"/>
                <w:w w:val="95"/>
              </w:rPr>
              <w:t>2.7%</w:t>
            </w:r>
          </w:p>
        </w:tc>
        <w:tc>
          <w:tcPr>
            <w:tcW w:w="1140" w:type="dxa"/>
            <w:vAlign w:val="bottom"/>
            <w:tcBorders>
              <w:right w:val="single" w:sz="8" w:color="auto"/>
            </w:tcBorders>
          </w:tcPr>
          <w:p>
            <w:pPr>
              <w:jc w:val="center"/>
              <w:spacing w:after="0" w:line="121" w:lineRule="exact"/>
              <w:rPr>
                <w:sz w:val="20"/>
                <w:szCs w:val="20"/>
                <w:color w:val="auto"/>
              </w:rPr>
            </w:pPr>
            <w:r>
              <w:rPr>
                <w:rFonts w:ascii="Times New Roman" w:cs="Times New Roman" w:eastAsia="Times New Roman" w:hAnsi="Times New Roman"/>
                <w:sz w:val="12"/>
                <w:szCs w:val="12"/>
                <w:color w:val="auto"/>
                <w:w w:val="95"/>
              </w:rPr>
              <w:t>2.4%</w:t>
            </w:r>
          </w:p>
        </w:tc>
        <w:tc>
          <w:tcPr>
            <w:tcW w:w="800" w:type="dxa"/>
            <w:vAlign w:val="bottom"/>
          </w:tcPr>
          <w:p>
            <w:pPr>
              <w:jc w:val="center"/>
              <w:ind w:left="261"/>
              <w:spacing w:after="0" w:line="121" w:lineRule="exact"/>
              <w:rPr>
                <w:sz w:val="20"/>
                <w:szCs w:val="20"/>
                <w:color w:val="auto"/>
              </w:rPr>
            </w:pPr>
            <w:r>
              <w:rPr>
                <w:rFonts w:ascii="Times New Roman" w:cs="Times New Roman" w:eastAsia="Times New Roman" w:hAnsi="Times New Roman"/>
                <w:sz w:val="12"/>
                <w:szCs w:val="12"/>
                <w:color w:val="auto"/>
              </w:rPr>
              <w:t>-30 bps</w:t>
            </w:r>
          </w:p>
        </w:tc>
        <w:tc>
          <w:tcPr>
            <w:tcW w:w="1440" w:type="dxa"/>
            <w:vAlign w:val="bottom"/>
            <w:tcBorders>
              <w:right w:val="single" w:sz="8" w:color="auto"/>
            </w:tcBorders>
          </w:tcPr>
          <w:p>
            <w:pPr>
              <w:jc w:val="center"/>
              <w:ind w:left="261"/>
              <w:spacing w:after="0" w:line="121" w:lineRule="exact"/>
              <w:rPr>
                <w:sz w:val="20"/>
                <w:szCs w:val="20"/>
                <w:color w:val="auto"/>
              </w:rPr>
            </w:pPr>
            <w:r>
              <w:rPr>
                <w:rFonts w:ascii="Times New Roman" w:cs="Times New Roman" w:eastAsia="Times New Roman" w:hAnsi="Times New Roman"/>
                <w:sz w:val="12"/>
                <w:szCs w:val="12"/>
                <w:color w:val="auto"/>
              </w:rPr>
              <w:t>-60 bps</w:t>
            </w:r>
          </w:p>
        </w:tc>
        <w:tc>
          <w:tcPr>
            <w:tcW w:w="0" w:type="dxa"/>
            <w:vAlign w:val="bottom"/>
          </w:tcPr>
          <w:p>
            <w:pPr>
              <w:spacing w:after="0"/>
              <w:rPr>
                <w:sz w:val="1"/>
                <w:szCs w:val="1"/>
                <w:color w:val="auto"/>
              </w:rPr>
            </w:pPr>
          </w:p>
        </w:tc>
      </w:tr>
      <w:tr>
        <w:trPr>
          <w:trHeight w:val="127"/>
        </w:trPr>
        <w:tc>
          <w:tcPr>
            <w:tcW w:w="3380" w:type="dxa"/>
            <w:vAlign w:val="bottom"/>
            <w:tcBorders>
              <w:left w:val="single" w:sz="8" w:color="auto"/>
              <w:right w:val="single" w:sz="8" w:color="auto"/>
            </w:tcBorders>
          </w:tcPr>
          <w:p>
            <w:pPr>
              <w:ind w:left="40"/>
              <w:spacing w:after="0" w:line="127" w:lineRule="exact"/>
              <w:rPr>
                <w:sz w:val="20"/>
                <w:szCs w:val="20"/>
                <w:color w:val="auto"/>
              </w:rPr>
            </w:pPr>
            <w:r>
              <w:rPr>
                <w:rFonts w:ascii="Times New Roman" w:cs="Times New Roman" w:eastAsia="Times New Roman" w:hAnsi="Times New Roman"/>
                <w:sz w:val="9"/>
                <w:szCs w:val="9"/>
                <w:color w:val="auto"/>
              </w:rPr>
              <w:t>NPL ratio</w:t>
            </w:r>
            <w:r>
              <w:rPr>
                <w:rFonts w:ascii="Times New Roman" w:cs="Times New Roman" w:eastAsia="Times New Roman" w:hAnsi="Times New Roman"/>
                <w:sz w:val="14"/>
                <w:szCs w:val="14"/>
                <w:color w:val="auto"/>
                <w:vertAlign w:val="superscript"/>
              </w:rPr>
              <w:t>(4)</w:t>
            </w:r>
          </w:p>
        </w:tc>
        <w:tc>
          <w:tcPr>
            <w:tcW w:w="110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rPr>
              <w:t>5.1%</w:t>
            </w:r>
          </w:p>
        </w:tc>
        <w:tc>
          <w:tcPr>
            <w:tcW w:w="112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5"/>
              </w:rPr>
              <w:t>4.5%</w:t>
            </w:r>
          </w:p>
        </w:tc>
        <w:tc>
          <w:tcPr>
            <w:tcW w:w="1140" w:type="dxa"/>
            <w:vAlign w:val="bottom"/>
            <w:tcBorders>
              <w:right w:val="single" w:sz="8" w:color="auto"/>
            </w:tcBorders>
          </w:tcPr>
          <w:p>
            <w:pPr>
              <w:jc w:val="center"/>
              <w:spacing w:after="0" w:line="127" w:lineRule="exact"/>
              <w:rPr>
                <w:sz w:val="20"/>
                <w:szCs w:val="20"/>
                <w:color w:val="auto"/>
              </w:rPr>
            </w:pPr>
            <w:r>
              <w:rPr>
                <w:rFonts w:ascii="Times New Roman" w:cs="Times New Roman" w:eastAsia="Times New Roman" w:hAnsi="Times New Roman"/>
                <w:sz w:val="12"/>
                <w:szCs w:val="12"/>
                <w:color w:val="auto"/>
                <w:w w:val="95"/>
              </w:rPr>
              <w:t>4.3%</w:t>
            </w:r>
          </w:p>
        </w:tc>
        <w:tc>
          <w:tcPr>
            <w:tcW w:w="800" w:type="dxa"/>
            <w:vAlign w:val="bottom"/>
          </w:tcPr>
          <w:p>
            <w:pPr>
              <w:jc w:val="center"/>
              <w:ind w:left="261"/>
              <w:spacing w:after="0" w:line="127" w:lineRule="exact"/>
              <w:rPr>
                <w:sz w:val="20"/>
                <w:szCs w:val="20"/>
                <w:color w:val="auto"/>
              </w:rPr>
            </w:pPr>
            <w:r>
              <w:rPr>
                <w:rFonts w:ascii="Times New Roman" w:cs="Times New Roman" w:eastAsia="Times New Roman" w:hAnsi="Times New Roman"/>
                <w:sz w:val="12"/>
                <w:szCs w:val="12"/>
                <w:color w:val="auto"/>
              </w:rPr>
              <w:t>-28 bps</w:t>
            </w:r>
          </w:p>
        </w:tc>
        <w:tc>
          <w:tcPr>
            <w:tcW w:w="1440" w:type="dxa"/>
            <w:vAlign w:val="bottom"/>
            <w:tcBorders>
              <w:right w:val="single" w:sz="8" w:color="auto"/>
            </w:tcBorders>
          </w:tcPr>
          <w:p>
            <w:pPr>
              <w:jc w:val="center"/>
              <w:ind w:left="261"/>
              <w:spacing w:after="0" w:line="127" w:lineRule="exact"/>
              <w:rPr>
                <w:sz w:val="20"/>
                <w:szCs w:val="20"/>
                <w:color w:val="auto"/>
              </w:rPr>
            </w:pPr>
            <w:r>
              <w:rPr>
                <w:rFonts w:ascii="Times New Roman" w:cs="Times New Roman" w:eastAsia="Times New Roman" w:hAnsi="Times New Roman"/>
                <w:sz w:val="12"/>
                <w:szCs w:val="12"/>
                <w:color w:val="auto"/>
              </w:rPr>
              <w:t>-83 bps</w:t>
            </w:r>
          </w:p>
        </w:tc>
        <w:tc>
          <w:tcPr>
            <w:tcW w:w="0" w:type="dxa"/>
            <w:vAlign w:val="bottom"/>
          </w:tcPr>
          <w:p>
            <w:pPr>
              <w:spacing w:after="0"/>
              <w:rPr>
                <w:sz w:val="1"/>
                <w:szCs w:val="1"/>
                <w:color w:val="auto"/>
              </w:rPr>
            </w:pPr>
          </w:p>
        </w:tc>
      </w:tr>
      <w:tr>
        <w:trPr>
          <w:trHeight w:val="133"/>
        </w:trPr>
        <w:tc>
          <w:tcPr>
            <w:tcW w:w="3380" w:type="dxa"/>
            <w:vAlign w:val="bottom"/>
            <w:tcBorders>
              <w:left w:val="single" w:sz="8" w:color="auto"/>
              <w:right w:val="single" w:sz="8" w:color="auto"/>
            </w:tcBorders>
          </w:tcPr>
          <w:p>
            <w:pPr>
              <w:ind w:left="40"/>
              <w:spacing w:after="0" w:line="133" w:lineRule="exact"/>
              <w:rPr>
                <w:sz w:val="20"/>
                <w:szCs w:val="20"/>
                <w:color w:val="auto"/>
              </w:rPr>
            </w:pPr>
            <w:r>
              <w:rPr>
                <w:rFonts w:ascii="Times New Roman" w:cs="Times New Roman" w:eastAsia="Times New Roman" w:hAnsi="Times New Roman"/>
                <w:sz w:val="10"/>
                <w:szCs w:val="10"/>
                <w:color w:val="auto"/>
              </w:rPr>
              <w:t>Cost of risk</w:t>
            </w:r>
            <w:r>
              <w:rPr>
                <w:rFonts w:ascii="Times New Roman" w:cs="Times New Roman" w:eastAsia="Times New Roman" w:hAnsi="Times New Roman"/>
                <w:sz w:val="15"/>
                <w:szCs w:val="15"/>
                <w:color w:val="auto"/>
                <w:vertAlign w:val="superscript"/>
              </w:rPr>
              <w:t>(5)</w:t>
            </w:r>
          </w:p>
        </w:tc>
        <w:tc>
          <w:tcPr>
            <w:tcW w:w="110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1.6%</w:t>
            </w:r>
          </w:p>
        </w:tc>
        <w:tc>
          <w:tcPr>
            <w:tcW w:w="112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5"/>
              </w:rPr>
              <w:t>1.8%</w:t>
            </w:r>
          </w:p>
        </w:tc>
        <w:tc>
          <w:tcPr>
            <w:tcW w:w="1140" w:type="dxa"/>
            <w:vAlign w:val="bottom"/>
            <w:tcBorders>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5"/>
              </w:rPr>
              <w:t>1.3%</w:t>
            </w:r>
          </w:p>
        </w:tc>
        <w:tc>
          <w:tcPr>
            <w:tcW w:w="800" w:type="dxa"/>
            <w:vAlign w:val="bottom"/>
          </w:tcPr>
          <w:p>
            <w:pPr>
              <w:jc w:val="center"/>
              <w:ind w:left="261"/>
              <w:spacing w:after="0" w:line="133" w:lineRule="exact"/>
              <w:rPr>
                <w:sz w:val="20"/>
                <w:szCs w:val="20"/>
                <w:color w:val="auto"/>
              </w:rPr>
            </w:pPr>
            <w:r>
              <w:rPr>
                <w:rFonts w:ascii="Times New Roman" w:cs="Times New Roman" w:eastAsia="Times New Roman" w:hAnsi="Times New Roman"/>
                <w:sz w:val="12"/>
                <w:szCs w:val="12"/>
                <w:color w:val="auto"/>
              </w:rPr>
              <w:t>-48 bps</w:t>
            </w:r>
          </w:p>
        </w:tc>
        <w:tc>
          <w:tcPr>
            <w:tcW w:w="1440" w:type="dxa"/>
            <w:vAlign w:val="bottom"/>
            <w:tcBorders>
              <w:right w:val="single" w:sz="8" w:color="auto"/>
            </w:tcBorders>
          </w:tcPr>
          <w:p>
            <w:pPr>
              <w:jc w:val="center"/>
              <w:ind w:left="261"/>
              <w:spacing w:after="0" w:line="133" w:lineRule="exact"/>
              <w:rPr>
                <w:sz w:val="20"/>
                <w:szCs w:val="20"/>
                <w:color w:val="auto"/>
              </w:rPr>
            </w:pPr>
            <w:r>
              <w:rPr>
                <w:rFonts w:ascii="Times New Roman" w:cs="Times New Roman" w:eastAsia="Times New Roman" w:hAnsi="Times New Roman"/>
                <w:sz w:val="12"/>
                <w:szCs w:val="12"/>
                <w:color w:val="auto"/>
              </w:rPr>
              <w:t>-35 bps)</w:t>
            </w:r>
          </w:p>
        </w:tc>
        <w:tc>
          <w:tcPr>
            <w:tcW w:w="0" w:type="dxa"/>
            <w:vAlign w:val="bottom"/>
          </w:tcPr>
          <w:p>
            <w:pPr>
              <w:spacing w:after="0"/>
              <w:rPr>
                <w:sz w:val="1"/>
                <w:szCs w:val="1"/>
                <w:color w:val="auto"/>
              </w:rPr>
            </w:pPr>
          </w:p>
        </w:tc>
      </w:tr>
      <w:tr>
        <w:trPr>
          <w:trHeight w:val="127"/>
        </w:trPr>
        <w:tc>
          <w:tcPr>
            <w:tcW w:w="3380" w:type="dxa"/>
            <w:vAlign w:val="bottom"/>
            <w:tcBorders>
              <w:left w:val="single" w:sz="8" w:color="auto"/>
              <w:right w:val="single" w:sz="8" w:color="auto"/>
            </w:tcBorders>
          </w:tcPr>
          <w:p>
            <w:pPr>
              <w:ind w:left="40"/>
              <w:spacing w:after="0" w:line="127" w:lineRule="exact"/>
              <w:rPr>
                <w:sz w:val="20"/>
                <w:szCs w:val="20"/>
                <w:color w:val="auto"/>
              </w:rPr>
            </w:pPr>
            <w:r>
              <w:rPr>
                <w:rFonts w:ascii="Times New Roman" w:cs="Times New Roman" w:eastAsia="Times New Roman" w:hAnsi="Times New Roman"/>
                <w:sz w:val="12"/>
                <w:szCs w:val="12"/>
                <w:color w:val="auto"/>
              </w:rPr>
              <w:t>Coverage ratio of IOLs</w:t>
            </w:r>
          </w:p>
        </w:tc>
        <w:tc>
          <w:tcPr>
            <w:tcW w:w="110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rPr>
              <w:t>148.7%</w:t>
            </w:r>
          </w:p>
        </w:tc>
        <w:tc>
          <w:tcPr>
            <w:tcW w:w="112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7"/>
              </w:rPr>
              <w:t>159.3%</w:t>
            </w:r>
          </w:p>
        </w:tc>
        <w:tc>
          <w:tcPr>
            <w:tcW w:w="1140" w:type="dxa"/>
            <w:vAlign w:val="bottom"/>
            <w:tcBorders>
              <w:right w:val="single" w:sz="8" w:color="auto"/>
            </w:tcBorders>
          </w:tcPr>
          <w:p>
            <w:pPr>
              <w:jc w:val="center"/>
              <w:spacing w:after="0" w:line="127" w:lineRule="exact"/>
              <w:rPr>
                <w:sz w:val="20"/>
                <w:szCs w:val="20"/>
                <w:color w:val="auto"/>
              </w:rPr>
            </w:pPr>
            <w:r>
              <w:rPr>
                <w:rFonts w:ascii="Times New Roman" w:cs="Times New Roman" w:eastAsia="Times New Roman" w:hAnsi="Times New Roman"/>
                <w:sz w:val="12"/>
                <w:szCs w:val="12"/>
                <w:color w:val="auto"/>
                <w:w w:val="97"/>
              </w:rPr>
              <w:t>165.9%</w:t>
            </w:r>
          </w:p>
        </w:tc>
        <w:tc>
          <w:tcPr>
            <w:tcW w:w="800" w:type="dxa"/>
            <w:vAlign w:val="bottom"/>
          </w:tcPr>
          <w:p>
            <w:pPr>
              <w:jc w:val="center"/>
              <w:ind w:left="261"/>
              <w:spacing w:after="0" w:line="127" w:lineRule="exact"/>
              <w:rPr>
                <w:sz w:val="20"/>
                <w:szCs w:val="20"/>
                <w:color w:val="auto"/>
              </w:rPr>
            </w:pPr>
            <w:r>
              <w:rPr>
                <w:rFonts w:ascii="Times New Roman" w:cs="Times New Roman" w:eastAsia="Times New Roman" w:hAnsi="Times New Roman"/>
                <w:sz w:val="12"/>
                <w:szCs w:val="12"/>
                <w:color w:val="auto"/>
                <w:w w:val="95"/>
              </w:rPr>
              <w:t>660 bps</w:t>
            </w:r>
          </w:p>
        </w:tc>
        <w:tc>
          <w:tcPr>
            <w:tcW w:w="1440" w:type="dxa"/>
            <w:vAlign w:val="bottom"/>
            <w:tcBorders>
              <w:right w:val="single" w:sz="8" w:color="auto"/>
            </w:tcBorders>
          </w:tcPr>
          <w:p>
            <w:pPr>
              <w:jc w:val="center"/>
              <w:ind w:left="241"/>
              <w:spacing w:after="0" w:line="127" w:lineRule="exact"/>
              <w:rPr>
                <w:sz w:val="20"/>
                <w:szCs w:val="20"/>
                <w:color w:val="auto"/>
              </w:rPr>
            </w:pPr>
            <w:r>
              <w:rPr>
                <w:rFonts w:ascii="Times New Roman" w:cs="Times New Roman" w:eastAsia="Times New Roman" w:hAnsi="Times New Roman"/>
                <w:sz w:val="12"/>
                <w:szCs w:val="12"/>
                <w:color w:val="auto"/>
                <w:w w:val="96"/>
              </w:rPr>
              <w:t>1720 bps</w:t>
            </w:r>
          </w:p>
        </w:tc>
        <w:tc>
          <w:tcPr>
            <w:tcW w:w="0" w:type="dxa"/>
            <w:vAlign w:val="bottom"/>
          </w:tcPr>
          <w:p>
            <w:pPr>
              <w:spacing w:after="0"/>
              <w:rPr>
                <w:sz w:val="1"/>
                <w:szCs w:val="1"/>
                <w:color w:val="auto"/>
              </w:rPr>
            </w:pPr>
          </w:p>
        </w:tc>
      </w:tr>
      <w:tr>
        <w:trPr>
          <w:trHeight w:val="143"/>
        </w:trPr>
        <w:tc>
          <w:tcPr>
            <w:tcW w:w="33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2"/>
                <w:szCs w:val="12"/>
                <w:color w:val="auto"/>
              </w:rPr>
              <w:t>Coverage ratio of NPLs</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107.4%</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112.4%</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113.8%</w:t>
            </w:r>
          </w:p>
        </w:tc>
        <w:tc>
          <w:tcPr>
            <w:tcW w:w="800" w:type="dxa"/>
            <w:vAlign w:val="bottom"/>
            <w:tcBorders>
              <w:bottom w:val="single" w:sz="8" w:color="auto"/>
            </w:tcBorders>
          </w:tcPr>
          <w:p>
            <w:pPr>
              <w:jc w:val="center"/>
              <w:ind w:left="261"/>
              <w:spacing w:after="0"/>
              <w:rPr>
                <w:sz w:val="20"/>
                <w:szCs w:val="20"/>
                <w:color w:val="auto"/>
              </w:rPr>
            </w:pPr>
            <w:r>
              <w:rPr>
                <w:rFonts w:ascii="Times New Roman" w:cs="Times New Roman" w:eastAsia="Times New Roman" w:hAnsi="Times New Roman"/>
                <w:sz w:val="12"/>
                <w:szCs w:val="12"/>
                <w:color w:val="auto"/>
                <w:w w:val="95"/>
              </w:rPr>
              <w:t>140 bps</w:t>
            </w:r>
          </w:p>
        </w:tc>
        <w:tc>
          <w:tcPr>
            <w:tcW w:w="1440" w:type="dxa"/>
            <w:vAlign w:val="bottom"/>
            <w:tcBorders>
              <w:bottom w:val="single" w:sz="8" w:color="auto"/>
              <w:right w:val="single" w:sz="8" w:color="auto"/>
            </w:tcBorders>
          </w:tcPr>
          <w:p>
            <w:pPr>
              <w:jc w:val="center"/>
              <w:ind w:left="241"/>
              <w:spacing w:after="0"/>
              <w:rPr>
                <w:sz w:val="20"/>
                <w:szCs w:val="20"/>
                <w:color w:val="auto"/>
              </w:rPr>
            </w:pPr>
            <w:r>
              <w:rPr>
                <w:rFonts w:ascii="Times New Roman" w:cs="Times New Roman" w:eastAsia="Times New Roman" w:hAnsi="Times New Roman"/>
                <w:sz w:val="12"/>
                <w:szCs w:val="12"/>
                <w:color w:val="auto"/>
              </w:rPr>
              <w:t>640 bps</w:t>
            </w:r>
          </w:p>
        </w:tc>
        <w:tc>
          <w:tcPr>
            <w:tcW w:w="0" w:type="dxa"/>
            <w:vAlign w:val="bottom"/>
          </w:tcPr>
          <w:p>
            <w:pPr>
              <w:spacing w:after="0"/>
              <w:rPr>
                <w:sz w:val="1"/>
                <w:szCs w:val="1"/>
                <w:color w:val="auto"/>
              </w:rPr>
            </w:pPr>
          </w:p>
        </w:tc>
      </w:tr>
      <w:tr>
        <w:trPr>
          <w:trHeight w:val="98"/>
        </w:trPr>
        <w:tc>
          <w:tcPr>
            <w:tcW w:w="3380" w:type="dxa"/>
            <w:vAlign w:val="bottom"/>
            <w:tcBorders>
              <w:left w:val="single" w:sz="8" w:color="auto"/>
              <w:right w:val="single" w:sz="8" w:color="auto"/>
            </w:tcBorders>
          </w:tcPr>
          <w:p>
            <w:pPr>
              <w:ind w:left="40"/>
              <w:spacing w:after="0" w:line="98" w:lineRule="exact"/>
              <w:rPr>
                <w:sz w:val="20"/>
                <w:szCs w:val="20"/>
                <w:color w:val="auto"/>
              </w:rPr>
            </w:pPr>
            <w:r>
              <w:rPr>
                <w:rFonts w:ascii="Times New Roman" w:cs="Times New Roman" w:eastAsia="Times New Roman" w:hAnsi="Times New Roman"/>
                <w:sz w:val="11"/>
                <w:szCs w:val="11"/>
                <w:b w:val="1"/>
                <w:bCs w:val="1"/>
                <w:color w:val="auto"/>
              </w:rPr>
              <w:t>Operating efficiency</w:t>
            </w: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Borders>
              <w:right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14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3380" w:type="dxa"/>
            <w:vAlign w:val="bottom"/>
            <w:tcBorders>
              <w:left w:val="single" w:sz="8" w:color="auto"/>
              <w:right w:val="single" w:sz="8" w:color="auto"/>
            </w:tcBorders>
          </w:tcPr>
          <w:p>
            <w:pPr>
              <w:ind w:left="40"/>
              <w:spacing w:after="0" w:line="127" w:lineRule="exact"/>
              <w:rPr>
                <w:sz w:val="20"/>
                <w:szCs w:val="20"/>
                <w:color w:val="auto"/>
              </w:rPr>
            </w:pPr>
            <w:r>
              <w:rPr>
                <w:rFonts w:ascii="Times New Roman" w:cs="Times New Roman" w:eastAsia="Times New Roman" w:hAnsi="Times New Roman"/>
                <w:sz w:val="9"/>
                <w:szCs w:val="9"/>
                <w:color w:val="auto"/>
              </w:rPr>
              <w:t>Operating income</w:t>
            </w:r>
            <w:r>
              <w:rPr>
                <w:rFonts w:ascii="Times New Roman" w:cs="Times New Roman" w:eastAsia="Times New Roman" w:hAnsi="Times New Roman"/>
                <w:sz w:val="14"/>
                <w:szCs w:val="14"/>
                <w:color w:val="auto"/>
                <w:vertAlign w:val="superscript"/>
              </w:rPr>
              <w:t>(6)</w:t>
            </w:r>
          </w:p>
        </w:tc>
        <w:tc>
          <w:tcPr>
            <w:tcW w:w="110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5"/>
              </w:rPr>
              <w:t>5,340,199</w:t>
            </w:r>
          </w:p>
        </w:tc>
        <w:tc>
          <w:tcPr>
            <w:tcW w:w="112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9"/>
              </w:rPr>
              <w:t>5,857,472</w:t>
            </w:r>
          </w:p>
        </w:tc>
        <w:tc>
          <w:tcPr>
            <w:tcW w:w="1140" w:type="dxa"/>
            <w:vAlign w:val="bottom"/>
            <w:tcBorders>
              <w:right w:val="single" w:sz="8" w:color="auto"/>
            </w:tcBorders>
          </w:tcPr>
          <w:p>
            <w:pPr>
              <w:jc w:val="center"/>
              <w:spacing w:after="0" w:line="127" w:lineRule="exact"/>
              <w:rPr>
                <w:sz w:val="20"/>
                <w:szCs w:val="20"/>
                <w:color w:val="auto"/>
              </w:rPr>
            </w:pPr>
            <w:r>
              <w:rPr>
                <w:rFonts w:ascii="Times New Roman" w:cs="Times New Roman" w:eastAsia="Times New Roman" w:hAnsi="Times New Roman"/>
                <w:sz w:val="12"/>
                <w:szCs w:val="12"/>
                <w:color w:val="auto"/>
                <w:w w:val="99"/>
              </w:rPr>
              <w:t>6,029,112</w:t>
            </w:r>
          </w:p>
        </w:tc>
        <w:tc>
          <w:tcPr>
            <w:tcW w:w="800" w:type="dxa"/>
            <w:vAlign w:val="bottom"/>
          </w:tcPr>
          <w:p>
            <w:pPr>
              <w:jc w:val="center"/>
              <w:ind w:left="221"/>
              <w:spacing w:after="0" w:line="127" w:lineRule="exact"/>
              <w:rPr>
                <w:sz w:val="20"/>
                <w:szCs w:val="20"/>
                <w:color w:val="auto"/>
              </w:rPr>
            </w:pPr>
            <w:r>
              <w:rPr>
                <w:rFonts w:ascii="Times New Roman" w:cs="Times New Roman" w:eastAsia="Times New Roman" w:hAnsi="Times New Roman"/>
                <w:sz w:val="12"/>
                <w:szCs w:val="12"/>
                <w:color w:val="auto"/>
                <w:w w:val="95"/>
              </w:rPr>
              <w:t>2.9%</w:t>
            </w:r>
          </w:p>
        </w:tc>
        <w:tc>
          <w:tcPr>
            <w:tcW w:w="1440" w:type="dxa"/>
            <w:vAlign w:val="bottom"/>
            <w:tcBorders>
              <w:right w:val="single" w:sz="8" w:color="auto"/>
            </w:tcBorders>
          </w:tcPr>
          <w:p>
            <w:pPr>
              <w:jc w:val="center"/>
              <w:ind w:left="221"/>
              <w:spacing w:after="0" w:line="127" w:lineRule="exact"/>
              <w:rPr>
                <w:sz w:val="20"/>
                <w:szCs w:val="20"/>
                <w:color w:val="auto"/>
              </w:rPr>
            </w:pPr>
            <w:r>
              <w:rPr>
                <w:rFonts w:ascii="Times New Roman" w:cs="Times New Roman" w:eastAsia="Times New Roman" w:hAnsi="Times New Roman"/>
                <w:sz w:val="12"/>
                <w:szCs w:val="12"/>
                <w:color w:val="auto"/>
              </w:rPr>
              <w:t>12.9%</w:t>
            </w:r>
          </w:p>
        </w:tc>
        <w:tc>
          <w:tcPr>
            <w:tcW w:w="0" w:type="dxa"/>
            <w:vAlign w:val="bottom"/>
          </w:tcPr>
          <w:p>
            <w:pPr>
              <w:spacing w:after="0"/>
              <w:rPr>
                <w:sz w:val="1"/>
                <w:szCs w:val="1"/>
                <w:color w:val="auto"/>
              </w:rPr>
            </w:pPr>
          </w:p>
        </w:tc>
      </w:tr>
      <w:tr>
        <w:trPr>
          <w:trHeight w:val="127"/>
        </w:trPr>
        <w:tc>
          <w:tcPr>
            <w:tcW w:w="3380" w:type="dxa"/>
            <w:vAlign w:val="bottom"/>
            <w:tcBorders>
              <w:left w:val="single" w:sz="8" w:color="auto"/>
              <w:right w:val="single" w:sz="8" w:color="auto"/>
            </w:tcBorders>
          </w:tcPr>
          <w:p>
            <w:pPr>
              <w:ind w:left="40"/>
              <w:spacing w:after="0" w:line="127" w:lineRule="exact"/>
              <w:rPr>
                <w:sz w:val="20"/>
                <w:szCs w:val="20"/>
                <w:color w:val="auto"/>
              </w:rPr>
            </w:pPr>
            <w:r>
              <w:rPr>
                <w:rFonts w:ascii="Times New Roman" w:cs="Times New Roman" w:eastAsia="Times New Roman" w:hAnsi="Times New Roman"/>
                <w:sz w:val="9"/>
                <w:szCs w:val="9"/>
                <w:color w:val="auto"/>
              </w:rPr>
              <w:t>Operating expenses</w:t>
            </w:r>
            <w:r>
              <w:rPr>
                <w:rFonts w:ascii="Times New Roman" w:cs="Times New Roman" w:eastAsia="Times New Roman" w:hAnsi="Times New Roman"/>
                <w:sz w:val="14"/>
                <w:szCs w:val="14"/>
                <w:color w:val="auto"/>
                <w:vertAlign w:val="superscript"/>
              </w:rPr>
              <w:t>(7)</w:t>
            </w:r>
          </w:p>
        </w:tc>
        <w:tc>
          <w:tcPr>
            <w:tcW w:w="110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5"/>
              </w:rPr>
              <w:t>2,442,089</w:t>
            </w:r>
          </w:p>
        </w:tc>
        <w:tc>
          <w:tcPr>
            <w:tcW w:w="112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9"/>
              </w:rPr>
              <w:t>2,871,709</w:t>
            </w:r>
          </w:p>
        </w:tc>
        <w:tc>
          <w:tcPr>
            <w:tcW w:w="1140" w:type="dxa"/>
            <w:vAlign w:val="bottom"/>
            <w:tcBorders>
              <w:right w:val="single" w:sz="8" w:color="auto"/>
            </w:tcBorders>
          </w:tcPr>
          <w:p>
            <w:pPr>
              <w:jc w:val="center"/>
              <w:spacing w:after="0" w:line="127" w:lineRule="exact"/>
              <w:rPr>
                <w:sz w:val="20"/>
                <w:szCs w:val="20"/>
                <w:color w:val="auto"/>
              </w:rPr>
            </w:pPr>
            <w:r>
              <w:rPr>
                <w:rFonts w:ascii="Times New Roman" w:cs="Times New Roman" w:eastAsia="Times New Roman" w:hAnsi="Times New Roman"/>
                <w:sz w:val="12"/>
                <w:szCs w:val="12"/>
                <w:color w:val="auto"/>
                <w:w w:val="99"/>
              </w:rPr>
              <w:t>2,762,628</w:t>
            </w:r>
          </w:p>
        </w:tc>
        <w:tc>
          <w:tcPr>
            <w:tcW w:w="800" w:type="dxa"/>
            <w:vAlign w:val="bottom"/>
          </w:tcPr>
          <w:p>
            <w:pPr>
              <w:jc w:val="center"/>
              <w:ind w:left="221"/>
              <w:spacing w:after="0" w:line="127" w:lineRule="exact"/>
              <w:rPr>
                <w:sz w:val="20"/>
                <w:szCs w:val="20"/>
                <w:color w:val="auto"/>
              </w:rPr>
            </w:pPr>
            <w:r>
              <w:rPr>
                <w:rFonts w:ascii="Times New Roman" w:cs="Times New Roman" w:eastAsia="Times New Roman" w:hAnsi="Times New Roman"/>
                <w:sz w:val="12"/>
                <w:szCs w:val="12"/>
                <w:color w:val="auto"/>
                <w:w w:val="96"/>
              </w:rPr>
              <w:t>-3.8%</w:t>
            </w:r>
          </w:p>
        </w:tc>
        <w:tc>
          <w:tcPr>
            <w:tcW w:w="1440" w:type="dxa"/>
            <w:vAlign w:val="bottom"/>
            <w:tcBorders>
              <w:right w:val="single" w:sz="8" w:color="auto"/>
            </w:tcBorders>
          </w:tcPr>
          <w:p>
            <w:pPr>
              <w:jc w:val="center"/>
              <w:ind w:left="221"/>
              <w:spacing w:after="0" w:line="127" w:lineRule="exact"/>
              <w:rPr>
                <w:sz w:val="20"/>
                <w:szCs w:val="20"/>
                <w:color w:val="auto"/>
              </w:rPr>
            </w:pPr>
            <w:r>
              <w:rPr>
                <w:rFonts w:ascii="Times New Roman" w:cs="Times New Roman" w:eastAsia="Times New Roman" w:hAnsi="Times New Roman"/>
                <w:sz w:val="12"/>
                <w:szCs w:val="12"/>
                <w:color w:val="auto"/>
              </w:rPr>
              <w:t>13.1%</w:t>
            </w:r>
          </w:p>
        </w:tc>
        <w:tc>
          <w:tcPr>
            <w:tcW w:w="0" w:type="dxa"/>
            <w:vAlign w:val="bottom"/>
          </w:tcPr>
          <w:p>
            <w:pPr>
              <w:spacing w:after="0"/>
              <w:rPr>
                <w:sz w:val="1"/>
                <w:szCs w:val="1"/>
                <w:color w:val="auto"/>
              </w:rPr>
            </w:pPr>
          </w:p>
        </w:tc>
      </w:tr>
      <w:tr>
        <w:trPr>
          <w:trHeight w:val="133"/>
        </w:trPr>
        <w:tc>
          <w:tcPr>
            <w:tcW w:w="3380" w:type="dxa"/>
            <w:vAlign w:val="bottom"/>
            <w:tcBorders>
              <w:left w:val="single" w:sz="8" w:color="auto"/>
              <w:right w:val="single" w:sz="8" w:color="auto"/>
            </w:tcBorders>
          </w:tcPr>
          <w:p>
            <w:pPr>
              <w:ind w:left="40"/>
              <w:spacing w:after="0" w:line="133" w:lineRule="exact"/>
              <w:rPr>
                <w:sz w:val="20"/>
                <w:szCs w:val="20"/>
                <w:color w:val="auto"/>
              </w:rPr>
            </w:pPr>
            <w:r>
              <w:rPr>
                <w:rFonts w:ascii="Times New Roman" w:cs="Times New Roman" w:eastAsia="Times New Roman" w:hAnsi="Times New Roman"/>
                <w:sz w:val="10"/>
                <w:szCs w:val="10"/>
                <w:color w:val="auto"/>
              </w:rPr>
              <w:t>Efficiency ratio</w:t>
            </w:r>
            <w:r>
              <w:rPr>
                <w:rFonts w:ascii="Times New Roman" w:cs="Times New Roman" w:eastAsia="Times New Roman" w:hAnsi="Times New Roman"/>
                <w:sz w:val="15"/>
                <w:szCs w:val="15"/>
                <w:color w:val="auto"/>
                <w:vertAlign w:val="superscript"/>
              </w:rPr>
              <w:t>(8)</w:t>
            </w:r>
          </w:p>
        </w:tc>
        <w:tc>
          <w:tcPr>
            <w:tcW w:w="110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6"/>
              </w:rPr>
              <w:t>45.7%</w:t>
            </w:r>
          </w:p>
        </w:tc>
        <w:tc>
          <w:tcPr>
            <w:tcW w:w="112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49.0%</w:t>
            </w:r>
          </w:p>
        </w:tc>
        <w:tc>
          <w:tcPr>
            <w:tcW w:w="1140" w:type="dxa"/>
            <w:vAlign w:val="bottom"/>
            <w:tcBorders>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rPr>
              <w:t>45.8%</w:t>
            </w:r>
          </w:p>
        </w:tc>
        <w:tc>
          <w:tcPr>
            <w:tcW w:w="800" w:type="dxa"/>
            <w:vAlign w:val="bottom"/>
          </w:tcPr>
          <w:p>
            <w:pPr>
              <w:jc w:val="center"/>
              <w:ind w:left="261"/>
              <w:spacing w:after="0" w:line="133" w:lineRule="exact"/>
              <w:rPr>
                <w:sz w:val="20"/>
                <w:szCs w:val="20"/>
                <w:color w:val="auto"/>
              </w:rPr>
            </w:pPr>
            <w:r>
              <w:rPr>
                <w:rFonts w:ascii="Times New Roman" w:cs="Times New Roman" w:eastAsia="Times New Roman" w:hAnsi="Times New Roman"/>
                <w:sz w:val="12"/>
                <w:szCs w:val="12"/>
                <w:color w:val="auto"/>
                <w:w w:val="95"/>
              </w:rPr>
              <w:t>-320 pbs</w:t>
            </w:r>
          </w:p>
        </w:tc>
        <w:tc>
          <w:tcPr>
            <w:tcW w:w="1440" w:type="dxa"/>
            <w:vAlign w:val="bottom"/>
            <w:tcBorders>
              <w:right w:val="single" w:sz="8" w:color="auto"/>
            </w:tcBorders>
          </w:tcPr>
          <w:p>
            <w:pPr>
              <w:jc w:val="center"/>
              <w:ind w:left="261"/>
              <w:spacing w:after="0" w:line="133" w:lineRule="exact"/>
              <w:rPr>
                <w:sz w:val="20"/>
                <w:szCs w:val="20"/>
                <w:color w:val="auto"/>
              </w:rPr>
            </w:pPr>
            <w:r>
              <w:rPr>
                <w:rFonts w:ascii="Times New Roman" w:cs="Times New Roman" w:eastAsia="Times New Roman" w:hAnsi="Times New Roman"/>
                <w:sz w:val="12"/>
                <w:szCs w:val="12"/>
                <w:color w:val="auto"/>
              </w:rPr>
              <w:t>10 pbs</w:t>
            </w:r>
          </w:p>
        </w:tc>
        <w:tc>
          <w:tcPr>
            <w:tcW w:w="0" w:type="dxa"/>
            <w:vAlign w:val="bottom"/>
          </w:tcPr>
          <w:p>
            <w:pPr>
              <w:spacing w:after="0"/>
              <w:rPr>
                <w:sz w:val="1"/>
                <w:szCs w:val="1"/>
                <w:color w:val="auto"/>
              </w:rPr>
            </w:pPr>
          </w:p>
        </w:tc>
      </w:tr>
      <w:tr>
        <w:trPr>
          <w:trHeight w:val="143"/>
        </w:trPr>
        <w:tc>
          <w:tcPr>
            <w:tcW w:w="33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2"/>
                <w:szCs w:val="12"/>
                <w:color w:val="auto"/>
              </w:rPr>
              <w:t>Operating expenses / Total average assets</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3.8%</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5"/>
              </w:rPr>
              <w:t>4.4%</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5"/>
              </w:rPr>
              <w:t>4.0%</w:t>
            </w:r>
          </w:p>
        </w:tc>
        <w:tc>
          <w:tcPr>
            <w:tcW w:w="800" w:type="dxa"/>
            <w:vAlign w:val="bottom"/>
            <w:tcBorders>
              <w:bottom w:val="single" w:sz="8" w:color="auto"/>
            </w:tcBorders>
          </w:tcPr>
          <w:p>
            <w:pPr>
              <w:jc w:val="center"/>
              <w:ind w:left="261"/>
              <w:spacing w:after="0"/>
              <w:rPr>
                <w:sz w:val="20"/>
                <w:szCs w:val="20"/>
                <w:color w:val="auto"/>
              </w:rPr>
            </w:pPr>
            <w:r>
              <w:rPr>
                <w:rFonts w:ascii="Times New Roman" w:cs="Times New Roman" w:eastAsia="Times New Roman" w:hAnsi="Times New Roman"/>
                <w:sz w:val="12"/>
                <w:szCs w:val="12"/>
                <w:color w:val="auto"/>
              </w:rPr>
              <w:t>-35 pbs</w:t>
            </w:r>
          </w:p>
        </w:tc>
        <w:tc>
          <w:tcPr>
            <w:tcW w:w="1440" w:type="dxa"/>
            <w:vAlign w:val="bottom"/>
            <w:tcBorders>
              <w:bottom w:val="single" w:sz="8" w:color="auto"/>
              <w:right w:val="single" w:sz="8" w:color="auto"/>
            </w:tcBorders>
          </w:tcPr>
          <w:p>
            <w:pPr>
              <w:jc w:val="center"/>
              <w:ind w:left="261"/>
              <w:spacing w:after="0"/>
              <w:rPr>
                <w:sz w:val="20"/>
                <w:szCs w:val="20"/>
                <w:color w:val="auto"/>
              </w:rPr>
            </w:pPr>
            <w:r>
              <w:rPr>
                <w:rFonts w:ascii="Times New Roman" w:cs="Times New Roman" w:eastAsia="Times New Roman" w:hAnsi="Times New Roman"/>
                <w:sz w:val="12"/>
                <w:szCs w:val="12"/>
                <w:color w:val="auto"/>
              </w:rPr>
              <w:t>17 pbs</w:t>
            </w:r>
          </w:p>
        </w:tc>
        <w:tc>
          <w:tcPr>
            <w:tcW w:w="0" w:type="dxa"/>
            <w:vAlign w:val="bottom"/>
          </w:tcPr>
          <w:p>
            <w:pPr>
              <w:spacing w:after="0"/>
              <w:rPr>
                <w:sz w:val="1"/>
                <w:szCs w:val="1"/>
                <w:color w:val="auto"/>
              </w:rPr>
            </w:pPr>
          </w:p>
        </w:tc>
      </w:tr>
      <w:tr>
        <w:trPr>
          <w:trHeight w:val="98"/>
        </w:trPr>
        <w:tc>
          <w:tcPr>
            <w:tcW w:w="3380" w:type="dxa"/>
            <w:vAlign w:val="bottom"/>
            <w:tcBorders>
              <w:left w:val="single" w:sz="8" w:color="auto"/>
              <w:right w:val="single" w:sz="8" w:color="auto"/>
            </w:tcBorders>
          </w:tcPr>
          <w:p>
            <w:pPr>
              <w:ind w:left="40"/>
              <w:spacing w:after="0" w:line="98" w:lineRule="exact"/>
              <w:rPr>
                <w:sz w:val="20"/>
                <w:szCs w:val="20"/>
                <w:color w:val="auto"/>
              </w:rPr>
            </w:pPr>
            <w:r>
              <w:rPr>
                <w:rFonts w:ascii="Times New Roman" w:cs="Times New Roman" w:eastAsia="Times New Roman" w:hAnsi="Times New Roman"/>
                <w:sz w:val="11"/>
                <w:szCs w:val="11"/>
                <w:b w:val="1"/>
                <w:bCs w:val="1"/>
                <w:color w:val="auto"/>
              </w:rPr>
              <w:t>Capital adequacy - BCP Stand-alone</w:t>
            </w: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Borders>
              <w:right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14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3380" w:type="dxa"/>
            <w:vAlign w:val="bottom"/>
            <w:tcBorders>
              <w:left w:val="single" w:sz="8" w:color="auto"/>
              <w:right w:val="single" w:sz="8" w:color="auto"/>
            </w:tcBorders>
          </w:tcPr>
          <w:p>
            <w:pPr>
              <w:ind w:left="40"/>
              <w:spacing w:after="0" w:line="127" w:lineRule="exact"/>
              <w:rPr>
                <w:sz w:val="20"/>
                <w:szCs w:val="20"/>
                <w:color w:val="auto"/>
              </w:rPr>
            </w:pPr>
            <w:r>
              <w:rPr>
                <w:rFonts w:ascii="Times New Roman" w:cs="Times New Roman" w:eastAsia="Times New Roman" w:hAnsi="Times New Roman"/>
                <w:sz w:val="9"/>
                <w:szCs w:val="9"/>
                <w:color w:val="auto"/>
              </w:rPr>
              <w:t>Global Capital Ratio</w:t>
            </w:r>
            <w:r>
              <w:rPr>
                <w:rFonts w:ascii="Times New Roman" w:cs="Times New Roman" w:eastAsia="Times New Roman" w:hAnsi="Times New Roman"/>
                <w:sz w:val="14"/>
                <w:szCs w:val="14"/>
                <w:color w:val="auto"/>
                <w:vertAlign w:val="superscript"/>
              </w:rPr>
              <w:t>(9)</w:t>
            </w:r>
          </w:p>
        </w:tc>
        <w:tc>
          <w:tcPr>
            <w:tcW w:w="110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rPr>
              <w:t>16.87%</w:t>
            </w:r>
          </w:p>
        </w:tc>
        <w:tc>
          <w:tcPr>
            <w:tcW w:w="112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7"/>
              </w:rPr>
              <w:t>19.44%</w:t>
            </w:r>
          </w:p>
        </w:tc>
        <w:tc>
          <w:tcPr>
            <w:tcW w:w="1140" w:type="dxa"/>
            <w:vAlign w:val="bottom"/>
            <w:tcBorders>
              <w:right w:val="single" w:sz="8" w:color="auto"/>
            </w:tcBorders>
          </w:tcPr>
          <w:p>
            <w:pPr>
              <w:jc w:val="center"/>
              <w:spacing w:after="0" w:line="127" w:lineRule="exact"/>
              <w:rPr>
                <w:sz w:val="20"/>
                <w:szCs w:val="20"/>
                <w:color w:val="auto"/>
              </w:rPr>
            </w:pPr>
            <w:r>
              <w:rPr>
                <w:rFonts w:ascii="Times New Roman" w:cs="Times New Roman" w:eastAsia="Times New Roman" w:hAnsi="Times New Roman"/>
                <w:sz w:val="12"/>
                <w:szCs w:val="12"/>
                <w:color w:val="auto"/>
                <w:w w:val="97"/>
              </w:rPr>
              <w:t>16.70%</w:t>
            </w:r>
          </w:p>
        </w:tc>
        <w:tc>
          <w:tcPr>
            <w:tcW w:w="800" w:type="dxa"/>
            <w:vAlign w:val="bottom"/>
          </w:tcPr>
          <w:p>
            <w:pPr>
              <w:jc w:val="center"/>
              <w:ind w:left="261"/>
              <w:spacing w:after="0" w:line="127" w:lineRule="exact"/>
              <w:rPr>
                <w:sz w:val="20"/>
                <w:szCs w:val="20"/>
                <w:color w:val="auto"/>
              </w:rPr>
            </w:pPr>
            <w:r>
              <w:rPr>
                <w:rFonts w:ascii="Times New Roman" w:cs="Times New Roman" w:eastAsia="Times New Roman" w:hAnsi="Times New Roman"/>
                <w:sz w:val="12"/>
                <w:szCs w:val="12"/>
                <w:color w:val="auto"/>
                <w:w w:val="95"/>
              </w:rPr>
              <w:t>-274 bps</w:t>
            </w:r>
          </w:p>
        </w:tc>
        <w:tc>
          <w:tcPr>
            <w:tcW w:w="1440" w:type="dxa"/>
            <w:vAlign w:val="bottom"/>
            <w:tcBorders>
              <w:right w:val="single" w:sz="8" w:color="auto"/>
            </w:tcBorders>
          </w:tcPr>
          <w:p>
            <w:pPr>
              <w:jc w:val="center"/>
              <w:ind w:left="261"/>
              <w:spacing w:after="0" w:line="127" w:lineRule="exact"/>
              <w:rPr>
                <w:sz w:val="20"/>
                <w:szCs w:val="20"/>
                <w:color w:val="auto"/>
              </w:rPr>
            </w:pPr>
            <w:r>
              <w:rPr>
                <w:rFonts w:ascii="Times New Roman" w:cs="Times New Roman" w:eastAsia="Times New Roman" w:hAnsi="Times New Roman"/>
                <w:sz w:val="12"/>
                <w:szCs w:val="12"/>
                <w:color w:val="auto"/>
              </w:rPr>
              <w:t>-17 bps</w:t>
            </w:r>
          </w:p>
        </w:tc>
        <w:tc>
          <w:tcPr>
            <w:tcW w:w="0" w:type="dxa"/>
            <w:vAlign w:val="bottom"/>
          </w:tcPr>
          <w:p>
            <w:pPr>
              <w:spacing w:after="0"/>
              <w:rPr>
                <w:sz w:val="1"/>
                <w:szCs w:val="1"/>
                <w:color w:val="auto"/>
              </w:rPr>
            </w:pPr>
          </w:p>
        </w:tc>
      </w:tr>
      <w:tr>
        <w:trPr>
          <w:trHeight w:val="127"/>
        </w:trPr>
        <w:tc>
          <w:tcPr>
            <w:tcW w:w="3380" w:type="dxa"/>
            <w:vAlign w:val="bottom"/>
            <w:tcBorders>
              <w:left w:val="single" w:sz="8" w:color="auto"/>
              <w:right w:val="single" w:sz="8" w:color="auto"/>
            </w:tcBorders>
          </w:tcPr>
          <w:p>
            <w:pPr>
              <w:ind w:left="40"/>
              <w:spacing w:after="0" w:line="127" w:lineRule="exact"/>
              <w:rPr>
                <w:sz w:val="20"/>
                <w:szCs w:val="20"/>
                <w:color w:val="auto"/>
              </w:rPr>
            </w:pPr>
            <w:r>
              <w:rPr>
                <w:rFonts w:ascii="Times New Roman" w:cs="Times New Roman" w:eastAsia="Times New Roman" w:hAnsi="Times New Roman"/>
                <w:sz w:val="9"/>
                <w:szCs w:val="9"/>
                <w:color w:val="auto"/>
              </w:rPr>
              <w:t>Ratio Tier 1</w:t>
            </w:r>
            <w:r>
              <w:rPr>
                <w:rFonts w:ascii="Times New Roman" w:cs="Times New Roman" w:eastAsia="Times New Roman" w:hAnsi="Times New Roman"/>
                <w:sz w:val="14"/>
                <w:szCs w:val="14"/>
                <w:color w:val="auto"/>
                <w:vertAlign w:val="superscript"/>
              </w:rPr>
              <w:t>(10)</w:t>
            </w:r>
          </w:p>
        </w:tc>
        <w:tc>
          <w:tcPr>
            <w:tcW w:w="110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7"/>
              </w:rPr>
              <w:t>11.34%</w:t>
            </w:r>
          </w:p>
        </w:tc>
        <w:tc>
          <w:tcPr>
            <w:tcW w:w="112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7"/>
              </w:rPr>
              <w:t>13.66%</w:t>
            </w:r>
          </w:p>
        </w:tc>
        <w:tc>
          <w:tcPr>
            <w:tcW w:w="1140" w:type="dxa"/>
            <w:vAlign w:val="bottom"/>
            <w:tcBorders>
              <w:right w:val="single" w:sz="8" w:color="auto"/>
            </w:tcBorders>
          </w:tcPr>
          <w:p>
            <w:pPr>
              <w:jc w:val="center"/>
              <w:spacing w:after="0" w:line="127" w:lineRule="exact"/>
              <w:rPr>
                <w:sz w:val="20"/>
                <w:szCs w:val="20"/>
                <w:color w:val="auto"/>
              </w:rPr>
            </w:pPr>
            <w:r>
              <w:rPr>
                <w:rFonts w:ascii="Times New Roman" w:cs="Times New Roman" w:eastAsia="Times New Roman" w:hAnsi="Times New Roman"/>
                <w:sz w:val="12"/>
                <w:szCs w:val="12"/>
                <w:color w:val="auto"/>
                <w:w w:val="97"/>
              </w:rPr>
              <w:t>10.96%</w:t>
            </w:r>
          </w:p>
        </w:tc>
        <w:tc>
          <w:tcPr>
            <w:tcW w:w="800" w:type="dxa"/>
            <w:vAlign w:val="bottom"/>
          </w:tcPr>
          <w:p>
            <w:pPr>
              <w:jc w:val="center"/>
              <w:ind w:left="261"/>
              <w:spacing w:after="0" w:line="127" w:lineRule="exact"/>
              <w:rPr>
                <w:sz w:val="20"/>
                <w:szCs w:val="20"/>
                <w:color w:val="auto"/>
              </w:rPr>
            </w:pPr>
            <w:r>
              <w:rPr>
                <w:rFonts w:ascii="Times New Roman" w:cs="Times New Roman" w:eastAsia="Times New Roman" w:hAnsi="Times New Roman"/>
                <w:sz w:val="12"/>
                <w:szCs w:val="12"/>
                <w:color w:val="auto"/>
                <w:w w:val="95"/>
              </w:rPr>
              <w:t>-270 bps</w:t>
            </w:r>
          </w:p>
        </w:tc>
        <w:tc>
          <w:tcPr>
            <w:tcW w:w="1440" w:type="dxa"/>
            <w:vAlign w:val="bottom"/>
            <w:tcBorders>
              <w:right w:val="single" w:sz="8" w:color="auto"/>
            </w:tcBorders>
          </w:tcPr>
          <w:p>
            <w:pPr>
              <w:jc w:val="center"/>
              <w:ind w:left="261"/>
              <w:spacing w:after="0" w:line="127" w:lineRule="exact"/>
              <w:rPr>
                <w:sz w:val="20"/>
                <w:szCs w:val="20"/>
                <w:color w:val="auto"/>
              </w:rPr>
            </w:pPr>
            <w:r>
              <w:rPr>
                <w:rFonts w:ascii="Times New Roman" w:cs="Times New Roman" w:eastAsia="Times New Roman" w:hAnsi="Times New Roman"/>
                <w:sz w:val="12"/>
                <w:szCs w:val="12"/>
                <w:color w:val="auto"/>
              </w:rPr>
              <w:t>-38 bps</w:t>
            </w:r>
          </w:p>
        </w:tc>
        <w:tc>
          <w:tcPr>
            <w:tcW w:w="0" w:type="dxa"/>
            <w:vAlign w:val="bottom"/>
          </w:tcPr>
          <w:p>
            <w:pPr>
              <w:spacing w:after="0"/>
              <w:rPr>
                <w:sz w:val="1"/>
                <w:szCs w:val="1"/>
                <w:color w:val="auto"/>
              </w:rPr>
            </w:pPr>
          </w:p>
        </w:tc>
      </w:tr>
      <w:tr>
        <w:trPr>
          <w:trHeight w:val="149"/>
        </w:trPr>
        <w:tc>
          <w:tcPr>
            <w:tcW w:w="3380" w:type="dxa"/>
            <w:vAlign w:val="bottom"/>
            <w:tcBorders>
              <w:left w:val="single" w:sz="8" w:color="auto"/>
              <w:bottom w:val="single" w:sz="8" w:color="auto"/>
              <w:right w:val="single" w:sz="8" w:color="auto"/>
            </w:tcBorders>
          </w:tcPr>
          <w:p>
            <w:pPr>
              <w:ind w:left="40"/>
              <w:spacing w:after="0" w:line="149" w:lineRule="exact"/>
              <w:rPr>
                <w:sz w:val="20"/>
                <w:szCs w:val="20"/>
                <w:color w:val="auto"/>
              </w:rPr>
            </w:pPr>
            <w:r>
              <w:rPr>
                <w:rFonts w:ascii="Times New Roman" w:cs="Times New Roman" w:eastAsia="Times New Roman" w:hAnsi="Times New Roman"/>
                <w:sz w:val="11"/>
                <w:szCs w:val="11"/>
                <w:color w:val="auto"/>
              </w:rPr>
              <w:t>Ratio common equity tier 1</w:t>
            </w:r>
            <w:r>
              <w:rPr>
                <w:rFonts w:ascii="Times New Roman" w:cs="Times New Roman" w:eastAsia="Times New Roman" w:hAnsi="Times New Roman"/>
                <w:sz w:val="17"/>
                <w:szCs w:val="17"/>
                <w:color w:val="auto"/>
                <w:vertAlign w:val="superscript"/>
              </w:rPr>
              <w:t>(11) (13)</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11.62%</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13.99%</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11.29%</w:t>
            </w:r>
          </w:p>
        </w:tc>
        <w:tc>
          <w:tcPr>
            <w:tcW w:w="800" w:type="dxa"/>
            <w:vAlign w:val="bottom"/>
            <w:tcBorders>
              <w:bottom w:val="single" w:sz="8" w:color="auto"/>
            </w:tcBorders>
          </w:tcPr>
          <w:p>
            <w:pPr>
              <w:jc w:val="center"/>
              <w:ind w:left="261"/>
              <w:spacing w:after="0"/>
              <w:rPr>
                <w:sz w:val="20"/>
                <w:szCs w:val="20"/>
                <w:color w:val="auto"/>
              </w:rPr>
            </w:pPr>
            <w:r>
              <w:rPr>
                <w:rFonts w:ascii="Times New Roman" w:cs="Times New Roman" w:eastAsia="Times New Roman" w:hAnsi="Times New Roman"/>
                <w:sz w:val="12"/>
                <w:szCs w:val="12"/>
                <w:color w:val="auto"/>
                <w:w w:val="95"/>
              </w:rPr>
              <w:t>-270 bps</w:t>
            </w:r>
          </w:p>
        </w:tc>
        <w:tc>
          <w:tcPr>
            <w:tcW w:w="1440" w:type="dxa"/>
            <w:vAlign w:val="bottom"/>
            <w:tcBorders>
              <w:bottom w:val="single" w:sz="8" w:color="auto"/>
              <w:right w:val="single" w:sz="8" w:color="auto"/>
            </w:tcBorders>
          </w:tcPr>
          <w:p>
            <w:pPr>
              <w:jc w:val="center"/>
              <w:ind w:left="261"/>
              <w:spacing w:after="0"/>
              <w:rPr>
                <w:sz w:val="20"/>
                <w:szCs w:val="20"/>
                <w:color w:val="auto"/>
              </w:rPr>
            </w:pPr>
            <w:r>
              <w:rPr>
                <w:rFonts w:ascii="Times New Roman" w:cs="Times New Roman" w:eastAsia="Times New Roman" w:hAnsi="Times New Roman"/>
                <w:sz w:val="12"/>
                <w:szCs w:val="12"/>
                <w:color w:val="auto"/>
              </w:rPr>
              <w:t>-33 bps</w:t>
            </w:r>
          </w:p>
        </w:tc>
        <w:tc>
          <w:tcPr>
            <w:tcW w:w="0" w:type="dxa"/>
            <w:vAlign w:val="bottom"/>
          </w:tcPr>
          <w:p>
            <w:pPr>
              <w:spacing w:after="0"/>
              <w:rPr>
                <w:sz w:val="1"/>
                <w:szCs w:val="1"/>
                <w:color w:val="auto"/>
              </w:rPr>
            </w:pPr>
          </w:p>
        </w:tc>
      </w:tr>
      <w:tr>
        <w:trPr>
          <w:trHeight w:val="98"/>
        </w:trPr>
        <w:tc>
          <w:tcPr>
            <w:tcW w:w="3380" w:type="dxa"/>
            <w:vAlign w:val="bottom"/>
            <w:tcBorders>
              <w:left w:val="single" w:sz="8" w:color="auto"/>
              <w:right w:val="single" w:sz="8" w:color="auto"/>
            </w:tcBorders>
          </w:tcPr>
          <w:p>
            <w:pPr>
              <w:ind w:left="40"/>
              <w:spacing w:after="0" w:line="98" w:lineRule="exact"/>
              <w:rPr>
                <w:sz w:val="20"/>
                <w:szCs w:val="20"/>
                <w:color w:val="auto"/>
              </w:rPr>
            </w:pPr>
            <w:r>
              <w:rPr>
                <w:rFonts w:ascii="Times New Roman" w:cs="Times New Roman" w:eastAsia="Times New Roman" w:hAnsi="Times New Roman"/>
                <w:sz w:val="11"/>
                <w:szCs w:val="11"/>
                <w:b w:val="1"/>
                <w:bCs w:val="1"/>
                <w:color w:val="auto"/>
              </w:rPr>
              <w:t>Capital adequacy - Mibanco</w:t>
            </w: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Borders>
              <w:right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14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3380" w:type="dxa"/>
            <w:vAlign w:val="bottom"/>
            <w:tcBorders>
              <w:left w:val="single" w:sz="8" w:color="auto"/>
              <w:right w:val="single" w:sz="8" w:color="auto"/>
            </w:tcBorders>
          </w:tcPr>
          <w:p>
            <w:pPr>
              <w:ind w:left="40"/>
              <w:spacing w:after="0" w:line="127" w:lineRule="exact"/>
              <w:rPr>
                <w:sz w:val="20"/>
                <w:szCs w:val="20"/>
                <w:color w:val="auto"/>
              </w:rPr>
            </w:pPr>
            <w:r>
              <w:rPr>
                <w:rFonts w:ascii="Times New Roman" w:cs="Times New Roman" w:eastAsia="Times New Roman" w:hAnsi="Times New Roman"/>
                <w:sz w:val="9"/>
                <w:szCs w:val="9"/>
                <w:color w:val="auto"/>
              </w:rPr>
              <w:t>Global Capital Ratio</w:t>
            </w:r>
            <w:r>
              <w:rPr>
                <w:rFonts w:ascii="Times New Roman" w:cs="Times New Roman" w:eastAsia="Times New Roman" w:hAnsi="Times New Roman"/>
                <w:sz w:val="14"/>
                <w:szCs w:val="14"/>
                <w:color w:val="auto"/>
                <w:vertAlign w:val="superscript"/>
              </w:rPr>
              <w:t>(9)</w:t>
            </w:r>
          </w:p>
        </w:tc>
        <w:tc>
          <w:tcPr>
            <w:tcW w:w="110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rPr>
              <w:t>18.53%</w:t>
            </w:r>
          </w:p>
        </w:tc>
        <w:tc>
          <w:tcPr>
            <w:tcW w:w="112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7"/>
              </w:rPr>
              <w:t>21.25%</w:t>
            </w:r>
          </w:p>
        </w:tc>
        <w:tc>
          <w:tcPr>
            <w:tcW w:w="1140" w:type="dxa"/>
            <w:vAlign w:val="bottom"/>
            <w:tcBorders>
              <w:right w:val="single" w:sz="8" w:color="auto"/>
            </w:tcBorders>
          </w:tcPr>
          <w:p>
            <w:pPr>
              <w:jc w:val="center"/>
              <w:spacing w:after="0" w:line="127" w:lineRule="exact"/>
              <w:rPr>
                <w:sz w:val="20"/>
                <w:szCs w:val="20"/>
                <w:color w:val="auto"/>
              </w:rPr>
            </w:pPr>
            <w:r>
              <w:rPr>
                <w:rFonts w:ascii="Times New Roman" w:cs="Times New Roman" w:eastAsia="Times New Roman" w:hAnsi="Times New Roman"/>
                <w:sz w:val="12"/>
                <w:szCs w:val="12"/>
                <w:color w:val="auto"/>
                <w:w w:val="97"/>
              </w:rPr>
              <w:t>20.31%</w:t>
            </w:r>
          </w:p>
        </w:tc>
        <w:tc>
          <w:tcPr>
            <w:tcW w:w="800" w:type="dxa"/>
            <w:vAlign w:val="bottom"/>
          </w:tcPr>
          <w:p>
            <w:pPr>
              <w:jc w:val="center"/>
              <w:ind w:left="261"/>
              <w:spacing w:after="0" w:line="127" w:lineRule="exact"/>
              <w:rPr>
                <w:sz w:val="20"/>
                <w:szCs w:val="20"/>
                <w:color w:val="auto"/>
              </w:rPr>
            </w:pPr>
            <w:r>
              <w:rPr>
                <w:rFonts w:ascii="Times New Roman" w:cs="Times New Roman" w:eastAsia="Times New Roman" w:hAnsi="Times New Roman"/>
                <w:sz w:val="12"/>
                <w:szCs w:val="12"/>
                <w:color w:val="auto"/>
              </w:rPr>
              <w:t>-94 bps</w:t>
            </w:r>
          </w:p>
        </w:tc>
        <w:tc>
          <w:tcPr>
            <w:tcW w:w="1440" w:type="dxa"/>
            <w:vAlign w:val="bottom"/>
            <w:tcBorders>
              <w:right w:val="single" w:sz="8" w:color="auto"/>
            </w:tcBorders>
          </w:tcPr>
          <w:p>
            <w:pPr>
              <w:jc w:val="center"/>
              <w:ind w:left="241"/>
              <w:spacing w:after="0" w:line="127" w:lineRule="exact"/>
              <w:rPr>
                <w:sz w:val="20"/>
                <w:szCs w:val="20"/>
                <w:color w:val="auto"/>
              </w:rPr>
            </w:pPr>
            <w:r>
              <w:rPr>
                <w:rFonts w:ascii="Times New Roman" w:cs="Times New Roman" w:eastAsia="Times New Roman" w:hAnsi="Times New Roman"/>
                <w:sz w:val="12"/>
                <w:szCs w:val="12"/>
                <w:color w:val="auto"/>
              </w:rPr>
              <w:t>178 bps</w:t>
            </w:r>
          </w:p>
        </w:tc>
        <w:tc>
          <w:tcPr>
            <w:tcW w:w="0" w:type="dxa"/>
            <w:vAlign w:val="bottom"/>
          </w:tcPr>
          <w:p>
            <w:pPr>
              <w:spacing w:after="0"/>
              <w:rPr>
                <w:sz w:val="1"/>
                <w:szCs w:val="1"/>
                <w:color w:val="auto"/>
              </w:rPr>
            </w:pPr>
          </w:p>
        </w:tc>
      </w:tr>
      <w:tr>
        <w:trPr>
          <w:trHeight w:val="127"/>
        </w:trPr>
        <w:tc>
          <w:tcPr>
            <w:tcW w:w="3380" w:type="dxa"/>
            <w:vAlign w:val="bottom"/>
            <w:tcBorders>
              <w:left w:val="single" w:sz="8" w:color="auto"/>
              <w:right w:val="single" w:sz="8" w:color="auto"/>
            </w:tcBorders>
          </w:tcPr>
          <w:p>
            <w:pPr>
              <w:ind w:left="40"/>
              <w:spacing w:after="0" w:line="127" w:lineRule="exact"/>
              <w:rPr>
                <w:sz w:val="20"/>
                <w:szCs w:val="20"/>
                <w:color w:val="auto"/>
              </w:rPr>
            </w:pPr>
            <w:r>
              <w:rPr>
                <w:rFonts w:ascii="Times New Roman" w:cs="Times New Roman" w:eastAsia="Times New Roman" w:hAnsi="Times New Roman"/>
                <w:sz w:val="9"/>
                <w:szCs w:val="9"/>
                <w:color w:val="auto"/>
              </w:rPr>
              <w:t>Ratio Tier 1</w:t>
            </w:r>
            <w:r>
              <w:rPr>
                <w:rFonts w:ascii="Times New Roman" w:cs="Times New Roman" w:eastAsia="Times New Roman" w:hAnsi="Times New Roman"/>
                <w:sz w:val="14"/>
                <w:szCs w:val="14"/>
                <w:color w:val="auto"/>
                <w:vertAlign w:val="superscript"/>
              </w:rPr>
              <w:t>(10)</w:t>
            </w:r>
          </w:p>
        </w:tc>
        <w:tc>
          <w:tcPr>
            <w:tcW w:w="110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rPr>
              <w:t>15.48%</w:t>
            </w:r>
          </w:p>
        </w:tc>
        <w:tc>
          <w:tcPr>
            <w:tcW w:w="112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7"/>
              </w:rPr>
              <w:t>17.41%</w:t>
            </w:r>
          </w:p>
        </w:tc>
        <w:tc>
          <w:tcPr>
            <w:tcW w:w="1140" w:type="dxa"/>
            <w:vAlign w:val="bottom"/>
            <w:tcBorders>
              <w:right w:val="single" w:sz="8" w:color="auto"/>
            </w:tcBorders>
          </w:tcPr>
          <w:p>
            <w:pPr>
              <w:jc w:val="center"/>
              <w:spacing w:after="0" w:line="127" w:lineRule="exact"/>
              <w:rPr>
                <w:sz w:val="20"/>
                <w:szCs w:val="20"/>
                <w:color w:val="auto"/>
              </w:rPr>
            </w:pPr>
            <w:r>
              <w:rPr>
                <w:rFonts w:ascii="Times New Roman" w:cs="Times New Roman" w:eastAsia="Times New Roman" w:hAnsi="Times New Roman"/>
                <w:sz w:val="12"/>
                <w:szCs w:val="12"/>
                <w:color w:val="auto"/>
                <w:w w:val="97"/>
              </w:rPr>
              <w:t>15.87%</w:t>
            </w:r>
          </w:p>
        </w:tc>
        <w:tc>
          <w:tcPr>
            <w:tcW w:w="800" w:type="dxa"/>
            <w:vAlign w:val="bottom"/>
          </w:tcPr>
          <w:p>
            <w:pPr>
              <w:jc w:val="center"/>
              <w:ind w:left="261"/>
              <w:spacing w:after="0" w:line="127" w:lineRule="exact"/>
              <w:rPr>
                <w:sz w:val="20"/>
                <w:szCs w:val="20"/>
                <w:color w:val="auto"/>
              </w:rPr>
            </w:pPr>
            <w:r>
              <w:rPr>
                <w:rFonts w:ascii="Times New Roman" w:cs="Times New Roman" w:eastAsia="Times New Roman" w:hAnsi="Times New Roman"/>
                <w:sz w:val="12"/>
                <w:szCs w:val="12"/>
                <w:color w:val="auto"/>
                <w:w w:val="95"/>
              </w:rPr>
              <w:t>-154 bps</w:t>
            </w:r>
          </w:p>
        </w:tc>
        <w:tc>
          <w:tcPr>
            <w:tcW w:w="1440" w:type="dxa"/>
            <w:vAlign w:val="bottom"/>
            <w:tcBorders>
              <w:right w:val="single" w:sz="8" w:color="auto"/>
            </w:tcBorders>
          </w:tcPr>
          <w:p>
            <w:pPr>
              <w:jc w:val="center"/>
              <w:ind w:left="261"/>
              <w:spacing w:after="0" w:line="127" w:lineRule="exact"/>
              <w:rPr>
                <w:sz w:val="20"/>
                <w:szCs w:val="20"/>
                <w:color w:val="auto"/>
              </w:rPr>
            </w:pPr>
            <w:r>
              <w:rPr>
                <w:rFonts w:ascii="Times New Roman" w:cs="Times New Roman" w:eastAsia="Times New Roman" w:hAnsi="Times New Roman"/>
                <w:sz w:val="12"/>
                <w:szCs w:val="12"/>
                <w:color w:val="auto"/>
              </w:rPr>
              <w:t>39 bps</w:t>
            </w:r>
          </w:p>
        </w:tc>
        <w:tc>
          <w:tcPr>
            <w:tcW w:w="0" w:type="dxa"/>
            <w:vAlign w:val="bottom"/>
          </w:tcPr>
          <w:p>
            <w:pPr>
              <w:spacing w:after="0"/>
              <w:rPr>
                <w:sz w:val="1"/>
                <w:szCs w:val="1"/>
                <w:color w:val="auto"/>
              </w:rPr>
            </w:pPr>
          </w:p>
        </w:tc>
      </w:tr>
      <w:tr>
        <w:trPr>
          <w:trHeight w:val="149"/>
        </w:trPr>
        <w:tc>
          <w:tcPr>
            <w:tcW w:w="3380" w:type="dxa"/>
            <w:vAlign w:val="bottom"/>
            <w:tcBorders>
              <w:left w:val="single" w:sz="8" w:color="auto"/>
              <w:bottom w:val="single" w:sz="8" w:color="auto"/>
              <w:right w:val="single" w:sz="8" w:color="auto"/>
            </w:tcBorders>
          </w:tcPr>
          <w:p>
            <w:pPr>
              <w:ind w:left="40"/>
              <w:spacing w:after="0" w:line="149" w:lineRule="exact"/>
              <w:rPr>
                <w:sz w:val="20"/>
                <w:szCs w:val="20"/>
                <w:color w:val="auto"/>
              </w:rPr>
            </w:pPr>
            <w:r>
              <w:rPr>
                <w:rFonts w:ascii="Times New Roman" w:cs="Times New Roman" w:eastAsia="Times New Roman" w:hAnsi="Times New Roman"/>
                <w:sz w:val="11"/>
                <w:szCs w:val="11"/>
                <w:color w:val="auto"/>
              </w:rPr>
              <w:t>Ratio common equity tier 1</w:t>
            </w:r>
            <w:r>
              <w:rPr>
                <w:rFonts w:ascii="Times New Roman" w:cs="Times New Roman" w:eastAsia="Times New Roman" w:hAnsi="Times New Roman"/>
                <w:sz w:val="17"/>
                <w:szCs w:val="17"/>
                <w:color w:val="auto"/>
                <w:vertAlign w:val="superscript"/>
              </w:rPr>
              <w:t>(11) (13)</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15.89%</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17.30%</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15.70%</w:t>
            </w:r>
          </w:p>
        </w:tc>
        <w:tc>
          <w:tcPr>
            <w:tcW w:w="800" w:type="dxa"/>
            <w:vAlign w:val="bottom"/>
            <w:tcBorders>
              <w:bottom w:val="single" w:sz="8" w:color="auto"/>
            </w:tcBorders>
          </w:tcPr>
          <w:p>
            <w:pPr>
              <w:jc w:val="center"/>
              <w:ind w:left="261"/>
              <w:spacing w:after="0"/>
              <w:rPr>
                <w:sz w:val="20"/>
                <w:szCs w:val="20"/>
                <w:color w:val="auto"/>
              </w:rPr>
            </w:pPr>
            <w:r>
              <w:rPr>
                <w:rFonts w:ascii="Times New Roman" w:cs="Times New Roman" w:eastAsia="Times New Roman" w:hAnsi="Times New Roman"/>
                <w:sz w:val="12"/>
                <w:szCs w:val="12"/>
                <w:color w:val="auto"/>
                <w:w w:val="95"/>
              </w:rPr>
              <w:t>-161 bps</w:t>
            </w:r>
          </w:p>
        </w:tc>
        <w:tc>
          <w:tcPr>
            <w:tcW w:w="1440" w:type="dxa"/>
            <w:vAlign w:val="bottom"/>
            <w:tcBorders>
              <w:bottom w:val="single" w:sz="8" w:color="auto"/>
              <w:right w:val="single" w:sz="8" w:color="auto"/>
            </w:tcBorders>
          </w:tcPr>
          <w:p>
            <w:pPr>
              <w:jc w:val="center"/>
              <w:ind w:left="261"/>
              <w:spacing w:after="0"/>
              <w:rPr>
                <w:sz w:val="20"/>
                <w:szCs w:val="20"/>
                <w:color w:val="auto"/>
              </w:rPr>
            </w:pPr>
            <w:r>
              <w:rPr>
                <w:rFonts w:ascii="Times New Roman" w:cs="Times New Roman" w:eastAsia="Times New Roman" w:hAnsi="Times New Roman"/>
                <w:sz w:val="12"/>
                <w:szCs w:val="12"/>
                <w:color w:val="auto"/>
              </w:rPr>
              <w:t>-19 bps</w:t>
            </w:r>
          </w:p>
        </w:tc>
        <w:tc>
          <w:tcPr>
            <w:tcW w:w="0" w:type="dxa"/>
            <w:vAlign w:val="bottom"/>
          </w:tcPr>
          <w:p>
            <w:pPr>
              <w:spacing w:after="0"/>
              <w:rPr>
                <w:sz w:val="1"/>
                <w:szCs w:val="1"/>
                <w:color w:val="auto"/>
              </w:rPr>
            </w:pPr>
          </w:p>
        </w:tc>
      </w:tr>
      <w:tr>
        <w:trPr>
          <w:trHeight w:val="120"/>
        </w:trPr>
        <w:tc>
          <w:tcPr>
            <w:tcW w:w="3380" w:type="dxa"/>
            <w:vAlign w:val="bottom"/>
            <w:tcBorders>
              <w:left w:val="single" w:sz="8" w:color="auto"/>
              <w:bottom w:val="single" w:sz="8" w:color="auto"/>
              <w:right w:val="single" w:sz="8" w:color="auto"/>
            </w:tcBorders>
          </w:tcPr>
          <w:p>
            <w:pPr>
              <w:ind w:left="40"/>
              <w:spacing w:after="0" w:line="120" w:lineRule="exact"/>
              <w:rPr>
                <w:sz w:val="20"/>
                <w:szCs w:val="20"/>
                <w:color w:val="auto"/>
              </w:rPr>
            </w:pPr>
            <w:r>
              <w:rPr>
                <w:rFonts w:ascii="Times New Roman" w:cs="Times New Roman" w:eastAsia="Times New Roman" w:hAnsi="Times New Roman"/>
                <w:sz w:val="9"/>
                <w:szCs w:val="9"/>
                <w:b w:val="1"/>
                <w:bCs w:val="1"/>
                <w:color w:val="auto"/>
              </w:rPr>
              <w:t>Employees</w:t>
            </w:r>
            <w:r>
              <w:rPr>
                <w:rFonts w:ascii="Times New Roman" w:cs="Times New Roman" w:eastAsia="Times New Roman" w:hAnsi="Times New Roman"/>
                <w:sz w:val="13"/>
                <w:szCs w:val="13"/>
                <w:b w:val="1"/>
                <w:bCs w:val="1"/>
                <w:color w:val="auto"/>
                <w:vertAlign w:val="superscript"/>
              </w:rPr>
              <w:t>(14)</w:t>
            </w:r>
          </w:p>
        </w:tc>
        <w:tc>
          <w:tcPr>
            <w:tcW w:w="1100" w:type="dxa"/>
            <w:vAlign w:val="bottom"/>
            <w:tcBorders>
              <w:bottom w:val="single" w:sz="8" w:color="auto"/>
            </w:tcBorders>
          </w:tcPr>
          <w:p>
            <w:pPr>
              <w:jc w:val="center"/>
              <w:spacing w:after="0" w:line="120" w:lineRule="exact"/>
              <w:rPr>
                <w:sz w:val="20"/>
                <w:szCs w:val="20"/>
                <w:color w:val="auto"/>
              </w:rPr>
            </w:pPr>
            <w:r>
              <w:rPr>
                <w:rFonts w:ascii="Times New Roman" w:cs="Times New Roman" w:eastAsia="Times New Roman" w:hAnsi="Times New Roman"/>
                <w:sz w:val="12"/>
                <w:szCs w:val="12"/>
                <w:color w:val="auto"/>
              </w:rPr>
              <w:t>48,853</w:t>
            </w:r>
          </w:p>
        </w:tc>
        <w:tc>
          <w:tcPr>
            <w:tcW w:w="1120" w:type="dxa"/>
            <w:vAlign w:val="bottom"/>
            <w:tcBorders>
              <w:bottom w:val="single" w:sz="8" w:color="auto"/>
            </w:tcBorders>
          </w:tcPr>
          <w:p>
            <w:pPr>
              <w:jc w:val="center"/>
              <w:spacing w:after="0" w:line="120" w:lineRule="exact"/>
              <w:rPr>
                <w:sz w:val="20"/>
                <w:szCs w:val="20"/>
                <w:color w:val="auto"/>
              </w:rPr>
            </w:pPr>
            <w:r>
              <w:rPr>
                <w:rFonts w:ascii="Times New Roman" w:cs="Times New Roman" w:eastAsia="Times New Roman" w:hAnsi="Times New Roman"/>
                <w:sz w:val="12"/>
                <w:szCs w:val="12"/>
                <w:color w:val="auto"/>
                <w:w w:val="96"/>
              </w:rPr>
              <w:t>51,005</w:t>
            </w:r>
          </w:p>
        </w:tc>
        <w:tc>
          <w:tcPr>
            <w:tcW w:w="1140" w:type="dxa"/>
            <w:vAlign w:val="bottom"/>
            <w:tcBorders>
              <w:bottom w:val="single" w:sz="8" w:color="auto"/>
              <w:right w:val="single" w:sz="8" w:color="auto"/>
            </w:tcBorders>
          </w:tcPr>
          <w:p>
            <w:pPr>
              <w:jc w:val="center"/>
              <w:spacing w:after="0" w:line="120" w:lineRule="exact"/>
              <w:rPr>
                <w:sz w:val="20"/>
                <w:szCs w:val="20"/>
                <w:color w:val="auto"/>
              </w:rPr>
            </w:pPr>
            <w:r>
              <w:rPr>
                <w:rFonts w:ascii="Times New Roman" w:cs="Times New Roman" w:eastAsia="Times New Roman" w:hAnsi="Times New Roman"/>
                <w:sz w:val="12"/>
                <w:szCs w:val="12"/>
                <w:color w:val="auto"/>
                <w:w w:val="96"/>
              </w:rPr>
              <w:t>51,509</w:t>
            </w:r>
          </w:p>
        </w:tc>
        <w:tc>
          <w:tcPr>
            <w:tcW w:w="800" w:type="dxa"/>
            <w:vAlign w:val="bottom"/>
            <w:tcBorders>
              <w:bottom w:val="single" w:sz="8" w:color="auto"/>
            </w:tcBorders>
          </w:tcPr>
          <w:p>
            <w:pPr>
              <w:jc w:val="center"/>
              <w:ind w:left="221"/>
              <w:spacing w:after="0" w:line="120" w:lineRule="exact"/>
              <w:rPr>
                <w:sz w:val="20"/>
                <w:szCs w:val="20"/>
                <w:color w:val="auto"/>
              </w:rPr>
            </w:pPr>
            <w:r>
              <w:rPr>
                <w:rFonts w:ascii="Times New Roman" w:cs="Times New Roman" w:eastAsia="Times New Roman" w:hAnsi="Times New Roman"/>
                <w:sz w:val="12"/>
                <w:szCs w:val="12"/>
                <w:color w:val="auto"/>
                <w:w w:val="95"/>
              </w:rPr>
              <w:t>1.0%</w:t>
            </w:r>
          </w:p>
        </w:tc>
        <w:tc>
          <w:tcPr>
            <w:tcW w:w="1440" w:type="dxa"/>
            <w:vAlign w:val="bottom"/>
            <w:tcBorders>
              <w:bottom w:val="single" w:sz="8" w:color="auto"/>
              <w:right w:val="single" w:sz="8" w:color="auto"/>
            </w:tcBorders>
          </w:tcPr>
          <w:p>
            <w:pPr>
              <w:jc w:val="center"/>
              <w:ind w:left="221"/>
              <w:spacing w:after="0" w:line="120" w:lineRule="exact"/>
              <w:rPr>
                <w:sz w:val="20"/>
                <w:szCs w:val="20"/>
                <w:color w:val="auto"/>
              </w:rPr>
            </w:pPr>
            <w:r>
              <w:rPr>
                <w:rFonts w:ascii="Times New Roman" w:cs="Times New Roman" w:eastAsia="Times New Roman" w:hAnsi="Times New Roman"/>
                <w:sz w:val="12"/>
                <w:szCs w:val="12"/>
                <w:color w:val="auto"/>
                <w:w w:val="95"/>
              </w:rPr>
              <w:t>5.4%</w:t>
            </w:r>
          </w:p>
        </w:tc>
        <w:tc>
          <w:tcPr>
            <w:tcW w:w="0" w:type="dxa"/>
            <w:vAlign w:val="bottom"/>
          </w:tcPr>
          <w:p>
            <w:pPr>
              <w:spacing w:after="0"/>
              <w:rPr>
                <w:sz w:val="1"/>
                <w:szCs w:val="1"/>
                <w:color w:val="auto"/>
              </w:rPr>
            </w:pPr>
          </w:p>
        </w:tc>
      </w:tr>
      <w:tr>
        <w:trPr>
          <w:trHeight w:val="104"/>
        </w:trPr>
        <w:tc>
          <w:tcPr>
            <w:tcW w:w="3380" w:type="dxa"/>
            <w:vAlign w:val="bottom"/>
            <w:tcBorders>
              <w:left w:val="single" w:sz="8" w:color="auto"/>
              <w:right w:val="single" w:sz="8" w:color="auto"/>
            </w:tcBorders>
          </w:tcPr>
          <w:p>
            <w:pPr>
              <w:ind w:left="40"/>
              <w:spacing w:after="0" w:line="104" w:lineRule="exact"/>
              <w:rPr>
                <w:sz w:val="20"/>
                <w:szCs w:val="20"/>
                <w:color w:val="auto"/>
              </w:rPr>
            </w:pPr>
            <w:r>
              <w:rPr>
                <w:rFonts w:ascii="Times New Roman" w:cs="Times New Roman" w:eastAsia="Times New Roman" w:hAnsi="Times New Roman"/>
                <w:sz w:val="12"/>
                <w:szCs w:val="12"/>
                <w:b w:val="1"/>
                <w:bCs w:val="1"/>
                <w:color w:val="auto"/>
              </w:rPr>
              <w:t>Share Information</w:t>
            </w: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14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380" w:type="dxa"/>
            <w:vAlign w:val="bottom"/>
            <w:tcBorders>
              <w:left w:val="single" w:sz="8" w:color="auto"/>
              <w:right w:val="single" w:sz="8" w:color="auto"/>
            </w:tcBorders>
          </w:tcPr>
          <w:p>
            <w:pPr>
              <w:ind w:left="40"/>
              <w:spacing w:after="0" w:line="121" w:lineRule="exact"/>
              <w:rPr>
                <w:sz w:val="20"/>
                <w:szCs w:val="20"/>
                <w:color w:val="auto"/>
              </w:rPr>
            </w:pPr>
            <w:r>
              <w:rPr>
                <w:rFonts w:ascii="Times New Roman" w:cs="Times New Roman" w:eastAsia="Times New Roman" w:hAnsi="Times New Roman"/>
                <w:sz w:val="12"/>
                <w:szCs w:val="12"/>
                <w:color w:val="auto"/>
              </w:rPr>
              <w:t>Issued Shares</w:t>
            </w:r>
          </w:p>
        </w:tc>
        <w:tc>
          <w:tcPr>
            <w:tcW w:w="1100" w:type="dxa"/>
            <w:vAlign w:val="bottom"/>
          </w:tcPr>
          <w:p>
            <w:pPr>
              <w:jc w:val="center"/>
              <w:spacing w:after="0" w:line="121" w:lineRule="exact"/>
              <w:rPr>
                <w:sz w:val="20"/>
                <w:szCs w:val="20"/>
                <w:color w:val="auto"/>
              </w:rPr>
            </w:pPr>
            <w:r>
              <w:rPr>
                <w:rFonts w:ascii="Times New Roman" w:cs="Times New Roman" w:eastAsia="Times New Roman" w:hAnsi="Times New Roman"/>
                <w:sz w:val="12"/>
                <w:szCs w:val="12"/>
                <w:color w:val="auto"/>
              </w:rPr>
              <w:t>94,382</w:t>
            </w:r>
          </w:p>
        </w:tc>
        <w:tc>
          <w:tcPr>
            <w:tcW w:w="1120" w:type="dxa"/>
            <w:vAlign w:val="bottom"/>
          </w:tcPr>
          <w:p>
            <w:pPr>
              <w:jc w:val="center"/>
              <w:spacing w:after="0" w:line="121" w:lineRule="exact"/>
              <w:rPr>
                <w:sz w:val="20"/>
                <w:szCs w:val="20"/>
                <w:color w:val="auto"/>
              </w:rPr>
            </w:pPr>
            <w:r>
              <w:rPr>
                <w:rFonts w:ascii="Times New Roman" w:cs="Times New Roman" w:eastAsia="Times New Roman" w:hAnsi="Times New Roman"/>
                <w:sz w:val="12"/>
                <w:szCs w:val="12"/>
                <w:color w:val="auto"/>
                <w:w w:val="96"/>
              </w:rPr>
              <w:t>94,382</w:t>
            </w:r>
          </w:p>
        </w:tc>
        <w:tc>
          <w:tcPr>
            <w:tcW w:w="1140" w:type="dxa"/>
            <w:vAlign w:val="bottom"/>
            <w:tcBorders>
              <w:right w:val="single" w:sz="8" w:color="auto"/>
            </w:tcBorders>
          </w:tcPr>
          <w:p>
            <w:pPr>
              <w:jc w:val="center"/>
              <w:spacing w:after="0" w:line="121" w:lineRule="exact"/>
              <w:rPr>
                <w:sz w:val="20"/>
                <w:szCs w:val="20"/>
                <w:color w:val="auto"/>
              </w:rPr>
            </w:pPr>
            <w:r>
              <w:rPr>
                <w:rFonts w:ascii="Times New Roman" w:cs="Times New Roman" w:eastAsia="Times New Roman" w:hAnsi="Times New Roman"/>
                <w:sz w:val="12"/>
                <w:szCs w:val="12"/>
                <w:color w:val="auto"/>
                <w:w w:val="96"/>
              </w:rPr>
              <w:t>94,382</w:t>
            </w:r>
          </w:p>
        </w:tc>
        <w:tc>
          <w:tcPr>
            <w:tcW w:w="800" w:type="dxa"/>
            <w:vAlign w:val="bottom"/>
          </w:tcPr>
          <w:p>
            <w:pPr>
              <w:jc w:val="center"/>
              <w:ind w:left="221"/>
              <w:spacing w:after="0" w:line="121" w:lineRule="exact"/>
              <w:rPr>
                <w:sz w:val="20"/>
                <w:szCs w:val="20"/>
                <w:color w:val="auto"/>
              </w:rPr>
            </w:pPr>
            <w:r>
              <w:rPr>
                <w:rFonts w:ascii="Times New Roman" w:cs="Times New Roman" w:eastAsia="Times New Roman" w:hAnsi="Times New Roman"/>
                <w:sz w:val="12"/>
                <w:szCs w:val="12"/>
                <w:color w:val="auto"/>
                <w:w w:val="95"/>
              </w:rPr>
              <w:t>0.0%</w:t>
            </w:r>
          </w:p>
        </w:tc>
        <w:tc>
          <w:tcPr>
            <w:tcW w:w="1440" w:type="dxa"/>
            <w:vAlign w:val="bottom"/>
            <w:tcBorders>
              <w:right w:val="single" w:sz="8" w:color="auto"/>
            </w:tcBorders>
          </w:tcPr>
          <w:p>
            <w:pPr>
              <w:jc w:val="center"/>
              <w:ind w:left="221"/>
              <w:spacing w:after="0" w:line="121" w:lineRule="exact"/>
              <w:rPr>
                <w:sz w:val="20"/>
                <w:szCs w:val="20"/>
                <w:color w:val="auto"/>
              </w:rPr>
            </w:pPr>
            <w:r>
              <w:rPr>
                <w:rFonts w:ascii="Times New Roman" w:cs="Times New Roman" w:eastAsia="Times New Roman" w:hAnsi="Times New Roman"/>
                <w:sz w:val="12"/>
                <w:szCs w:val="12"/>
                <w:color w:val="auto"/>
                <w:w w:val="95"/>
              </w:rPr>
              <w:t>0.0%</w:t>
            </w:r>
          </w:p>
        </w:tc>
        <w:tc>
          <w:tcPr>
            <w:tcW w:w="0" w:type="dxa"/>
            <w:vAlign w:val="bottom"/>
          </w:tcPr>
          <w:p>
            <w:pPr>
              <w:spacing w:after="0"/>
              <w:rPr>
                <w:sz w:val="1"/>
                <w:szCs w:val="1"/>
                <w:color w:val="auto"/>
              </w:rPr>
            </w:pPr>
          </w:p>
        </w:tc>
      </w:tr>
      <w:tr>
        <w:trPr>
          <w:trHeight w:val="133"/>
        </w:trPr>
        <w:tc>
          <w:tcPr>
            <w:tcW w:w="3380" w:type="dxa"/>
            <w:vAlign w:val="bottom"/>
            <w:tcBorders>
              <w:left w:val="single" w:sz="8" w:color="auto"/>
              <w:right w:val="single" w:sz="8" w:color="auto"/>
            </w:tcBorders>
          </w:tcPr>
          <w:p>
            <w:pPr>
              <w:ind w:left="40"/>
              <w:spacing w:after="0" w:line="133" w:lineRule="exact"/>
              <w:rPr>
                <w:sz w:val="20"/>
                <w:szCs w:val="20"/>
                <w:color w:val="auto"/>
              </w:rPr>
            </w:pPr>
            <w:r>
              <w:rPr>
                <w:rFonts w:ascii="Times New Roman" w:cs="Times New Roman" w:eastAsia="Times New Roman" w:hAnsi="Times New Roman"/>
                <w:sz w:val="10"/>
                <w:szCs w:val="10"/>
                <w:color w:val="auto"/>
              </w:rPr>
              <w:t>Treasury Shares</w:t>
            </w:r>
            <w:r>
              <w:rPr>
                <w:rFonts w:ascii="Times New Roman" w:cs="Times New Roman" w:eastAsia="Times New Roman" w:hAnsi="Times New Roman"/>
                <w:sz w:val="15"/>
                <w:szCs w:val="15"/>
                <w:color w:val="auto"/>
                <w:vertAlign w:val="superscript"/>
              </w:rPr>
              <w:t>(12)</w:t>
            </w:r>
          </w:p>
        </w:tc>
        <w:tc>
          <w:tcPr>
            <w:tcW w:w="110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15,016</w:t>
            </w:r>
          </w:p>
        </w:tc>
        <w:tc>
          <w:tcPr>
            <w:tcW w:w="112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6"/>
              </w:rPr>
              <w:t>15,016</w:t>
            </w:r>
          </w:p>
        </w:tc>
        <w:tc>
          <w:tcPr>
            <w:tcW w:w="1140" w:type="dxa"/>
            <w:vAlign w:val="bottom"/>
            <w:tcBorders>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6"/>
              </w:rPr>
              <w:t>14,934</w:t>
            </w:r>
          </w:p>
        </w:tc>
        <w:tc>
          <w:tcPr>
            <w:tcW w:w="800" w:type="dxa"/>
            <w:vAlign w:val="bottom"/>
          </w:tcPr>
          <w:p>
            <w:pPr>
              <w:jc w:val="center"/>
              <w:ind w:left="221"/>
              <w:spacing w:after="0" w:line="133" w:lineRule="exact"/>
              <w:rPr>
                <w:sz w:val="20"/>
                <w:szCs w:val="20"/>
                <w:color w:val="auto"/>
              </w:rPr>
            </w:pPr>
            <w:r>
              <w:rPr>
                <w:rFonts w:ascii="Times New Roman" w:cs="Times New Roman" w:eastAsia="Times New Roman" w:hAnsi="Times New Roman"/>
                <w:sz w:val="12"/>
                <w:szCs w:val="12"/>
                <w:color w:val="auto"/>
                <w:w w:val="96"/>
              </w:rPr>
              <w:t>-0.5%</w:t>
            </w:r>
          </w:p>
        </w:tc>
        <w:tc>
          <w:tcPr>
            <w:tcW w:w="1440" w:type="dxa"/>
            <w:vAlign w:val="bottom"/>
            <w:tcBorders>
              <w:right w:val="single" w:sz="8" w:color="auto"/>
            </w:tcBorders>
          </w:tcPr>
          <w:p>
            <w:pPr>
              <w:jc w:val="center"/>
              <w:ind w:left="221"/>
              <w:spacing w:after="0" w:line="133" w:lineRule="exact"/>
              <w:rPr>
                <w:sz w:val="20"/>
                <w:szCs w:val="20"/>
                <w:color w:val="auto"/>
              </w:rPr>
            </w:pPr>
            <w:r>
              <w:rPr>
                <w:rFonts w:ascii="Times New Roman" w:cs="Times New Roman" w:eastAsia="Times New Roman" w:hAnsi="Times New Roman"/>
                <w:sz w:val="12"/>
                <w:szCs w:val="12"/>
                <w:color w:val="auto"/>
                <w:w w:val="96"/>
              </w:rPr>
              <w:t>-0.5%</w:t>
            </w:r>
          </w:p>
        </w:tc>
        <w:tc>
          <w:tcPr>
            <w:tcW w:w="0" w:type="dxa"/>
            <w:vAlign w:val="bottom"/>
          </w:tcPr>
          <w:p>
            <w:pPr>
              <w:spacing w:after="0"/>
              <w:rPr>
                <w:sz w:val="1"/>
                <w:szCs w:val="1"/>
                <w:color w:val="auto"/>
              </w:rPr>
            </w:pPr>
          </w:p>
        </w:tc>
      </w:tr>
      <w:tr>
        <w:trPr>
          <w:trHeight w:val="143"/>
        </w:trPr>
        <w:tc>
          <w:tcPr>
            <w:tcW w:w="33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2"/>
                <w:szCs w:val="12"/>
                <w:color w:val="auto"/>
              </w:rPr>
              <w:t>Outstanding Shares</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79,366</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6"/>
              </w:rPr>
              <w:t>79,366</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6"/>
              </w:rPr>
              <w:t>79,448</w:t>
            </w:r>
          </w:p>
        </w:tc>
        <w:tc>
          <w:tcPr>
            <w:tcW w:w="800" w:type="dxa"/>
            <w:vAlign w:val="bottom"/>
            <w:tcBorders>
              <w:bottom w:val="single" w:sz="8" w:color="auto"/>
            </w:tcBorders>
          </w:tcPr>
          <w:p>
            <w:pPr>
              <w:jc w:val="center"/>
              <w:ind w:left="221"/>
              <w:spacing w:after="0"/>
              <w:rPr>
                <w:sz w:val="20"/>
                <w:szCs w:val="20"/>
                <w:color w:val="auto"/>
              </w:rPr>
            </w:pPr>
            <w:r>
              <w:rPr>
                <w:rFonts w:ascii="Times New Roman" w:cs="Times New Roman" w:eastAsia="Times New Roman" w:hAnsi="Times New Roman"/>
                <w:sz w:val="12"/>
                <w:szCs w:val="12"/>
                <w:color w:val="auto"/>
                <w:w w:val="95"/>
              </w:rPr>
              <w:t>0.1%</w:t>
            </w:r>
          </w:p>
        </w:tc>
        <w:tc>
          <w:tcPr>
            <w:tcW w:w="1440" w:type="dxa"/>
            <w:vAlign w:val="bottom"/>
            <w:tcBorders>
              <w:bottom w:val="single" w:sz="8" w:color="auto"/>
              <w:right w:val="single" w:sz="8" w:color="auto"/>
            </w:tcBorders>
          </w:tcPr>
          <w:p>
            <w:pPr>
              <w:jc w:val="center"/>
              <w:ind w:left="221"/>
              <w:spacing w:after="0"/>
              <w:rPr>
                <w:sz w:val="20"/>
                <w:szCs w:val="20"/>
                <w:color w:val="auto"/>
              </w:rPr>
            </w:pPr>
            <w:r>
              <w:rPr>
                <w:rFonts w:ascii="Times New Roman" w:cs="Times New Roman" w:eastAsia="Times New Roman" w:hAnsi="Times New Roman"/>
                <w:sz w:val="12"/>
                <w:szCs w:val="12"/>
                <w:color w:val="auto"/>
                <w:w w:val="95"/>
              </w:rPr>
              <w:t>0.1%</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58" w:hanging="158"/>
        <w:spacing w:after="0"/>
        <w:tabs>
          <w:tab w:leader="none" w:pos="158"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Net Interest Margin = Net Interest Income (Excluding Net Insurance Financial Expenses) / Average Interest Earning Assets</w:t>
      </w:r>
    </w:p>
    <w:p>
      <w:pPr>
        <w:ind w:left="198" w:hanging="198"/>
        <w:spacing w:after="0" w:line="220" w:lineRule="auto"/>
        <w:tabs>
          <w:tab w:leader="none" w:pos="198"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Funding Cost = Interest Expense (Does not include Net Insurance Financial Expenses) / Average Funding</w:t>
      </w:r>
    </w:p>
    <w:p>
      <w:pPr>
        <w:ind w:left="198" w:hanging="198"/>
        <w:spacing w:after="0" w:line="220" w:lineRule="auto"/>
        <w:tabs>
          <w:tab w:leader="none" w:pos="198"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Internal Overdue Loans: includes overdue loans and loans under legal collection, according to our internal policy for overdue loans. Internal Overdue Ratio: Internal overdue loans / Total loans</w:t>
      </w:r>
    </w:p>
    <w:p>
      <w:pPr>
        <w:ind w:left="158" w:hanging="158"/>
        <w:spacing w:after="0" w:line="220" w:lineRule="auto"/>
        <w:tabs>
          <w:tab w:leader="none" w:pos="158"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Non-performing loans (NPL): Internal overdue loans + Refinanced loans. NPL ratio: NPL / Total loans.</w:t>
      </w:r>
    </w:p>
    <w:p>
      <w:pPr>
        <w:ind w:left="158" w:hanging="158"/>
        <w:spacing w:after="0" w:line="220" w:lineRule="auto"/>
        <w:tabs>
          <w:tab w:leader="none" w:pos="158"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Cost of risk = Annualized provision for loan losses, net of recoveries / Average Total loans.</w:t>
      </w:r>
    </w:p>
    <w:p>
      <w:pPr>
        <w:ind w:left="-2" w:firstLine="2"/>
        <w:spacing w:after="0" w:line="220" w:lineRule="auto"/>
        <w:tabs>
          <w:tab w:leader="none" w:pos="174"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Operating Income = Net interest, similar income and expenses + Fee Income+ Net gain on foreign exchange transactions + Net Gain From associates + Net gain on derivatives held for trading + Result on exchange differences + Insurance Underwriting Result + Results for Medical Services</w:t>
      </w:r>
    </w:p>
    <w:p>
      <w:pPr>
        <w:ind w:left="158" w:hanging="158"/>
        <w:spacing w:after="0" w:line="220" w:lineRule="auto"/>
        <w:tabs>
          <w:tab w:leader="none" w:pos="158"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Operating Expenses = Salaries and employee benefits + Administrative expenses + Depreciation and amortization + Association in participation</w:t>
      </w:r>
    </w:p>
    <w:p>
      <w:pPr>
        <w:ind w:left="-2" w:firstLine="2"/>
        <w:spacing w:after="0" w:line="220" w:lineRule="auto"/>
        <w:tabs>
          <w:tab w:leader="none" w:pos="166"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Efficiency Ratio = (Salaries and employee benefits + Administrative expenses + Depreciation and amortization + Association in participation) / (Net interest, similar income and expenses + Fee Income + Net gain on foreign exchange transactions + Net Gain From associates + Net gain on derivatives held for trading + Result on exchange differences + Insurance Underwriting Result + Results for Medical Services)</w:t>
      </w:r>
    </w:p>
    <w:p>
      <w:pPr>
        <w:ind w:left="158" w:hanging="158"/>
        <w:spacing w:after="0" w:line="220" w:lineRule="auto"/>
        <w:tabs>
          <w:tab w:leader="none" w:pos="158"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Regulatory Capital / Risk-weighted assets (legal minimum = 10% since July 2011).</w:t>
      </w:r>
    </w:p>
    <w:p>
      <w:pPr>
        <w:ind w:left="-2" w:firstLine="2"/>
        <w:spacing w:after="0" w:line="220" w:lineRule="auto"/>
        <w:tabs>
          <w:tab w:leader="none" w:pos="238"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Tier 1 = Capital + Legal and other capital reserves + Accumulated earnings with capitalization agreement + (0.5 x Unrealized profit and net income in subsidiaries) - Goodwill - (0.5 x Investment in subsidiaries) + Perpetual subordinated debt (the maximum amount that can be included is 17.65% of Capital + Reserves + Accumulated earnings with capitalization agreement + Unrealized profit and net income in subsidiaries - Goodwill).</w:t>
      </w:r>
    </w:p>
    <w:p>
      <w:pPr>
        <w:ind w:left="218" w:hanging="218"/>
        <w:spacing w:after="0" w:line="220" w:lineRule="auto"/>
        <w:tabs>
          <w:tab w:leader="none" w:pos="218"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Common Equity Tier I = Capital + Reserves – 100% of applicable deductions (investment in subsidiaries, goodwill, intangibles and net deferred taxes that rely on future profitability) + retained earnings + unrealized gains.</w:t>
      </w:r>
    </w:p>
    <w:p>
      <w:pPr>
        <w:ind w:left="218" w:hanging="218"/>
        <w:spacing w:after="0" w:line="220" w:lineRule="auto"/>
        <w:tabs>
          <w:tab w:leader="none" w:pos="218"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Consider shares held by Atlantic Security Holding Corporation (ASHC) and stock award.</w:t>
      </w:r>
    </w:p>
    <w:p>
      <w:pPr>
        <w:ind w:left="218" w:hanging="218"/>
        <w:spacing w:after="0" w:line="220" w:lineRule="auto"/>
        <w:tabs>
          <w:tab w:leader="none" w:pos="218"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Common Equity Tier I calculated based on IFRS Accounting.</w:t>
      </w:r>
    </w:p>
    <w:p>
      <w:pPr>
        <w:ind w:left="218" w:hanging="218"/>
        <w:spacing w:after="0"/>
        <w:tabs>
          <w:tab w:leader="none" w:pos="218"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Internal management figures.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833755</wp:posOffset>
            </wp:positionV>
            <wp:extent cx="7140575" cy="158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0575" cy="15875"/>
                    </a:xfrm>
                    <a:prstGeom prst="rect">
                      <a:avLst/>
                    </a:prstGeom>
                    <a:noFill/>
                  </pic:spPr>
                </pic:pic>
              </a:graphicData>
            </a:graphic>
          </wp:anchor>
        </w:drawing>
        <w:drawing>
          <wp:anchor simplePos="0" relativeHeight="251657728" behindDoc="1" locked="0" layoutInCell="0" allowOverlap="1">
            <wp:simplePos x="0" y="0"/>
            <wp:positionH relativeFrom="column">
              <wp:posOffset>330200</wp:posOffset>
            </wp:positionH>
            <wp:positionV relativeFrom="paragraph">
              <wp:posOffset>124460</wp:posOffset>
            </wp:positionV>
            <wp:extent cx="6447155" cy="5721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447155" cy="572135"/>
                    </a:xfrm>
                    <a:prstGeom prst="rect">
                      <a:avLst/>
                    </a:prstGeom>
                    <a:noFill/>
                  </pic:spPr>
                </pic:pic>
              </a:graphicData>
            </a:graphic>
          </wp:anchor>
        </w:drawing>
      </w:r>
    </w:p>
    <w:p>
      <w:pPr>
        <w:sectPr>
          <w:pgSz w:w="11900" w:h="16838" w:orient="portrait"/>
          <w:cols w:equalWidth="0" w:num="1">
            <w:col w:w="11238"/>
          </w:cols>
          <w:pgMar w:left="322" w:top="635"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673"/>
        </w:trPr>
        <w:tc>
          <w:tcPr>
            <w:tcW w:w="3500" w:type="dxa"/>
            <w:vAlign w:val="bottom"/>
            <w:shd w:val="clear" w:color="auto" w:fill="000000"/>
          </w:tcPr>
          <w:p>
            <w:pPr>
              <w:jc w:val="right"/>
              <w:ind w:right="164"/>
              <w:spacing w:after="0"/>
              <w:rPr>
                <w:sz w:val="20"/>
                <w:szCs w:val="20"/>
                <w:color w:val="auto"/>
              </w:rPr>
            </w:pPr>
            <w:r>
              <w:rPr>
                <w:rFonts w:ascii="Times New Roman" w:cs="Times New Roman" w:eastAsia="Times New Roman" w:hAnsi="Times New Roman"/>
                <w:sz w:val="15"/>
                <w:szCs w:val="15"/>
                <w:color w:val="A6A6A6"/>
              </w:rPr>
              <w:t>|</w:t>
            </w:r>
          </w:p>
        </w:tc>
        <w:tc>
          <w:tcPr>
            <w:tcW w:w="4350" w:type="dxa"/>
            <w:vAlign w:val="bottom"/>
            <w:shd w:val="clear" w:color="auto" w:fill="000000"/>
          </w:tcPr>
          <w:p>
            <w:pPr>
              <w:ind w:left="40"/>
              <w:spacing w:after="0"/>
              <w:rPr>
                <w:sz w:val="20"/>
                <w:szCs w:val="20"/>
                <w:color w:val="auto"/>
              </w:rPr>
            </w:pPr>
            <w:r>
              <w:rPr>
                <w:rFonts w:ascii="Times New Roman" w:cs="Times New Roman" w:eastAsia="Times New Roman" w:hAnsi="Times New Roman"/>
                <w:sz w:val="14"/>
                <w:szCs w:val="14"/>
                <w:color w:val="FFFFFF"/>
              </w:rPr>
              <w:t>Earnings Release 1Q / 2026</w:t>
            </w:r>
          </w:p>
        </w:tc>
        <w:tc>
          <w:tcPr>
            <w:tcW w:w="3390" w:type="dxa"/>
            <w:vAlign w:val="bottom"/>
            <w:shd w:val="clear" w:color="auto" w:fill="000000"/>
          </w:tcPr>
          <w:p>
            <w:pPr>
              <w:ind w:left="1210"/>
              <w:spacing w:after="0"/>
              <w:rPr>
                <w:sz w:val="20"/>
                <w:szCs w:val="20"/>
                <w:color w:val="auto"/>
              </w:rPr>
            </w:pPr>
            <w:r>
              <w:rPr>
                <w:rFonts w:ascii="Times New Roman" w:cs="Times New Roman" w:eastAsia="Times New Roman" w:hAnsi="Times New Roman"/>
                <w:sz w:val="14"/>
                <w:szCs w:val="14"/>
                <w:color w:val="FF00FF"/>
                <w:w w:val="97"/>
              </w:rPr>
              <w:t>Analysis of 1Q26 Consolidated Results</w:t>
            </w:r>
          </w:p>
        </w:tc>
      </w:tr>
      <w:tr>
        <w:trPr>
          <w:trHeight w:val="546"/>
        </w:trPr>
        <w:tc>
          <w:tcPr>
            <w:tcW w:w="3500" w:type="dxa"/>
            <w:vAlign w:val="bottom"/>
            <w:shd w:val="clear" w:color="auto" w:fill="000000"/>
          </w:tcPr>
          <w:p>
            <w:pPr>
              <w:spacing w:after="0"/>
              <w:rPr>
                <w:sz w:val="24"/>
                <w:szCs w:val="24"/>
                <w:color w:val="auto"/>
              </w:rPr>
            </w:pPr>
          </w:p>
        </w:tc>
        <w:tc>
          <w:tcPr>
            <w:tcW w:w="4350" w:type="dxa"/>
            <w:vAlign w:val="bottom"/>
            <w:shd w:val="clear" w:color="auto" w:fill="000000"/>
          </w:tcPr>
          <w:p>
            <w:pPr>
              <w:spacing w:after="0"/>
              <w:rPr>
                <w:sz w:val="24"/>
                <w:szCs w:val="24"/>
                <w:color w:val="auto"/>
              </w:rPr>
            </w:pPr>
          </w:p>
        </w:tc>
        <w:tc>
          <w:tcPr>
            <w:tcW w:w="3390" w:type="dxa"/>
            <w:vAlign w:val="bottom"/>
            <w:shd w:val="clear" w:color="auto" w:fill="000000"/>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0</wp:posOffset>
            </wp:positionV>
            <wp:extent cx="7140575" cy="2095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0575" cy="209550"/>
                    </a:xfrm>
                    <a:prstGeom prst="rect">
                      <a:avLst/>
                    </a:prstGeom>
                    <a:noFill/>
                  </pic:spPr>
                </pic:pic>
              </a:graphicData>
            </a:graphic>
          </wp:anchor>
        </w:drawing>
        <w:drawing>
          <wp:anchor simplePos="0" relativeHeight="251657728" behindDoc="1" locked="0" layoutInCell="0" allowOverlap="1">
            <wp:simplePos x="0" y="0"/>
            <wp:positionH relativeFrom="column">
              <wp:posOffset>33020</wp:posOffset>
            </wp:positionH>
            <wp:positionV relativeFrom="paragraph">
              <wp:posOffset>-555625</wp:posOffset>
            </wp:positionV>
            <wp:extent cx="1861820" cy="3384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861820" cy="338455"/>
                    </a:xfrm>
                    <a:prstGeom prst="rect">
                      <a:avLst/>
                    </a:prstGeom>
                    <a:noFill/>
                  </pic:spPr>
                </pic:pic>
              </a:graphicData>
            </a:graphic>
          </wp:anchor>
        </w:drawing>
      </w:r>
    </w:p>
    <w:p>
      <w:pPr>
        <w:spacing w:after="0" w:line="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FFFFFF"/>
        </w:rPr>
        <w:t>Credicorp’s Strategy Update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color w:val="E93BAC"/>
        </w:rPr>
        <w:t>Credicorp’s Strategy</w:t>
      </w:r>
    </w:p>
    <w:p>
      <w:pPr>
        <w:spacing w:after="0" w:line="22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Credicorp has consolidated its leadership in the Andean region through a strategy anchored in digital transformation and innovation; efforts to develop the best talent; and initiatives to integrate sustainability at the core of its business. Our strategic guideposts have channeled our transition to an integrated financial ecosystem whose power wielded is greater than the sum of its parts. Four differentiated growth levers:</w:t>
      </w:r>
    </w:p>
    <w:p>
      <w:pPr>
        <w:spacing w:after="0" w:line="166" w:lineRule="exact"/>
        <w:rPr>
          <w:sz w:val="20"/>
          <w:szCs w:val="20"/>
          <w:color w:val="auto"/>
        </w:rPr>
      </w:pPr>
    </w:p>
    <w:p>
      <w:pPr>
        <w:ind w:left="300" w:hanging="298"/>
        <w:spacing w:after="0"/>
        <w:tabs>
          <w:tab w:leader="none" w:pos="300"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Strengthing Our Leading Position in Underpenetrated Markets with Clear Growth Avenues</w:t>
      </w:r>
    </w:p>
    <w:p>
      <w:pPr>
        <w:spacing w:after="0" w:line="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Leader in various financial verticals in an under-penetrated region that offers opportunities for long-term growth. In Peru, low levels of financial inclusion and high degrees of informality mean that banking, insurance, payments and remittances have untapped opportunities for penetration and growth.</w:t>
      </w:r>
    </w:p>
    <w:p>
      <w:pPr>
        <w:spacing w:after="0" w:line="169" w:lineRule="exact"/>
        <w:rPr>
          <w:sz w:val="20"/>
          <w:szCs w:val="20"/>
          <w:color w:val="auto"/>
        </w:rPr>
      </w:pPr>
    </w:p>
    <w:p>
      <w:pPr>
        <w:ind w:left="300" w:hanging="298"/>
        <w:spacing w:after="0"/>
        <w:tabs>
          <w:tab w:leader="none" w:pos="300"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Scaling an Integrated Digital Ecosystem</w:t>
      </w:r>
    </w:p>
    <w:p>
      <w:pPr>
        <w:spacing w:after="0" w:line="2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Thanks to its innovation portfolio and base of more than 19 million users, Credicorp has evolved into an integrated financial ecosystem. We leverage data to enhance our value proposition with more personalized experiences; heighten engagement; and scale efficiently. By deepening our relationship with the client, we grow our user base and bolster product penetration in the ecosystem’s businesses. We will continue to broaden access to inclusive products and services to advance financial inclusion and create opportunities for people who are currently excluded and unbanked, with the ambition of financially including 8 million Peruvians by 2028.</w:t>
      </w:r>
    </w:p>
    <w:p>
      <w:pPr>
        <w:spacing w:after="0" w:line="16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High-potential businesses such as bancassurance, payments and supply chain finance are expected to grow between 3x and 6x in the medium term. The innovation portfolio, led by Yape, continues to scale and monetize and represented 9.0% of risk-adjusted income at the end of 1Q26, well on its way to hitting the 10% target set for 2026. These advances strengthen our efforts to diversify and generate new sources of income.</w:t>
      </w:r>
    </w:p>
    <w:p>
      <w:pPr>
        <w:spacing w:after="0" w:line="166" w:lineRule="exact"/>
        <w:rPr>
          <w:sz w:val="20"/>
          <w:szCs w:val="20"/>
          <w:color w:val="auto"/>
        </w:rPr>
      </w:pPr>
    </w:p>
    <w:p>
      <w:pPr>
        <w:ind w:left="300" w:hanging="298"/>
        <w:spacing w:after="0"/>
        <w:tabs>
          <w:tab w:leader="none" w:pos="300"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Unlocking Synergies by Leveraging Shared Capabilities Across Our Ecosystem</w:t>
      </w:r>
    </w:p>
    <w:p>
      <w:pPr>
        <w:spacing w:after="0" w:line="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Shared capacities for technology, data, analytics, IA and risk generate competitive advantages that enable synergies, cross-selling, client acquisition, and multi-product adoption. This strengthens efficiency, drives monetization and improves decisions.</w:t>
      </w:r>
    </w:p>
    <w:p>
      <w:pPr>
        <w:spacing w:after="0" w:line="169" w:lineRule="exact"/>
        <w:rPr>
          <w:sz w:val="20"/>
          <w:szCs w:val="20"/>
          <w:color w:val="auto"/>
        </w:rPr>
      </w:pPr>
    </w:p>
    <w:p>
      <w:pPr>
        <w:ind w:left="300" w:hanging="298"/>
        <w:spacing w:after="0"/>
        <w:tabs>
          <w:tab w:leader="none" w:pos="300"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Delivering Strong, Resilient Returns Across Economic Cycles</w:t>
      </w:r>
    </w:p>
    <w:p>
      <w:pPr>
        <w:spacing w:after="0" w:line="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Credicorp has demonstrated resilience over three decades of disciplined execution while creating value through a strategy designed to decouple from the evolution of the macroeconomy.</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223"/>
        </w:trPr>
        <w:tc>
          <w:tcPr>
            <w:tcW w:w="3720" w:type="dxa"/>
            <w:vAlign w:val="bottom"/>
          </w:tcPr>
          <w:p>
            <w:pPr>
              <w:spacing w:after="0"/>
              <w:rPr>
                <w:sz w:val="19"/>
                <w:szCs w:val="19"/>
                <w:color w:val="auto"/>
              </w:rPr>
            </w:pPr>
          </w:p>
        </w:tc>
        <w:tc>
          <w:tcPr>
            <w:tcW w:w="3260" w:type="dxa"/>
            <w:vAlign w:val="bottom"/>
            <w:gridSpan w:val="2"/>
          </w:tcPr>
          <w:p>
            <w:pPr>
              <w:ind w:left="640"/>
              <w:spacing w:after="0"/>
              <w:rPr>
                <w:sz w:val="20"/>
                <w:szCs w:val="20"/>
                <w:color w:val="auto"/>
              </w:rPr>
            </w:pPr>
            <w:r>
              <w:rPr>
                <w:rFonts w:ascii="Times New Roman" w:cs="Times New Roman" w:eastAsia="Times New Roman" w:hAnsi="Times New Roman"/>
                <w:sz w:val="17"/>
                <w:szCs w:val="17"/>
                <w:b w:val="1"/>
                <w:bCs w:val="1"/>
                <w:color w:val="auto"/>
              </w:rPr>
              <w:t>Main KPIs of Credicorp’s Strategy</w:t>
            </w:r>
          </w:p>
        </w:tc>
        <w:tc>
          <w:tcPr>
            <w:tcW w:w="9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372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3720" w:type="dxa"/>
            <w:vAlign w:val="bottom"/>
            <w:tcBorders>
              <w:left w:val="single" w:sz="8" w:color="auto"/>
            </w:tcBorders>
            <w:vMerge w:val="restart"/>
            <w:shd w:val="clear" w:color="auto" w:fill="2AD2C9"/>
          </w:tcPr>
          <w:p>
            <w:pPr>
              <w:ind w:left="60"/>
              <w:spacing w:after="0" w:line="246" w:lineRule="exact"/>
              <w:rPr>
                <w:sz w:val="20"/>
                <w:szCs w:val="20"/>
                <w:color w:val="auto"/>
              </w:rPr>
            </w:pPr>
            <w:r>
              <w:rPr>
                <w:rFonts w:ascii="Times New Roman" w:cs="Times New Roman" w:eastAsia="Times New Roman" w:hAnsi="Times New Roman"/>
                <w:sz w:val="14"/>
                <w:szCs w:val="14"/>
                <w:b w:val="1"/>
                <w:bCs w:val="1"/>
                <w:color w:val="FFFFFF"/>
              </w:rPr>
              <w:t xml:space="preserve">Core Businesses Transformation </w:t>
            </w:r>
            <w:r>
              <w:rPr>
                <w:rFonts w:ascii="Times New Roman" w:cs="Times New Roman" w:eastAsia="Times New Roman" w:hAnsi="Times New Roman"/>
                <w:sz w:val="22"/>
                <w:szCs w:val="22"/>
                <w:b w:val="1"/>
                <w:bCs w:val="1"/>
                <w:color w:val="FFFFFF"/>
                <w:vertAlign w:val="superscript"/>
              </w:rPr>
              <w:t>(1)</w:t>
            </w:r>
          </w:p>
        </w:tc>
        <w:tc>
          <w:tcPr>
            <w:tcW w:w="1920" w:type="dxa"/>
            <w:vAlign w:val="bottom"/>
            <w:tcBorders>
              <w:right w:val="single" w:sz="8" w:color="auto"/>
            </w:tcBorders>
            <w:shd w:val="clear" w:color="auto" w:fill="2AD2C9"/>
          </w:tcPr>
          <w:p>
            <w:pPr>
              <w:spacing w:after="0"/>
              <w:rPr>
                <w:sz w:val="9"/>
                <w:szCs w:val="9"/>
                <w:color w:val="auto"/>
              </w:rPr>
            </w:pPr>
          </w:p>
        </w:tc>
        <w:tc>
          <w:tcPr>
            <w:tcW w:w="1340" w:type="dxa"/>
            <w:vAlign w:val="bottom"/>
            <w:shd w:val="clear" w:color="auto" w:fill="2AD2C9"/>
          </w:tcPr>
          <w:p>
            <w:pPr>
              <w:spacing w:after="0"/>
              <w:rPr>
                <w:sz w:val="9"/>
                <w:szCs w:val="9"/>
                <w:color w:val="auto"/>
              </w:rPr>
            </w:pPr>
          </w:p>
        </w:tc>
        <w:tc>
          <w:tcPr>
            <w:tcW w:w="920" w:type="dxa"/>
            <w:vAlign w:val="bottom"/>
            <w:shd w:val="clear" w:color="auto" w:fill="2AD2C9"/>
          </w:tcPr>
          <w:p>
            <w:pPr>
              <w:ind w:left="80"/>
              <w:spacing w:after="0" w:line="108" w:lineRule="exact"/>
              <w:rPr>
                <w:sz w:val="20"/>
                <w:szCs w:val="20"/>
                <w:color w:val="auto"/>
              </w:rPr>
            </w:pPr>
            <w:r>
              <w:rPr>
                <w:rFonts w:ascii="Times New Roman" w:cs="Times New Roman" w:eastAsia="Times New Roman" w:hAnsi="Times New Roman"/>
                <w:sz w:val="12"/>
                <w:szCs w:val="12"/>
                <w:b w:val="1"/>
                <w:bCs w:val="1"/>
                <w:color w:val="FFFFFF"/>
              </w:rPr>
              <w:t>Quarter</w:t>
            </w:r>
          </w:p>
        </w:tc>
        <w:tc>
          <w:tcPr>
            <w:tcW w:w="1100" w:type="dxa"/>
            <w:vAlign w:val="bottom"/>
            <w:tcBorders>
              <w:right w:val="single" w:sz="8" w:color="auto"/>
            </w:tcBorders>
            <w:shd w:val="clear" w:color="auto" w:fill="2AD2C9"/>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3720" w:type="dxa"/>
            <w:vAlign w:val="bottom"/>
            <w:tcBorders>
              <w:left w:val="single" w:sz="8" w:color="auto"/>
              <w:bottom w:val="single" w:sz="8" w:color="2AD2C9"/>
            </w:tcBorders>
            <w:vMerge w:val="continue"/>
            <w:shd w:val="clear" w:color="auto" w:fill="2AD2C9"/>
          </w:tcPr>
          <w:p>
            <w:pPr>
              <w:spacing w:after="0"/>
              <w:rPr>
                <w:sz w:val="14"/>
                <w:szCs w:val="14"/>
                <w:color w:val="auto"/>
              </w:rPr>
            </w:pPr>
          </w:p>
        </w:tc>
        <w:tc>
          <w:tcPr>
            <w:tcW w:w="1920" w:type="dxa"/>
            <w:vAlign w:val="bottom"/>
            <w:tcBorders>
              <w:bottom w:val="single" w:sz="8" w:color="2AD2C9"/>
              <w:right w:val="single" w:sz="8" w:color="auto"/>
            </w:tcBorders>
            <w:shd w:val="clear" w:color="auto" w:fill="2AD2C9"/>
          </w:tcPr>
          <w:p>
            <w:pPr>
              <w:spacing w:after="0"/>
              <w:rPr>
                <w:sz w:val="14"/>
                <w:szCs w:val="14"/>
                <w:color w:val="auto"/>
              </w:rPr>
            </w:pPr>
          </w:p>
        </w:tc>
        <w:tc>
          <w:tcPr>
            <w:tcW w:w="1340" w:type="dxa"/>
            <w:vAlign w:val="bottom"/>
            <w:tcBorders>
              <w:bottom w:val="single" w:sz="8" w:color="2AD2C9"/>
            </w:tcBorders>
            <w:shd w:val="clear" w:color="auto" w:fill="2AD2C9"/>
          </w:tcPr>
          <w:p>
            <w:pPr>
              <w:jc w:val="center"/>
              <w:ind w:right="172"/>
              <w:spacing w:after="0"/>
              <w:rPr>
                <w:sz w:val="20"/>
                <w:szCs w:val="20"/>
                <w:color w:val="auto"/>
              </w:rPr>
            </w:pPr>
            <w:r>
              <w:rPr>
                <w:rFonts w:ascii="Times New Roman" w:cs="Times New Roman" w:eastAsia="Times New Roman" w:hAnsi="Times New Roman"/>
                <w:sz w:val="14"/>
                <w:szCs w:val="14"/>
                <w:b w:val="1"/>
                <w:bCs w:val="1"/>
                <w:color w:val="FFFFFF"/>
                <w:w w:val="93"/>
              </w:rPr>
              <w:t>1Q25</w:t>
            </w:r>
          </w:p>
        </w:tc>
        <w:tc>
          <w:tcPr>
            <w:tcW w:w="920" w:type="dxa"/>
            <w:vAlign w:val="bottom"/>
            <w:tcBorders>
              <w:bottom w:val="single" w:sz="8" w:color="2AD2C9"/>
            </w:tcBorders>
            <w:shd w:val="clear" w:color="auto" w:fill="2AD2C9"/>
          </w:tcPr>
          <w:p>
            <w:pPr>
              <w:jc w:val="center"/>
              <w:ind w:right="213"/>
              <w:spacing w:after="0"/>
              <w:rPr>
                <w:sz w:val="20"/>
                <w:szCs w:val="20"/>
                <w:color w:val="auto"/>
              </w:rPr>
            </w:pPr>
            <w:r>
              <w:rPr>
                <w:rFonts w:ascii="Times New Roman" w:cs="Times New Roman" w:eastAsia="Times New Roman" w:hAnsi="Times New Roman"/>
                <w:sz w:val="14"/>
                <w:szCs w:val="14"/>
                <w:b w:val="1"/>
                <w:bCs w:val="1"/>
                <w:color w:val="FFFFFF"/>
              </w:rPr>
              <w:t>4Q25</w:t>
            </w:r>
          </w:p>
        </w:tc>
        <w:tc>
          <w:tcPr>
            <w:tcW w:w="1100" w:type="dxa"/>
            <w:vAlign w:val="bottom"/>
            <w:tcBorders>
              <w:bottom w:val="single" w:sz="8" w:color="2AD2C9"/>
              <w:right w:val="single" w:sz="8" w:color="auto"/>
            </w:tcBorders>
            <w:shd w:val="clear" w:color="auto" w:fill="2AD2C9"/>
          </w:tcPr>
          <w:p>
            <w:pPr>
              <w:jc w:val="center"/>
              <w:spacing w:after="0"/>
              <w:rPr>
                <w:sz w:val="20"/>
                <w:szCs w:val="20"/>
                <w:color w:val="auto"/>
              </w:rPr>
            </w:pPr>
            <w:r>
              <w:rPr>
                <w:rFonts w:ascii="Times New Roman" w:cs="Times New Roman" w:eastAsia="Times New Roman" w:hAnsi="Times New Roman"/>
                <w:sz w:val="14"/>
                <w:szCs w:val="14"/>
                <w:b w:val="1"/>
                <w:bCs w:val="1"/>
                <w:color w:val="FFFFFF"/>
              </w:rPr>
              <w:t>1Q26</w:t>
            </w:r>
          </w:p>
        </w:tc>
        <w:tc>
          <w:tcPr>
            <w:tcW w:w="0" w:type="dxa"/>
            <w:vAlign w:val="bottom"/>
          </w:tcPr>
          <w:p>
            <w:pPr>
              <w:spacing w:after="0"/>
              <w:rPr>
                <w:sz w:val="1"/>
                <w:szCs w:val="1"/>
                <w:color w:val="auto"/>
              </w:rPr>
            </w:pPr>
          </w:p>
        </w:tc>
      </w:tr>
      <w:tr>
        <w:trPr>
          <w:trHeight w:val="109"/>
        </w:trPr>
        <w:tc>
          <w:tcPr>
            <w:tcW w:w="3720" w:type="dxa"/>
            <w:vAlign w:val="bottom"/>
            <w:tcBorders>
              <w:top w:val="single" w:sz="8" w:color="auto"/>
              <w:left w:val="single" w:sz="8" w:color="auto"/>
            </w:tcBorders>
          </w:tcPr>
          <w:p>
            <w:pPr>
              <w:ind w:left="60"/>
              <w:spacing w:after="0" w:line="109" w:lineRule="exact"/>
              <w:rPr>
                <w:sz w:val="20"/>
                <w:szCs w:val="20"/>
                <w:color w:val="auto"/>
              </w:rPr>
            </w:pPr>
            <w:r>
              <w:rPr>
                <w:rFonts w:ascii="Times New Roman" w:cs="Times New Roman" w:eastAsia="Times New Roman" w:hAnsi="Times New Roman"/>
                <w:sz w:val="12"/>
                <w:szCs w:val="12"/>
                <w:b w:val="1"/>
                <w:bCs w:val="1"/>
                <w:color w:val="auto"/>
              </w:rPr>
              <w:t>Credicorp</w:t>
            </w:r>
          </w:p>
        </w:tc>
        <w:tc>
          <w:tcPr>
            <w:tcW w:w="1920" w:type="dxa"/>
            <w:vAlign w:val="bottom"/>
            <w:tcBorders>
              <w:top w:val="single" w:sz="8" w:color="auto"/>
              <w:right w:val="single" w:sz="8" w:color="auto"/>
            </w:tcBorders>
          </w:tcPr>
          <w:p>
            <w:pPr>
              <w:spacing w:after="0"/>
              <w:rPr>
                <w:sz w:val="9"/>
                <w:szCs w:val="9"/>
                <w:color w:val="auto"/>
              </w:rPr>
            </w:pPr>
          </w:p>
        </w:tc>
        <w:tc>
          <w:tcPr>
            <w:tcW w:w="1340" w:type="dxa"/>
            <w:vAlign w:val="bottom"/>
            <w:tcBorders>
              <w:top w:val="single" w:sz="8" w:color="auto"/>
            </w:tcBorders>
            <w:vMerge w:val="restart"/>
          </w:tcPr>
          <w:p>
            <w:pPr>
              <w:jc w:val="center"/>
              <w:ind w:right="192"/>
              <w:spacing w:after="0"/>
              <w:rPr>
                <w:sz w:val="20"/>
                <w:szCs w:val="20"/>
                <w:color w:val="auto"/>
              </w:rPr>
            </w:pPr>
            <w:r>
              <w:rPr>
                <w:rFonts w:ascii="Times New Roman" w:cs="Times New Roman" w:eastAsia="Times New Roman" w:hAnsi="Times New Roman"/>
                <w:sz w:val="14"/>
                <w:szCs w:val="14"/>
                <w:color w:val="auto"/>
                <w:w w:val="95"/>
              </w:rPr>
              <w:t>5.4%</w:t>
            </w:r>
          </w:p>
        </w:tc>
        <w:tc>
          <w:tcPr>
            <w:tcW w:w="920" w:type="dxa"/>
            <w:vAlign w:val="bottom"/>
            <w:tcBorders>
              <w:top w:val="single" w:sz="8" w:color="auto"/>
            </w:tcBorders>
            <w:vMerge w:val="restart"/>
          </w:tcPr>
          <w:p>
            <w:pPr>
              <w:jc w:val="center"/>
              <w:ind w:right="213"/>
              <w:spacing w:after="0"/>
              <w:rPr>
                <w:sz w:val="20"/>
                <w:szCs w:val="20"/>
                <w:color w:val="auto"/>
              </w:rPr>
            </w:pPr>
            <w:r>
              <w:rPr>
                <w:rFonts w:ascii="Times New Roman" w:cs="Times New Roman" w:eastAsia="Times New Roman" w:hAnsi="Times New Roman"/>
                <w:sz w:val="14"/>
                <w:szCs w:val="14"/>
                <w:color w:val="auto"/>
                <w:w w:val="95"/>
              </w:rPr>
              <w:t>8.1%</w:t>
            </w:r>
          </w:p>
        </w:tc>
        <w:tc>
          <w:tcPr>
            <w:tcW w:w="11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5"/>
              </w:rPr>
              <w:t>9.0%</w:t>
            </w:r>
          </w:p>
        </w:tc>
        <w:tc>
          <w:tcPr>
            <w:tcW w:w="0" w:type="dxa"/>
            <w:vAlign w:val="bottom"/>
          </w:tcPr>
          <w:p>
            <w:pPr>
              <w:spacing w:after="0"/>
              <w:rPr>
                <w:sz w:val="1"/>
                <w:szCs w:val="1"/>
                <w:color w:val="auto"/>
              </w:rPr>
            </w:pPr>
          </w:p>
        </w:tc>
      </w:tr>
      <w:tr>
        <w:trPr>
          <w:trHeight w:val="140"/>
        </w:trPr>
        <w:tc>
          <w:tcPr>
            <w:tcW w:w="3720" w:type="dxa"/>
            <w:vAlign w:val="bottom"/>
            <w:tcBorders>
              <w:left w:val="single" w:sz="8" w:color="auto"/>
            </w:tcBorders>
          </w:tcPr>
          <w:p>
            <w:pPr>
              <w:ind w:left="60"/>
              <w:spacing w:after="0" w:line="140" w:lineRule="exact"/>
              <w:rPr>
                <w:sz w:val="20"/>
                <w:szCs w:val="20"/>
                <w:color w:val="auto"/>
              </w:rPr>
            </w:pPr>
            <w:r>
              <w:rPr>
                <w:rFonts w:ascii="Times New Roman" w:cs="Times New Roman" w:eastAsia="Times New Roman" w:hAnsi="Times New Roman"/>
                <w:sz w:val="11"/>
                <w:szCs w:val="11"/>
                <w:color w:val="auto"/>
              </w:rPr>
              <w:t xml:space="preserve">Innovation Portfolio Risk-Adjusted Revenue Share </w:t>
            </w:r>
            <w:r>
              <w:rPr>
                <w:rFonts w:ascii="Times New Roman" w:cs="Times New Roman" w:eastAsia="Times New Roman" w:hAnsi="Times New Roman"/>
                <w:sz w:val="16"/>
                <w:szCs w:val="16"/>
                <w:color w:val="auto"/>
                <w:vertAlign w:val="superscript"/>
              </w:rPr>
              <w:t>(2)</w:t>
            </w:r>
          </w:p>
        </w:tc>
        <w:tc>
          <w:tcPr>
            <w:tcW w:w="1920" w:type="dxa"/>
            <w:vAlign w:val="bottom"/>
            <w:tcBorders>
              <w:right w:val="single" w:sz="8" w:color="auto"/>
            </w:tcBorders>
          </w:tcPr>
          <w:p>
            <w:pPr>
              <w:spacing w:after="0"/>
              <w:rPr>
                <w:sz w:val="12"/>
                <w:szCs w:val="12"/>
                <w:color w:val="auto"/>
              </w:rPr>
            </w:pPr>
          </w:p>
        </w:tc>
        <w:tc>
          <w:tcPr>
            <w:tcW w:w="134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11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720" w:type="dxa"/>
            <w:vAlign w:val="bottom"/>
            <w:tcBorders>
              <w:left w:val="single" w:sz="8" w:color="auto"/>
            </w:tcBorders>
          </w:tcPr>
          <w:p>
            <w:pPr>
              <w:ind w:left="60"/>
              <w:spacing w:after="0" w:line="143" w:lineRule="exact"/>
              <w:rPr>
                <w:sz w:val="20"/>
                <w:szCs w:val="20"/>
                <w:color w:val="auto"/>
              </w:rPr>
            </w:pPr>
            <w:r>
              <w:rPr>
                <w:rFonts w:ascii="Times New Roman" w:cs="Times New Roman" w:eastAsia="Times New Roman" w:hAnsi="Times New Roman"/>
                <w:sz w:val="11"/>
                <w:szCs w:val="11"/>
                <w:color w:val="auto"/>
              </w:rPr>
              <w:t xml:space="preserve">People financially included </w:t>
            </w:r>
            <w:r>
              <w:rPr>
                <w:rFonts w:ascii="Times New Roman" w:cs="Times New Roman" w:eastAsia="Times New Roman" w:hAnsi="Times New Roman"/>
                <w:sz w:val="16"/>
                <w:szCs w:val="16"/>
                <w:color w:val="auto"/>
                <w:vertAlign w:val="superscript"/>
              </w:rPr>
              <w:t>(3)</w:t>
            </w:r>
          </w:p>
        </w:tc>
        <w:tc>
          <w:tcPr>
            <w:tcW w:w="1920" w:type="dxa"/>
            <w:vAlign w:val="bottom"/>
            <w:tcBorders>
              <w:right w:val="single" w:sz="8" w:color="auto"/>
            </w:tcBorders>
          </w:tcPr>
          <w:p>
            <w:pPr>
              <w:spacing w:after="0"/>
              <w:rPr>
                <w:sz w:val="12"/>
                <w:szCs w:val="12"/>
                <w:color w:val="auto"/>
              </w:rPr>
            </w:pPr>
          </w:p>
        </w:tc>
        <w:tc>
          <w:tcPr>
            <w:tcW w:w="1340" w:type="dxa"/>
            <w:vAlign w:val="bottom"/>
          </w:tcPr>
          <w:p>
            <w:pPr>
              <w:jc w:val="center"/>
              <w:ind w:right="172"/>
              <w:spacing w:after="0" w:line="143" w:lineRule="exact"/>
              <w:rPr>
                <w:sz w:val="20"/>
                <w:szCs w:val="20"/>
                <w:color w:val="auto"/>
              </w:rPr>
            </w:pPr>
            <w:r>
              <w:rPr>
                <w:rFonts w:ascii="Times New Roman" w:cs="Times New Roman" w:eastAsia="Times New Roman" w:hAnsi="Times New Roman"/>
                <w:sz w:val="14"/>
                <w:szCs w:val="14"/>
                <w:color w:val="auto"/>
              </w:rPr>
              <w:t>6.0</w:t>
            </w:r>
          </w:p>
        </w:tc>
        <w:tc>
          <w:tcPr>
            <w:tcW w:w="920" w:type="dxa"/>
            <w:vAlign w:val="bottom"/>
          </w:tcPr>
          <w:p>
            <w:pPr>
              <w:jc w:val="center"/>
              <w:ind w:right="213"/>
              <w:spacing w:after="0" w:line="143" w:lineRule="exact"/>
              <w:rPr>
                <w:sz w:val="20"/>
                <w:szCs w:val="20"/>
                <w:color w:val="auto"/>
              </w:rPr>
            </w:pPr>
            <w:r>
              <w:rPr>
                <w:rFonts w:ascii="Times New Roman" w:cs="Times New Roman" w:eastAsia="Times New Roman" w:hAnsi="Times New Roman"/>
                <w:sz w:val="14"/>
                <w:szCs w:val="14"/>
                <w:color w:val="auto"/>
                <w:w w:val="91"/>
              </w:rPr>
              <w:t>6.6</w:t>
            </w:r>
          </w:p>
        </w:tc>
        <w:tc>
          <w:tcPr>
            <w:tcW w:w="1100" w:type="dxa"/>
            <w:vAlign w:val="bottom"/>
            <w:tcBorders>
              <w:right w:val="single" w:sz="8" w:color="auto"/>
            </w:tcBorders>
          </w:tcPr>
          <w:p>
            <w:pPr>
              <w:jc w:val="center"/>
              <w:spacing w:after="0" w:line="143" w:lineRule="exact"/>
              <w:rPr>
                <w:sz w:val="20"/>
                <w:szCs w:val="20"/>
                <w:color w:val="auto"/>
              </w:rPr>
            </w:pPr>
            <w:r>
              <w:rPr>
                <w:rFonts w:ascii="Times New Roman" w:cs="Times New Roman" w:eastAsia="Times New Roman" w:hAnsi="Times New Roman"/>
                <w:sz w:val="14"/>
                <w:szCs w:val="14"/>
                <w:color w:val="auto"/>
                <w:w w:val="91"/>
              </w:rPr>
              <w:t>6.8</w:t>
            </w:r>
          </w:p>
        </w:tc>
        <w:tc>
          <w:tcPr>
            <w:tcW w:w="0" w:type="dxa"/>
            <w:vAlign w:val="bottom"/>
          </w:tcPr>
          <w:p>
            <w:pPr>
              <w:spacing w:after="0"/>
              <w:rPr>
                <w:sz w:val="1"/>
                <w:szCs w:val="1"/>
                <w:color w:val="auto"/>
              </w:rPr>
            </w:pPr>
          </w:p>
        </w:tc>
      </w:tr>
      <w:tr>
        <w:trPr>
          <w:trHeight w:val="140"/>
        </w:trPr>
        <w:tc>
          <w:tcPr>
            <w:tcW w:w="3720" w:type="dxa"/>
            <w:vAlign w:val="bottom"/>
            <w:tcBorders>
              <w:left w:val="single" w:sz="8" w:color="auto"/>
            </w:tcBorders>
          </w:tcPr>
          <w:p>
            <w:pPr>
              <w:ind w:left="60"/>
              <w:spacing w:after="0" w:line="140" w:lineRule="exact"/>
              <w:rPr>
                <w:sz w:val="20"/>
                <w:szCs w:val="20"/>
                <w:color w:val="auto"/>
              </w:rPr>
            </w:pPr>
            <w:r>
              <w:rPr>
                <w:rFonts w:ascii="Times New Roman" w:cs="Times New Roman" w:eastAsia="Times New Roman" w:hAnsi="Times New Roman"/>
                <w:sz w:val="14"/>
                <w:szCs w:val="14"/>
                <w:color w:val="auto"/>
              </w:rPr>
              <w:t>Total loan disbursements for MSMEs (S/ million)</w:t>
            </w:r>
          </w:p>
        </w:tc>
        <w:tc>
          <w:tcPr>
            <w:tcW w:w="1920" w:type="dxa"/>
            <w:vAlign w:val="bottom"/>
            <w:tcBorders>
              <w:right w:val="single" w:sz="8" w:color="auto"/>
            </w:tcBorders>
          </w:tcPr>
          <w:p>
            <w:pPr>
              <w:spacing w:after="0"/>
              <w:rPr>
                <w:sz w:val="12"/>
                <w:szCs w:val="12"/>
                <w:color w:val="auto"/>
              </w:rPr>
            </w:pPr>
          </w:p>
        </w:tc>
        <w:tc>
          <w:tcPr>
            <w:tcW w:w="1340" w:type="dxa"/>
            <w:vAlign w:val="bottom"/>
          </w:tcPr>
          <w:p>
            <w:pPr>
              <w:jc w:val="center"/>
              <w:ind w:right="172"/>
              <w:spacing w:after="0" w:line="140" w:lineRule="exact"/>
              <w:rPr>
                <w:sz w:val="20"/>
                <w:szCs w:val="20"/>
                <w:color w:val="auto"/>
              </w:rPr>
            </w:pPr>
            <w:r>
              <w:rPr>
                <w:rFonts w:ascii="Times New Roman" w:cs="Times New Roman" w:eastAsia="Times New Roman" w:hAnsi="Times New Roman"/>
                <w:sz w:val="14"/>
                <w:szCs w:val="14"/>
                <w:color w:val="auto"/>
                <w:w w:val="95"/>
              </w:rPr>
              <w:t>3,902</w:t>
            </w:r>
          </w:p>
        </w:tc>
        <w:tc>
          <w:tcPr>
            <w:tcW w:w="920" w:type="dxa"/>
            <w:vAlign w:val="bottom"/>
          </w:tcPr>
          <w:p>
            <w:pPr>
              <w:jc w:val="center"/>
              <w:ind w:right="213"/>
              <w:spacing w:after="0" w:line="140" w:lineRule="exact"/>
              <w:rPr>
                <w:sz w:val="20"/>
                <w:szCs w:val="20"/>
                <w:color w:val="auto"/>
              </w:rPr>
            </w:pPr>
            <w:r>
              <w:rPr>
                <w:rFonts w:ascii="Times New Roman" w:cs="Times New Roman" w:eastAsia="Times New Roman" w:hAnsi="Times New Roman"/>
                <w:sz w:val="14"/>
                <w:szCs w:val="14"/>
                <w:color w:val="auto"/>
              </w:rPr>
              <w:t>4,444</w:t>
            </w:r>
          </w:p>
        </w:tc>
        <w:tc>
          <w:tcPr>
            <w:tcW w:w="1100" w:type="dxa"/>
            <w:vAlign w:val="bottom"/>
            <w:tcBorders>
              <w:right w:val="single" w:sz="8" w:color="auto"/>
            </w:tcBorders>
          </w:tcPr>
          <w:p>
            <w:pPr>
              <w:jc w:val="center"/>
              <w:ind w:right="12"/>
              <w:spacing w:after="0" w:line="140" w:lineRule="exact"/>
              <w:rPr>
                <w:sz w:val="20"/>
                <w:szCs w:val="20"/>
                <w:color w:val="auto"/>
              </w:rPr>
            </w:pPr>
            <w:r>
              <w:rPr>
                <w:rFonts w:ascii="Times New Roman" w:cs="Times New Roman" w:eastAsia="Times New Roman" w:hAnsi="Times New Roman"/>
                <w:sz w:val="14"/>
                <w:szCs w:val="14"/>
                <w:color w:val="auto"/>
                <w:w w:val="95"/>
              </w:rPr>
              <w:t>4,591</w:t>
            </w:r>
          </w:p>
        </w:tc>
        <w:tc>
          <w:tcPr>
            <w:tcW w:w="0" w:type="dxa"/>
            <w:vAlign w:val="bottom"/>
          </w:tcPr>
          <w:p>
            <w:pPr>
              <w:spacing w:after="0"/>
              <w:rPr>
                <w:sz w:val="1"/>
                <w:szCs w:val="1"/>
                <w:color w:val="auto"/>
              </w:rPr>
            </w:pPr>
          </w:p>
        </w:tc>
      </w:tr>
      <w:tr>
        <w:trPr>
          <w:trHeight w:val="160"/>
        </w:trPr>
        <w:tc>
          <w:tcPr>
            <w:tcW w:w="3720" w:type="dxa"/>
            <w:vAlign w:val="bottom"/>
            <w:tcBorders>
              <w:left w:val="single" w:sz="8" w:color="auto"/>
              <w:bottom w:val="single" w:sz="8" w:color="auto"/>
            </w:tcBorders>
          </w:tcPr>
          <w:p>
            <w:pPr>
              <w:ind w:left="60"/>
              <w:spacing w:after="0" w:line="160" w:lineRule="exact"/>
              <w:rPr>
                <w:sz w:val="20"/>
                <w:szCs w:val="20"/>
                <w:color w:val="auto"/>
              </w:rPr>
            </w:pPr>
            <w:r>
              <w:rPr>
                <w:rFonts w:ascii="Times New Roman" w:cs="Times New Roman" w:eastAsia="Times New Roman" w:hAnsi="Times New Roman"/>
                <w:sz w:val="14"/>
                <w:szCs w:val="14"/>
                <w:color w:val="auto"/>
              </w:rPr>
              <w:t>Disbursements of sustainable financings (USD million)</w:t>
            </w:r>
          </w:p>
        </w:tc>
        <w:tc>
          <w:tcPr>
            <w:tcW w:w="1920" w:type="dxa"/>
            <w:vAlign w:val="bottom"/>
            <w:tcBorders>
              <w:bottom w:val="single" w:sz="8" w:color="auto"/>
              <w:right w:val="single" w:sz="8" w:color="auto"/>
            </w:tcBorders>
          </w:tcPr>
          <w:p>
            <w:pPr>
              <w:spacing w:after="0"/>
              <w:rPr>
                <w:sz w:val="13"/>
                <w:szCs w:val="13"/>
                <w:color w:val="auto"/>
              </w:rPr>
            </w:pPr>
          </w:p>
        </w:tc>
        <w:tc>
          <w:tcPr>
            <w:tcW w:w="1340" w:type="dxa"/>
            <w:vAlign w:val="bottom"/>
            <w:tcBorders>
              <w:bottom w:val="single" w:sz="8" w:color="auto"/>
            </w:tcBorders>
          </w:tcPr>
          <w:p>
            <w:pPr>
              <w:jc w:val="center"/>
              <w:ind w:right="172"/>
              <w:spacing w:after="0" w:line="160" w:lineRule="exact"/>
              <w:rPr>
                <w:sz w:val="20"/>
                <w:szCs w:val="20"/>
                <w:color w:val="auto"/>
              </w:rPr>
            </w:pPr>
            <w:r>
              <w:rPr>
                <w:rFonts w:ascii="Times New Roman" w:cs="Times New Roman" w:eastAsia="Times New Roman" w:hAnsi="Times New Roman"/>
                <w:sz w:val="14"/>
                <w:szCs w:val="14"/>
                <w:color w:val="auto"/>
              </w:rPr>
              <w:t>430</w:t>
            </w:r>
          </w:p>
        </w:tc>
        <w:tc>
          <w:tcPr>
            <w:tcW w:w="920" w:type="dxa"/>
            <w:vAlign w:val="bottom"/>
            <w:tcBorders>
              <w:bottom w:val="single" w:sz="8" w:color="auto"/>
            </w:tcBorders>
          </w:tcPr>
          <w:p>
            <w:pPr>
              <w:jc w:val="center"/>
              <w:ind w:right="213"/>
              <w:spacing w:after="0" w:line="160" w:lineRule="exact"/>
              <w:rPr>
                <w:sz w:val="20"/>
                <w:szCs w:val="20"/>
                <w:color w:val="auto"/>
              </w:rPr>
            </w:pPr>
            <w:r>
              <w:rPr>
                <w:rFonts w:ascii="Times New Roman" w:cs="Times New Roman" w:eastAsia="Times New Roman" w:hAnsi="Times New Roman"/>
                <w:sz w:val="14"/>
                <w:szCs w:val="14"/>
                <w:color w:val="auto"/>
              </w:rPr>
              <w:t>1,154</w:t>
            </w:r>
          </w:p>
        </w:tc>
        <w:tc>
          <w:tcPr>
            <w:tcW w:w="1100" w:type="dxa"/>
            <w:vAlign w:val="bottom"/>
            <w:tcBorders>
              <w:bottom w:val="single" w:sz="8" w:color="auto"/>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w w:val="95"/>
              </w:rPr>
              <w:t>630</w:t>
            </w:r>
          </w:p>
        </w:tc>
        <w:tc>
          <w:tcPr>
            <w:tcW w:w="0" w:type="dxa"/>
            <w:vAlign w:val="bottom"/>
          </w:tcPr>
          <w:p>
            <w:pPr>
              <w:spacing w:after="0"/>
              <w:rPr>
                <w:sz w:val="1"/>
                <w:szCs w:val="1"/>
                <w:color w:val="auto"/>
              </w:rPr>
            </w:pPr>
          </w:p>
        </w:tc>
      </w:tr>
      <w:tr>
        <w:trPr>
          <w:trHeight w:val="109"/>
        </w:trPr>
        <w:tc>
          <w:tcPr>
            <w:tcW w:w="3720" w:type="dxa"/>
            <w:vAlign w:val="bottom"/>
            <w:tcBorders>
              <w:left w:val="single" w:sz="8" w:color="auto"/>
            </w:tcBorders>
          </w:tcPr>
          <w:p>
            <w:pPr>
              <w:ind w:left="60"/>
              <w:spacing w:after="0" w:line="109" w:lineRule="exact"/>
              <w:rPr>
                <w:sz w:val="20"/>
                <w:szCs w:val="20"/>
                <w:color w:val="auto"/>
              </w:rPr>
            </w:pPr>
            <w:r>
              <w:rPr>
                <w:rFonts w:ascii="Times New Roman" w:cs="Times New Roman" w:eastAsia="Times New Roman" w:hAnsi="Times New Roman"/>
                <w:sz w:val="12"/>
                <w:szCs w:val="12"/>
                <w:b w:val="1"/>
                <w:bCs w:val="1"/>
                <w:color w:val="auto"/>
              </w:rPr>
              <w:t>BCP Stand-alone</w:t>
            </w:r>
          </w:p>
        </w:tc>
        <w:tc>
          <w:tcPr>
            <w:tcW w:w="1920" w:type="dxa"/>
            <w:vAlign w:val="bottom"/>
            <w:tcBorders>
              <w:right w:val="single" w:sz="8" w:color="auto"/>
            </w:tcBorders>
          </w:tcPr>
          <w:p>
            <w:pPr>
              <w:spacing w:after="0"/>
              <w:rPr>
                <w:sz w:val="9"/>
                <w:szCs w:val="9"/>
                <w:color w:val="auto"/>
              </w:rPr>
            </w:pPr>
          </w:p>
        </w:tc>
        <w:tc>
          <w:tcPr>
            <w:tcW w:w="1340" w:type="dxa"/>
            <w:vAlign w:val="bottom"/>
            <w:vMerge w:val="restart"/>
          </w:tcPr>
          <w:p>
            <w:pPr>
              <w:jc w:val="center"/>
              <w:ind w:right="172"/>
              <w:spacing w:after="0"/>
              <w:rPr>
                <w:sz w:val="20"/>
                <w:szCs w:val="20"/>
                <w:color w:val="auto"/>
              </w:rPr>
            </w:pPr>
            <w:r>
              <w:rPr>
                <w:rFonts w:ascii="Times New Roman" w:cs="Times New Roman" w:eastAsia="Times New Roman" w:hAnsi="Times New Roman"/>
                <w:sz w:val="14"/>
                <w:szCs w:val="14"/>
                <w:color w:val="auto"/>
              </w:rPr>
              <w:t>2.3</w:t>
            </w:r>
          </w:p>
        </w:tc>
        <w:tc>
          <w:tcPr>
            <w:tcW w:w="920" w:type="dxa"/>
            <w:vAlign w:val="bottom"/>
            <w:vMerge w:val="restart"/>
          </w:tcPr>
          <w:p>
            <w:pPr>
              <w:jc w:val="center"/>
              <w:ind w:right="213"/>
              <w:spacing w:after="0"/>
              <w:rPr>
                <w:sz w:val="20"/>
                <w:szCs w:val="20"/>
                <w:color w:val="auto"/>
              </w:rPr>
            </w:pPr>
            <w:r>
              <w:rPr>
                <w:rFonts w:ascii="Times New Roman" w:cs="Times New Roman" w:eastAsia="Times New Roman" w:hAnsi="Times New Roman"/>
                <w:sz w:val="14"/>
                <w:szCs w:val="14"/>
                <w:color w:val="auto"/>
                <w:w w:val="91"/>
              </w:rPr>
              <w:t>3.2</w:t>
            </w:r>
          </w:p>
        </w:tc>
        <w:tc>
          <w:tcPr>
            <w:tcW w:w="1100" w:type="dxa"/>
            <w:vAlign w:val="bottom"/>
            <w:tcBorders>
              <w:right w:val="single" w:sz="8" w:color="auto"/>
            </w:tcBorders>
            <w:vMerge w:val="restart"/>
          </w:tcPr>
          <w:p>
            <w:pPr>
              <w:jc w:val="center"/>
              <w:ind w:right="12"/>
              <w:spacing w:after="0"/>
              <w:rPr>
                <w:sz w:val="20"/>
                <w:szCs w:val="20"/>
                <w:color w:val="auto"/>
              </w:rPr>
            </w:pPr>
            <w:r>
              <w:rPr>
                <w:rFonts w:ascii="Times New Roman" w:cs="Times New Roman" w:eastAsia="Times New Roman" w:hAnsi="Times New Roman"/>
                <w:sz w:val="14"/>
                <w:szCs w:val="14"/>
                <w:color w:val="auto"/>
                <w:w w:val="95"/>
              </w:rPr>
              <w:t>3.753</w:t>
            </w:r>
          </w:p>
        </w:tc>
        <w:tc>
          <w:tcPr>
            <w:tcW w:w="0" w:type="dxa"/>
            <w:vAlign w:val="bottom"/>
          </w:tcPr>
          <w:p>
            <w:pPr>
              <w:spacing w:after="0"/>
              <w:rPr>
                <w:sz w:val="1"/>
                <w:szCs w:val="1"/>
                <w:color w:val="auto"/>
              </w:rPr>
            </w:pPr>
          </w:p>
        </w:tc>
      </w:tr>
      <w:tr>
        <w:trPr>
          <w:trHeight w:val="143"/>
        </w:trPr>
        <w:tc>
          <w:tcPr>
            <w:tcW w:w="3720" w:type="dxa"/>
            <w:vAlign w:val="bottom"/>
            <w:tcBorders>
              <w:left w:val="single" w:sz="8" w:color="auto"/>
            </w:tcBorders>
          </w:tcPr>
          <w:p>
            <w:pPr>
              <w:ind w:left="60"/>
              <w:spacing w:after="0" w:line="143" w:lineRule="exact"/>
              <w:rPr>
                <w:sz w:val="20"/>
                <w:szCs w:val="20"/>
                <w:color w:val="auto"/>
              </w:rPr>
            </w:pPr>
            <w:r>
              <w:rPr>
                <w:rFonts w:ascii="Times New Roman" w:cs="Times New Roman" w:eastAsia="Times New Roman" w:hAnsi="Times New Roman"/>
                <w:sz w:val="11"/>
                <w:szCs w:val="11"/>
                <w:color w:val="auto"/>
              </w:rPr>
              <w:t xml:space="preserve">Loan enabled clients </w:t>
            </w:r>
            <w:r>
              <w:rPr>
                <w:rFonts w:ascii="Times New Roman" w:cs="Times New Roman" w:eastAsia="Times New Roman" w:hAnsi="Times New Roman"/>
                <w:sz w:val="16"/>
                <w:szCs w:val="16"/>
                <w:color w:val="auto"/>
                <w:vertAlign w:val="superscript"/>
              </w:rPr>
              <w:t>(4)</w:t>
            </w:r>
          </w:p>
        </w:tc>
        <w:tc>
          <w:tcPr>
            <w:tcW w:w="1920" w:type="dxa"/>
            <w:vAlign w:val="bottom"/>
            <w:tcBorders>
              <w:right w:val="single" w:sz="8" w:color="auto"/>
            </w:tcBorders>
          </w:tcPr>
          <w:p>
            <w:pPr>
              <w:spacing w:after="0"/>
              <w:rPr>
                <w:sz w:val="12"/>
                <w:szCs w:val="12"/>
                <w:color w:val="auto"/>
              </w:rPr>
            </w:pPr>
          </w:p>
        </w:tc>
        <w:tc>
          <w:tcPr>
            <w:tcW w:w="134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11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3720" w:type="dxa"/>
            <w:vAlign w:val="bottom"/>
            <w:tcBorders>
              <w:left w:val="single" w:sz="8" w:color="auto"/>
            </w:tcBorders>
          </w:tcPr>
          <w:p>
            <w:pPr>
              <w:ind w:left="60"/>
              <w:spacing w:after="0" w:line="137" w:lineRule="exact"/>
              <w:rPr>
                <w:sz w:val="20"/>
                <w:szCs w:val="20"/>
                <w:color w:val="auto"/>
              </w:rPr>
            </w:pPr>
            <w:r>
              <w:rPr>
                <w:rFonts w:ascii="Times New Roman" w:cs="Times New Roman" w:eastAsia="Times New Roman" w:hAnsi="Times New Roman"/>
                <w:sz w:val="14"/>
                <w:szCs w:val="14"/>
                <w:color w:val="auto"/>
              </w:rPr>
              <w:t>Consumer NPS</w:t>
            </w:r>
          </w:p>
        </w:tc>
        <w:tc>
          <w:tcPr>
            <w:tcW w:w="1920" w:type="dxa"/>
            <w:vAlign w:val="bottom"/>
            <w:tcBorders>
              <w:right w:val="single" w:sz="8" w:color="auto"/>
            </w:tcBorders>
          </w:tcPr>
          <w:p>
            <w:pPr>
              <w:spacing w:after="0"/>
              <w:rPr>
                <w:sz w:val="11"/>
                <w:szCs w:val="11"/>
                <w:color w:val="auto"/>
              </w:rPr>
            </w:pPr>
          </w:p>
        </w:tc>
        <w:tc>
          <w:tcPr>
            <w:tcW w:w="1340" w:type="dxa"/>
            <w:vAlign w:val="bottom"/>
          </w:tcPr>
          <w:p>
            <w:pPr>
              <w:jc w:val="center"/>
              <w:ind w:right="172"/>
              <w:spacing w:after="0" w:line="137" w:lineRule="exact"/>
              <w:rPr>
                <w:sz w:val="20"/>
                <w:szCs w:val="20"/>
                <w:color w:val="auto"/>
              </w:rPr>
            </w:pPr>
            <w:r>
              <w:rPr>
                <w:rFonts w:ascii="Times New Roman" w:cs="Times New Roman" w:eastAsia="Times New Roman" w:hAnsi="Times New Roman"/>
                <w:sz w:val="14"/>
                <w:szCs w:val="14"/>
                <w:color w:val="auto"/>
                <w:w w:val="99"/>
              </w:rPr>
              <w:t>51</w:t>
            </w:r>
          </w:p>
        </w:tc>
        <w:tc>
          <w:tcPr>
            <w:tcW w:w="920" w:type="dxa"/>
            <w:vAlign w:val="bottom"/>
          </w:tcPr>
          <w:p>
            <w:pPr>
              <w:jc w:val="center"/>
              <w:ind w:right="213"/>
              <w:spacing w:after="0" w:line="137" w:lineRule="exact"/>
              <w:rPr>
                <w:sz w:val="20"/>
                <w:szCs w:val="20"/>
                <w:color w:val="auto"/>
              </w:rPr>
            </w:pPr>
            <w:r>
              <w:rPr>
                <w:rFonts w:ascii="Times New Roman" w:cs="Times New Roman" w:eastAsia="Times New Roman" w:hAnsi="Times New Roman"/>
                <w:sz w:val="14"/>
                <w:szCs w:val="14"/>
                <w:color w:val="auto"/>
                <w:w w:val="85"/>
              </w:rPr>
              <w:t>51</w:t>
            </w:r>
          </w:p>
        </w:tc>
        <w:tc>
          <w:tcPr>
            <w:tcW w:w="1100" w:type="dxa"/>
            <w:vAlign w:val="bottom"/>
            <w:tcBorders>
              <w:right w:val="single" w:sz="8" w:color="auto"/>
            </w:tcBorders>
          </w:tcPr>
          <w:p>
            <w:pPr>
              <w:jc w:val="center"/>
              <w:ind w:right="12"/>
              <w:spacing w:after="0" w:line="137" w:lineRule="exact"/>
              <w:rPr>
                <w:sz w:val="20"/>
                <w:szCs w:val="20"/>
                <w:color w:val="auto"/>
              </w:rPr>
            </w:pPr>
            <w:r>
              <w:rPr>
                <w:rFonts w:ascii="Times New Roman" w:cs="Times New Roman" w:eastAsia="Times New Roman" w:hAnsi="Times New Roman"/>
                <w:sz w:val="14"/>
                <w:szCs w:val="14"/>
                <w:color w:val="auto"/>
                <w:w w:val="99"/>
              </w:rPr>
              <w:t>53</w:t>
            </w:r>
          </w:p>
        </w:tc>
        <w:tc>
          <w:tcPr>
            <w:tcW w:w="0" w:type="dxa"/>
            <w:vAlign w:val="bottom"/>
          </w:tcPr>
          <w:p>
            <w:pPr>
              <w:spacing w:after="0"/>
              <w:rPr>
                <w:sz w:val="1"/>
                <w:szCs w:val="1"/>
                <w:color w:val="auto"/>
              </w:rPr>
            </w:pPr>
          </w:p>
        </w:tc>
      </w:tr>
      <w:tr>
        <w:trPr>
          <w:trHeight w:val="163"/>
        </w:trPr>
        <w:tc>
          <w:tcPr>
            <w:tcW w:w="3720" w:type="dxa"/>
            <w:vAlign w:val="bottom"/>
            <w:tcBorders>
              <w:left w:val="single" w:sz="8" w:color="auto"/>
              <w:bottom w:val="single" w:sz="8" w:color="auto"/>
            </w:tcBorders>
          </w:tcPr>
          <w:p>
            <w:pPr>
              <w:ind w:left="60"/>
              <w:spacing w:after="0" w:line="163" w:lineRule="exact"/>
              <w:rPr>
                <w:sz w:val="20"/>
                <w:szCs w:val="20"/>
                <w:color w:val="auto"/>
              </w:rPr>
            </w:pPr>
            <w:r>
              <w:rPr>
                <w:rFonts w:ascii="Times New Roman" w:cs="Times New Roman" w:eastAsia="Times New Roman" w:hAnsi="Times New Roman"/>
                <w:sz w:val="12"/>
                <w:szCs w:val="12"/>
                <w:color w:val="auto"/>
              </w:rPr>
              <w:t xml:space="preserve">Cashless transactions </w:t>
            </w:r>
            <w:r>
              <w:rPr>
                <w:rFonts w:ascii="Times New Roman" w:cs="Times New Roman" w:eastAsia="Times New Roman" w:hAnsi="Times New Roman"/>
                <w:sz w:val="18"/>
                <w:szCs w:val="18"/>
                <w:color w:val="auto"/>
                <w:vertAlign w:val="superscript"/>
              </w:rPr>
              <w:t>(5)</w:t>
            </w:r>
          </w:p>
        </w:tc>
        <w:tc>
          <w:tcPr>
            <w:tcW w:w="1920" w:type="dxa"/>
            <w:vAlign w:val="bottom"/>
            <w:tcBorders>
              <w:bottom w:val="single" w:sz="8" w:color="auto"/>
              <w:right w:val="single" w:sz="8" w:color="auto"/>
            </w:tcBorders>
          </w:tcPr>
          <w:p>
            <w:pPr>
              <w:spacing w:after="0"/>
              <w:rPr>
                <w:sz w:val="14"/>
                <w:szCs w:val="14"/>
                <w:color w:val="auto"/>
              </w:rPr>
            </w:pPr>
          </w:p>
        </w:tc>
        <w:tc>
          <w:tcPr>
            <w:tcW w:w="1340" w:type="dxa"/>
            <w:vAlign w:val="bottom"/>
            <w:tcBorders>
              <w:bottom w:val="single" w:sz="8" w:color="auto"/>
            </w:tcBorders>
          </w:tcPr>
          <w:p>
            <w:pPr>
              <w:jc w:val="center"/>
              <w:ind w:right="172"/>
              <w:spacing w:after="0"/>
              <w:rPr>
                <w:sz w:val="20"/>
                <w:szCs w:val="20"/>
                <w:color w:val="auto"/>
              </w:rPr>
            </w:pPr>
            <w:r>
              <w:rPr>
                <w:rFonts w:ascii="Times New Roman" w:cs="Times New Roman" w:eastAsia="Times New Roman" w:hAnsi="Times New Roman"/>
                <w:sz w:val="14"/>
                <w:szCs w:val="14"/>
                <w:color w:val="auto"/>
              </w:rPr>
              <w:t>64%</w:t>
            </w:r>
          </w:p>
        </w:tc>
        <w:tc>
          <w:tcPr>
            <w:tcW w:w="920" w:type="dxa"/>
            <w:vAlign w:val="bottom"/>
            <w:tcBorders>
              <w:bottom w:val="single" w:sz="8" w:color="auto"/>
            </w:tcBorders>
          </w:tcPr>
          <w:p>
            <w:pPr>
              <w:jc w:val="center"/>
              <w:ind w:right="213"/>
              <w:spacing w:after="0"/>
              <w:rPr>
                <w:sz w:val="20"/>
                <w:szCs w:val="20"/>
                <w:color w:val="auto"/>
              </w:rPr>
            </w:pPr>
            <w:r>
              <w:rPr>
                <w:rFonts w:ascii="Times New Roman" w:cs="Times New Roman" w:eastAsia="Times New Roman" w:hAnsi="Times New Roman"/>
                <w:sz w:val="14"/>
                <w:szCs w:val="14"/>
                <w:color w:val="auto"/>
                <w:w w:val="93"/>
              </w:rPr>
              <w:t>68%</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3"/>
              </w:rPr>
              <w:t>68%</w:t>
            </w:r>
          </w:p>
        </w:tc>
        <w:tc>
          <w:tcPr>
            <w:tcW w:w="0" w:type="dxa"/>
            <w:vAlign w:val="bottom"/>
          </w:tcPr>
          <w:p>
            <w:pPr>
              <w:spacing w:after="0"/>
              <w:rPr>
                <w:sz w:val="1"/>
                <w:szCs w:val="1"/>
                <w:color w:val="auto"/>
              </w:rPr>
            </w:pPr>
          </w:p>
        </w:tc>
      </w:tr>
      <w:tr>
        <w:trPr>
          <w:trHeight w:val="109"/>
        </w:trPr>
        <w:tc>
          <w:tcPr>
            <w:tcW w:w="3720" w:type="dxa"/>
            <w:vAlign w:val="bottom"/>
            <w:tcBorders>
              <w:left w:val="single" w:sz="8" w:color="auto"/>
            </w:tcBorders>
          </w:tcPr>
          <w:p>
            <w:pPr>
              <w:ind w:left="60"/>
              <w:spacing w:after="0" w:line="109" w:lineRule="exact"/>
              <w:rPr>
                <w:sz w:val="20"/>
                <w:szCs w:val="20"/>
                <w:color w:val="auto"/>
              </w:rPr>
            </w:pPr>
            <w:r>
              <w:rPr>
                <w:rFonts w:ascii="Times New Roman" w:cs="Times New Roman" w:eastAsia="Times New Roman" w:hAnsi="Times New Roman"/>
                <w:sz w:val="12"/>
                <w:szCs w:val="12"/>
                <w:b w:val="1"/>
                <w:bCs w:val="1"/>
                <w:color w:val="auto"/>
              </w:rPr>
              <w:t>Mibanco</w:t>
            </w:r>
          </w:p>
        </w:tc>
        <w:tc>
          <w:tcPr>
            <w:tcW w:w="1920" w:type="dxa"/>
            <w:vAlign w:val="bottom"/>
            <w:tcBorders>
              <w:right w:val="single" w:sz="8" w:color="auto"/>
            </w:tcBorders>
          </w:tcPr>
          <w:p>
            <w:pPr>
              <w:spacing w:after="0"/>
              <w:rPr>
                <w:sz w:val="9"/>
                <w:szCs w:val="9"/>
                <w:color w:val="auto"/>
              </w:rPr>
            </w:pPr>
          </w:p>
        </w:tc>
        <w:tc>
          <w:tcPr>
            <w:tcW w:w="1340" w:type="dxa"/>
            <w:vAlign w:val="bottom"/>
            <w:vMerge w:val="restart"/>
          </w:tcPr>
          <w:p>
            <w:pPr>
              <w:jc w:val="center"/>
              <w:ind w:right="192"/>
              <w:spacing w:after="0"/>
              <w:rPr>
                <w:sz w:val="20"/>
                <w:szCs w:val="20"/>
                <w:color w:val="auto"/>
              </w:rPr>
            </w:pPr>
            <w:r>
              <w:rPr>
                <w:rFonts w:ascii="Times New Roman" w:cs="Times New Roman" w:eastAsia="Times New Roman" w:hAnsi="Times New Roman"/>
                <w:sz w:val="14"/>
                <w:szCs w:val="14"/>
                <w:color w:val="auto"/>
                <w:w w:val="95"/>
              </w:rPr>
              <w:t>5.2%</w:t>
            </w:r>
          </w:p>
        </w:tc>
        <w:tc>
          <w:tcPr>
            <w:tcW w:w="920" w:type="dxa"/>
            <w:vAlign w:val="bottom"/>
            <w:vMerge w:val="restart"/>
          </w:tcPr>
          <w:p>
            <w:pPr>
              <w:jc w:val="center"/>
              <w:ind w:right="213"/>
              <w:spacing w:after="0"/>
              <w:rPr>
                <w:sz w:val="20"/>
                <w:szCs w:val="20"/>
                <w:color w:val="auto"/>
              </w:rPr>
            </w:pPr>
            <w:r>
              <w:rPr>
                <w:rFonts w:ascii="Times New Roman" w:cs="Times New Roman" w:eastAsia="Times New Roman" w:hAnsi="Times New Roman"/>
                <w:sz w:val="14"/>
                <w:szCs w:val="14"/>
                <w:color w:val="auto"/>
                <w:w w:val="95"/>
              </w:rPr>
              <w:t>6.4%</w:t>
            </w:r>
          </w:p>
        </w:tc>
        <w:tc>
          <w:tcPr>
            <w:tcW w:w="11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5"/>
              </w:rPr>
              <w:t>6.5%</w:t>
            </w:r>
          </w:p>
        </w:tc>
        <w:tc>
          <w:tcPr>
            <w:tcW w:w="0" w:type="dxa"/>
            <w:vAlign w:val="bottom"/>
          </w:tcPr>
          <w:p>
            <w:pPr>
              <w:spacing w:after="0"/>
              <w:rPr>
                <w:sz w:val="1"/>
                <w:szCs w:val="1"/>
                <w:color w:val="auto"/>
              </w:rPr>
            </w:pPr>
          </w:p>
        </w:tc>
      </w:tr>
      <w:tr>
        <w:trPr>
          <w:trHeight w:val="143"/>
        </w:trPr>
        <w:tc>
          <w:tcPr>
            <w:tcW w:w="3720" w:type="dxa"/>
            <w:vAlign w:val="bottom"/>
            <w:tcBorders>
              <w:left w:val="single" w:sz="8" w:color="auto"/>
            </w:tcBorders>
          </w:tcPr>
          <w:p>
            <w:pPr>
              <w:ind w:left="60"/>
              <w:spacing w:after="0" w:line="143" w:lineRule="exact"/>
              <w:rPr>
                <w:sz w:val="20"/>
                <w:szCs w:val="20"/>
                <w:color w:val="auto"/>
              </w:rPr>
            </w:pPr>
            <w:r>
              <w:rPr>
                <w:rFonts w:ascii="Times New Roman" w:cs="Times New Roman" w:eastAsia="Times New Roman" w:hAnsi="Times New Roman"/>
                <w:sz w:val="11"/>
                <w:szCs w:val="11"/>
                <w:color w:val="auto"/>
              </w:rPr>
              <w:t xml:space="preserve">Share of Low-Cost Deposits / Total Funding </w:t>
            </w:r>
            <w:r>
              <w:rPr>
                <w:rFonts w:ascii="Times New Roman" w:cs="Times New Roman" w:eastAsia="Times New Roman" w:hAnsi="Times New Roman"/>
                <w:sz w:val="16"/>
                <w:szCs w:val="16"/>
                <w:color w:val="auto"/>
                <w:vertAlign w:val="superscript"/>
              </w:rPr>
              <w:t>(6)</w:t>
            </w:r>
          </w:p>
        </w:tc>
        <w:tc>
          <w:tcPr>
            <w:tcW w:w="1920" w:type="dxa"/>
            <w:vAlign w:val="bottom"/>
            <w:tcBorders>
              <w:right w:val="single" w:sz="8" w:color="auto"/>
            </w:tcBorders>
          </w:tcPr>
          <w:p>
            <w:pPr>
              <w:spacing w:after="0"/>
              <w:rPr>
                <w:sz w:val="12"/>
                <w:szCs w:val="12"/>
                <w:color w:val="auto"/>
              </w:rPr>
            </w:pPr>
          </w:p>
        </w:tc>
        <w:tc>
          <w:tcPr>
            <w:tcW w:w="134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11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720" w:type="dxa"/>
            <w:vAlign w:val="bottom"/>
            <w:tcBorders>
              <w:left w:val="single" w:sz="8" w:color="auto"/>
              <w:bottom w:val="single" w:sz="8" w:color="auto"/>
            </w:tcBorders>
          </w:tcPr>
          <w:p>
            <w:pPr>
              <w:ind w:left="60"/>
              <w:spacing w:after="0" w:line="160" w:lineRule="exact"/>
              <w:rPr>
                <w:sz w:val="20"/>
                <w:szCs w:val="20"/>
                <w:color w:val="auto"/>
              </w:rPr>
            </w:pPr>
            <w:r>
              <w:rPr>
                <w:rFonts w:ascii="Times New Roman" w:cs="Times New Roman" w:eastAsia="Times New Roman" w:hAnsi="Times New Roman"/>
                <w:sz w:val="14"/>
                <w:szCs w:val="14"/>
                <w:color w:val="auto"/>
              </w:rPr>
              <w:t>Share of Other Income / Total Risk-Adjusted Revenue</w:t>
            </w:r>
          </w:p>
        </w:tc>
        <w:tc>
          <w:tcPr>
            <w:tcW w:w="1920" w:type="dxa"/>
            <w:vAlign w:val="bottom"/>
            <w:tcBorders>
              <w:bottom w:val="single" w:sz="8" w:color="auto"/>
              <w:right w:val="single" w:sz="8" w:color="auto"/>
            </w:tcBorders>
          </w:tcPr>
          <w:p>
            <w:pPr>
              <w:spacing w:after="0"/>
              <w:rPr>
                <w:sz w:val="13"/>
                <w:szCs w:val="13"/>
                <w:color w:val="auto"/>
              </w:rPr>
            </w:pPr>
          </w:p>
        </w:tc>
        <w:tc>
          <w:tcPr>
            <w:tcW w:w="1340" w:type="dxa"/>
            <w:vAlign w:val="bottom"/>
            <w:tcBorders>
              <w:bottom w:val="single" w:sz="8" w:color="auto"/>
            </w:tcBorders>
          </w:tcPr>
          <w:p>
            <w:pPr>
              <w:jc w:val="center"/>
              <w:ind w:right="192"/>
              <w:spacing w:after="0" w:line="160" w:lineRule="exact"/>
              <w:rPr>
                <w:sz w:val="20"/>
                <w:szCs w:val="20"/>
                <w:color w:val="auto"/>
              </w:rPr>
            </w:pPr>
            <w:r>
              <w:rPr>
                <w:rFonts w:ascii="Times New Roman" w:cs="Times New Roman" w:eastAsia="Times New Roman" w:hAnsi="Times New Roman"/>
                <w:sz w:val="14"/>
                <w:szCs w:val="14"/>
                <w:color w:val="auto"/>
                <w:w w:val="95"/>
              </w:rPr>
              <w:t>7.1%</w:t>
            </w:r>
          </w:p>
        </w:tc>
        <w:tc>
          <w:tcPr>
            <w:tcW w:w="920" w:type="dxa"/>
            <w:vAlign w:val="bottom"/>
            <w:tcBorders>
              <w:bottom w:val="single" w:sz="8" w:color="auto"/>
            </w:tcBorders>
          </w:tcPr>
          <w:p>
            <w:pPr>
              <w:jc w:val="center"/>
              <w:ind w:right="213"/>
              <w:spacing w:after="0" w:line="160" w:lineRule="exact"/>
              <w:rPr>
                <w:sz w:val="20"/>
                <w:szCs w:val="20"/>
                <w:color w:val="auto"/>
              </w:rPr>
            </w:pPr>
            <w:r>
              <w:rPr>
                <w:rFonts w:ascii="Times New Roman" w:cs="Times New Roman" w:eastAsia="Times New Roman" w:hAnsi="Times New Roman"/>
                <w:sz w:val="14"/>
                <w:szCs w:val="14"/>
                <w:color w:val="auto"/>
                <w:w w:val="95"/>
              </w:rPr>
              <w:t>7.0%</w:t>
            </w:r>
          </w:p>
        </w:tc>
        <w:tc>
          <w:tcPr>
            <w:tcW w:w="1100" w:type="dxa"/>
            <w:vAlign w:val="bottom"/>
            <w:tcBorders>
              <w:bottom w:val="single" w:sz="8" w:color="auto"/>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w w:val="95"/>
              </w:rPr>
              <w:t>8.7%</w:t>
            </w:r>
          </w:p>
        </w:tc>
        <w:tc>
          <w:tcPr>
            <w:tcW w:w="0" w:type="dxa"/>
            <w:vAlign w:val="bottom"/>
          </w:tcPr>
          <w:p>
            <w:pPr>
              <w:spacing w:after="0"/>
              <w:rPr>
                <w:sz w:val="1"/>
                <w:szCs w:val="1"/>
                <w:color w:val="auto"/>
              </w:rPr>
            </w:pPr>
          </w:p>
        </w:tc>
      </w:tr>
      <w:tr>
        <w:trPr>
          <w:trHeight w:val="109"/>
        </w:trPr>
        <w:tc>
          <w:tcPr>
            <w:tcW w:w="3720" w:type="dxa"/>
            <w:vAlign w:val="bottom"/>
            <w:tcBorders>
              <w:left w:val="single" w:sz="8" w:color="auto"/>
            </w:tcBorders>
          </w:tcPr>
          <w:p>
            <w:pPr>
              <w:ind w:left="60"/>
              <w:spacing w:after="0" w:line="109" w:lineRule="exact"/>
              <w:rPr>
                <w:sz w:val="20"/>
                <w:szCs w:val="20"/>
                <w:color w:val="auto"/>
              </w:rPr>
            </w:pPr>
            <w:r>
              <w:rPr>
                <w:rFonts w:ascii="Times New Roman" w:cs="Times New Roman" w:eastAsia="Times New Roman" w:hAnsi="Times New Roman"/>
                <w:sz w:val="12"/>
                <w:szCs w:val="12"/>
                <w:b w:val="1"/>
                <w:bCs w:val="1"/>
                <w:color w:val="auto"/>
              </w:rPr>
              <w:t>Pacifico</w:t>
            </w:r>
          </w:p>
        </w:tc>
        <w:tc>
          <w:tcPr>
            <w:tcW w:w="1920" w:type="dxa"/>
            <w:vAlign w:val="bottom"/>
            <w:tcBorders>
              <w:right w:val="single" w:sz="8" w:color="auto"/>
            </w:tcBorders>
          </w:tcPr>
          <w:p>
            <w:pPr>
              <w:spacing w:after="0"/>
              <w:rPr>
                <w:sz w:val="9"/>
                <w:szCs w:val="9"/>
                <w:color w:val="auto"/>
              </w:rPr>
            </w:pPr>
          </w:p>
        </w:tc>
        <w:tc>
          <w:tcPr>
            <w:tcW w:w="1340" w:type="dxa"/>
            <w:vAlign w:val="bottom"/>
            <w:vMerge w:val="restart"/>
          </w:tcPr>
          <w:p>
            <w:pPr>
              <w:ind w:left="460"/>
              <w:spacing w:after="0"/>
              <w:rPr>
                <w:sz w:val="20"/>
                <w:szCs w:val="20"/>
                <w:color w:val="auto"/>
              </w:rPr>
            </w:pPr>
            <w:r>
              <w:rPr>
                <w:rFonts w:ascii="Times New Roman" w:cs="Times New Roman" w:eastAsia="Times New Roman" w:hAnsi="Times New Roman"/>
                <w:sz w:val="14"/>
                <w:szCs w:val="14"/>
                <w:color w:val="auto"/>
              </w:rPr>
              <w:t>n.a.</w:t>
            </w:r>
          </w:p>
        </w:tc>
        <w:tc>
          <w:tcPr>
            <w:tcW w:w="920" w:type="dxa"/>
            <w:vAlign w:val="bottom"/>
            <w:vMerge w:val="restart"/>
          </w:tcPr>
          <w:p>
            <w:pPr>
              <w:jc w:val="center"/>
              <w:ind w:right="213"/>
              <w:spacing w:after="0"/>
              <w:rPr>
                <w:sz w:val="20"/>
                <w:szCs w:val="20"/>
                <w:color w:val="auto"/>
              </w:rPr>
            </w:pPr>
            <w:r>
              <w:rPr>
                <w:rFonts w:ascii="Times New Roman" w:cs="Times New Roman" w:eastAsia="Times New Roman" w:hAnsi="Times New Roman"/>
                <w:sz w:val="14"/>
                <w:szCs w:val="14"/>
                <w:color w:val="auto"/>
                <w:w w:val="91"/>
              </w:rPr>
              <w:t>7.1</w:t>
            </w:r>
          </w:p>
        </w:tc>
        <w:tc>
          <w:tcPr>
            <w:tcW w:w="11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1"/>
              </w:rPr>
              <w:t>7.3</w:t>
            </w:r>
          </w:p>
        </w:tc>
        <w:tc>
          <w:tcPr>
            <w:tcW w:w="0" w:type="dxa"/>
            <w:vAlign w:val="bottom"/>
          </w:tcPr>
          <w:p>
            <w:pPr>
              <w:spacing w:after="0"/>
              <w:rPr>
                <w:sz w:val="1"/>
                <w:szCs w:val="1"/>
                <w:color w:val="auto"/>
              </w:rPr>
            </w:pPr>
          </w:p>
        </w:tc>
      </w:tr>
      <w:tr>
        <w:trPr>
          <w:trHeight w:val="140"/>
        </w:trPr>
        <w:tc>
          <w:tcPr>
            <w:tcW w:w="3720" w:type="dxa"/>
            <w:vAlign w:val="bottom"/>
            <w:tcBorders>
              <w:left w:val="single" w:sz="8" w:color="auto"/>
            </w:tcBorders>
          </w:tcPr>
          <w:p>
            <w:pPr>
              <w:ind w:left="60"/>
              <w:spacing w:after="0" w:line="140" w:lineRule="exact"/>
              <w:rPr>
                <w:sz w:val="20"/>
                <w:szCs w:val="20"/>
                <w:color w:val="auto"/>
              </w:rPr>
            </w:pPr>
            <w:r>
              <w:rPr>
                <w:rFonts w:ascii="Times New Roman" w:cs="Times New Roman" w:eastAsia="Times New Roman" w:hAnsi="Times New Roman"/>
                <w:sz w:val="11"/>
                <w:szCs w:val="11"/>
                <w:color w:val="auto"/>
              </w:rPr>
              <w:t xml:space="preserve">Insured Clients </w:t>
            </w:r>
            <w:r>
              <w:rPr>
                <w:rFonts w:ascii="Times New Roman" w:cs="Times New Roman" w:eastAsia="Times New Roman" w:hAnsi="Times New Roman"/>
                <w:sz w:val="16"/>
                <w:szCs w:val="16"/>
                <w:color w:val="auto"/>
                <w:vertAlign w:val="superscript"/>
              </w:rPr>
              <w:t>(7)</w:t>
            </w:r>
          </w:p>
        </w:tc>
        <w:tc>
          <w:tcPr>
            <w:tcW w:w="1920" w:type="dxa"/>
            <w:vAlign w:val="bottom"/>
            <w:tcBorders>
              <w:right w:val="single" w:sz="8" w:color="auto"/>
            </w:tcBorders>
          </w:tcPr>
          <w:p>
            <w:pPr>
              <w:spacing w:after="0"/>
              <w:rPr>
                <w:sz w:val="12"/>
                <w:szCs w:val="12"/>
                <w:color w:val="auto"/>
              </w:rPr>
            </w:pPr>
          </w:p>
        </w:tc>
        <w:tc>
          <w:tcPr>
            <w:tcW w:w="134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11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720" w:type="dxa"/>
            <w:vAlign w:val="bottom"/>
            <w:tcBorders>
              <w:left w:val="single" w:sz="8" w:color="auto"/>
              <w:bottom w:val="single" w:sz="8" w:color="auto"/>
            </w:tcBorders>
          </w:tcPr>
          <w:p>
            <w:pPr>
              <w:ind w:left="60"/>
              <w:spacing w:after="0" w:line="163" w:lineRule="exact"/>
              <w:rPr>
                <w:sz w:val="20"/>
                <w:szCs w:val="20"/>
                <w:color w:val="auto"/>
              </w:rPr>
            </w:pPr>
            <w:r>
              <w:rPr>
                <w:rFonts w:ascii="Times New Roman" w:cs="Times New Roman" w:eastAsia="Times New Roman" w:hAnsi="Times New Roman"/>
                <w:sz w:val="12"/>
                <w:szCs w:val="12"/>
                <w:color w:val="auto"/>
              </w:rPr>
              <w:t xml:space="preserve">Digital Policies (thousands) </w:t>
            </w:r>
            <w:r>
              <w:rPr>
                <w:rFonts w:ascii="Times New Roman" w:cs="Times New Roman" w:eastAsia="Times New Roman" w:hAnsi="Times New Roman"/>
                <w:sz w:val="18"/>
                <w:szCs w:val="18"/>
                <w:color w:val="auto"/>
                <w:vertAlign w:val="superscript"/>
              </w:rPr>
              <w:t>(8)</w:t>
            </w:r>
          </w:p>
        </w:tc>
        <w:tc>
          <w:tcPr>
            <w:tcW w:w="1920" w:type="dxa"/>
            <w:vAlign w:val="bottom"/>
            <w:tcBorders>
              <w:bottom w:val="single" w:sz="8" w:color="auto"/>
              <w:right w:val="single" w:sz="8" w:color="auto"/>
            </w:tcBorders>
          </w:tcPr>
          <w:p>
            <w:pPr>
              <w:spacing w:after="0"/>
              <w:rPr>
                <w:sz w:val="14"/>
                <w:szCs w:val="14"/>
                <w:color w:val="auto"/>
              </w:rPr>
            </w:pPr>
          </w:p>
        </w:tc>
        <w:tc>
          <w:tcPr>
            <w:tcW w:w="1340" w:type="dxa"/>
            <w:vAlign w:val="bottom"/>
            <w:tcBorders>
              <w:bottom w:val="single" w:sz="8" w:color="auto"/>
            </w:tcBorders>
          </w:tcPr>
          <w:p>
            <w:pPr>
              <w:jc w:val="center"/>
              <w:ind w:right="172"/>
              <w:spacing w:after="0"/>
              <w:rPr>
                <w:sz w:val="20"/>
                <w:szCs w:val="20"/>
                <w:color w:val="auto"/>
              </w:rPr>
            </w:pPr>
            <w:r>
              <w:rPr>
                <w:rFonts w:ascii="Times New Roman" w:cs="Times New Roman" w:eastAsia="Times New Roman" w:hAnsi="Times New Roman"/>
                <w:sz w:val="14"/>
                <w:szCs w:val="14"/>
                <w:color w:val="auto"/>
                <w:w w:val="95"/>
              </w:rPr>
              <w:t>722.1</w:t>
            </w:r>
          </w:p>
        </w:tc>
        <w:tc>
          <w:tcPr>
            <w:tcW w:w="920" w:type="dxa"/>
            <w:vAlign w:val="bottom"/>
            <w:tcBorders>
              <w:bottom w:val="single" w:sz="8" w:color="auto"/>
            </w:tcBorders>
          </w:tcPr>
          <w:p>
            <w:pPr>
              <w:jc w:val="center"/>
              <w:ind w:right="213"/>
              <w:spacing w:after="0"/>
              <w:rPr>
                <w:sz w:val="20"/>
                <w:szCs w:val="20"/>
                <w:color w:val="auto"/>
              </w:rPr>
            </w:pPr>
            <w:r>
              <w:rPr>
                <w:rFonts w:ascii="Times New Roman" w:cs="Times New Roman" w:eastAsia="Times New Roman" w:hAnsi="Times New Roman"/>
                <w:sz w:val="14"/>
                <w:szCs w:val="14"/>
                <w:color w:val="auto"/>
              </w:rPr>
              <w:t>599.0</w:t>
            </w:r>
          </w:p>
        </w:tc>
        <w:tc>
          <w:tcPr>
            <w:tcW w:w="1100" w:type="dxa"/>
            <w:vAlign w:val="bottom"/>
            <w:tcBorders>
              <w:bottom w:val="single" w:sz="8" w:color="auto"/>
              <w:right w:val="single" w:sz="8" w:color="auto"/>
            </w:tcBorders>
          </w:tcPr>
          <w:p>
            <w:pPr>
              <w:jc w:val="center"/>
              <w:ind w:right="12"/>
              <w:spacing w:after="0"/>
              <w:rPr>
                <w:sz w:val="20"/>
                <w:szCs w:val="20"/>
                <w:color w:val="auto"/>
              </w:rPr>
            </w:pPr>
            <w:r>
              <w:rPr>
                <w:rFonts w:ascii="Times New Roman" w:cs="Times New Roman" w:eastAsia="Times New Roman" w:hAnsi="Times New Roman"/>
                <w:sz w:val="14"/>
                <w:szCs w:val="14"/>
                <w:color w:val="auto"/>
                <w:w w:val="95"/>
              </w:rPr>
              <w:t>733.0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60" w:hanging="158"/>
        <w:spacing w:after="0"/>
        <w:tabs>
          <w:tab w:leader="none" w:pos="16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Management figures, may differ from previously reported. Figures for March 2025, December 2025 and March 2026.</w:t>
      </w:r>
    </w:p>
    <w:p>
      <w:pPr>
        <w:ind w:left="160" w:hanging="158"/>
        <w:spacing w:after="0" w:line="220" w:lineRule="auto"/>
        <w:tabs>
          <w:tab w:leader="none" w:pos="16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a percentage of Credicorp’s total Risk-Adjusted Revenue.</w:t>
      </w:r>
    </w:p>
    <w:p>
      <w:pPr>
        <w:ind w:right="220" w:firstLine="2"/>
        <w:spacing w:after="0" w:line="220" w:lineRule="auto"/>
        <w:tabs>
          <w:tab w:leader="none" w:pos="168"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Stock of financially included clients through BCP since 2020: (i) New clients with savings accounts or affiliated to Yape. (ii) New clients without debt in the financial system or BCP products in the last twelve months. (iii) Clients with 3 monthly average transactions in the last three months.</w:t>
      </w:r>
    </w:p>
    <w:p>
      <w:pPr>
        <w:ind w:left="160" w:hanging="158"/>
        <w:spacing w:after="0" w:line="220" w:lineRule="auto"/>
        <w:tabs>
          <w:tab w:leader="none" w:pos="16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Clients with an active loan.</w:t>
      </w:r>
    </w:p>
    <w:p>
      <w:pPr>
        <w:ind w:left="160" w:hanging="158"/>
        <w:spacing w:after="0" w:line="220" w:lineRule="auto"/>
        <w:tabs>
          <w:tab w:leader="none" w:pos="16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Amount transacted through Mobile Banking, Internet Banking, Yape y POS/Total amount transacted through Retail Banking.</w:t>
      </w:r>
    </w:p>
    <w:p>
      <w:pPr>
        <w:ind w:left="160" w:hanging="158"/>
        <w:spacing w:after="0" w:line="220" w:lineRule="auto"/>
        <w:tabs>
          <w:tab w:leader="none" w:pos="16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low-cost funding products (Ahorro Negocio, Ahorro, Cuenta Premio, and Demand Deposits) as a proportion of total funding.</w:t>
      </w:r>
    </w:p>
    <w:p>
      <w:pPr>
        <w:ind w:left="160" w:hanging="158"/>
        <w:spacing w:after="0"/>
        <w:tabs>
          <w:tab w:leader="none" w:pos="16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natural and legal clients. New methodological adjustments since 4Q25, related to customers with loan life insurance.</w:t>
      </w:r>
    </w:p>
    <w:p>
      <w:pPr>
        <w:spacing w:after="0" w:line="27" w:lineRule="exact"/>
        <w:rPr>
          <w:rFonts w:ascii="Times New Roman" w:cs="Times New Roman" w:eastAsia="Times New Roman" w:hAnsi="Times New Roman"/>
          <w:sz w:val="12"/>
          <w:szCs w:val="12"/>
          <w:color w:val="auto"/>
        </w:rPr>
      </w:pPr>
    </w:p>
    <w:p>
      <w:pPr>
        <w:ind w:left="160" w:hanging="158"/>
        <w:spacing w:after="0"/>
        <w:tabs>
          <w:tab w:leader="none" w:pos="16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Number of insurance policies issued through digital channels.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994410</wp:posOffset>
            </wp:positionV>
            <wp:extent cx="7140575" cy="158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0575" cy="15875"/>
                    </a:xfrm>
                    <a:prstGeom prst="rect">
                      <a:avLst/>
                    </a:prstGeom>
                    <a:noFill/>
                  </pic:spPr>
                </pic:pic>
              </a:graphicData>
            </a:graphic>
          </wp:anchor>
        </w:drawing>
        <w:drawing>
          <wp:anchor simplePos="0" relativeHeight="251657728" behindDoc="1" locked="0" layoutInCell="0" allowOverlap="1">
            <wp:simplePos x="0" y="0"/>
            <wp:positionH relativeFrom="column">
              <wp:posOffset>331470</wp:posOffset>
            </wp:positionH>
            <wp:positionV relativeFrom="paragraph">
              <wp:posOffset>147955</wp:posOffset>
            </wp:positionV>
            <wp:extent cx="6447155" cy="5803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447155" cy="58039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673"/>
        </w:trPr>
        <w:tc>
          <w:tcPr>
            <w:tcW w:w="3500" w:type="dxa"/>
            <w:vAlign w:val="bottom"/>
            <w:shd w:val="clear" w:color="auto" w:fill="000000"/>
          </w:tcPr>
          <w:p>
            <w:pPr>
              <w:jc w:val="right"/>
              <w:ind w:right="164"/>
              <w:spacing w:after="0"/>
              <w:rPr>
                <w:sz w:val="20"/>
                <w:szCs w:val="20"/>
                <w:color w:val="auto"/>
              </w:rPr>
            </w:pPr>
            <w:r>
              <w:rPr>
                <w:rFonts w:ascii="Times New Roman" w:cs="Times New Roman" w:eastAsia="Times New Roman" w:hAnsi="Times New Roman"/>
                <w:sz w:val="15"/>
                <w:szCs w:val="15"/>
                <w:color w:val="A6A6A6"/>
              </w:rPr>
              <w:t>|</w:t>
            </w:r>
          </w:p>
        </w:tc>
        <w:tc>
          <w:tcPr>
            <w:tcW w:w="4350" w:type="dxa"/>
            <w:vAlign w:val="bottom"/>
            <w:shd w:val="clear" w:color="auto" w:fill="000000"/>
          </w:tcPr>
          <w:p>
            <w:pPr>
              <w:ind w:left="40"/>
              <w:spacing w:after="0"/>
              <w:rPr>
                <w:sz w:val="20"/>
                <w:szCs w:val="20"/>
                <w:color w:val="auto"/>
              </w:rPr>
            </w:pPr>
            <w:r>
              <w:rPr>
                <w:rFonts w:ascii="Times New Roman" w:cs="Times New Roman" w:eastAsia="Times New Roman" w:hAnsi="Times New Roman"/>
                <w:sz w:val="14"/>
                <w:szCs w:val="14"/>
                <w:color w:val="FFFFFF"/>
              </w:rPr>
              <w:t>Earnings Release 1Q / 2026</w:t>
            </w:r>
          </w:p>
        </w:tc>
        <w:tc>
          <w:tcPr>
            <w:tcW w:w="3390" w:type="dxa"/>
            <w:vAlign w:val="bottom"/>
            <w:shd w:val="clear" w:color="auto" w:fill="000000"/>
          </w:tcPr>
          <w:p>
            <w:pPr>
              <w:ind w:left="1210"/>
              <w:spacing w:after="0"/>
              <w:rPr>
                <w:sz w:val="20"/>
                <w:szCs w:val="20"/>
                <w:color w:val="auto"/>
              </w:rPr>
            </w:pPr>
            <w:r>
              <w:rPr>
                <w:rFonts w:ascii="Times New Roman" w:cs="Times New Roman" w:eastAsia="Times New Roman" w:hAnsi="Times New Roman"/>
                <w:sz w:val="14"/>
                <w:szCs w:val="14"/>
                <w:color w:val="FF00FF"/>
                <w:w w:val="97"/>
              </w:rPr>
              <w:t>Analysis of 1Q26 Consolidated Results</w:t>
            </w:r>
          </w:p>
        </w:tc>
      </w:tr>
      <w:tr>
        <w:trPr>
          <w:trHeight w:val="546"/>
        </w:trPr>
        <w:tc>
          <w:tcPr>
            <w:tcW w:w="3500" w:type="dxa"/>
            <w:vAlign w:val="bottom"/>
            <w:shd w:val="clear" w:color="auto" w:fill="000000"/>
          </w:tcPr>
          <w:p>
            <w:pPr>
              <w:spacing w:after="0"/>
              <w:rPr>
                <w:sz w:val="24"/>
                <w:szCs w:val="24"/>
                <w:color w:val="auto"/>
              </w:rPr>
            </w:pPr>
          </w:p>
        </w:tc>
        <w:tc>
          <w:tcPr>
            <w:tcW w:w="4350" w:type="dxa"/>
            <w:vAlign w:val="bottom"/>
            <w:shd w:val="clear" w:color="auto" w:fill="000000"/>
          </w:tcPr>
          <w:p>
            <w:pPr>
              <w:spacing w:after="0"/>
              <w:rPr>
                <w:sz w:val="24"/>
                <w:szCs w:val="24"/>
                <w:color w:val="auto"/>
              </w:rPr>
            </w:pPr>
          </w:p>
        </w:tc>
        <w:tc>
          <w:tcPr>
            <w:tcW w:w="3390" w:type="dxa"/>
            <w:vAlign w:val="bottom"/>
            <w:shd w:val="clear" w:color="auto" w:fill="000000"/>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0</wp:posOffset>
            </wp:positionV>
            <wp:extent cx="7140575" cy="2095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0575" cy="209550"/>
                    </a:xfrm>
                    <a:prstGeom prst="rect">
                      <a:avLst/>
                    </a:prstGeom>
                    <a:noFill/>
                  </pic:spPr>
                </pic:pic>
              </a:graphicData>
            </a:graphic>
          </wp:anchor>
        </w:drawing>
        <w:drawing>
          <wp:anchor simplePos="0" relativeHeight="251657728" behindDoc="1" locked="0" layoutInCell="0" allowOverlap="1">
            <wp:simplePos x="0" y="0"/>
            <wp:positionH relativeFrom="column">
              <wp:posOffset>33020</wp:posOffset>
            </wp:positionH>
            <wp:positionV relativeFrom="paragraph">
              <wp:posOffset>-555625</wp:posOffset>
            </wp:positionV>
            <wp:extent cx="1861820" cy="3384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861820" cy="338455"/>
                    </a:xfrm>
                    <a:prstGeom prst="rect">
                      <a:avLst/>
                    </a:prstGeom>
                    <a:noFill/>
                  </pic:spPr>
                </pic:pic>
              </a:graphicData>
            </a:graphic>
          </wp:anchor>
        </w:drawing>
      </w:r>
    </w:p>
    <w:p>
      <w:pPr>
        <w:spacing w:after="0" w:line="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FFFFFF"/>
        </w:rPr>
        <w:t>Credicorp’s Strategy Update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color w:val="E93BAC"/>
        </w:rPr>
        <w:t>Innovation Portfolio</w:t>
      </w:r>
    </w:p>
    <w:p>
      <w:pPr>
        <w:spacing w:after="0" w:line="22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Credicorp’s Innovation Portfolio works alongside the Group’s core businesses, providing scalable digital platforms that operate within the framework of a disciplined strategy to create value. These platforms diversify income; enhance the value proposition; and enable new venues for growth by leveraging capacities across the ecosystem.</w:t>
      </w:r>
    </w:p>
    <w:p>
      <w:pPr>
        <w:spacing w:after="0" w:line="1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portfolio invests in the verticals such as Neobank, Acquiring and services for MIPYMEs, InsurTech and WealthTech, where initiatives are at different levels of maturity. This focus facilitates dynamic allocation of capital and actively rotates the portfolio as businesses grow. These initiatives can incubate within the core business or be channeled through Krealo, our Corporate Venture Capital arm. Krealo enables outside-in innovation through investments and acquisitions that complement and expand current and future lines of business.</w:t>
      </w:r>
    </w:p>
    <w:p>
      <w:pPr>
        <w:spacing w:after="0" w:line="17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The portfolio is managed with explicit financial appetites, which contemplate an impact of up to 150 bps on ROE and 350 bps in the efficiency ratio. By 2026, this portfolio is expected to account for 10% of the Group’s risk-adjusted income.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color w:val="E93BAC"/>
        </w:rPr>
        <w:t>Yape: main driver of scale, monetization and inclusion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Main Management Indicators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1073150</wp:posOffset>
            </wp:positionH>
            <wp:positionV relativeFrom="paragraph">
              <wp:posOffset>146685</wp:posOffset>
            </wp:positionV>
            <wp:extent cx="4996815" cy="26276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996815" cy="2627630"/>
                    </a:xfrm>
                    <a:prstGeom prst="rect">
                      <a:avLst/>
                    </a:prstGeom>
                    <a:noFill/>
                  </pic:spPr>
                </pic:pic>
              </a:graphicData>
            </a:graphic>
          </wp:anchor>
        </w:drawing>
      </w:r>
    </w:p>
    <w:p>
      <w:pPr>
        <w:spacing w:after="0" w:line="191" w:lineRule="exact"/>
        <w:rPr>
          <w:sz w:val="20"/>
          <w:szCs w:val="20"/>
          <w:color w:val="auto"/>
        </w:rPr>
      </w:pPr>
    </w:p>
    <w:tbl>
      <w:tblPr>
        <w:tblLayout w:type="fixed"/>
        <w:tblInd w:w="1680" w:type="dxa"/>
        <w:tblCellMar>
          <w:top w:w="0" w:type="dxa"/>
          <w:left w:w="0" w:type="dxa"/>
          <w:bottom w:w="0" w:type="dxa"/>
          <w:right w:w="0" w:type="dxa"/>
        </w:tblCellMar>
      </w:tblPr>
      <w:tr>
        <w:trPr>
          <w:trHeight w:val="128"/>
        </w:trPr>
        <w:tc>
          <w:tcPr>
            <w:tcW w:w="3120" w:type="dxa"/>
            <w:vAlign w:val="bottom"/>
            <w:tcBorders>
              <w:top w:val="single" w:sz="8" w:color="auto"/>
            </w:tcBorders>
            <w:vMerge w:val="restart"/>
            <w:shd w:val="clear" w:color="auto" w:fill="2AD2C9"/>
          </w:tcPr>
          <w:p>
            <w:pPr>
              <w:ind w:left="60"/>
              <w:spacing w:after="0"/>
              <w:rPr>
                <w:sz w:val="20"/>
                <w:szCs w:val="20"/>
                <w:color w:val="auto"/>
              </w:rPr>
            </w:pPr>
            <w:r>
              <w:rPr>
                <w:rFonts w:ascii="Times New Roman" w:cs="Times New Roman" w:eastAsia="Times New Roman" w:hAnsi="Times New Roman"/>
                <w:sz w:val="14"/>
                <w:szCs w:val="14"/>
                <w:b w:val="1"/>
                <w:bCs w:val="1"/>
                <w:color w:val="FFFFFF"/>
              </w:rPr>
              <w:t xml:space="preserve">Management KPI’s </w:t>
            </w:r>
            <w:r>
              <w:rPr>
                <w:rFonts w:ascii="Times New Roman" w:cs="Times New Roman" w:eastAsia="Times New Roman" w:hAnsi="Times New Roman"/>
                <w:sz w:val="22"/>
                <w:szCs w:val="22"/>
                <w:b w:val="1"/>
                <w:bCs w:val="1"/>
                <w:color w:val="FFFFFF"/>
                <w:vertAlign w:val="superscript"/>
              </w:rPr>
              <w:t>(1)</w:t>
            </w:r>
          </w:p>
        </w:tc>
        <w:tc>
          <w:tcPr>
            <w:tcW w:w="1060" w:type="dxa"/>
            <w:vAlign w:val="bottom"/>
            <w:tcBorders>
              <w:top w:val="single" w:sz="8" w:color="auto"/>
            </w:tcBorders>
            <w:shd w:val="clear" w:color="auto" w:fill="2AD2C9"/>
          </w:tcPr>
          <w:p>
            <w:pPr>
              <w:spacing w:after="0"/>
              <w:rPr>
                <w:sz w:val="11"/>
                <w:szCs w:val="11"/>
                <w:color w:val="auto"/>
              </w:rPr>
            </w:pPr>
          </w:p>
        </w:tc>
        <w:tc>
          <w:tcPr>
            <w:tcW w:w="980" w:type="dxa"/>
            <w:vAlign w:val="bottom"/>
            <w:tcBorders>
              <w:top w:val="single" w:sz="8" w:color="auto"/>
            </w:tcBorders>
            <w:shd w:val="clear" w:color="auto" w:fill="2AD2C9"/>
          </w:tcPr>
          <w:p>
            <w:pPr>
              <w:ind w:left="260"/>
              <w:spacing w:after="0" w:line="128" w:lineRule="exact"/>
              <w:rPr>
                <w:sz w:val="20"/>
                <w:szCs w:val="20"/>
                <w:color w:val="auto"/>
              </w:rPr>
            </w:pPr>
            <w:r>
              <w:rPr>
                <w:rFonts w:ascii="Times New Roman" w:cs="Times New Roman" w:eastAsia="Times New Roman" w:hAnsi="Times New Roman"/>
                <w:sz w:val="14"/>
                <w:szCs w:val="14"/>
                <w:b w:val="1"/>
                <w:bCs w:val="1"/>
                <w:color w:val="FFFFFF"/>
              </w:rPr>
              <w:t>Quarter</w:t>
            </w:r>
          </w:p>
        </w:tc>
        <w:tc>
          <w:tcPr>
            <w:tcW w:w="880" w:type="dxa"/>
            <w:vAlign w:val="bottom"/>
            <w:tcBorders>
              <w:top w:val="single" w:sz="8" w:color="auto"/>
            </w:tcBorders>
            <w:shd w:val="clear" w:color="auto" w:fill="2AD2C9"/>
          </w:tcPr>
          <w:p>
            <w:pPr>
              <w:spacing w:after="0"/>
              <w:rPr>
                <w:sz w:val="11"/>
                <w:szCs w:val="11"/>
                <w:color w:val="auto"/>
              </w:rPr>
            </w:pPr>
          </w:p>
        </w:tc>
        <w:tc>
          <w:tcPr>
            <w:tcW w:w="1820" w:type="dxa"/>
            <w:vAlign w:val="bottom"/>
            <w:tcBorders>
              <w:top w:val="single" w:sz="8" w:color="auto"/>
            </w:tcBorders>
            <w:gridSpan w:val="2"/>
            <w:shd w:val="clear" w:color="auto" w:fill="2AD2C9"/>
          </w:tcPr>
          <w:p>
            <w:pPr>
              <w:ind w:left="620"/>
              <w:spacing w:after="0" w:line="128" w:lineRule="exact"/>
              <w:rPr>
                <w:sz w:val="20"/>
                <w:szCs w:val="20"/>
                <w:color w:val="auto"/>
              </w:rPr>
            </w:pPr>
            <w:r>
              <w:rPr>
                <w:rFonts w:ascii="Times New Roman" w:cs="Times New Roman" w:eastAsia="Times New Roman" w:hAnsi="Times New Roman"/>
                <w:sz w:val="14"/>
                <w:szCs w:val="14"/>
                <w:b w:val="1"/>
                <w:bCs w:val="1"/>
                <w:color w:val="FFFFFF"/>
              </w:rPr>
              <w:t>Change %</w:t>
            </w:r>
          </w:p>
        </w:tc>
        <w:tc>
          <w:tcPr>
            <w:tcW w:w="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3120" w:type="dxa"/>
            <w:vAlign w:val="bottom"/>
            <w:tcBorders>
              <w:bottom w:val="single" w:sz="8" w:color="2AD2C9"/>
            </w:tcBorders>
            <w:vMerge w:val="continue"/>
            <w:shd w:val="clear" w:color="auto" w:fill="2AD2C9"/>
          </w:tcPr>
          <w:p>
            <w:pPr>
              <w:spacing w:after="0"/>
              <w:rPr>
                <w:sz w:val="14"/>
                <w:szCs w:val="14"/>
                <w:color w:val="auto"/>
              </w:rPr>
            </w:pPr>
          </w:p>
        </w:tc>
        <w:tc>
          <w:tcPr>
            <w:tcW w:w="1060" w:type="dxa"/>
            <w:vAlign w:val="bottom"/>
            <w:tcBorders>
              <w:bottom w:val="single" w:sz="8" w:color="2AD2C9"/>
            </w:tcBorders>
            <w:shd w:val="clear" w:color="auto" w:fill="2AD2C9"/>
          </w:tcPr>
          <w:p>
            <w:pPr>
              <w:jc w:val="center"/>
              <w:ind w:left="152"/>
              <w:spacing w:after="0"/>
              <w:rPr>
                <w:sz w:val="20"/>
                <w:szCs w:val="20"/>
                <w:color w:val="auto"/>
              </w:rPr>
            </w:pPr>
            <w:r>
              <w:rPr>
                <w:rFonts w:ascii="Times New Roman" w:cs="Times New Roman" w:eastAsia="Times New Roman" w:hAnsi="Times New Roman"/>
                <w:sz w:val="14"/>
                <w:szCs w:val="14"/>
                <w:b w:val="1"/>
                <w:bCs w:val="1"/>
                <w:color w:val="FFFFFF"/>
              </w:rPr>
              <w:t>1Q25</w:t>
            </w:r>
          </w:p>
        </w:tc>
        <w:tc>
          <w:tcPr>
            <w:tcW w:w="980" w:type="dxa"/>
            <w:vAlign w:val="bottom"/>
            <w:tcBorders>
              <w:bottom w:val="single" w:sz="8" w:color="2AD2C9"/>
            </w:tcBorders>
            <w:shd w:val="clear" w:color="auto" w:fill="2AD2C9"/>
          </w:tcPr>
          <w:p>
            <w:pPr>
              <w:jc w:val="center"/>
              <w:spacing w:after="0"/>
              <w:rPr>
                <w:sz w:val="20"/>
                <w:szCs w:val="20"/>
                <w:color w:val="auto"/>
              </w:rPr>
            </w:pPr>
            <w:r>
              <w:rPr>
                <w:rFonts w:ascii="Times New Roman" w:cs="Times New Roman" w:eastAsia="Times New Roman" w:hAnsi="Times New Roman"/>
                <w:sz w:val="14"/>
                <w:szCs w:val="14"/>
                <w:b w:val="1"/>
                <w:bCs w:val="1"/>
                <w:color w:val="FFFFFF"/>
                <w:w w:val="93"/>
              </w:rPr>
              <w:t>4Q25</w:t>
            </w:r>
          </w:p>
        </w:tc>
        <w:tc>
          <w:tcPr>
            <w:tcW w:w="880" w:type="dxa"/>
            <w:vAlign w:val="bottom"/>
            <w:tcBorders>
              <w:bottom w:val="single" w:sz="8" w:color="2AD2C9"/>
            </w:tcBorders>
            <w:shd w:val="clear" w:color="auto" w:fill="2AD2C9"/>
          </w:tcPr>
          <w:p>
            <w:pPr>
              <w:jc w:val="center"/>
              <w:spacing w:after="0"/>
              <w:rPr>
                <w:sz w:val="20"/>
                <w:szCs w:val="20"/>
                <w:color w:val="auto"/>
              </w:rPr>
            </w:pPr>
            <w:r>
              <w:rPr>
                <w:rFonts w:ascii="Times New Roman" w:cs="Times New Roman" w:eastAsia="Times New Roman" w:hAnsi="Times New Roman"/>
                <w:sz w:val="14"/>
                <w:szCs w:val="14"/>
                <w:b w:val="1"/>
                <w:bCs w:val="1"/>
                <w:color w:val="FFFFFF"/>
              </w:rPr>
              <w:t>1Q26</w:t>
            </w:r>
          </w:p>
        </w:tc>
        <w:tc>
          <w:tcPr>
            <w:tcW w:w="920" w:type="dxa"/>
            <w:vAlign w:val="bottom"/>
            <w:tcBorders>
              <w:bottom w:val="single" w:sz="8" w:color="2AD2C9"/>
            </w:tcBorders>
            <w:shd w:val="clear" w:color="auto" w:fill="2AD2C9"/>
          </w:tcPr>
          <w:p>
            <w:pPr>
              <w:jc w:val="center"/>
              <w:spacing w:after="0"/>
              <w:rPr>
                <w:sz w:val="20"/>
                <w:szCs w:val="20"/>
                <w:color w:val="auto"/>
              </w:rPr>
            </w:pPr>
            <w:r>
              <w:rPr>
                <w:rFonts w:ascii="Times New Roman" w:cs="Times New Roman" w:eastAsia="Times New Roman" w:hAnsi="Times New Roman"/>
                <w:sz w:val="14"/>
                <w:szCs w:val="14"/>
                <w:b w:val="1"/>
                <w:bCs w:val="1"/>
                <w:color w:val="FFFFFF"/>
                <w:w w:val="97"/>
              </w:rPr>
              <w:t>QoQ</w:t>
            </w:r>
          </w:p>
        </w:tc>
        <w:tc>
          <w:tcPr>
            <w:tcW w:w="900" w:type="dxa"/>
            <w:vAlign w:val="bottom"/>
            <w:tcBorders>
              <w:bottom w:val="single" w:sz="8" w:color="2AD2C9"/>
            </w:tcBorders>
            <w:shd w:val="clear" w:color="auto" w:fill="2AD2C9"/>
          </w:tcPr>
          <w:p>
            <w:pPr>
              <w:jc w:val="center"/>
              <w:spacing w:after="0"/>
              <w:rPr>
                <w:sz w:val="20"/>
                <w:szCs w:val="20"/>
                <w:color w:val="auto"/>
              </w:rPr>
            </w:pPr>
            <w:r>
              <w:rPr>
                <w:rFonts w:ascii="Times New Roman" w:cs="Times New Roman" w:eastAsia="Times New Roman" w:hAnsi="Times New Roman"/>
                <w:sz w:val="14"/>
                <w:szCs w:val="14"/>
                <w:b w:val="1"/>
                <w:bCs w:val="1"/>
                <w:color w:val="FFFFFF"/>
                <w:w w:val="95"/>
              </w:rPr>
              <w:t>YoY</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3120" w:type="dxa"/>
            <w:vAlign w:val="bottom"/>
            <w:tcBorders>
              <w:top w:val="single" w:sz="8" w:color="auto"/>
            </w:tcBorders>
          </w:tcPr>
          <w:p>
            <w:pPr>
              <w:ind w:left="60"/>
              <w:spacing w:after="0" w:line="112" w:lineRule="exact"/>
              <w:rPr>
                <w:sz w:val="20"/>
                <w:szCs w:val="20"/>
                <w:color w:val="auto"/>
              </w:rPr>
            </w:pPr>
            <w:r>
              <w:rPr>
                <w:rFonts w:ascii="Times New Roman" w:cs="Times New Roman" w:eastAsia="Times New Roman" w:hAnsi="Times New Roman"/>
                <w:sz w:val="12"/>
                <w:szCs w:val="12"/>
                <w:b w:val="1"/>
                <w:bCs w:val="1"/>
                <w:color w:val="auto"/>
              </w:rPr>
              <w:t>Users</w:t>
            </w:r>
          </w:p>
        </w:tc>
        <w:tc>
          <w:tcPr>
            <w:tcW w:w="1060" w:type="dxa"/>
            <w:vAlign w:val="bottom"/>
            <w:tcBorders>
              <w:top w:val="single" w:sz="8" w:color="auto"/>
            </w:tcBorders>
            <w:vMerge w:val="restart"/>
          </w:tcPr>
          <w:p>
            <w:pPr>
              <w:jc w:val="center"/>
              <w:ind w:left="152"/>
              <w:spacing w:after="0"/>
              <w:rPr>
                <w:sz w:val="20"/>
                <w:szCs w:val="20"/>
                <w:color w:val="auto"/>
              </w:rPr>
            </w:pPr>
            <w:r>
              <w:rPr>
                <w:rFonts w:ascii="Times New Roman" w:cs="Times New Roman" w:eastAsia="Times New Roman" w:hAnsi="Times New Roman"/>
                <w:sz w:val="14"/>
                <w:szCs w:val="14"/>
                <w:color w:val="auto"/>
                <w:w w:val="97"/>
              </w:rPr>
              <w:t>18.0</w:t>
            </w:r>
          </w:p>
        </w:tc>
        <w:tc>
          <w:tcPr>
            <w:tcW w:w="98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19.1</w:t>
            </w:r>
          </w:p>
        </w:tc>
        <w:tc>
          <w:tcPr>
            <w:tcW w:w="88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19.4</w:t>
            </w:r>
          </w:p>
        </w:tc>
        <w:tc>
          <w:tcPr>
            <w:tcW w:w="92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5"/>
              </w:rPr>
              <w:t>1.8%</w:t>
            </w:r>
          </w:p>
        </w:tc>
        <w:tc>
          <w:tcPr>
            <w:tcW w:w="90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5"/>
              </w:rPr>
              <w:t>8.0%</w:t>
            </w:r>
          </w:p>
        </w:tc>
        <w:tc>
          <w:tcPr>
            <w:tcW w:w="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3120" w:type="dxa"/>
            <w:vAlign w:val="bottom"/>
          </w:tcPr>
          <w:p>
            <w:pPr>
              <w:ind w:left="60"/>
              <w:spacing w:after="0" w:line="137" w:lineRule="exact"/>
              <w:rPr>
                <w:sz w:val="20"/>
                <w:szCs w:val="20"/>
                <w:color w:val="auto"/>
              </w:rPr>
            </w:pPr>
            <w:r>
              <w:rPr>
                <w:rFonts w:ascii="Times New Roman" w:cs="Times New Roman" w:eastAsia="Times New Roman" w:hAnsi="Times New Roman"/>
                <w:sz w:val="14"/>
                <w:szCs w:val="14"/>
                <w:color w:val="auto"/>
              </w:rPr>
              <w:t>Users (millions)</w:t>
            </w:r>
          </w:p>
        </w:tc>
        <w:tc>
          <w:tcPr>
            <w:tcW w:w="106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120" w:type="dxa"/>
            <w:vAlign w:val="bottom"/>
          </w:tcPr>
          <w:p>
            <w:pPr>
              <w:ind w:left="60"/>
              <w:spacing w:after="0" w:line="143" w:lineRule="exact"/>
              <w:rPr>
                <w:sz w:val="20"/>
                <w:szCs w:val="20"/>
                <w:color w:val="auto"/>
              </w:rPr>
            </w:pPr>
            <w:r>
              <w:rPr>
                <w:rFonts w:ascii="Times New Roman" w:cs="Times New Roman" w:eastAsia="Times New Roman" w:hAnsi="Times New Roman"/>
                <w:sz w:val="11"/>
                <w:szCs w:val="11"/>
                <w:color w:val="auto"/>
              </w:rPr>
              <w:t xml:space="preserve">Monthly Active Users (MAU) (millions) </w:t>
            </w:r>
            <w:r>
              <w:rPr>
                <w:rFonts w:ascii="Times New Roman" w:cs="Times New Roman" w:eastAsia="Times New Roman" w:hAnsi="Times New Roman"/>
                <w:sz w:val="16"/>
                <w:szCs w:val="16"/>
                <w:color w:val="auto"/>
                <w:vertAlign w:val="superscript"/>
              </w:rPr>
              <w:t>(2)</w:t>
            </w:r>
          </w:p>
        </w:tc>
        <w:tc>
          <w:tcPr>
            <w:tcW w:w="1060" w:type="dxa"/>
            <w:vAlign w:val="bottom"/>
          </w:tcPr>
          <w:p>
            <w:pPr>
              <w:jc w:val="center"/>
              <w:ind w:left="152"/>
              <w:spacing w:after="0" w:line="143" w:lineRule="exact"/>
              <w:rPr>
                <w:sz w:val="20"/>
                <w:szCs w:val="20"/>
                <w:color w:val="auto"/>
              </w:rPr>
            </w:pPr>
            <w:r>
              <w:rPr>
                <w:rFonts w:ascii="Times New Roman" w:cs="Times New Roman" w:eastAsia="Times New Roman" w:hAnsi="Times New Roman"/>
                <w:sz w:val="14"/>
                <w:szCs w:val="14"/>
                <w:color w:val="auto"/>
                <w:w w:val="97"/>
              </w:rPr>
              <w:t>14.3</w:t>
            </w:r>
          </w:p>
        </w:tc>
        <w:tc>
          <w:tcPr>
            <w:tcW w:w="98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color w:val="auto"/>
                <w:w w:val="97"/>
              </w:rPr>
              <w:t>15.9</w:t>
            </w:r>
          </w:p>
        </w:tc>
        <w:tc>
          <w:tcPr>
            <w:tcW w:w="88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color w:val="auto"/>
                <w:w w:val="97"/>
              </w:rPr>
              <w:t>16.4</w:t>
            </w:r>
          </w:p>
        </w:tc>
        <w:tc>
          <w:tcPr>
            <w:tcW w:w="92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color w:val="auto"/>
                <w:w w:val="95"/>
              </w:rPr>
              <w:t>2.7%</w:t>
            </w:r>
          </w:p>
        </w:tc>
        <w:tc>
          <w:tcPr>
            <w:tcW w:w="90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color w:val="auto"/>
                <w:w w:val="93"/>
              </w:rPr>
              <w:t>14.1%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120" w:type="dxa"/>
            <w:vAlign w:val="bottom"/>
            <w:tcBorders>
              <w:bottom w:val="single" w:sz="8" w:color="auto"/>
            </w:tcBorders>
          </w:tcPr>
          <w:p>
            <w:pPr>
              <w:ind w:left="60"/>
              <w:spacing w:after="0" w:line="160" w:lineRule="exact"/>
              <w:rPr>
                <w:sz w:val="20"/>
                <w:szCs w:val="20"/>
                <w:color w:val="auto"/>
              </w:rPr>
            </w:pPr>
            <w:r>
              <w:rPr>
                <w:rFonts w:ascii="Times New Roman" w:cs="Times New Roman" w:eastAsia="Times New Roman" w:hAnsi="Times New Roman"/>
                <w:sz w:val="14"/>
                <w:szCs w:val="14"/>
                <w:color w:val="auto"/>
              </w:rPr>
              <w:t>Revenue Generating MAU (millions)</w:t>
            </w:r>
          </w:p>
        </w:tc>
        <w:tc>
          <w:tcPr>
            <w:tcW w:w="1060" w:type="dxa"/>
            <w:vAlign w:val="bottom"/>
            <w:tcBorders>
              <w:bottom w:val="single" w:sz="8" w:color="auto"/>
            </w:tcBorders>
          </w:tcPr>
          <w:p>
            <w:pPr>
              <w:jc w:val="center"/>
              <w:ind w:left="152"/>
              <w:spacing w:after="0" w:line="160" w:lineRule="exact"/>
              <w:rPr>
                <w:sz w:val="20"/>
                <w:szCs w:val="20"/>
                <w:color w:val="auto"/>
              </w:rPr>
            </w:pPr>
            <w:r>
              <w:rPr>
                <w:rFonts w:ascii="Times New Roman" w:cs="Times New Roman" w:eastAsia="Times New Roman" w:hAnsi="Times New Roman"/>
                <w:sz w:val="14"/>
                <w:szCs w:val="14"/>
                <w:color w:val="auto"/>
                <w:w w:val="97"/>
              </w:rPr>
              <w:t>12.0</w:t>
            </w:r>
          </w:p>
        </w:tc>
        <w:tc>
          <w:tcPr>
            <w:tcW w:w="98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w w:val="97"/>
              </w:rPr>
              <w:t>14.0</w:t>
            </w:r>
          </w:p>
        </w:tc>
        <w:tc>
          <w:tcPr>
            <w:tcW w:w="88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w w:val="97"/>
              </w:rPr>
              <w:t>14.3</w:t>
            </w:r>
          </w:p>
        </w:tc>
        <w:tc>
          <w:tcPr>
            <w:tcW w:w="92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w w:val="95"/>
              </w:rPr>
              <w:t>2.6%</w:t>
            </w:r>
          </w:p>
        </w:tc>
        <w:tc>
          <w:tcPr>
            <w:tcW w:w="90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w w:val="93"/>
              </w:rPr>
              <w:t>19.6%</w:t>
            </w: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3120" w:type="dxa"/>
            <w:vAlign w:val="bottom"/>
          </w:tcPr>
          <w:p>
            <w:pPr>
              <w:ind w:left="60"/>
              <w:spacing w:after="0" w:line="112" w:lineRule="exact"/>
              <w:rPr>
                <w:sz w:val="20"/>
                <w:szCs w:val="20"/>
                <w:color w:val="auto"/>
              </w:rPr>
            </w:pPr>
            <w:r>
              <w:rPr>
                <w:rFonts w:ascii="Times New Roman" w:cs="Times New Roman" w:eastAsia="Times New Roman" w:hAnsi="Times New Roman"/>
                <w:sz w:val="12"/>
                <w:szCs w:val="12"/>
                <w:b w:val="1"/>
                <w:bCs w:val="1"/>
                <w:color w:val="auto"/>
              </w:rPr>
              <w:t>Engagement</w:t>
            </w:r>
          </w:p>
        </w:tc>
        <w:tc>
          <w:tcPr>
            <w:tcW w:w="1060" w:type="dxa"/>
            <w:vAlign w:val="bottom"/>
            <w:vMerge w:val="restart"/>
          </w:tcPr>
          <w:p>
            <w:pPr>
              <w:jc w:val="center"/>
              <w:ind w:left="152"/>
              <w:spacing w:after="0"/>
              <w:rPr>
                <w:sz w:val="20"/>
                <w:szCs w:val="20"/>
                <w:color w:val="auto"/>
              </w:rPr>
            </w:pPr>
            <w:r>
              <w:rPr>
                <w:rFonts w:ascii="Times New Roman" w:cs="Times New Roman" w:eastAsia="Times New Roman" w:hAnsi="Times New Roman"/>
                <w:sz w:val="14"/>
                <w:szCs w:val="14"/>
                <w:color w:val="auto"/>
              </w:rPr>
              <w:t>2,025</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5"/>
              </w:rPr>
              <w:t>2,989</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3,005</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5"/>
              </w:rPr>
              <w:t>0.6%</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3"/>
              </w:rPr>
              <w:t>48.4%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3120" w:type="dxa"/>
            <w:vAlign w:val="bottom"/>
          </w:tcPr>
          <w:p>
            <w:pPr>
              <w:ind w:left="60"/>
              <w:spacing w:after="0" w:line="140" w:lineRule="exact"/>
              <w:rPr>
                <w:sz w:val="20"/>
                <w:szCs w:val="20"/>
                <w:color w:val="auto"/>
              </w:rPr>
            </w:pPr>
            <w:r>
              <w:rPr>
                <w:rFonts w:ascii="Times New Roman" w:cs="Times New Roman" w:eastAsia="Times New Roman" w:hAnsi="Times New Roman"/>
                <w:sz w:val="14"/>
                <w:szCs w:val="14"/>
                <w:color w:val="auto"/>
              </w:rPr>
              <w:t># Transactions (millions)</w:t>
            </w:r>
          </w:p>
        </w:tc>
        <w:tc>
          <w:tcPr>
            <w:tcW w:w="106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120" w:type="dxa"/>
            <w:vAlign w:val="bottom"/>
          </w:tcPr>
          <w:p>
            <w:pPr>
              <w:ind w:left="60"/>
              <w:spacing w:after="0" w:line="140" w:lineRule="exact"/>
              <w:rPr>
                <w:sz w:val="20"/>
                <w:szCs w:val="20"/>
                <w:color w:val="auto"/>
              </w:rPr>
            </w:pPr>
            <w:r>
              <w:rPr>
                <w:rFonts w:ascii="Times New Roman" w:cs="Times New Roman" w:eastAsia="Times New Roman" w:hAnsi="Times New Roman"/>
                <w:sz w:val="14"/>
                <w:szCs w:val="14"/>
                <w:color w:val="auto"/>
              </w:rPr>
              <w:t># Revenue Generating Transactions (millions)</w:t>
            </w:r>
          </w:p>
        </w:tc>
        <w:tc>
          <w:tcPr>
            <w:tcW w:w="1060" w:type="dxa"/>
            <w:vAlign w:val="bottom"/>
          </w:tcPr>
          <w:p>
            <w:pPr>
              <w:jc w:val="center"/>
              <w:ind w:left="152"/>
              <w:spacing w:after="0" w:line="140" w:lineRule="exact"/>
              <w:rPr>
                <w:sz w:val="20"/>
                <w:szCs w:val="20"/>
                <w:color w:val="auto"/>
              </w:rPr>
            </w:pPr>
            <w:r>
              <w:rPr>
                <w:rFonts w:ascii="Times New Roman" w:cs="Times New Roman" w:eastAsia="Times New Roman" w:hAnsi="Times New Roman"/>
                <w:sz w:val="14"/>
                <w:szCs w:val="14"/>
                <w:color w:val="auto"/>
                <w:w w:val="95"/>
              </w:rPr>
              <w:t>229</w:t>
            </w:r>
          </w:p>
        </w:tc>
        <w:tc>
          <w:tcPr>
            <w:tcW w:w="98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5"/>
              </w:rPr>
              <w:t>318</w:t>
            </w:r>
          </w:p>
        </w:tc>
        <w:tc>
          <w:tcPr>
            <w:tcW w:w="88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5"/>
              </w:rPr>
              <w:t>337</w:t>
            </w:r>
          </w:p>
        </w:tc>
        <w:tc>
          <w:tcPr>
            <w:tcW w:w="9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5"/>
              </w:rPr>
              <w:t>6.0%</w:t>
            </w:r>
          </w:p>
        </w:tc>
        <w:tc>
          <w:tcPr>
            <w:tcW w:w="90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3"/>
              </w:rPr>
              <w:t>47.2%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120" w:type="dxa"/>
            <w:vAlign w:val="bottom"/>
          </w:tcPr>
          <w:p>
            <w:pPr>
              <w:ind w:left="60"/>
              <w:spacing w:after="0" w:line="140" w:lineRule="exact"/>
              <w:rPr>
                <w:sz w:val="20"/>
                <w:szCs w:val="20"/>
                <w:color w:val="auto"/>
              </w:rPr>
            </w:pPr>
            <w:r>
              <w:rPr>
                <w:rFonts w:ascii="Times New Roman" w:cs="Times New Roman" w:eastAsia="Times New Roman" w:hAnsi="Times New Roman"/>
                <w:sz w:val="14"/>
                <w:szCs w:val="14"/>
                <w:color w:val="auto"/>
              </w:rPr>
              <w:t># Transactions / MAU</w:t>
            </w:r>
          </w:p>
        </w:tc>
        <w:tc>
          <w:tcPr>
            <w:tcW w:w="1060" w:type="dxa"/>
            <w:vAlign w:val="bottom"/>
          </w:tcPr>
          <w:p>
            <w:pPr>
              <w:jc w:val="center"/>
              <w:ind w:left="152"/>
              <w:spacing w:after="0" w:line="140" w:lineRule="exact"/>
              <w:rPr>
                <w:sz w:val="20"/>
                <w:szCs w:val="20"/>
                <w:color w:val="auto"/>
              </w:rPr>
            </w:pPr>
            <w:r>
              <w:rPr>
                <w:rFonts w:ascii="Times New Roman" w:cs="Times New Roman" w:eastAsia="Times New Roman" w:hAnsi="Times New Roman"/>
                <w:sz w:val="14"/>
                <w:szCs w:val="14"/>
                <w:color w:val="auto"/>
                <w:w w:val="85"/>
              </w:rPr>
              <w:t>52</w:t>
            </w:r>
          </w:p>
        </w:tc>
        <w:tc>
          <w:tcPr>
            <w:tcW w:w="98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9"/>
              </w:rPr>
              <w:t>66</w:t>
            </w:r>
          </w:p>
        </w:tc>
        <w:tc>
          <w:tcPr>
            <w:tcW w:w="88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85"/>
              </w:rPr>
              <w:t>67</w:t>
            </w:r>
          </w:p>
        </w:tc>
        <w:tc>
          <w:tcPr>
            <w:tcW w:w="9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5"/>
              </w:rPr>
              <w:t>0.0%</w:t>
            </w:r>
          </w:p>
        </w:tc>
        <w:tc>
          <w:tcPr>
            <w:tcW w:w="90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3"/>
              </w:rPr>
              <w:t>27.8%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120" w:type="dxa"/>
            <w:vAlign w:val="bottom"/>
            <w:tcBorders>
              <w:bottom w:val="single" w:sz="8" w:color="auto"/>
            </w:tcBorders>
          </w:tcPr>
          <w:p>
            <w:pPr>
              <w:ind w:left="60"/>
              <w:spacing w:after="0" w:line="160" w:lineRule="exact"/>
              <w:rPr>
                <w:sz w:val="20"/>
                <w:szCs w:val="20"/>
                <w:color w:val="auto"/>
              </w:rPr>
            </w:pPr>
            <w:r>
              <w:rPr>
                <w:rFonts w:ascii="Times New Roman" w:cs="Times New Roman" w:eastAsia="Times New Roman" w:hAnsi="Times New Roman"/>
                <w:sz w:val="14"/>
                <w:szCs w:val="14"/>
                <w:color w:val="auto"/>
              </w:rPr>
              <w:t># Average Functionalities / MAU</w:t>
            </w:r>
          </w:p>
        </w:tc>
        <w:tc>
          <w:tcPr>
            <w:tcW w:w="1060" w:type="dxa"/>
            <w:vAlign w:val="bottom"/>
            <w:tcBorders>
              <w:bottom w:val="single" w:sz="8" w:color="auto"/>
            </w:tcBorders>
          </w:tcPr>
          <w:p>
            <w:pPr>
              <w:jc w:val="center"/>
              <w:ind w:left="152"/>
              <w:spacing w:after="0" w:line="160" w:lineRule="exact"/>
              <w:rPr>
                <w:sz w:val="20"/>
                <w:szCs w:val="20"/>
                <w:color w:val="auto"/>
              </w:rPr>
            </w:pPr>
            <w:r>
              <w:rPr>
                <w:rFonts w:ascii="Times New Roman" w:cs="Times New Roman" w:eastAsia="Times New Roman" w:hAnsi="Times New Roman"/>
                <w:sz w:val="14"/>
                <w:szCs w:val="14"/>
                <w:color w:val="auto"/>
              </w:rPr>
              <w:t>3</w:t>
            </w:r>
          </w:p>
        </w:tc>
        <w:tc>
          <w:tcPr>
            <w:tcW w:w="98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w w:val="85"/>
              </w:rPr>
              <w:t>3</w:t>
            </w:r>
          </w:p>
        </w:tc>
        <w:tc>
          <w:tcPr>
            <w:tcW w:w="88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rPr>
              <w:t>3</w:t>
            </w:r>
          </w:p>
        </w:tc>
        <w:tc>
          <w:tcPr>
            <w:tcW w:w="92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w w:val="95"/>
              </w:rPr>
              <w:t>0.7%</w:t>
            </w:r>
          </w:p>
        </w:tc>
        <w:tc>
          <w:tcPr>
            <w:tcW w:w="90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w w:val="95"/>
              </w:rPr>
              <w:t>9.2%</w:t>
            </w: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3120" w:type="dxa"/>
            <w:vAlign w:val="bottom"/>
          </w:tcPr>
          <w:p>
            <w:pPr>
              <w:ind w:left="60"/>
              <w:spacing w:after="0" w:line="109" w:lineRule="exact"/>
              <w:rPr>
                <w:sz w:val="20"/>
                <w:szCs w:val="20"/>
                <w:color w:val="auto"/>
              </w:rPr>
            </w:pPr>
            <w:r>
              <w:rPr>
                <w:rFonts w:ascii="Times New Roman" w:cs="Times New Roman" w:eastAsia="Times New Roman" w:hAnsi="Times New Roman"/>
                <w:sz w:val="12"/>
                <w:szCs w:val="12"/>
                <w:b w:val="1"/>
                <w:bCs w:val="1"/>
                <w:color w:val="auto"/>
              </w:rPr>
              <w:t>Experience</w:t>
            </w:r>
          </w:p>
        </w:tc>
        <w:tc>
          <w:tcPr>
            <w:tcW w:w="1060" w:type="dxa"/>
            <w:vAlign w:val="bottom"/>
            <w:vMerge w:val="restart"/>
          </w:tcPr>
          <w:p>
            <w:pPr>
              <w:jc w:val="center"/>
              <w:ind w:left="152"/>
              <w:spacing w:after="0"/>
              <w:rPr>
                <w:sz w:val="20"/>
                <w:szCs w:val="20"/>
                <w:color w:val="auto"/>
              </w:rPr>
            </w:pPr>
            <w:r>
              <w:rPr>
                <w:rFonts w:ascii="Times New Roman" w:cs="Times New Roman" w:eastAsia="Times New Roman" w:hAnsi="Times New Roman"/>
                <w:sz w:val="14"/>
                <w:szCs w:val="14"/>
                <w:color w:val="auto"/>
                <w:w w:val="85"/>
              </w:rPr>
              <w:t>77</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81</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77</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0"/>
              </w:rPr>
              <w:t>-4 p</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0 p</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3120" w:type="dxa"/>
            <w:vAlign w:val="bottom"/>
            <w:tcBorders>
              <w:bottom w:val="single" w:sz="8" w:color="auto"/>
            </w:tcBorders>
          </w:tcPr>
          <w:p>
            <w:pPr>
              <w:ind w:left="60"/>
              <w:spacing w:after="0" w:line="163" w:lineRule="exact"/>
              <w:rPr>
                <w:sz w:val="20"/>
                <w:szCs w:val="20"/>
                <w:color w:val="auto"/>
              </w:rPr>
            </w:pPr>
            <w:r>
              <w:rPr>
                <w:rFonts w:ascii="Times New Roman" w:cs="Times New Roman" w:eastAsia="Times New Roman" w:hAnsi="Times New Roman"/>
                <w:sz w:val="18"/>
                <w:szCs w:val="18"/>
                <w:color w:val="auto"/>
                <w:vertAlign w:val="subscript"/>
              </w:rPr>
              <w:t>NPS</w:t>
            </w:r>
            <w:r>
              <w:rPr>
                <w:rFonts w:ascii="Times New Roman" w:cs="Times New Roman" w:eastAsia="Times New Roman" w:hAnsi="Times New Roman"/>
                <w:sz w:val="9"/>
                <w:szCs w:val="9"/>
                <w:color w:val="auto"/>
              </w:rPr>
              <w:t xml:space="preserve"> (3)</w:t>
            </w:r>
          </w:p>
        </w:tc>
        <w:tc>
          <w:tcPr>
            <w:tcW w:w="1060" w:type="dxa"/>
            <w:vAlign w:val="bottom"/>
            <w:tcBorders>
              <w:bottom w:val="single" w:sz="8" w:color="auto"/>
            </w:tcBorders>
            <w:vMerge w:val="continue"/>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3120" w:type="dxa"/>
            <w:vAlign w:val="bottom"/>
          </w:tcPr>
          <w:p>
            <w:pPr>
              <w:ind w:left="60"/>
              <w:spacing w:after="0" w:line="107" w:lineRule="exact"/>
              <w:rPr>
                <w:sz w:val="20"/>
                <w:szCs w:val="20"/>
                <w:color w:val="auto"/>
              </w:rPr>
            </w:pPr>
            <w:r>
              <w:rPr>
                <w:rFonts w:ascii="Times New Roman" w:cs="Times New Roman" w:eastAsia="Times New Roman" w:hAnsi="Times New Roman"/>
                <w:sz w:val="12"/>
                <w:szCs w:val="12"/>
                <w:b w:val="1"/>
                <w:bCs w:val="1"/>
                <w:color w:val="auto"/>
              </w:rPr>
              <w:t>Unit Economics</w:t>
            </w:r>
          </w:p>
        </w:tc>
        <w:tc>
          <w:tcPr>
            <w:tcW w:w="1060" w:type="dxa"/>
            <w:vAlign w:val="bottom"/>
          </w:tcPr>
          <w:p>
            <w:pPr>
              <w:spacing w:after="0"/>
              <w:rPr>
                <w:sz w:val="9"/>
                <w:szCs w:val="9"/>
                <w:color w:val="auto"/>
              </w:rPr>
            </w:pPr>
          </w:p>
        </w:tc>
        <w:tc>
          <w:tcPr>
            <w:tcW w:w="980" w:type="dxa"/>
            <w:vAlign w:val="bottom"/>
          </w:tcPr>
          <w:p>
            <w:pPr>
              <w:spacing w:after="0"/>
              <w:rPr>
                <w:sz w:val="9"/>
                <w:szCs w:val="9"/>
                <w:color w:val="auto"/>
              </w:rPr>
            </w:pPr>
          </w:p>
        </w:tc>
        <w:tc>
          <w:tcPr>
            <w:tcW w:w="880" w:type="dxa"/>
            <w:vAlign w:val="bottom"/>
          </w:tcPr>
          <w:p>
            <w:pPr>
              <w:spacing w:after="0"/>
              <w:rPr>
                <w:sz w:val="9"/>
                <w:szCs w:val="9"/>
                <w:color w:val="auto"/>
              </w:rPr>
            </w:pPr>
          </w:p>
        </w:tc>
        <w:tc>
          <w:tcPr>
            <w:tcW w:w="9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3120" w:type="dxa"/>
            <w:vAlign w:val="bottom"/>
          </w:tcPr>
          <w:p>
            <w:pPr>
              <w:ind w:left="60"/>
              <w:spacing w:after="0" w:line="145" w:lineRule="exact"/>
              <w:rPr>
                <w:sz w:val="20"/>
                <w:szCs w:val="20"/>
                <w:color w:val="auto"/>
              </w:rPr>
            </w:pPr>
            <w:r>
              <w:rPr>
                <w:rFonts w:ascii="Times New Roman" w:cs="Times New Roman" w:eastAsia="Times New Roman" w:hAnsi="Times New Roman"/>
                <w:sz w:val="11"/>
                <w:szCs w:val="11"/>
                <w:b w:val="1"/>
                <w:bCs w:val="1"/>
                <w:color w:val="auto"/>
              </w:rPr>
              <w:t xml:space="preserve">Monthly Indicators </w:t>
            </w:r>
            <w:r>
              <w:rPr>
                <w:rFonts w:ascii="Times New Roman" w:cs="Times New Roman" w:eastAsia="Times New Roman" w:hAnsi="Times New Roman"/>
                <w:sz w:val="16"/>
                <w:szCs w:val="16"/>
                <w:b w:val="1"/>
                <w:bCs w:val="1"/>
                <w:color w:val="auto"/>
                <w:vertAlign w:val="superscript"/>
              </w:rPr>
              <w:t>(4)</w:t>
            </w:r>
          </w:p>
        </w:tc>
        <w:tc>
          <w:tcPr>
            <w:tcW w:w="1060" w:type="dxa"/>
            <w:vAlign w:val="bottom"/>
            <w:vMerge w:val="restart"/>
          </w:tcPr>
          <w:p>
            <w:pPr>
              <w:jc w:val="center"/>
              <w:ind w:left="152"/>
              <w:spacing w:after="0"/>
              <w:rPr>
                <w:sz w:val="20"/>
                <w:szCs w:val="20"/>
                <w:color w:val="auto"/>
              </w:rPr>
            </w:pPr>
            <w:r>
              <w:rPr>
                <w:rFonts w:ascii="Times New Roman" w:cs="Times New Roman" w:eastAsia="Times New Roman" w:hAnsi="Times New Roman"/>
                <w:sz w:val="14"/>
                <w:szCs w:val="14"/>
                <w:color w:val="auto"/>
                <w:w w:val="91"/>
              </w:rPr>
              <w:t>6.2</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9.6</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10.3</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5"/>
              </w:rPr>
              <w:t>6.8%</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3"/>
              </w:rPr>
              <w:t>65.0%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120" w:type="dxa"/>
            <w:vAlign w:val="bottom"/>
          </w:tcPr>
          <w:p>
            <w:pPr>
              <w:ind w:left="60"/>
              <w:spacing w:after="0" w:line="140" w:lineRule="exact"/>
              <w:rPr>
                <w:sz w:val="20"/>
                <w:szCs w:val="20"/>
                <w:color w:val="auto"/>
              </w:rPr>
            </w:pPr>
            <w:r>
              <w:rPr>
                <w:rFonts w:ascii="Times New Roman" w:cs="Times New Roman" w:eastAsia="Times New Roman" w:hAnsi="Times New Roman"/>
                <w:sz w:val="14"/>
                <w:szCs w:val="14"/>
                <w:color w:val="auto"/>
              </w:rPr>
              <w:t>Revenues / MAU (S/)</w:t>
            </w:r>
          </w:p>
        </w:tc>
        <w:tc>
          <w:tcPr>
            <w:tcW w:w="106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2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auto"/>
              </w:rPr>
              <w:t>Expenses / MAU (S/)</w:t>
            </w:r>
          </w:p>
        </w:tc>
        <w:tc>
          <w:tcPr>
            <w:tcW w:w="1060" w:type="dxa"/>
            <w:vAlign w:val="bottom"/>
          </w:tcPr>
          <w:p>
            <w:pPr>
              <w:jc w:val="center"/>
              <w:ind w:left="152"/>
              <w:spacing w:after="0" w:line="135" w:lineRule="exact"/>
              <w:rPr>
                <w:sz w:val="20"/>
                <w:szCs w:val="20"/>
                <w:color w:val="auto"/>
              </w:rPr>
            </w:pPr>
            <w:r>
              <w:rPr>
                <w:rFonts w:ascii="Times New Roman" w:cs="Times New Roman" w:eastAsia="Times New Roman" w:hAnsi="Times New Roman"/>
                <w:sz w:val="14"/>
                <w:szCs w:val="14"/>
                <w:color w:val="auto"/>
                <w:w w:val="90"/>
              </w:rPr>
              <w:t>-4.7</w:t>
            </w: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w w:val="99"/>
              </w:rPr>
              <w:t>-6.1</w:t>
            </w:r>
          </w:p>
        </w:tc>
        <w:tc>
          <w:tcPr>
            <w:tcW w:w="8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w w:val="90"/>
              </w:rPr>
              <w:t>-5.9</w:t>
            </w:r>
          </w:p>
        </w:tc>
        <w:tc>
          <w:tcPr>
            <w:tcW w:w="9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w w:val="94"/>
              </w:rPr>
              <w:t>-2.7%</w:t>
            </w: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w w:val="93"/>
              </w:rPr>
              <w:t>26.1%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120" w:type="dxa"/>
            <w:vAlign w:val="bottom"/>
          </w:tcPr>
          <w:p>
            <w:pPr>
              <w:ind w:left="60"/>
              <w:spacing w:after="0" w:line="145" w:lineRule="exact"/>
              <w:rPr>
                <w:sz w:val="20"/>
                <w:szCs w:val="20"/>
                <w:color w:val="auto"/>
              </w:rPr>
            </w:pPr>
            <w:r>
              <w:rPr>
                <w:rFonts w:ascii="Times New Roman" w:cs="Times New Roman" w:eastAsia="Times New Roman" w:hAnsi="Times New Roman"/>
                <w:sz w:val="11"/>
                <w:szCs w:val="11"/>
                <w:b w:val="1"/>
                <w:bCs w:val="1"/>
                <w:color w:val="auto"/>
              </w:rPr>
              <w:t xml:space="preserve">Quarterly Indicators </w:t>
            </w:r>
            <w:r>
              <w:rPr>
                <w:rFonts w:ascii="Times New Roman" w:cs="Times New Roman" w:eastAsia="Times New Roman" w:hAnsi="Times New Roman"/>
                <w:sz w:val="16"/>
                <w:szCs w:val="16"/>
                <w:b w:val="1"/>
                <w:bCs w:val="1"/>
                <w:color w:val="auto"/>
                <w:vertAlign w:val="superscript"/>
              </w:rPr>
              <w:t>(5)</w:t>
            </w:r>
          </w:p>
        </w:tc>
        <w:tc>
          <w:tcPr>
            <w:tcW w:w="1060" w:type="dxa"/>
            <w:vAlign w:val="bottom"/>
            <w:vMerge w:val="restart"/>
          </w:tcPr>
          <w:p>
            <w:pPr>
              <w:jc w:val="center"/>
              <w:ind w:left="152"/>
              <w:spacing w:after="0"/>
              <w:rPr>
                <w:sz w:val="20"/>
                <w:szCs w:val="20"/>
                <w:color w:val="auto"/>
              </w:rPr>
            </w:pPr>
            <w:r>
              <w:rPr>
                <w:rFonts w:ascii="Times New Roman" w:cs="Times New Roman" w:eastAsia="Times New Roman" w:hAnsi="Times New Roman"/>
                <w:sz w:val="14"/>
                <w:szCs w:val="14"/>
                <w:color w:val="auto"/>
                <w:w w:val="91"/>
              </w:rPr>
              <w:t>5.6</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8.5</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1"/>
              </w:rPr>
              <w:t>9.7</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14.6%</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3"/>
              </w:rPr>
              <w:t>74.3%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120" w:type="dxa"/>
            <w:vAlign w:val="bottom"/>
          </w:tcPr>
          <w:p>
            <w:pPr>
              <w:ind w:left="60"/>
              <w:spacing w:after="0" w:line="140" w:lineRule="exact"/>
              <w:rPr>
                <w:sz w:val="20"/>
                <w:szCs w:val="20"/>
                <w:color w:val="auto"/>
              </w:rPr>
            </w:pPr>
            <w:r>
              <w:rPr>
                <w:rFonts w:ascii="Times New Roman" w:cs="Times New Roman" w:eastAsia="Times New Roman" w:hAnsi="Times New Roman"/>
                <w:sz w:val="14"/>
                <w:szCs w:val="14"/>
                <w:color w:val="auto"/>
              </w:rPr>
              <w:t>Revenues / MAU (S/)</w:t>
            </w:r>
          </w:p>
        </w:tc>
        <w:tc>
          <w:tcPr>
            <w:tcW w:w="106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120" w:type="dxa"/>
            <w:vAlign w:val="bottom"/>
            <w:tcBorders>
              <w:bottom w:val="single" w:sz="8" w:color="auto"/>
            </w:tcBorders>
          </w:tcPr>
          <w:p>
            <w:pPr>
              <w:ind w:left="60"/>
              <w:spacing w:after="0" w:line="160" w:lineRule="exact"/>
              <w:rPr>
                <w:sz w:val="20"/>
                <w:szCs w:val="20"/>
                <w:color w:val="auto"/>
              </w:rPr>
            </w:pPr>
            <w:r>
              <w:rPr>
                <w:rFonts w:ascii="Times New Roman" w:cs="Times New Roman" w:eastAsia="Times New Roman" w:hAnsi="Times New Roman"/>
                <w:sz w:val="14"/>
                <w:szCs w:val="14"/>
                <w:color w:val="auto"/>
              </w:rPr>
              <w:t>Expenses / MAU (S/)</w:t>
            </w:r>
          </w:p>
        </w:tc>
        <w:tc>
          <w:tcPr>
            <w:tcW w:w="1060" w:type="dxa"/>
            <w:vAlign w:val="bottom"/>
            <w:tcBorders>
              <w:bottom w:val="single" w:sz="8" w:color="auto"/>
            </w:tcBorders>
          </w:tcPr>
          <w:p>
            <w:pPr>
              <w:jc w:val="center"/>
              <w:ind w:left="152"/>
              <w:spacing w:after="0" w:line="160" w:lineRule="exact"/>
              <w:rPr>
                <w:sz w:val="20"/>
                <w:szCs w:val="20"/>
                <w:color w:val="auto"/>
              </w:rPr>
            </w:pPr>
            <w:r>
              <w:rPr>
                <w:rFonts w:ascii="Times New Roman" w:cs="Times New Roman" w:eastAsia="Times New Roman" w:hAnsi="Times New Roman"/>
                <w:sz w:val="14"/>
                <w:szCs w:val="14"/>
                <w:color w:val="auto"/>
                <w:w w:val="90"/>
              </w:rPr>
              <w:t>-4.3</w:t>
            </w:r>
          </w:p>
        </w:tc>
        <w:tc>
          <w:tcPr>
            <w:tcW w:w="98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w w:val="99"/>
              </w:rPr>
              <w:t>-5.5</w:t>
            </w:r>
          </w:p>
        </w:tc>
        <w:tc>
          <w:tcPr>
            <w:tcW w:w="88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w w:val="90"/>
              </w:rPr>
              <w:t>-5.5</w:t>
            </w:r>
          </w:p>
        </w:tc>
        <w:tc>
          <w:tcPr>
            <w:tcW w:w="92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w w:val="94"/>
              </w:rPr>
              <w:t>-0.5%</w:t>
            </w:r>
          </w:p>
        </w:tc>
        <w:tc>
          <w:tcPr>
            <w:tcW w:w="90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w w:val="93"/>
              </w:rPr>
              <w:t>27.6%</w:t>
            </w: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3120" w:type="dxa"/>
            <w:vAlign w:val="bottom"/>
          </w:tcPr>
          <w:p>
            <w:pPr>
              <w:ind w:left="60"/>
              <w:spacing w:after="0" w:line="109" w:lineRule="exact"/>
              <w:rPr>
                <w:sz w:val="20"/>
                <w:szCs w:val="20"/>
                <w:color w:val="auto"/>
              </w:rPr>
            </w:pPr>
            <w:r>
              <w:rPr>
                <w:rFonts w:ascii="Times New Roman" w:cs="Times New Roman" w:eastAsia="Times New Roman" w:hAnsi="Times New Roman"/>
                <w:sz w:val="12"/>
                <w:szCs w:val="12"/>
                <w:b w:val="1"/>
                <w:bCs w:val="1"/>
                <w:color w:val="auto"/>
              </w:rPr>
              <w:t>Drivers Monetization</w:t>
            </w:r>
          </w:p>
        </w:tc>
        <w:tc>
          <w:tcPr>
            <w:tcW w:w="1060" w:type="dxa"/>
            <w:vAlign w:val="bottom"/>
            <w:vMerge w:val="restart"/>
          </w:tcPr>
          <w:p>
            <w:pPr>
              <w:jc w:val="center"/>
              <w:ind w:left="152"/>
              <w:spacing w:after="0"/>
              <w:rPr>
                <w:sz w:val="20"/>
                <w:szCs w:val="20"/>
                <w:color w:val="auto"/>
              </w:rPr>
            </w:pPr>
            <w:r>
              <w:rPr>
                <w:rFonts w:ascii="Times New Roman" w:cs="Times New Roman" w:eastAsia="Times New Roman" w:hAnsi="Times New Roman"/>
                <w:sz w:val="14"/>
                <w:szCs w:val="14"/>
                <w:color w:val="auto"/>
                <w:w w:val="97"/>
              </w:rPr>
              <w:t>91.6</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5"/>
              </w:rPr>
              <w:t>128.9</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129.8</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5"/>
              </w:rPr>
              <w:t>0.7%</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3"/>
              </w:rPr>
              <w:t>41.8%</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3120" w:type="dxa"/>
            <w:vAlign w:val="bottom"/>
          </w:tcPr>
          <w:p>
            <w:pPr>
              <w:ind w:left="60"/>
              <w:spacing w:after="0" w:line="140" w:lineRule="exact"/>
              <w:rPr>
                <w:sz w:val="20"/>
                <w:szCs w:val="20"/>
                <w:color w:val="auto"/>
              </w:rPr>
            </w:pPr>
            <w:r>
              <w:rPr>
                <w:rFonts w:ascii="Times New Roman" w:cs="Times New Roman" w:eastAsia="Times New Roman" w:hAnsi="Times New Roman"/>
                <w:sz w:val="11"/>
                <w:szCs w:val="11"/>
                <w:color w:val="auto"/>
              </w:rPr>
              <w:t xml:space="preserve">Total TPV (S/, billions) </w:t>
            </w:r>
            <w:r>
              <w:rPr>
                <w:rFonts w:ascii="Times New Roman" w:cs="Times New Roman" w:eastAsia="Times New Roman" w:hAnsi="Times New Roman"/>
                <w:sz w:val="16"/>
                <w:szCs w:val="16"/>
                <w:color w:val="auto"/>
                <w:vertAlign w:val="superscript"/>
              </w:rPr>
              <w:t>(6)</w:t>
            </w:r>
          </w:p>
        </w:tc>
        <w:tc>
          <w:tcPr>
            <w:tcW w:w="106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120" w:type="dxa"/>
            <w:vAlign w:val="bottom"/>
          </w:tcPr>
          <w:p>
            <w:pPr>
              <w:ind w:left="60"/>
              <w:spacing w:after="0" w:line="139" w:lineRule="exact"/>
              <w:rPr>
                <w:sz w:val="20"/>
                <w:szCs w:val="20"/>
                <w:color w:val="auto"/>
              </w:rPr>
            </w:pPr>
            <w:r>
              <w:rPr>
                <w:rFonts w:ascii="Times New Roman" w:cs="Times New Roman" w:eastAsia="Times New Roman" w:hAnsi="Times New Roman"/>
                <w:sz w:val="11"/>
                <w:szCs w:val="11"/>
                <w:color w:val="auto"/>
              </w:rPr>
              <w:t xml:space="preserve">Total Revenue Generating TPV (S/, billions) </w:t>
            </w:r>
            <w:r>
              <w:rPr>
                <w:rFonts w:ascii="Times New Roman" w:cs="Times New Roman" w:eastAsia="Times New Roman" w:hAnsi="Times New Roman"/>
                <w:sz w:val="16"/>
                <w:szCs w:val="16"/>
                <w:color w:val="auto"/>
                <w:vertAlign w:val="superscript"/>
              </w:rPr>
              <w:t>(6)</w:t>
            </w:r>
          </w:p>
        </w:tc>
        <w:tc>
          <w:tcPr>
            <w:tcW w:w="1060" w:type="dxa"/>
            <w:vAlign w:val="bottom"/>
          </w:tcPr>
          <w:p>
            <w:pPr>
              <w:jc w:val="center"/>
              <w:ind w:left="152"/>
              <w:spacing w:after="0" w:line="139" w:lineRule="exact"/>
              <w:rPr>
                <w:sz w:val="20"/>
                <w:szCs w:val="20"/>
                <w:color w:val="auto"/>
              </w:rPr>
            </w:pPr>
            <w:r>
              <w:rPr>
                <w:rFonts w:ascii="Times New Roman" w:cs="Times New Roman" w:eastAsia="Times New Roman" w:hAnsi="Times New Roman"/>
                <w:sz w:val="14"/>
                <w:szCs w:val="14"/>
                <w:color w:val="auto"/>
                <w:w w:val="91"/>
              </w:rPr>
              <w:t>8.7</w:t>
            </w:r>
          </w:p>
        </w:tc>
        <w:tc>
          <w:tcPr>
            <w:tcW w:w="98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w w:val="97"/>
              </w:rPr>
              <w:t>14.0</w:t>
            </w:r>
          </w:p>
        </w:tc>
        <w:tc>
          <w:tcPr>
            <w:tcW w:w="88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w w:val="97"/>
              </w:rPr>
              <w:t>15.6</w:t>
            </w:r>
          </w:p>
        </w:tc>
        <w:tc>
          <w:tcPr>
            <w:tcW w:w="92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w w:val="99"/>
              </w:rPr>
              <w:t>11.3%</w:t>
            </w:r>
          </w:p>
        </w:tc>
        <w:tc>
          <w:tcPr>
            <w:tcW w:w="90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w w:val="93"/>
              </w:rPr>
              <w:t>79.5%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20" w:type="dxa"/>
            <w:vAlign w:val="bottom"/>
          </w:tcPr>
          <w:p>
            <w:pPr>
              <w:ind w:left="60"/>
              <w:spacing w:after="0" w:line="144" w:lineRule="exact"/>
              <w:rPr>
                <w:sz w:val="20"/>
                <w:szCs w:val="20"/>
                <w:color w:val="auto"/>
              </w:rPr>
            </w:pPr>
            <w:r>
              <w:rPr>
                <w:rFonts w:ascii="Times New Roman" w:cs="Times New Roman" w:eastAsia="Times New Roman" w:hAnsi="Times New Roman"/>
                <w:sz w:val="14"/>
                <w:szCs w:val="14"/>
                <w:b w:val="1"/>
                <w:bCs w:val="1"/>
                <w:color w:val="auto"/>
              </w:rPr>
              <w:t>Payments</w:t>
            </w:r>
          </w:p>
        </w:tc>
        <w:tc>
          <w:tcPr>
            <w:tcW w:w="1060" w:type="dxa"/>
            <w:vAlign w:val="bottom"/>
            <w:vMerge w:val="restart"/>
          </w:tcPr>
          <w:p>
            <w:pPr>
              <w:jc w:val="center"/>
              <w:ind w:left="152"/>
              <w:spacing w:after="0"/>
              <w:rPr>
                <w:sz w:val="20"/>
                <w:szCs w:val="20"/>
                <w:color w:val="auto"/>
              </w:rPr>
            </w:pPr>
            <w:r>
              <w:rPr>
                <w:rFonts w:ascii="Times New Roman" w:cs="Times New Roman" w:eastAsia="Times New Roman" w:hAnsi="Times New Roman"/>
                <w:sz w:val="14"/>
                <w:szCs w:val="14"/>
                <w:color w:val="auto"/>
                <w:w w:val="85"/>
              </w:rPr>
              <w:t>45</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61</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67</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5"/>
              </w:rPr>
              <w:t>9.5%</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3"/>
              </w:rPr>
              <w:t>49.1%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3120" w:type="dxa"/>
            <w:vAlign w:val="bottom"/>
          </w:tcPr>
          <w:p>
            <w:pPr>
              <w:ind w:left="60"/>
              <w:spacing w:after="0" w:line="136" w:lineRule="exact"/>
              <w:rPr>
                <w:sz w:val="20"/>
                <w:szCs w:val="20"/>
                <w:color w:val="auto"/>
              </w:rPr>
            </w:pPr>
            <w:r>
              <w:rPr>
                <w:rFonts w:ascii="Times New Roman" w:cs="Times New Roman" w:eastAsia="Times New Roman" w:hAnsi="Times New Roman"/>
                <w:sz w:val="14"/>
                <w:szCs w:val="14"/>
                <w:color w:val="auto"/>
              </w:rPr>
              <w:t># Bill Payments transactions (millions)</w:t>
            </w:r>
          </w:p>
        </w:tc>
        <w:tc>
          <w:tcPr>
            <w:tcW w:w="106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120" w:type="dxa"/>
            <w:vAlign w:val="bottom"/>
          </w:tcPr>
          <w:p>
            <w:pPr>
              <w:ind w:left="60"/>
              <w:spacing w:after="0" w:line="144" w:lineRule="exact"/>
              <w:rPr>
                <w:sz w:val="20"/>
                <w:szCs w:val="20"/>
                <w:color w:val="auto"/>
              </w:rPr>
            </w:pPr>
            <w:r>
              <w:rPr>
                <w:rFonts w:ascii="Times New Roman" w:cs="Times New Roman" w:eastAsia="Times New Roman" w:hAnsi="Times New Roman"/>
                <w:sz w:val="14"/>
                <w:szCs w:val="14"/>
                <w:b w:val="1"/>
                <w:bCs w:val="1"/>
                <w:color w:val="auto"/>
              </w:rPr>
              <w:t>Financials</w:t>
            </w:r>
          </w:p>
        </w:tc>
        <w:tc>
          <w:tcPr>
            <w:tcW w:w="1060" w:type="dxa"/>
            <w:vAlign w:val="bottom"/>
            <w:vMerge w:val="restart"/>
          </w:tcPr>
          <w:p>
            <w:pPr>
              <w:jc w:val="center"/>
              <w:ind w:left="152"/>
              <w:spacing w:after="0"/>
              <w:rPr>
                <w:sz w:val="20"/>
                <w:szCs w:val="20"/>
                <w:color w:val="auto"/>
              </w:rPr>
            </w:pPr>
            <w:r>
              <w:rPr>
                <w:rFonts w:ascii="Times New Roman" w:cs="Times New Roman" w:eastAsia="Times New Roman" w:hAnsi="Times New Roman"/>
                <w:sz w:val="14"/>
                <w:szCs w:val="14"/>
                <w:color w:val="auto"/>
              </w:rPr>
              <w:t>3,100</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5"/>
              </w:rPr>
              <w:t>5,118</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5,734</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12.0%</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3"/>
              </w:rPr>
              <w:t>84.9%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3120" w:type="dxa"/>
            <w:vAlign w:val="bottom"/>
          </w:tcPr>
          <w:p>
            <w:pPr>
              <w:ind w:left="60"/>
              <w:spacing w:after="0" w:line="136" w:lineRule="exact"/>
              <w:rPr>
                <w:sz w:val="20"/>
                <w:szCs w:val="20"/>
                <w:color w:val="auto"/>
              </w:rPr>
            </w:pPr>
            <w:r>
              <w:rPr>
                <w:rFonts w:ascii="Times New Roman" w:cs="Times New Roman" w:eastAsia="Times New Roman" w:hAnsi="Times New Roman"/>
                <w:sz w:val="14"/>
                <w:szCs w:val="14"/>
                <w:color w:val="auto"/>
              </w:rPr>
              <w:t># Loans Disbursements (thousands)</w:t>
            </w:r>
          </w:p>
        </w:tc>
        <w:tc>
          <w:tcPr>
            <w:tcW w:w="106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3120" w:type="dxa"/>
            <w:vAlign w:val="bottom"/>
          </w:tcPr>
          <w:p>
            <w:pPr>
              <w:ind w:left="60"/>
              <w:spacing w:after="0" w:line="141" w:lineRule="exact"/>
              <w:rPr>
                <w:sz w:val="20"/>
                <w:szCs w:val="20"/>
                <w:color w:val="auto"/>
              </w:rPr>
            </w:pPr>
            <w:r>
              <w:rPr>
                <w:rFonts w:ascii="Times New Roman" w:cs="Times New Roman" w:eastAsia="Times New Roman" w:hAnsi="Times New Roman"/>
                <w:sz w:val="14"/>
                <w:szCs w:val="14"/>
                <w:b w:val="1"/>
                <w:bCs w:val="1"/>
                <w:color w:val="auto"/>
              </w:rPr>
              <w:t>E-Commerce</w:t>
            </w:r>
          </w:p>
        </w:tc>
        <w:tc>
          <w:tcPr>
            <w:tcW w:w="1060" w:type="dxa"/>
            <w:vAlign w:val="bottom"/>
            <w:vMerge w:val="restart"/>
          </w:tcPr>
          <w:p>
            <w:pPr>
              <w:jc w:val="center"/>
              <w:ind w:left="152"/>
              <w:spacing w:after="0"/>
              <w:rPr>
                <w:sz w:val="20"/>
                <w:szCs w:val="20"/>
                <w:color w:val="auto"/>
              </w:rPr>
            </w:pPr>
            <w:r>
              <w:rPr>
                <w:rFonts w:ascii="Times New Roman" w:cs="Times New Roman" w:eastAsia="Times New Roman" w:hAnsi="Times New Roman"/>
                <w:sz w:val="14"/>
                <w:szCs w:val="14"/>
                <w:color w:val="auto"/>
              </w:rPr>
              <w:t>124.1</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5"/>
              </w:rPr>
              <w:t>181.6</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175.3</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4"/>
              </w:rPr>
              <w:t>-3.4%</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3"/>
              </w:rPr>
              <w:t>41.3%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120" w:type="dxa"/>
            <w:vAlign w:val="bottom"/>
          </w:tcPr>
          <w:p>
            <w:pPr>
              <w:ind w:left="60"/>
              <w:spacing w:after="0" w:line="172" w:lineRule="exact"/>
              <w:rPr>
                <w:sz w:val="20"/>
                <w:szCs w:val="20"/>
                <w:color w:val="auto"/>
              </w:rPr>
            </w:pPr>
            <w:r>
              <w:rPr>
                <w:rFonts w:ascii="Times New Roman" w:cs="Times New Roman" w:eastAsia="Times New Roman" w:hAnsi="Times New Roman"/>
                <w:sz w:val="12"/>
                <w:szCs w:val="12"/>
                <w:color w:val="auto"/>
              </w:rPr>
              <w:t xml:space="preserve">GMV (S/, millions) </w:t>
            </w:r>
            <w:r>
              <w:rPr>
                <w:rFonts w:ascii="Times New Roman" w:cs="Times New Roman" w:eastAsia="Times New Roman" w:hAnsi="Times New Roman"/>
                <w:sz w:val="19"/>
                <w:szCs w:val="19"/>
                <w:color w:val="auto"/>
                <w:vertAlign w:val="superscript"/>
              </w:rPr>
              <w:t>(7)</w:t>
            </w:r>
          </w:p>
        </w:tc>
        <w:tc>
          <w:tcPr>
            <w:tcW w:w="10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160" w:hanging="158"/>
        <w:spacing w:after="0" w:line="220" w:lineRule="auto"/>
        <w:tabs>
          <w:tab w:leader="none" w:pos="16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Management Figures.</w:t>
      </w:r>
    </w:p>
    <w:p>
      <w:pPr>
        <w:ind w:left="160" w:hanging="158"/>
        <w:spacing w:after="0" w:line="220" w:lineRule="auto"/>
        <w:tabs>
          <w:tab w:leader="none" w:pos="16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Yape users that have made at least one outgoing transaction in the measurement month.</w:t>
      </w:r>
    </w:p>
    <w:p>
      <w:pPr>
        <w:ind w:left="160" w:hanging="158"/>
        <w:spacing w:after="0" w:line="220" w:lineRule="auto"/>
        <w:tabs>
          <w:tab w:leader="none" w:pos="16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Net Promoter Score.</w:t>
      </w:r>
    </w:p>
    <w:p>
      <w:pPr>
        <w:ind w:left="160" w:hanging="158"/>
        <w:spacing w:after="0" w:line="220" w:lineRule="auto"/>
        <w:tabs>
          <w:tab w:leader="none" w:pos="16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Monthly indicators consider the results of the last month of the quarter for the numerator and denominator.</w:t>
      </w:r>
    </w:p>
    <w:p>
      <w:pPr>
        <w:ind w:left="160" w:hanging="158"/>
        <w:spacing w:after="0" w:line="220" w:lineRule="auto"/>
        <w:tabs>
          <w:tab w:leader="none" w:pos="16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Quarterly indicators are calculated using the sum of the three months in the period for numerator accounts, and the average of the denominator—based on the last month’s data from both the current and previous quarters.</w:t>
      </w:r>
    </w:p>
    <w:p>
      <w:pPr>
        <w:ind w:left="160" w:hanging="158"/>
        <w:spacing w:after="0" w:line="220" w:lineRule="auto"/>
        <w:tabs>
          <w:tab w:leader="none" w:pos="16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Total Payment Volume.</w:t>
      </w:r>
    </w:p>
    <w:p>
      <w:pPr>
        <w:ind w:left="160" w:hanging="158"/>
        <w:spacing w:after="0"/>
        <w:tabs>
          <w:tab w:leader="none" w:pos="16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Gross Merchant Volume, includes the following functionalities: Yape Promos, Yape Store, Ticketing, Gaming, Delivery, Buses, Gas, Brand Solutions and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962660</wp:posOffset>
            </wp:positionV>
            <wp:extent cx="7140575" cy="158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0575" cy="15875"/>
                    </a:xfrm>
                    <a:prstGeom prst="rect">
                      <a:avLst/>
                    </a:prstGeom>
                    <a:noFill/>
                  </pic:spPr>
                </pic:pic>
              </a:graphicData>
            </a:graphic>
          </wp:anchor>
        </w:drawing>
        <w:drawing>
          <wp:anchor simplePos="0" relativeHeight="251657728" behindDoc="1" locked="0" layoutInCell="0" allowOverlap="1">
            <wp:simplePos x="0" y="0"/>
            <wp:positionH relativeFrom="column">
              <wp:posOffset>331470</wp:posOffset>
            </wp:positionH>
            <wp:positionV relativeFrom="paragraph">
              <wp:posOffset>124460</wp:posOffset>
            </wp:positionV>
            <wp:extent cx="6447155" cy="5721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447155" cy="57213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5" w:name="page16"/>
    <w:bookmarkEnd w:id="15"/>
    <w:p>
      <w:pPr>
        <w:ind w:left="3220"/>
        <w:spacing w:after="0"/>
        <w:tabs>
          <w:tab w:leader="none" w:pos="3520" w:val="left"/>
          <w:tab w:leader="none" w:pos="9040" w:val="left"/>
        </w:tabs>
        <w:rPr>
          <w:sz w:val="20"/>
          <w:szCs w:val="20"/>
          <w:color w:val="auto"/>
        </w:rPr>
      </w:pPr>
      <w:r>
        <w:rPr>
          <w:rFonts w:ascii="Times New Roman" w:cs="Times New Roman" w:eastAsia="Times New Roman" w:hAnsi="Times New Roman"/>
          <w:sz w:val="15"/>
          <w:szCs w:val="15"/>
          <w:color w:val="A6A6A6"/>
        </w:rPr>
        <w:drawing>
          <wp:anchor simplePos="0" relativeHeight="251657728" behindDoc="1" locked="0" layoutInCell="0" allowOverlap="1">
            <wp:simplePos x="0" y="0"/>
            <wp:positionH relativeFrom="page">
              <wp:posOffset>204470</wp:posOffset>
            </wp:positionH>
            <wp:positionV relativeFrom="page">
              <wp:posOffset>88900</wp:posOffset>
            </wp:positionV>
            <wp:extent cx="7140575" cy="7734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0575" cy="773430"/>
                    </a:xfrm>
                    <a:prstGeom prst="rect">
                      <a:avLst/>
                    </a:prstGeom>
                    <a:noFill/>
                  </pic:spPr>
                </pic:pic>
              </a:graphicData>
            </a:graphic>
          </wp:anchor>
        </w:drawing>
        <w:t>|</w:t>
      </w:r>
      <w:r>
        <w:rPr>
          <w:sz w:val="20"/>
          <w:szCs w:val="20"/>
          <w:color w:val="auto"/>
        </w:rPr>
        <w:tab/>
      </w:r>
      <w:r>
        <w:rPr>
          <w:rFonts w:ascii="Times New Roman" w:cs="Times New Roman" w:eastAsia="Times New Roman" w:hAnsi="Times New Roman"/>
          <w:sz w:val="14"/>
          <w:szCs w:val="14"/>
          <w:color w:val="FFFFFF"/>
        </w:rPr>
        <w:t>Earnings Release 1Q / 2026</w:t>
      </w:r>
      <w:r>
        <w:rPr>
          <w:sz w:val="20"/>
          <w:szCs w:val="20"/>
          <w:color w:val="auto"/>
        </w:rPr>
        <w:tab/>
      </w:r>
      <w:r>
        <w:rPr>
          <w:rFonts w:ascii="Times New Roman" w:cs="Times New Roman" w:eastAsia="Times New Roman" w:hAnsi="Times New Roman"/>
          <w:sz w:val="12"/>
          <w:szCs w:val="12"/>
          <w:color w:val="FF00FF"/>
        </w:rPr>
        <w:t>Analysis of 1Q26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349250</wp:posOffset>
            </wp:positionV>
            <wp:extent cx="7140575" cy="2095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0575" cy="20955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FFFFFF"/>
        </w:rPr>
        <w:t>Credicorp’s Strategy Update</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Main financial results</w:t>
      </w:r>
    </w:p>
    <w:p>
      <w:pPr>
        <w:spacing w:after="0" w:line="211" w:lineRule="exact"/>
        <w:rPr>
          <w:sz w:val="20"/>
          <w:szCs w:val="20"/>
          <w:color w:val="auto"/>
        </w:rPr>
      </w:pPr>
    </w:p>
    <w:tbl>
      <w:tblPr>
        <w:tblLayout w:type="fixed"/>
        <w:tblInd w:w="1690" w:type="dxa"/>
        <w:tblCellMar>
          <w:top w:w="0" w:type="dxa"/>
          <w:left w:w="0" w:type="dxa"/>
          <w:bottom w:w="0" w:type="dxa"/>
          <w:right w:w="0" w:type="dxa"/>
        </w:tblCellMar>
      </w:tblPr>
      <w:tr>
        <w:trPr>
          <w:trHeight w:val="128"/>
        </w:trPr>
        <w:tc>
          <w:tcPr>
            <w:tcW w:w="3020" w:type="dxa"/>
            <w:vAlign w:val="bottom"/>
            <w:tcBorders>
              <w:top w:val="single" w:sz="8" w:color="auto"/>
              <w:left w:val="single" w:sz="8" w:color="auto"/>
              <w:right w:val="single" w:sz="8" w:color="auto"/>
            </w:tcBorders>
            <w:shd w:val="clear" w:color="auto" w:fill="2AD2C9"/>
          </w:tcPr>
          <w:p>
            <w:pPr>
              <w:ind w:left="60"/>
              <w:spacing w:after="0" w:line="128" w:lineRule="exact"/>
              <w:rPr>
                <w:sz w:val="20"/>
                <w:szCs w:val="20"/>
                <w:color w:val="auto"/>
              </w:rPr>
            </w:pPr>
            <w:r>
              <w:rPr>
                <w:rFonts w:ascii="Times New Roman" w:cs="Times New Roman" w:eastAsia="Times New Roman" w:hAnsi="Times New Roman"/>
                <w:sz w:val="10"/>
                <w:szCs w:val="10"/>
                <w:b w:val="1"/>
                <w:bCs w:val="1"/>
                <w:color w:val="FFFFFF"/>
              </w:rPr>
              <w:t xml:space="preserve">Financial Results </w:t>
            </w:r>
            <w:r>
              <w:rPr>
                <w:rFonts w:ascii="Times New Roman" w:cs="Times New Roman" w:eastAsia="Times New Roman" w:hAnsi="Times New Roman"/>
                <w:sz w:val="14"/>
                <w:szCs w:val="14"/>
                <w:b w:val="1"/>
                <w:bCs w:val="1"/>
                <w:color w:val="FFFFFF"/>
                <w:vertAlign w:val="superscript"/>
              </w:rPr>
              <w:t>(1)</w:t>
            </w:r>
          </w:p>
        </w:tc>
        <w:tc>
          <w:tcPr>
            <w:tcW w:w="920" w:type="dxa"/>
            <w:vAlign w:val="bottom"/>
            <w:tcBorders>
              <w:top w:val="single" w:sz="8" w:color="auto"/>
            </w:tcBorders>
            <w:vMerge w:val="restart"/>
            <w:shd w:val="clear" w:color="auto" w:fill="2AD2C9"/>
          </w:tcPr>
          <w:p>
            <w:pPr>
              <w:jc w:val="center"/>
              <w:spacing w:after="0"/>
              <w:rPr>
                <w:sz w:val="20"/>
                <w:szCs w:val="20"/>
                <w:color w:val="auto"/>
              </w:rPr>
            </w:pPr>
            <w:r>
              <w:rPr>
                <w:rFonts w:ascii="Times New Roman" w:cs="Times New Roman" w:eastAsia="Times New Roman" w:hAnsi="Times New Roman"/>
                <w:sz w:val="14"/>
                <w:szCs w:val="14"/>
                <w:b w:val="1"/>
                <w:bCs w:val="1"/>
                <w:color w:val="FFFFFF"/>
                <w:w w:val="93"/>
              </w:rPr>
              <w:t>1Q25</w:t>
            </w:r>
          </w:p>
        </w:tc>
        <w:tc>
          <w:tcPr>
            <w:tcW w:w="1040" w:type="dxa"/>
            <w:vAlign w:val="bottom"/>
            <w:tcBorders>
              <w:top w:val="single" w:sz="8" w:color="auto"/>
            </w:tcBorders>
            <w:shd w:val="clear" w:color="auto" w:fill="2AD2C9"/>
          </w:tcPr>
          <w:p>
            <w:pPr>
              <w:ind w:left="280"/>
              <w:spacing w:after="0" w:line="128" w:lineRule="exact"/>
              <w:rPr>
                <w:sz w:val="20"/>
                <w:szCs w:val="20"/>
                <w:color w:val="auto"/>
              </w:rPr>
            </w:pPr>
            <w:r>
              <w:rPr>
                <w:rFonts w:ascii="Times New Roman" w:cs="Times New Roman" w:eastAsia="Times New Roman" w:hAnsi="Times New Roman"/>
                <w:sz w:val="14"/>
                <w:szCs w:val="14"/>
                <w:b w:val="1"/>
                <w:bCs w:val="1"/>
                <w:color w:val="FFFFFF"/>
              </w:rPr>
              <w:t>Quarter</w:t>
            </w:r>
          </w:p>
        </w:tc>
        <w:tc>
          <w:tcPr>
            <w:tcW w:w="960" w:type="dxa"/>
            <w:vAlign w:val="bottom"/>
            <w:tcBorders>
              <w:top w:val="single" w:sz="8" w:color="auto"/>
              <w:right w:val="single" w:sz="8" w:color="auto"/>
            </w:tcBorders>
            <w:vMerge w:val="restart"/>
            <w:shd w:val="clear" w:color="auto" w:fill="2AD2C9"/>
          </w:tcPr>
          <w:p>
            <w:pPr>
              <w:jc w:val="center"/>
              <w:ind w:right="13"/>
              <w:spacing w:after="0"/>
              <w:rPr>
                <w:sz w:val="20"/>
                <w:szCs w:val="20"/>
                <w:color w:val="auto"/>
              </w:rPr>
            </w:pPr>
            <w:r>
              <w:rPr>
                <w:rFonts w:ascii="Times New Roman" w:cs="Times New Roman" w:eastAsia="Times New Roman" w:hAnsi="Times New Roman"/>
                <w:sz w:val="14"/>
                <w:szCs w:val="14"/>
                <w:b w:val="1"/>
                <w:bCs w:val="1"/>
                <w:color w:val="FFFFFF"/>
              </w:rPr>
              <w:t>1Q26</w:t>
            </w:r>
          </w:p>
        </w:tc>
        <w:tc>
          <w:tcPr>
            <w:tcW w:w="640" w:type="dxa"/>
            <w:vAlign w:val="bottom"/>
            <w:tcBorders>
              <w:top w:val="single" w:sz="8" w:color="auto"/>
            </w:tcBorders>
            <w:vMerge w:val="restart"/>
            <w:shd w:val="clear" w:color="auto" w:fill="2AD2C9"/>
          </w:tcPr>
          <w:p>
            <w:pPr>
              <w:ind w:left="320"/>
              <w:spacing w:after="0"/>
              <w:rPr>
                <w:sz w:val="20"/>
                <w:szCs w:val="20"/>
                <w:color w:val="auto"/>
              </w:rPr>
            </w:pPr>
            <w:r>
              <w:rPr>
                <w:rFonts w:ascii="Times New Roman" w:cs="Times New Roman" w:eastAsia="Times New Roman" w:hAnsi="Times New Roman"/>
                <w:sz w:val="14"/>
                <w:szCs w:val="14"/>
                <w:b w:val="1"/>
                <w:bCs w:val="1"/>
                <w:color w:val="FFFFFF"/>
              </w:rPr>
              <w:t>QoQ</w:t>
            </w:r>
          </w:p>
        </w:tc>
        <w:tc>
          <w:tcPr>
            <w:tcW w:w="1300" w:type="dxa"/>
            <w:vAlign w:val="bottom"/>
            <w:tcBorders>
              <w:top w:val="single" w:sz="8" w:color="auto"/>
              <w:right w:val="single" w:sz="8" w:color="auto"/>
            </w:tcBorders>
            <w:shd w:val="clear" w:color="auto" w:fill="2AD2C9"/>
          </w:tcPr>
          <w:p>
            <w:pPr>
              <w:spacing w:after="0" w:line="128" w:lineRule="exact"/>
              <w:rPr>
                <w:sz w:val="20"/>
                <w:szCs w:val="20"/>
                <w:color w:val="auto"/>
              </w:rPr>
            </w:pPr>
            <w:r>
              <w:rPr>
                <w:rFonts w:ascii="Times New Roman" w:cs="Times New Roman" w:eastAsia="Times New Roman" w:hAnsi="Times New Roman"/>
                <w:sz w:val="14"/>
                <w:szCs w:val="14"/>
                <w:b w:val="1"/>
                <w:bCs w:val="1"/>
                <w:color w:val="FFFFFF"/>
              </w:rPr>
              <w:t>Change %</w:t>
            </w:r>
          </w:p>
        </w:tc>
        <w:tc>
          <w:tcPr>
            <w:tcW w:w="0" w:type="dxa"/>
            <w:vAlign w:val="bottom"/>
          </w:tcPr>
          <w:p>
            <w:pPr>
              <w:spacing w:after="0"/>
              <w:rPr>
                <w:sz w:val="1"/>
                <w:szCs w:val="1"/>
                <w:color w:val="auto"/>
              </w:rPr>
            </w:pPr>
          </w:p>
        </w:tc>
      </w:tr>
      <w:tr>
        <w:trPr>
          <w:trHeight w:val="164"/>
        </w:trPr>
        <w:tc>
          <w:tcPr>
            <w:tcW w:w="3020" w:type="dxa"/>
            <w:vAlign w:val="bottom"/>
            <w:tcBorders>
              <w:left w:val="single" w:sz="8" w:color="auto"/>
              <w:bottom w:val="single" w:sz="8" w:color="auto"/>
              <w:right w:val="single" w:sz="8" w:color="auto"/>
            </w:tcBorders>
            <w:shd w:val="clear" w:color="auto" w:fill="2AD2C9"/>
          </w:tcPr>
          <w:p>
            <w:pPr>
              <w:ind w:left="60"/>
              <w:spacing w:after="0"/>
              <w:rPr>
                <w:sz w:val="20"/>
                <w:szCs w:val="20"/>
                <w:color w:val="auto"/>
              </w:rPr>
            </w:pPr>
            <w:r>
              <w:rPr>
                <w:rFonts w:ascii="Times New Roman" w:cs="Times New Roman" w:eastAsia="Times New Roman" w:hAnsi="Times New Roman"/>
                <w:sz w:val="14"/>
                <w:szCs w:val="14"/>
                <w:b w:val="1"/>
                <w:bCs w:val="1"/>
                <w:color w:val="FFFFFF"/>
              </w:rPr>
              <w:t>S/ millions</w:t>
            </w:r>
          </w:p>
        </w:tc>
        <w:tc>
          <w:tcPr>
            <w:tcW w:w="920" w:type="dxa"/>
            <w:vAlign w:val="bottom"/>
            <w:tcBorders>
              <w:bottom w:val="single" w:sz="8" w:color="auto"/>
            </w:tcBorders>
            <w:vMerge w:val="continue"/>
            <w:shd w:val="clear" w:color="auto" w:fill="2AD2C9"/>
          </w:tcPr>
          <w:p>
            <w:pPr>
              <w:spacing w:after="0"/>
              <w:rPr>
                <w:sz w:val="14"/>
                <w:szCs w:val="14"/>
                <w:color w:val="auto"/>
              </w:rPr>
            </w:pPr>
          </w:p>
        </w:tc>
        <w:tc>
          <w:tcPr>
            <w:tcW w:w="1040" w:type="dxa"/>
            <w:vAlign w:val="bottom"/>
            <w:tcBorders>
              <w:bottom w:val="single" w:sz="8" w:color="auto"/>
            </w:tcBorders>
            <w:shd w:val="clear" w:color="auto" w:fill="2AD2C9"/>
          </w:tcPr>
          <w:p>
            <w:pPr>
              <w:jc w:val="center"/>
              <w:spacing w:after="0"/>
              <w:rPr>
                <w:sz w:val="20"/>
                <w:szCs w:val="20"/>
                <w:color w:val="auto"/>
              </w:rPr>
            </w:pPr>
            <w:r>
              <w:rPr>
                <w:rFonts w:ascii="Times New Roman" w:cs="Times New Roman" w:eastAsia="Times New Roman" w:hAnsi="Times New Roman"/>
                <w:sz w:val="14"/>
                <w:szCs w:val="14"/>
                <w:b w:val="1"/>
                <w:bCs w:val="1"/>
                <w:color w:val="FFFFFF"/>
                <w:w w:val="93"/>
              </w:rPr>
              <w:t>4Q25</w:t>
            </w:r>
          </w:p>
        </w:tc>
        <w:tc>
          <w:tcPr>
            <w:tcW w:w="960" w:type="dxa"/>
            <w:vAlign w:val="bottom"/>
            <w:tcBorders>
              <w:bottom w:val="single" w:sz="8" w:color="auto"/>
              <w:right w:val="single" w:sz="8" w:color="auto"/>
            </w:tcBorders>
            <w:vMerge w:val="continue"/>
            <w:shd w:val="clear" w:color="auto" w:fill="2AD2C9"/>
          </w:tcPr>
          <w:p>
            <w:pPr>
              <w:spacing w:after="0"/>
              <w:rPr>
                <w:sz w:val="14"/>
                <w:szCs w:val="14"/>
                <w:color w:val="auto"/>
              </w:rPr>
            </w:pPr>
          </w:p>
        </w:tc>
        <w:tc>
          <w:tcPr>
            <w:tcW w:w="640" w:type="dxa"/>
            <w:vAlign w:val="bottom"/>
            <w:tcBorders>
              <w:bottom w:val="single" w:sz="8" w:color="auto"/>
            </w:tcBorders>
            <w:vMerge w:val="continue"/>
            <w:shd w:val="clear" w:color="auto" w:fill="2AD2C9"/>
          </w:tcPr>
          <w:p>
            <w:pPr>
              <w:spacing w:after="0"/>
              <w:rPr>
                <w:sz w:val="14"/>
                <w:szCs w:val="14"/>
                <w:color w:val="auto"/>
              </w:rPr>
            </w:pPr>
          </w:p>
        </w:tc>
        <w:tc>
          <w:tcPr>
            <w:tcW w:w="1300" w:type="dxa"/>
            <w:vAlign w:val="bottom"/>
            <w:tcBorders>
              <w:bottom w:val="single" w:sz="8" w:color="auto"/>
              <w:right w:val="single" w:sz="8" w:color="auto"/>
            </w:tcBorders>
            <w:shd w:val="clear" w:color="auto" w:fill="2AD2C9"/>
          </w:tcPr>
          <w:p>
            <w:pPr>
              <w:ind w:left="680"/>
              <w:spacing w:after="0"/>
              <w:rPr>
                <w:sz w:val="20"/>
                <w:szCs w:val="20"/>
                <w:color w:val="auto"/>
              </w:rPr>
            </w:pPr>
            <w:r>
              <w:rPr>
                <w:rFonts w:ascii="Times New Roman" w:cs="Times New Roman" w:eastAsia="Times New Roman" w:hAnsi="Times New Roman"/>
                <w:sz w:val="14"/>
                <w:szCs w:val="14"/>
                <w:b w:val="1"/>
                <w:bCs w:val="1"/>
                <w:color w:val="FFFFFF"/>
              </w:rPr>
              <w:t>YoY</w:t>
            </w:r>
          </w:p>
        </w:tc>
        <w:tc>
          <w:tcPr>
            <w:tcW w:w="0" w:type="dxa"/>
            <w:vAlign w:val="bottom"/>
          </w:tcPr>
          <w:p>
            <w:pPr>
              <w:spacing w:after="0"/>
              <w:rPr>
                <w:sz w:val="1"/>
                <w:szCs w:val="1"/>
                <w:color w:val="auto"/>
              </w:rPr>
            </w:pPr>
          </w:p>
        </w:tc>
      </w:tr>
      <w:tr>
        <w:trPr>
          <w:trHeight w:val="109"/>
        </w:trPr>
        <w:tc>
          <w:tcPr>
            <w:tcW w:w="3020" w:type="dxa"/>
            <w:vAlign w:val="bottom"/>
            <w:tcBorders>
              <w:left w:val="single" w:sz="8" w:color="auto"/>
              <w:right w:val="single" w:sz="8" w:color="auto"/>
            </w:tcBorders>
          </w:tcPr>
          <w:p>
            <w:pPr>
              <w:ind w:left="60"/>
              <w:spacing w:after="0" w:line="109" w:lineRule="exact"/>
              <w:rPr>
                <w:sz w:val="20"/>
                <w:szCs w:val="20"/>
                <w:color w:val="auto"/>
              </w:rPr>
            </w:pPr>
            <w:r>
              <w:rPr>
                <w:rFonts w:ascii="Times New Roman" w:cs="Times New Roman" w:eastAsia="Times New Roman" w:hAnsi="Times New Roman"/>
                <w:sz w:val="9"/>
                <w:szCs w:val="9"/>
                <w:color w:val="auto"/>
              </w:rPr>
              <w:t xml:space="preserve">Net Interest Income after Provisions </w:t>
            </w:r>
            <w:r>
              <w:rPr>
                <w:rFonts w:ascii="Times New Roman" w:cs="Times New Roman" w:eastAsia="Times New Roman" w:hAnsi="Times New Roman"/>
                <w:sz w:val="12"/>
                <w:szCs w:val="12"/>
                <w:color w:val="auto"/>
                <w:vertAlign w:val="superscript"/>
              </w:rPr>
              <w:t>(2)</w:t>
            </w:r>
          </w:p>
        </w:tc>
        <w:tc>
          <w:tcPr>
            <w:tcW w:w="92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color w:val="auto"/>
              </w:rPr>
              <w:t>93.0</w:t>
            </w:r>
          </w:p>
        </w:tc>
        <w:tc>
          <w:tcPr>
            <w:tcW w:w="104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color w:val="auto"/>
              </w:rPr>
              <w:t>179.5</w:t>
            </w:r>
          </w:p>
        </w:tc>
        <w:tc>
          <w:tcPr>
            <w:tcW w:w="960" w:type="dxa"/>
            <w:vAlign w:val="bottom"/>
            <w:tcBorders>
              <w:right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color w:val="auto"/>
              </w:rPr>
              <w:t>235.7</w:t>
            </w:r>
          </w:p>
        </w:tc>
        <w:tc>
          <w:tcPr>
            <w:tcW w:w="640" w:type="dxa"/>
            <w:vAlign w:val="bottom"/>
          </w:tcPr>
          <w:p>
            <w:pPr>
              <w:jc w:val="center"/>
              <w:ind w:left="233"/>
              <w:spacing w:after="0" w:line="109" w:lineRule="exact"/>
              <w:rPr>
                <w:sz w:val="20"/>
                <w:szCs w:val="20"/>
                <w:color w:val="auto"/>
              </w:rPr>
            </w:pPr>
            <w:r>
              <w:rPr>
                <w:rFonts w:ascii="Times New Roman" w:cs="Times New Roman" w:eastAsia="Times New Roman" w:hAnsi="Times New Roman"/>
                <w:sz w:val="12"/>
                <w:szCs w:val="12"/>
                <w:color w:val="auto"/>
              </w:rPr>
              <w:t>31.3%</w:t>
            </w:r>
          </w:p>
        </w:tc>
        <w:tc>
          <w:tcPr>
            <w:tcW w:w="1300" w:type="dxa"/>
            <w:vAlign w:val="bottom"/>
            <w:tcBorders>
              <w:right w:val="single" w:sz="8" w:color="auto"/>
            </w:tcBorders>
          </w:tcPr>
          <w:p>
            <w:pPr>
              <w:jc w:val="center"/>
              <w:ind w:left="213"/>
              <w:spacing w:after="0" w:line="109" w:lineRule="exact"/>
              <w:rPr>
                <w:sz w:val="20"/>
                <w:szCs w:val="20"/>
                <w:color w:val="auto"/>
              </w:rPr>
            </w:pPr>
            <w:r>
              <w:rPr>
                <w:rFonts w:ascii="Times New Roman" w:cs="Times New Roman" w:eastAsia="Times New Roman" w:hAnsi="Times New Roman"/>
                <w:sz w:val="12"/>
                <w:szCs w:val="12"/>
                <w:color w:val="auto"/>
              </w:rPr>
              <w:t>153.5%</w:t>
            </w:r>
          </w:p>
        </w:tc>
        <w:tc>
          <w:tcPr>
            <w:tcW w:w="0" w:type="dxa"/>
            <w:vAlign w:val="bottom"/>
          </w:tcPr>
          <w:p>
            <w:pPr>
              <w:spacing w:after="0"/>
              <w:rPr>
                <w:sz w:val="1"/>
                <w:szCs w:val="1"/>
                <w:color w:val="auto"/>
              </w:rPr>
            </w:pPr>
          </w:p>
        </w:tc>
      </w:tr>
      <w:tr>
        <w:trPr>
          <w:trHeight w:val="163"/>
        </w:trPr>
        <w:tc>
          <w:tcPr>
            <w:tcW w:w="3020" w:type="dxa"/>
            <w:vAlign w:val="bottom"/>
            <w:tcBorders>
              <w:left w:val="single" w:sz="8" w:color="auto"/>
              <w:bottom w:val="single" w:sz="8" w:color="auto"/>
              <w:right w:val="single" w:sz="8" w:color="auto"/>
            </w:tcBorders>
          </w:tcPr>
          <w:p>
            <w:pPr>
              <w:ind w:left="60"/>
              <w:spacing w:after="0" w:line="164" w:lineRule="exact"/>
              <w:rPr>
                <w:sz w:val="20"/>
                <w:szCs w:val="20"/>
                <w:color w:val="auto"/>
              </w:rPr>
            </w:pPr>
            <w:r>
              <w:rPr>
                <w:rFonts w:ascii="Times New Roman" w:cs="Times New Roman" w:eastAsia="Times New Roman" w:hAnsi="Times New Roman"/>
                <w:sz w:val="12"/>
                <w:szCs w:val="12"/>
                <w:color w:val="auto"/>
              </w:rPr>
              <w:t xml:space="preserve">Other Income </w:t>
            </w:r>
            <w:r>
              <w:rPr>
                <w:rFonts w:ascii="Times New Roman" w:cs="Times New Roman" w:eastAsia="Times New Roman" w:hAnsi="Times New Roman"/>
                <w:sz w:val="18"/>
                <w:szCs w:val="18"/>
                <w:color w:val="auto"/>
                <w:vertAlign w:val="superscript"/>
              </w:rPr>
              <w:t>(3)</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5"/>
              </w:rPr>
              <w:t>141.6</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5"/>
              </w:rPr>
              <w:t>221.7</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5"/>
              </w:rPr>
              <w:t>235.6</w:t>
            </w:r>
          </w:p>
        </w:tc>
        <w:tc>
          <w:tcPr>
            <w:tcW w:w="640" w:type="dxa"/>
            <w:vAlign w:val="bottom"/>
            <w:tcBorders>
              <w:bottom w:val="single" w:sz="8" w:color="auto"/>
            </w:tcBorders>
          </w:tcPr>
          <w:p>
            <w:pPr>
              <w:jc w:val="center"/>
              <w:ind w:left="213"/>
              <w:spacing w:after="0"/>
              <w:rPr>
                <w:sz w:val="20"/>
                <w:szCs w:val="20"/>
                <w:color w:val="auto"/>
              </w:rPr>
            </w:pPr>
            <w:r>
              <w:rPr>
                <w:rFonts w:ascii="Times New Roman" w:cs="Times New Roman" w:eastAsia="Times New Roman" w:hAnsi="Times New Roman"/>
                <w:sz w:val="14"/>
                <w:szCs w:val="14"/>
                <w:color w:val="auto"/>
                <w:w w:val="95"/>
              </w:rPr>
              <w:t>6.3%</w:t>
            </w:r>
          </w:p>
        </w:tc>
        <w:tc>
          <w:tcPr>
            <w:tcW w:w="1300" w:type="dxa"/>
            <w:vAlign w:val="bottom"/>
            <w:tcBorders>
              <w:bottom w:val="single" w:sz="8" w:color="auto"/>
              <w:right w:val="single" w:sz="8" w:color="auto"/>
            </w:tcBorders>
          </w:tcPr>
          <w:p>
            <w:pPr>
              <w:jc w:val="center"/>
              <w:ind w:left="233"/>
              <w:spacing w:after="0"/>
              <w:rPr>
                <w:sz w:val="20"/>
                <w:szCs w:val="20"/>
                <w:color w:val="auto"/>
              </w:rPr>
            </w:pPr>
            <w:r>
              <w:rPr>
                <w:rFonts w:ascii="Times New Roman" w:cs="Times New Roman" w:eastAsia="Times New Roman" w:hAnsi="Times New Roman"/>
                <w:sz w:val="14"/>
                <w:szCs w:val="14"/>
                <w:color w:val="auto"/>
                <w:w w:val="99"/>
              </w:rPr>
              <w:t>66.4%</w:t>
            </w:r>
          </w:p>
        </w:tc>
        <w:tc>
          <w:tcPr>
            <w:tcW w:w="0" w:type="dxa"/>
            <w:vAlign w:val="bottom"/>
          </w:tcPr>
          <w:p>
            <w:pPr>
              <w:spacing w:after="0"/>
              <w:rPr>
                <w:sz w:val="1"/>
                <w:szCs w:val="1"/>
                <w:color w:val="auto"/>
              </w:rPr>
            </w:pPr>
          </w:p>
        </w:tc>
      </w:tr>
      <w:tr>
        <w:trPr>
          <w:trHeight w:val="132"/>
        </w:trPr>
        <w:tc>
          <w:tcPr>
            <w:tcW w:w="3020" w:type="dxa"/>
            <w:vAlign w:val="bottom"/>
            <w:tcBorders>
              <w:left w:val="single" w:sz="8" w:color="auto"/>
              <w:bottom w:val="single" w:sz="8" w:color="auto"/>
              <w:right w:val="single" w:sz="8" w:color="auto"/>
            </w:tcBorders>
          </w:tcPr>
          <w:p>
            <w:pPr>
              <w:ind w:left="60"/>
              <w:spacing w:after="0" w:line="133" w:lineRule="exact"/>
              <w:rPr>
                <w:sz w:val="20"/>
                <w:szCs w:val="20"/>
                <w:color w:val="auto"/>
              </w:rPr>
            </w:pPr>
            <w:r>
              <w:rPr>
                <w:rFonts w:ascii="Times New Roman" w:cs="Times New Roman" w:eastAsia="Times New Roman" w:hAnsi="Times New Roman"/>
                <w:sz w:val="14"/>
                <w:szCs w:val="14"/>
                <w:color w:val="auto"/>
              </w:rPr>
              <w:t>Total Income</w:t>
            </w:r>
          </w:p>
        </w:tc>
        <w:tc>
          <w:tcPr>
            <w:tcW w:w="920" w:type="dxa"/>
            <w:vAlign w:val="bottom"/>
            <w:tcBorders>
              <w:bottom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color w:val="auto"/>
                <w:w w:val="95"/>
              </w:rPr>
              <w:t>234.6</w:t>
            </w:r>
          </w:p>
        </w:tc>
        <w:tc>
          <w:tcPr>
            <w:tcW w:w="1040" w:type="dxa"/>
            <w:vAlign w:val="bottom"/>
            <w:tcBorders>
              <w:bottom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color w:val="auto"/>
                <w:w w:val="95"/>
              </w:rPr>
              <w:t>401.2</w:t>
            </w:r>
          </w:p>
        </w:tc>
        <w:tc>
          <w:tcPr>
            <w:tcW w:w="96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color w:val="auto"/>
                <w:w w:val="95"/>
              </w:rPr>
              <w:t>471.3</w:t>
            </w:r>
          </w:p>
        </w:tc>
        <w:tc>
          <w:tcPr>
            <w:tcW w:w="640" w:type="dxa"/>
            <w:vAlign w:val="bottom"/>
            <w:tcBorders>
              <w:bottom w:val="single" w:sz="8" w:color="auto"/>
            </w:tcBorders>
          </w:tcPr>
          <w:p>
            <w:pPr>
              <w:jc w:val="center"/>
              <w:ind w:left="233"/>
              <w:spacing w:after="0" w:line="133" w:lineRule="exact"/>
              <w:rPr>
                <w:sz w:val="20"/>
                <w:szCs w:val="20"/>
                <w:color w:val="auto"/>
              </w:rPr>
            </w:pPr>
            <w:r>
              <w:rPr>
                <w:rFonts w:ascii="Times New Roman" w:cs="Times New Roman" w:eastAsia="Times New Roman" w:hAnsi="Times New Roman"/>
                <w:sz w:val="14"/>
                <w:szCs w:val="14"/>
                <w:color w:val="auto"/>
                <w:w w:val="93"/>
              </w:rPr>
              <w:t>17.5%</w:t>
            </w:r>
          </w:p>
        </w:tc>
        <w:tc>
          <w:tcPr>
            <w:tcW w:w="1300" w:type="dxa"/>
            <w:vAlign w:val="bottom"/>
            <w:tcBorders>
              <w:bottom w:val="single" w:sz="8" w:color="auto"/>
              <w:right w:val="single" w:sz="8" w:color="auto"/>
            </w:tcBorders>
          </w:tcPr>
          <w:p>
            <w:pPr>
              <w:jc w:val="center"/>
              <w:ind w:left="213"/>
              <w:spacing w:after="0" w:line="133" w:lineRule="exact"/>
              <w:rPr>
                <w:sz w:val="20"/>
                <w:szCs w:val="20"/>
                <w:color w:val="auto"/>
              </w:rPr>
            </w:pPr>
            <w:r>
              <w:rPr>
                <w:rFonts w:ascii="Times New Roman" w:cs="Times New Roman" w:eastAsia="Times New Roman" w:hAnsi="Times New Roman"/>
                <w:sz w:val="14"/>
                <w:szCs w:val="14"/>
                <w:color w:val="auto"/>
                <w:w w:val="97"/>
              </w:rPr>
              <w:t>100.9%</w:t>
            </w:r>
          </w:p>
        </w:tc>
        <w:tc>
          <w:tcPr>
            <w:tcW w:w="0" w:type="dxa"/>
            <w:vAlign w:val="bottom"/>
          </w:tcPr>
          <w:p>
            <w:pPr>
              <w:spacing w:after="0"/>
              <w:rPr>
                <w:sz w:val="1"/>
                <w:szCs w:val="1"/>
                <w:color w:val="auto"/>
              </w:rPr>
            </w:pPr>
          </w:p>
        </w:tc>
      </w:tr>
      <w:tr>
        <w:trPr>
          <w:trHeight w:val="132"/>
        </w:trPr>
        <w:tc>
          <w:tcPr>
            <w:tcW w:w="3020" w:type="dxa"/>
            <w:vAlign w:val="bottom"/>
            <w:tcBorders>
              <w:left w:val="single" w:sz="8" w:color="auto"/>
              <w:bottom w:val="single" w:sz="8" w:color="auto"/>
              <w:right w:val="single" w:sz="8" w:color="auto"/>
            </w:tcBorders>
          </w:tcPr>
          <w:p>
            <w:pPr>
              <w:ind w:left="60"/>
              <w:spacing w:after="0" w:line="133" w:lineRule="exact"/>
              <w:rPr>
                <w:sz w:val="20"/>
                <w:szCs w:val="20"/>
                <w:color w:val="auto"/>
              </w:rPr>
            </w:pPr>
            <w:r>
              <w:rPr>
                <w:rFonts w:ascii="Times New Roman" w:cs="Times New Roman" w:eastAsia="Times New Roman" w:hAnsi="Times New Roman"/>
                <w:sz w:val="14"/>
                <w:szCs w:val="14"/>
                <w:color w:val="auto"/>
              </w:rPr>
              <w:t>Total Operating Expenses</w:t>
            </w:r>
          </w:p>
        </w:tc>
        <w:tc>
          <w:tcPr>
            <w:tcW w:w="920" w:type="dxa"/>
            <w:vAlign w:val="bottom"/>
            <w:tcBorders>
              <w:bottom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color w:val="auto"/>
                <w:w w:val="93"/>
              </w:rPr>
              <w:t>-179.7</w:t>
            </w:r>
          </w:p>
        </w:tc>
        <w:tc>
          <w:tcPr>
            <w:tcW w:w="1040" w:type="dxa"/>
            <w:vAlign w:val="bottom"/>
            <w:tcBorders>
              <w:bottom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color w:val="auto"/>
                <w:w w:val="93"/>
              </w:rPr>
              <w:t>-259.8</w:t>
            </w:r>
          </w:p>
        </w:tc>
        <w:tc>
          <w:tcPr>
            <w:tcW w:w="960" w:type="dxa"/>
            <w:vAlign w:val="bottom"/>
            <w:tcBorders>
              <w:bottom w:val="single" w:sz="8" w:color="auto"/>
              <w:right w:val="single" w:sz="8" w:color="auto"/>
            </w:tcBorders>
          </w:tcPr>
          <w:p>
            <w:pPr>
              <w:jc w:val="center"/>
              <w:ind w:right="13"/>
              <w:spacing w:after="0" w:line="133" w:lineRule="exact"/>
              <w:rPr>
                <w:sz w:val="20"/>
                <w:szCs w:val="20"/>
                <w:color w:val="auto"/>
              </w:rPr>
            </w:pPr>
            <w:r>
              <w:rPr>
                <w:rFonts w:ascii="Times New Roman" w:cs="Times New Roman" w:eastAsia="Times New Roman" w:hAnsi="Times New Roman"/>
                <w:sz w:val="14"/>
                <w:szCs w:val="14"/>
                <w:color w:val="auto"/>
                <w:w w:val="99"/>
              </w:rPr>
              <w:t>-266.1</w:t>
            </w:r>
          </w:p>
        </w:tc>
        <w:tc>
          <w:tcPr>
            <w:tcW w:w="640" w:type="dxa"/>
            <w:vAlign w:val="bottom"/>
            <w:tcBorders>
              <w:bottom w:val="single" w:sz="8" w:color="auto"/>
            </w:tcBorders>
          </w:tcPr>
          <w:p>
            <w:pPr>
              <w:jc w:val="center"/>
              <w:ind w:left="213"/>
              <w:spacing w:after="0" w:line="133" w:lineRule="exact"/>
              <w:rPr>
                <w:sz w:val="20"/>
                <w:szCs w:val="20"/>
                <w:color w:val="auto"/>
              </w:rPr>
            </w:pPr>
            <w:r>
              <w:rPr>
                <w:rFonts w:ascii="Times New Roman" w:cs="Times New Roman" w:eastAsia="Times New Roman" w:hAnsi="Times New Roman"/>
                <w:sz w:val="14"/>
                <w:szCs w:val="14"/>
                <w:color w:val="auto"/>
                <w:w w:val="95"/>
              </w:rPr>
              <w:t>2.4%</w:t>
            </w:r>
          </w:p>
        </w:tc>
        <w:tc>
          <w:tcPr>
            <w:tcW w:w="1300" w:type="dxa"/>
            <w:vAlign w:val="bottom"/>
            <w:tcBorders>
              <w:bottom w:val="single" w:sz="8" w:color="auto"/>
              <w:right w:val="single" w:sz="8" w:color="auto"/>
            </w:tcBorders>
          </w:tcPr>
          <w:p>
            <w:pPr>
              <w:jc w:val="center"/>
              <w:ind w:left="233"/>
              <w:spacing w:after="0" w:line="133" w:lineRule="exact"/>
              <w:rPr>
                <w:sz w:val="20"/>
                <w:szCs w:val="20"/>
                <w:color w:val="auto"/>
              </w:rPr>
            </w:pPr>
            <w:r>
              <w:rPr>
                <w:rFonts w:ascii="Times New Roman" w:cs="Times New Roman" w:eastAsia="Times New Roman" w:hAnsi="Times New Roman"/>
                <w:sz w:val="14"/>
                <w:szCs w:val="14"/>
                <w:color w:val="auto"/>
                <w:w w:val="99"/>
              </w:rPr>
              <w:t>48.1%</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60" w:hanging="158"/>
        <w:spacing w:after="0"/>
        <w:tabs>
          <w:tab w:leader="none" w:pos="16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Management figures.</w:t>
      </w:r>
    </w:p>
    <w:p>
      <w:pPr>
        <w:ind w:left="160" w:hanging="158"/>
        <w:spacing w:after="0" w:line="220" w:lineRule="auto"/>
        <w:tabs>
          <w:tab w:leader="none" w:pos="16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interest income, interest expense and net provisions.</w:t>
      </w:r>
    </w:p>
    <w:p>
      <w:pPr>
        <w:ind w:left="160" w:hanging="158"/>
        <w:spacing w:after="0"/>
        <w:tabs>
          <w:tab w:leader="none" w:pos="16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Other income recorded in BCP and in Yape Market.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At the end of 1Q26, Yape reached the 16.4-million mark for monthly active users (MAU), which is equivalent to approximately 82% of the country’s Economically Active Population and indicates consolidation of nationwide coverage. Although the platform continues to expand its users, the strategic focus has evolved and now seeks to deepen recurrence, broaden multi-product adoption, and monetize the installed base that is already highly penetrated, in a context where the use of cash in Peru remains relevant.</w:t>
      </w:r>
    </w:p>
    <w:p>
      <w:pPr>
        <w:spacing w:after="0" w:line="17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Average frequency of use stood at 67 monthly transactions per user, which proves that Yape is highly integrated in users’ daily lives. Revenue-generating transactions, in turn, grew 47.2% YoY and accounted for 11% of the total, reflecting tangible progress in the monetization strategy. Our NPS remains high at 77 points—a clear indicator of client satisfaction and trust.</w:t>
      </w:r>
    </w:p>
    <w:p>
      <w:pPr>
        <w:spacing w:after="0" w:line="17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Monthly revenue per MAU reached S/10.3 (+65.0% YoY), driven by higher transaction levels and an increase in the use of features (2.9 in 1Q26 vs. 2.6 in 1Q25). This growth far outpaced the uptick in monthly expenses per MAU, which stood at S/5.9 (+26.1% YoY), in line with the platform’s asset-light and highly scalable model.</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Lines of Business</w:t>
      </w:r>
    </w:p>
    <w:p>
      <w:pPr>
        <w:spacing w:after="0" w:line="27" w:lineRule="exact"/>
        <w:rPr>
          <w:sz w:val="20"/>
          <w:szCs w:val="20"/>
          <w:color w:val="auto"/>
        </w:rPr>
      </w:pPr>
    </w:p>
    <w:p>
      <w:pPr>
        <w:ind w:left="300" w:hanging="298"/>
        <w:spacing w:after="0"/>
        <w:tabs>
          <w:tab w:leader="none" w:pos="300" w:val="left"/>
        </w:tabs>
        <w:numPr>
          <w:ilvl w:val="0"/>
          <w:numId w:val="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Payments (accounts for 47% of Yape’s total revenues)</w:t>
      </w:r>
    </w:p>
    <w:p>
      <w:pPr>
        <w:spacing w:after="0" w:line="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The Payments business is Yape’s main fee generator, where strong momentum is reflected in a higher share of Credicorp’s total fee income (17% in 1Q26 vs. 12% in 1Q25). In 1Q26, the main revenue drivers were: (i) QR/POS payments, associated with a higher number of transactions and active customers; and (ii) bill payments, driven by an increase in the adoption of features, which translated into 67 million transactions during the quarter (+49.1% YoY), mainly in services such as telecom, financial instit utions, electricity, and education. These results have situated Yape as the Group’s primary collections channel. This quarter, revenue-generating TPV grew 79.5% YoY, reinforcing Yape’s role as the country’s digital payments infrastructure.</w:t>
      </w:r>
    </w:p>
    <w:p>
      <w:pPr>
        <w:spacing w:after="0" w:line="177" w:lineRule="exact"/>
        <w:rPr>
          <w:sz w:val="20"/>
          <w:szCs w:val="20"/>
          <w:color w:val="auto"/>
        </w:rPr>
      </w:pPr>
    </w:p>
    <w:p>
      <w:pPr>
        <w:ind w:left="300" w:hanging="298"/>
        <w:spacing w:after="0"/>
        <w:tabs>
          <w:tab w:leader="none" w:pos="300" w:val="left"/>
        </w:tabs>
        <w:numPr>
          <w:ilvl w:val="0"/>
          <w:numId w:val="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Finance (accounts for 50% of Yape’s total revenues)</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The financial business is consolidating as the main long-term growth vertical, as reflected in a higher contribution to Credicorp’s risk-adjusted net interest income (8% in 1Q26 vs. 5% in 1Q25). At quarter-end, the lending business accounted for 23% of Yape’s total revenues (vs. 13% in 1Q25), supported by shared capabilities across the Credicorp ecosystem for risk management, analytics, and funding.</w:t>
      </w:r>
    </w:p>
    <w:p>
      <w:pPr>
        <w:spacing w:after="0" w:line="1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 1Q26, more than 5.7 million disbursements were recorded, composed mainly of single-installment loans. Despite this momentum, credit penetration remains limited, with only 30% of MAUs having obtained a loan (4.9 million customers with at least one loan disbursed), leaving ample room to scale in a disciplined manner. Average ticket sizes and durations by loan type are: (i) Single-installment: ~S/200 and &lt;1 month; (ii) Multi-installment: ~S/700 and 8 months; and (iii) Pyme: ~S/2,300 and 10 months. In addition, as of 1Q26, the portfolio balance was mainly composed of multi-installment loans.</w:t>
      </w:r>
    </w:p>
    <w:p>
      <w:pPr>
        <w:spacing w:after="0" w:line="171" w:lineRule="exact"/>
        <w:rPr>
          <w:sz w:val="20"/>
          <w:szCs w:val="20"/>
          <w:color w:val="auto"/>
        </w:rPr>
      </w:pPr>
    </w:p>
    <w:p>
      <w:pPr>
        <w:ind w:left="300" w:hanging="298"/>
        <w:spacing w:after="0"/>
        <w:tabs>
          <w:tab w:leader="none" w:pos="300" w:val="left"/>
        </w:tabs>
        <w:numPr>
          <w:ilvl w:val="0"/>
          <w:numId w:val="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E-Commerce (accounts for 3% of Yape’s total revenues)</w:t>
      </w:r>
    </w:p>
    <w:p>
      <w:pPr>
        <w:spacing w:after="0" w:line="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E-commerce continues to contribute to revenue diversification and heightened engagement. In 1Q26, its GMV totaled S/175 million (+41.3% YoY), driven mainly by solutions such as Yape Promos, which recorded growth in active customers and transactions over the period.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Rising contribution to and optionality for Credicorp</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At the end of 1Q26, Yape contributed 8.0% of Credicorp’s risk-adjusted revenue, sustaining an upward trajectory YoY (up from 4.5% in 1Q25). This progress bolsters Yape’s strategic optionality and advances its ambition to become the Group’s second most important contributor to net income in time. The app’s scale, growing monetization and financial discipline will support efforts down the 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921385</wp:posOffset>
            </wp:positionV>
            <wp:extent cx="7140575" cy="158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0575" cy="15875"/>
                    </a:xfrm>
                    <a:prstGeom prst="rect">
                      <a:avLst/>
                    </a:prstGeom>
                    <a:noFill/>
                  </pic:spPr>
                </pic:pic>
              </a:graphicData>
            </a:graphic>
          </wp:anchor>
        </w:drawing>
        <w:drawing>
          <wp:anchor simplePos="0" relativeHeight="251657728" behindDoc="1" locked="0" layoutInCell="0" allowOverlap="1">
            <wp:simplePos x="0" y="0"/>
            <wp:positionH relativeFrom="column">
              <wp:posOffset>331470</wp:posOffset>
            </wp:positionH>
            <wp:positionV relativeFrom="paragraph">
              <wp:posOffset>123825</wp:posOffset>
            </wp:positionV>
            <wp:extent cx="6447155" cy="5321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447155" cy="532130"/>
                    </a:xfrm>
                    <a:prstGeom prst="rect">
                      <a:avLst/>
                    </a:prstGeom>
                    <a:noFill/>
                  </pic:spPr>
                </pic:pic>
              </a:graphicData>
            </a:graphic>
          </wp:anchor>
        </w:drawing>
      </w:r>
    </w:p>
    <w:p>
      <w:pPr>
        <w:sectPr>
          <w:pgSz w:w="11900" w:h="16838" w:orient="portrait"/>
          <w:cols w:equalWidth="0" w:num="1">
            <w:col w:w="11240"/>
          </w:cols>
          <w:pgMar w:left="320" w:top="635"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673"/>
        </w:trPr>
        <w:tc>
          <w:tcPr>
            <w:tcW w:w="3500" w:type="dxa"/>
            <w:vAlign w:val="bottom"/>
            <w:shd w:val="clear" w:color="auto" w:fill="000000"/>
          </w:tcPr>
          <w:p>
            <w:pPr>
              <w:jc w:val="right"/>
              <w:ind w:right="164"/>
              <w:spacing w:after="0"/>
              <w:rPr>
                <w:sz w:val="20"/>
                <w:szCs w:val="20"/>
                <w:color w:val="auto"/>
              </w:rPr>
            </w:pPr>
            <w:r>
              <w:rPr>
                <w:rFonts w:ascii="Times New Roman" w:cs="Times New Roman" w:eastAsia="Times New Roman" w:hAnsi="Times New Roman"/>
                <w:sz w:val="15"/>
                <w:szCs w:val="15"/>
                <w:color w:val="A6A6A6"/>
              </w:rPr>
              <w:t>|</w:t>
            </w:r>
          </w:p>
        </w:tc>
        <w:tc>
          <w:tcPr>
            <w:tcW w:w="4350" w:type="dxa"/>
            <w:vAlign w:val="bottom"/>
            <w:shd w:val="clear" w:color="auto" w:fill="000000"/>
          </w:tcPr>
          <w:p>
            <w:pPr>
              <w:ind w:left="40"/>
              <w:spacing w:after="0"/>
              <w:rPr>
                <w:sz w:val="20"/>
                <w:szCs w:val="20"/>
                <w:color w:val="auto"/>
              </w:rPr>
            </w:pPr>
            <w:r>
              <w:rPr>
                <w:rFonts w:ascii="Times New Roman" w:cs="Times New Roman" w:eastAsia="Times New Roman" w:hAnsi="Times New Roman"/>
                <w:sz w:val="14"/>
                <w:szCs w:val="14"/>
                <w:color w:val="FFFFFF"/>
              </w:rPr>
              <w:t>Earnings Release 1Q / 2026</w:t>
            </w:r>
          </w:p>
        </w:tc>
        <w:tc>
          <w:tcPr>
            <w:tcW w:w="3390" w:type="dxa"/>
            <w:vAlign w:val="bottom"/>
            <w:shd w:val="clear" w:color="auto" w:fill="000000"/>
          </w:tcPr>
          <w:p>
            <w:pPr>
              <w:ind w:left="1210"/>
              <w:spacing w:after="0"/>
              <w:rPr>
                <w:sz w:val="20"/>
                <w:szCs w:val="20"/>
                <w:color w:val="auto"/>
              </w:rPr>
            </w:pPr>
            <w:r>
              <w:rPr>
                <w:rFonts w:ascii="Times New Roman" w:cs="Times New Roman" w:eastAsia="Times New Roman" w:hAnsi="Times New Roman"/>
                <w:sz w:val="14"/>
                <w:szCs w:val="14"/>
                <w:color w:val="FF00FF"/>
                <w:w w:val="97"/>
              </w:rPr>
              <w:t>Analysis of 1Q26 Consolidated Results</w:t>
            </w:r>
          </w:p>
        </w:tc>
      </w:tr>
      <w:tr>
        <w:trPr>
          <w:trHeight w:val="546"/>
        </w:trPr>
        <w:tc>
          <w:tcPr>
            <w:tcW w:w="3500" w:type="dxa"/>
            <w:vAlign w:val="bottom"/>
            <w:shd w:val="clear" w:color="auto" w:fill="000000"/>
          </w:tcPr>
          <w:p>
            <w:pPr>
              <w:spacing w:after="0"/>
              <w:rPr>
                <w:sz w:val="24"/>
                <w:szCs w:val="24"/>
                <w:color w:val="auto"/>
              </w:rPr>
            </w:pPr>
          </w:p>
        </w:tc>
        <w:tc>
          <w:tcPr>
            <w:tcW w:w="4350" w:type="dxa"/>
            <w:vAlign w:val="bottom"/>
            <w:shd w:val="clear" w:color="auto" w:fill="000000"/>
          </w:tcPr>
          <w:p>
            <w:pPr>
              <w:spacing w:after="0"/>
              <w:rPr>
                <w:sz w:val="24"/>
                <w:szCs w:val="24"/>
                <w:color w:val="auto"/>
              </w:rPr>
            </w:pPr>
          </w:p>
        </w:tc>
        <w:tc>
          <w:tcPr>
            <w:tcW w:w="3390" w:type="dxa"/>
            <w:vAlign w:val="bottom"/>
            <w:shd w:val="clear" w:color="auto" w:fill="000000"/>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-555625</wp:posOffset>
            </wp:positionV>
            <wp:extent cx="1861820" cy="3384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861820" cy="338455"/>
                    </a:xfrm>
                    <a:prstGeom prst="rect">
                      <a:avLst/>
                    </a:prstGeom>
                    <a:noFill/>
                  </pic:spPr>
                </pic:pic>
              </a:graphicData>
            </a:graphic>
          </wp:anchor>
        </w:drawing>
      </w:r>
    </w:p>
    <w:p>
      <w:pPr>
        <w:spacing w:after="0" w:line="12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49"/>
          <w:szCs w:val="49"/>
          <w:b w:val="1"/>
          <w:bCs w:val="1"/>
          <w:color w:val="E93BAC"/>
        </w:rPr>
        <w:t>01</w:t>
      </w:r>
      <w:r>
        <w:rPr>
          <w:sz w:val="20"/>
          <w:szCs w:val="20"/>
          <w:color w:val="auto"/>
        </w:rPr>
        <w:tab/>
      </w:r>
      <w:r>
        <w:rPr>
          <w:rFonts w:ascii="Times New Roman" w:cs="Times New Roman" w:eastAsia="Times New Roman" w:hAnsi="Times New Roman"/>
          <w:sz w:val="30"/>
          <w:szCs w:val="30"/>
          <w:color w:val="E93BAC"/>
        </w:rPr>
        <w:t>Loan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123190</wp:posOffset>
            </wp:positionV>
            <wp:extent cx="7140575" cy="14509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0575" cy="1450975"/>
                    </a:xfrm>
                    <a:prstGeom prst="rect">
                      <a:avLst/>
                    </a:prstGeom>
                    <a:noFill/>
                  </pic:spPr>
                </pic:pic>
              </a:graphicData>
            </a:graphic>
          </wp:anchor>
        </w:drawing>
      </w:r>
    </w:p>
    <w:p>
      <w:pPr>
        <w:spacing w:after="0" w:line="284" w:lineRule="exact"/>
        <w:rPr>
          <w:sz w:val="20"/>
          <w:szCs w:val="20"/>
          <w:color w:val="auto"/>
        </w:rPr>
      </w:pPr>
    </w:p>
    <w:p>
      <w:pPr>
        <w:jc w:val="both"/>
        <w:ind w:left="140" w:right="140"/>
        <w:spacing w:after="0" w:line="277" w:lineRule="auto"/>
        <w:rPr>
          <w:sz w:val="20"/>
          <w:szCs w:val="20"/>
          <w:color w:val="auto"/>
        </w:rPr>
      </w:pPr>
      <w:r>
        <w:rPr>
          <w:rFonts w:ascii="Times New Roman" w:cs="Times New Roman" w:eastAsia="Times New Roman" w:hAnsi="Times New Roman"/>
          <w:sz w:val="17"/>
          <w:szCs w:val="17"/>
          <w:color w:val="FFFFFF"/>
        </w:rPr>
        <w:t>Total loans increased 1.9% QoQ and 8.2% YoY. If we exclude the impacts of asset revaluation at BCP Boliva and the depreciation of USD against PEN, total loans registered growth of 1.0% QoQ and 9.1% YoY.</w:t>
      </w:r>
    </w:p>
    <w:p>
      <w:pPr>
        <w:spacing w:after="0" w:line="158" w:lineRule="exact"/>
        <w:rPr>
          <w:sz w:val="20"/>
          <w:szCs w:val="20"/>
          <w:color w:val="auto"/>
        </w:rPr>
      </w:pPr>
    </w:p>
    <w:p>
      <w:pPr>
        <w:jc w:val="both"/>
        <w:ind w:left="140" w:right="120"/>
        <w:spacing w:after="0" w:line="263" w:lineRule="auto"/>
        <w:rPr>
          <w:sz w:val="20"/>
          <w:szCs w:val="20"/>
          <w:color w:val="auto"/>
        </w:rPr>
      </w:pPr>
      <w:r>
        <w:rPr>
          <w:rFonts w:ascii="Times New Roman" w:cs="Times New Roman" w:eastAsia="Times New Roman" w:hAnsi="Times New Roman"/>
          <w:sz w:val="17"/>
          <w:szCs w:val="17"/>
          <w:color w:val="FFFFFF"/>
        </w:rPr>
        <w:t>QoQ, expansion in total loans was primarily driven by: (i) growth in medium- and long-term loans within Wholesale Banking at BCP; (ii) higher lending to Individuals and SME-PYME, which was offset by a decline in SME-Business within BCP’s retail segments; and (iii) record-high disbursements at Mibanco, achieved in March.</w:t>
      </w:r>
    </w:p>
    <w:p>
      <w:pPr>
        <w:spacing w:after="0" w:line="170" w:lineRule="exact"/>
        <w:rPr>
          <w:sz w:val="20"/>
          <w:szCs w:val="20"/>
          <w:color w:val="auto"/>
        </w:rPr>
      </w:pPr>
    </w:p>
    <w:p>
      <w:pPr>
        <w:ind w:left="140" w:right="200" w:hanging="138"/>
        <w:spacing w:after="0" w:line="263" w:lineRule="auto"/>
        <w:tabs>
          <w:tab w:leader="none" w:pos="123"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FFFFFF"/>
        </w:rPr>
        <w:t>YoY, total loans rose 9.1% with a Neutral Exchange rate. This evolution reflects on-going improvements in the dynamism of the economy, which have sustained loan growth. The drivers of YoY performance were (i) the same dynamics seen QoQ in Wholesale Banking, (ii) growth in disbursement in Individuals and SME-Pyme, which was attributable to an increase in risk appetite, and (iii) an acceleration in disbursements at Mibanco.</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Evolution of Loans in Quarter-end Balances</w:t>
      </w:r>
    </w:p>
    <w:p>
      <w:pPr>
        <w:spacing w:after="0" w:line="21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 xml:space="preserve">This quarter, total loans in quarter-end balances rose 1.9% and 8.2% </w:t>
      </w:r>
      <w:r>
        <w:rPr>
          <w:rFonts w:ascii="Times New Roman" w:cs="Times New Roman" w:eastAsia="Times New Roman" w:hAnsi="Times New Roman"/>
          <w:sz w:val="17"/>
          <w:szCs w:val="17"/>
          <w:b w:val="1"/>
          <w:bCs w:val="1"/>
          <w:color w:val="auto"/>
        </w:rPr>
        <w:t>QoQ</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b w:val="1"/>
          <w:bCs w:val="1"/>
          <w:color w:val="auto"/>
        </w:rPr>
        <w:t>YoY</w:t>
      </w:r>
      <w:r>
        <w:rPr>
          <w:rFonts w:ascii="Times New Roman" w:cs="Times New Roman" w:eastAsia="Times New Roman" w:hAnsi="Times New Roman"/>
          <w:sz w:val="17"/>
          <w:szCs w:val="17"/>
          <w:color w:val="auto"/>
        </w:rPr>
        <w:t xml:space="preserve">, respectively. Both evolutions were impacted by asset revaluation at </w:t>
      </w:r>
      <w:r>
        <w:rPr>
          <w:rFonts w:ascii="Times New Roman" w:cs="Times New Roman" w:eastAsia="Times New Roman" w:hAnsi="Times New Roman"/>
          <w:sz w:val="17"/>
          <w:szCs w:val="17"/>
          <w:b w:val="1"/>
          <w:bCs w:val="1"/>
          <w:color w:val="auto"/>
        </w:rPr>
        <w:t>BCP</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Bolivia</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7"/>
          <w:szCs w:val="17"/>
          <w:color w:val="auto"/>
        </w:rPr>
        <w:t>. If we isolate this impact and the influence of the depreciation of USD against PEN, which gives us a clearer view of commercial performance, loans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quarter-end balances increased 1.0% </w:t>
      </w:r>
      <w:r>
        <w:rPr>
          <w:rFonts w:ascii="Times New Roman" w:cs="Times New Roman" w:eastAsia="Times New Roman" w:hAnsi="Times New Roman"/>
          <w:sz w:val="17"/>
          <w:szCs w:val="17"/>
          <w:b w:val="1"/>
          <w:bCs w:val="1"/>
          <w:color w:val="auto"/>
        </w:rPr>
        <w:t>QoQ</w:t>
      </w:r>
      <w:r>
        <w:rPr>
          <w:rFonts w:ascii="Times New Roman" w:cs="Times New Roman" w:eastAsia="Times New Roman" w:hAnsi="Times New Roman"/>
          <w:sz w:val="17"/>
          <w:szCs w:val="17"/>
          <w:color w:val="auto"/>
        </w:rPr>
        <w:t xml:space="preserve"> and 9.1% </w:t>
      </w:r>
      <w:r>
        <w:rPr>
          <w:rFonts w:ascii="Times New Roman" w:cs="Times New Roman" w:eastAsia="Times New Roman" w:hAnsi="Times New Roman"/>
          <w:sz w:val="17"/>
          <w:szCs w:val="17"/>
          <w:b w:val="1"/>
          <w:bCs w:val="1"/>
          <w:color w:val="auto"/>
        </w:rPr>
        <w:t>YoY</w:t>
      </w:r>
      <w:r>
        <w:rPr>
          <w:rFonts w:ascii="Times New Roman" w:cs="Times New Roman" w:eastAsia="Times New Roman" w:hAnsi="Times New Roman"/>
          <w:sz w:val="17"/>
          <w:szCs w:val="17"/>
          <w:color w:val="auto"/>
        </w:rPr>
        <w: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Total loans (in Quarter-end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059930" cy="11042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059930" cy="1104265"/>
                    </a:xfrm>
                    <a:prstGeom prst="rect">
                      <a:avLst/>
                    </a:prstGeom>
                    <a:noFill/>
                  </pic:spPr>
                </pic:pic>
              </a:graphicData>
            </a:graphic>
          </wp:anchor>
        </w:drawing>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3600" w:type="dxa"/>
            <w:vAlign w:val="bottom"/>
            <w:tcBorders>
              <w:top w:val="single" w:sz="8" w:color="auto"/>
            </w:tcBorders>
            <w:vMerge w:val="restart"/>
            <w:shd w:val="clear" w:color="auto" w:fill="2AD2C9"/>
          </w:tcPr>
          <w:p>
            <w:pPr>
              <w:ind w:left="60"/>
              <w:spacing w:after="0"/>
              <w:rPr>
                <w:sz w:val="20"/>
                <w:szCs w:val="20"/>
                <w:color w:val="auto"/>
              </w:rPr>
            </w:pPr>
            <w:r>
              <w:rPr>
                <w:rFonts w:ascii="Times New Roman" w:cs="Times New Roman" w:eastAsia="Times New Roman" w:hAnsi="Times New Roman"/>
                <w:sz w:val="14"/>
                <w:szCs w:val="14"/>
                <w:b w:val="1"/>
                <w:bCs w:val="1"/>
                <w:color w:val="FFFFFF"/>
              </w:rPr>
              <w:t>Total Loans</w:t>
            </w:r>
          </w:p>
        </w:tc>
        <w:tc>
          <w:tcPr>
            <w:tcW w:w="1220" w:type="dxa"/>
            <w:vAlign w:val="bottom"/>
            <w:tcBorders>
              <w:top w:val="single" w:sz="8" w:color="auto"/>
            </w:tcBorders>
            <w:shd w:val="clear" w:color="auto" w:fill="2AD2C9"/>
          </w:tcPr>
          <w:p>
            <w:pPr>
              <w:spacing w:after="0"/>
              <w:rPr>
                <w:sz w:val="11"/>
                <w:szCs w:val="11"/>
                <w:color w:val="auto"/>
              </w:rPr>
            </w:pPr>
          </w:p>
        </w:tc>
        <w:tc>
          <w:tcPr>
            <w:tcW w:w="780" w:type="dxa"/>
            <w:vAlign w:val="bottom"/>
            <w:tcBorders>
              <w:top w:val="single" w:sz="8" w:color="auto"/>
            </w:tcBorders>
            <w:vMerge w:val="restart"/>
            <w:shd w:val="clear" w:color="auto" w:fill="2AD2C9"/>
          </w:tcPr>
          <w:p>
            <w:pPr>
              <w:jc w:val="center"/>
              <w:spacing w:after="0"/>
              <w:rPr>
                <w:sz w:val="20"/>
                <w:szCs w:val="20"/>
                <w:color w:val="auto"/>
              </w:rPr>
            </w:pPr>
            <w:r>
              <w:rPr>
                <w:rFonts w:ascii="Times New Roman" w:cs="Times New Roman" w:eastAsia="Times New Roman" w:hAnsi="Times New Roman"/>
                <w:sz w:val="14"/>
                <w:szCs w:val="14"/>
                <w:b w:val="1"/>
                <w:bCs w:val="1"/>
                <w:color w:val="FFFFFF"/>
                <w:w w:val="97"/>
              </w:rPr>
              <w:t>As of</w:t>
            </w:r>
          </w:p>
        </w:tc>
        <w:tc>
          <w:tcPr>
            <w:tcW w:w="800" w:type="dxa"/>
            <w:vAlign w:val="bottom"/>
            <w:tcBorders>
              <w:top w:val="single" w:sz="8" w:color="auto"/>
            </w:tcBorders>
            <w:shd w:val="clear" w:color="auto" w:fill="2AD2C9"/>
          </w:tcPr>
          <w:p>
            <w:pPr>
              <w:spacing w:after="0"/>
              <w:rPr>
                <w:sz w:val="11"/>
                <w:szCs w:val="11"/>
                <w:color w:val="auto"/>
              </w:rPr>
            </w:pPr>
          </w:p>
        </w:tc>
        <w:tc>
          <w:tcPr>
            <w:tcW w:w="1580" w:type="dxa"/>
            <w:vAlign w:val="bottom"/>
            <w:tcBorders>
              <w:top w:val="single" w:sz="8" w:color="auto"/>
            </w:tcBorders>
            <w:gridSpan w:val="2"/>
            <w:vMerge w:val="restart"/>
            <w:shd w:val="clear" w:color="auto" w:fill="2AD2C9"/>
          </w:tcPr>
          <w:p>
            <w:pPr>
              <w:ind w:left="500"/>
              <w:spacing w:after="0"/>
              <w:rPr>
                <w:sz w:val="20"/>
                <w:szCs w:val="20"/>
                <w:color w:val="auto"/>
              </w:rPr>
            </w:pPr>
            <w:r>
              <w:rPr>
                <w:rFonts w:ascii="Times New Roman" w:cs="Times New Roman" w:eastAsia="Times New Roman" w:hAnsi="Times New Roman"/>
                <w:sz w:val="14"/>
                <w:szCs w:val="14"/>
                <w:b w:val="1"/>
                <w:bCs w:val="1"/>
                <w:color w:val="FFFFFF"/>
              </w:rPr>
              <w:t>% change</w:t>
            </w:r>
          </w:p>
        </w:tc>
        <w:tc>
          <w:tcPr>
            <w:tcW w:w="1540" w:type="dxa"/>
            <w:vAlign w:val="bottom"/>
            <w:tcBorders>
              <w:top w:val="single" w:sz="8" w:color="auto"/>
            </w:tcBorders>
            <w:gridSpan w:val="2"/>
            <w:shd w:val="clear" w:color="auto" w:fill="2AD2C9"/>
          </w:tcPr>
          <w:p>
            <w:pPr>
              <w:jc w:val="center"/>
              <w:spacing w:after="0" w:line="128" w:lineRule="exact"/>
              <w:rPr>
                <w:sz w:val="20"/>
                <w:szCs w:val="20"/>
                <w:color w:val="auto"/>
              </w:rPr>
            </w:pPr>
            <w:r>
              <w:rPr>
                <w:rFonts w:ascii="Times New Roman" w:cs="Times New Roman" w:eastAsia="Times New Roman" w:hAnsi="Times New Roman"/>
                <w:sz w:val="14"/>
                <w:szCs w:val="14"/>
                <w:b w:val="1"/>
                <w:bCs w:val="1"/>
                <w:color w:val="FFFFFF"/>
                <w:w w:val="96"/>
              </w:rPr>
              <w:t>USD/PEN Neutral</w:t>
            </w:r>
          </w:p>
        </w:tc>
        <w:tc>
          <w:tcPr>
            <w:tcW w:w="1580" w:type="dxa"/>
            <w:vAlign w:val="bottom"/>
            <w:tcBorders>
              <w:top w:val="single" w:sz="8" w:color="auto"/>
            </w:tcBorders>
            <w:gridSpan w:val="2"/>
            <w:shd w:val="clear" w:color="auto" w:fill="2AD2C9"/>
          </w:tcPr>
          <w:p>
            <w:pPr>
              <w:jc w:val="center"/>
              <w:spacing w:after="0" w:line="128" w:lineRule="exact"/>
              <w:rPr>
                <w:sz w:val="20"/>
                <w:szCs w:val="20"/>
                <w:color w:val="auto"/>
              </w:rPr>
            </w:pPr>
            <w:r>
              <w:rPr>
                <w:rFonts w:ascii="Times New Roman" w:cs="Times New Roman" w:eastAsia="Times New Roman" w:hAnsi="Times New Roman"/>
                <w:sz w:val="14"/>
                <w:szCs w:val="14"/>
                <w:b w:val="1"/>
                <w:bCs w:val="1"/>
                <w:color w:val="FFFFFF"/>
                <w:w w:val="96"/>
              </w:rPr>
              <w:t>USD/PEN Neutral</w:t>
            </w:r>
          </w:p>
        </w:tc>
        <w:tc>
          <w:tcPr>
            <w:tcW w:w="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3600" w:type="dxa"/>
            <w:vAlign w:val="bottom"/>
            <w:vMerge w:val="continue"/>
            <w:shd w:val="clear" w:color="auto" w:fill="2AD2C9"/>
          </w:tcPr>
          <w:p>
            <w:pPr>
              <w:spacing w:after="0"/>
              <w:rPr>
                <w:sz w:val="5"/>
                <w:szCs w:val="5"/>
                <w:color w:val="auto"/>
              </w:rPr>
            </w:pPr>
          </w:p>
        </w:tc>
        <w:tc>
          <w:tcPr>
            <w:tcW w:w="1220" w:type="dxa"/>
            <w:vAlign w:val="bottom"/>
            <w:shd w:val="clear" w:color="auto" w:fill="2AD2C9"/>
          </w:tcPr>
          <w:p>
            <w:pPr>
              <w:spacing w:after="0"/>
              <w:rPr>
                <w:sz w:val="5"/>
                <w:szCs w:val="5"/>
                <w:color w:val="auto"/>
              </w:rPr>
            </w:pPr>
          </w:p>
        </w:tc>
        <w:tc>
          <w:tcPr>
            <w:tcW w:w="780" w:type="dxa"/>
            <w:vAlign w:val="bottom"/>
            <w:vMerge w:val="continue"/>
            <w:shd w:val="clear" w:color="auto" w:fill="2AD2C9"/>
          </w:tcPr>
          <w:p>
            <w:pPr>
              <w:spacing w:after="0"/>
              <w:rPr>
                <w:sz w:val="5"/>
                <w:szCs w:val="5"/>
                <w:color w:val="auto"/>
              </w:rPr>
            </w:pPr>
          </w:p>
        </w:tc>
        <w:tc>
          <w:tcPr>
            <w:tcW w:w="800" w:type="dxa"/>
            <w:vAlign w:val="bottom"/>
            <w:shd w:val="clear" w:color="auto" w:fill="2AD2C9"/>
          </w:tcPr>
          <w:p>
            <w:pPr>
              <w:spacing w:after="0"/>
              <w:rPr>
                <w:sz w:val="5"/>
                <w:szCs w:val="5"/>
                <w:color w:val="auto"/>
              </w:rPr>
            </w:pPr>
          </w:p>
        </w:tc>
        <w:tc>
          <w:tcPr>
            <w:tcW w:w="1580" w:type="dxa"/>
            <w:vAlign w:val="bottom"/>
            <w:gridSpan w:val="2"/>
            <w:vMerge w:val="continue"/>
            <w:shd w:val="clear" w:color="auto" w:fill="2AD2C9"/>
          </w:tcPr>
          <w:p>
            <w:pPr>
              <w:spacing w:after="0"/>
              <w:rPr>
                <w:sz w:val="5"/>
                <w:szCs w:val="5"/>
                <w:color w:val="auto"/>
              </w:rPr>
            </w:pPr>
          </w:p>
        </w:tc>
        <w:tc>
          <w:tcPr>
            <w:tcW w:w="1540" w:type="dxa"/>
            <w:vAlign w:val="bottom"/>
            <w:gridSpan w:val="2"/>
            <w:vMerge w:val="restart"/>
            <w:shd w:val="clear" w:color="auto" w:fill="2AD2C9"/>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FFFFFF"/>
                <w:w w:val="95"/>
              </w:rPr>
              <w:t>Volume change</w:t>
            </w:r>
          </w:p>
        </w:tc>
        <w:tc>
          <w:tcPr>
            <w:tcW w:w="1580" w:type="dxa"/>
            <w:vAlign w:val="bottom"/>
            <w:gridSpan w:val="2"/>
            <w:vMerge w:val="restart"/>
            <w:shd w:val="clear" w:color="auto" w:fill="2AD2C9"/>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FFFFFF"/>
                <w:w w:val="97"/>
              </w:rPr>
              <w:t>% Change</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3600" w:type="dxa"/>
            <w:vAlign w:val="bottom"/>
            <w:vMerge w:val="restart"/>
            <w:shd w:val="clear" w:color="auto" w:fill="2AD2C9"/>
          </w:tcPr>
          <w:p>
            <w:pPr>
              <w:ind w:left="60"/>
              <w:spacing w:after="0"/>
              <w:rPr>
                <w:sz w:val="20"/>
                <w:szCs w:val="20"/>
                <w:color w:val="auto"/>
              </w:rPr>
            </w:pPr>
            <w:r>
              <w:rPr>
                <w:rFonts w:ascii="Times New Roman" w:cs="Times New Roman" w:eastAsia="Times New Roman" w:hAnsi="Times New Roman"/>
                <w:sz w:val="14"/>
                <w:szCs w:val="14"/>
                <w:b w:val="1"/>
                <w:bCs w:val="1"/>
                <w:color w:val="FFFFFF"/>
              </w:rPr>
              <w:t>(S/ Millions)</w:t>
            </w:r>
          </w:p>
        </w:tc>
        <w:tc>
          <w:tcPr>
            <w:tcW w:w="1220" w:type="dxa"/>
            <w:vAlign w:val="bottom"/>
            <w:shd w:val="clear" w:color="auto" w:fill="2AD2C9"/>
          </w:tcPr>
          <w:p>
            <w:pPr>
              <w:spacing w:after="0"/>
              <w:rPr>
                <w:sz w:val="6"/>
                <w:szCs w:val="6"/>
                <w:color w:val="auto"/>
              </w:rPr>
            </w:pPr>
          </w:p>
        </w:tc>
        <w:tc>
          <w:tcPr>
            <w:tcW w:w="780" w:type="dxa"/>
            <w:vAlign w:val="bottom"/>
            <w:shd w:val="clear" w:color="auto" w:fill="2AD2C9"/>
          </w:tcPr>
          <w:p>
            <w:pPr>
              <w:spacing w:after="0"/>
              <w:rPr>
                <w:sz w:val="6"/>
                <w:szCs w:val="6"/>
                <w:color w:val="auto"/>
              </w:rPr>
            </w:pPr>
          </w:p>
        </w:tc>
        <w:tc>
          <w:tcPr>
            <w:tcW w:w="800" w:type="dxa"/>
            <w:vAlign w:val="bottom"/>
            <w:shd w:val="clear" w:color="auto" w:fill="2AD2C9"/>
          </w:tcPr>
          <w:p>
            <w:pPr>
              <w:spacing w:after="0"/>
              <w:rPr>
                <w:sz w:val="6"/>
                <w:szCs w:val="6"/>
                <w:color w:val="auto"/>
              </w:rPr>
            </w:pPr>
          </w:p>
        </w:tc>
        <w:tc>
          <w:tcPr>
            <w:tcW w:w="780" w:type="dxa"/>
            <w:vAlign w:val="bottom"/>
            <w:shd w:val="clear" w:color="auto" w:fill="2AD2C9"/>
          </w:tcPr>
          <w:p>
            <w:pPr>
              <w:spacing w:after="0"/>
              <w:rPr>
                <w:sz w:val="6"/>
                <w:szCs w:val="6"/>
                <w:color w:val="auto"/>
              </w:rPr>
            </w:pPr>
          </w:p>
        </w:tc>
        <w:tc>
          <w:tcPr>
            <w:tcW w:w="800" w:type="dxa"/>
            <w:vAlign w:val="bottom"/>
            <w:shd w:val="clear" w:color="auto" w:fill="2AD2C9"/>
          </w:tcPr>
          <w:p>
            <w:pPr>
              <w:spacing w:after="0"/>
              <w:rPr>
                <w:sz w:val="6"/>
                <w:szCs w:val="6"/>
                <w:color w:val="auto"/>
              </w:rPr>
            </w:pPr>
          </w:p>
        </w:tc>
        <w:tc>
          <w:tcPr>
            <w:tcW w:w="1540" w:type="dxa"/>
            <w:vAlign w:val="bottom"/>
            <w:gridSpan w:val="2"/>
            <w:vMerge w:val="continue"/>
            <w:shd w:val="clear" w:color="auto" w:fill="2AD2C9"/>
          </w:tcPr>
          <w:p>
            <w:pPr>
              <w:spacing w:after="0"/>
              <w:rPr>
                <w:sz w:val="6"/>
                <w:szCs w:val="6"/>
                <w:color w:val="auto"/>
              </w:rPr>
            </w:pPr>
          </w:p>
        </w:tc>
        <w:tc>
          <w:tcPr>
            <w:tcW w:w="1580" w:type="dxa"/>
            <w:vAlign w:val="bottom"/>
            <w:gridSpan w:val="2"/>
            <w:vMerge w:val="continue"/>
            <w:shd w:val="clear" w:color="auto" w:fill="2AD2C9"/>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3600" w:type="dxa"/>
            <w:vAlign w:val="bottom"/>
            <w:vMerge w:val="continue"/>
            <w:shd w:val="clear" w:color="auto" w:fill="2AD2C9"/>
          </w:tcPr>
          <w:p>
            <w:pPr>
              <w:spacing w:after="0"/>
              <w:rPr>
                <w:sz w:val="8"/>
                <w:szCs w:val="8"/>
                <w:color w:val="auto"/>
              </w:rPr>
            </w:pPr>
          </w:p>
        </w:tc>
        <w:tc>
          <w:tcPr>
            <w:tcW w:w="1220" w:type="dxa"/>
            <w:vAlign w:val="bottom"/>
            <w:vMerge w:val="restart"/>
            <w:shd w:val="clear" w:color="auto" w:fill="2AD2C9"/>
          </w:tcPr>
          <w:p>
            <w:pPr>
              <w:ind w:left="620"/>
              <w:spacing w:after="0"/>
              <w:rPr>
                <w:sz w:val="20"/>
                <w:szCs w:val="20"/>
                <w:color w:val="auto"/>
              </w:rPr>
            </w:pPr>
            <w:r>
              <w:rPr>
                <w:rFonts w:ascii="Times New Roman" w:cs="Times New Roman" w:eastAsia="Times New Roman" w:hAnsi="Times New Roman"/>
                <w:sz w:val="14"/>
                <w:szCs w:val="14"/>
                <w:b w:val="1"/>
                <w:bCs w:val="1"/>
                <w:color w:val="FFFFFF"/>
              </w:rPr>
              <w:t>Mar 25</w:t>
            </w:r>
          </w:p>
        </w:tc>
        <w:tc>
          <w:tcPr>
            <w:tcW w:w="780" w:type="dxa"/>
            <w:vAlign w:val="bottom"/>
            <w:vMerge w:val="restart"/>
            <w:shd w:val="clear" w:color="auto" w:fill="2AD2C9"/>
          </w:tcPr>
          <w:p>
            <w:pPr>
              <w:jc w:val="center"/>
              <w:spacing w:after="0"/>
              <w:rPr>
                <w:sz w:val="20"/>
                <w:szCs w:val="20"/>
                <w:color w:val="auto"/>
              </w:rPr>
            </w:pPr>
            <w:r>
              <w:rPr>
                <w:rFonts w:ascii="Times New Roman" w:cs="Times New Roman" w:eastAsia="Times New Roman" w:hAnsi="Times New Roman"/>
                <w:sz w:val="14"/>
                <w:szCs w:val="14"/>
                <w:b w:val="1"/>
                <w:bCs w:val="1"/>
                <w:color w:val="FFFFFF"/>
                <w:w w:val="94"/>
              </w:rPr>
              <w:t>Dec 25</w:t>
            </w:r>
          </w:p>
        </w:tc>
        <w:tc>
          <w:tcPr>
            <w:tcW w:w="800" w:type="dxa"/>
            <w:vAlign w:val="bottom"/>
            <w:vMerge w:val="restart"/>
            <w:shd w:val="clear" w:color="auto" w:fill="2AD2C9"/>
          </w:tcPr>
          <w:p>
            <w:pPr>
              <w:ind w:left="180"/>
              <w:spacing w:after="0"/>
              <w:rPr>
                <w:sz w:val="20"/>
                <w:szCs w:val="20"/>
                <w:color w:val="auto"/>
              </w:rPr>
            </w:pPr>
            <w:r>
              <w:rPr>
                <w:rFonts w:ascii="Times New Roman" w:cs="Times New Roman" w:eastAsia="Times New Roman" w:hAnsi="Times New Roman"/>
                <w:sz w:val="14"/>
                <w:szCs w:val="14"/>
                <w:b w:val="1"/>
                <w:bCs w:val="1"/>
                <w:color w:val="FFFFFF"/>
              </w:rPr>
              <w:t>Mar 26</w:t>
            </w:r>
          </w:p>
        </w:tc>
        <w:tc>
          <w:tcPr>
            <w:tcW w:w="780" w:type="dxa"/>
            <w:vAlign w:val="bottom"/>
            <w:vMerge w:val="restart"/>
            <w:shd w:val="clear" w:color="auto" w:fill="2AD2C9"/>
          </w:tcPr>
          <w:p>
            <w:pPr>
              <w:ind w:left="240"/>
              <w:spacing w:after="0"/>
              <w:rPr>
                <w:sz w:val="20"/>
                <w:szCs w:val="20"/>
                <w:color w:val="auto"/>
              </w:rPr>
            </w:pPr>
            <w:r>
              <w:rPr>
                <w:rFonts w:ascii="Times New Roman" w:cs="Times New Roman" w:eastAsia="Times New Roman" w:hAnsi="Times New Roman"/>
                <w:sz w:val="14"/>
                <w:szCs w:val="14"/>
                <w:b w:val="1"/>
                <w:bCs w:val="1"/>
                <w:color w:val="FFFFFF"/>
              </w:rPr>
              <w:t>QoQ</w:t>
            </w:r>
          </w:p>
        </w:tc>
        <w:tc>
          <w:tcPr>
            <w:tcW w:w="800" w:type="dxa"/>
            <w:vAlign w:val="bottom"/>
            <w:vMerge w:val="restart"/>
            <w:shd w:val="clear" w:color="auto" w:fill="2AD2C9"/>
          </w:tcPr>
          <w:p>
            <w:pPr>
              <w:ind w:left="260"/>
              <w:spacing w:after="0"/>
              <w:rPr>
                <w:sz w:val="20"/>
                <w:szCs w:val="20"/>
                <w:color w:val="auto"/>
              </w:rPr>
            </w:pPr>
            <w:r>
              <w:rPr>
                <w:rFonts w:ascii="Times New Roman" w:cs="Times New Roman" w:eastAsia="Times New Roman" w:hAnsi="Times New Roman"/>
                <w:sz w:val="14"/>
                <w:szCs w:val="14"/>
                <w:b w:val="1"/>
                <w:bCs w:val="1"/>
                <w:color w:val="FFFFFF"/>
              </w:rPr>
              <w:t>YoY</w:t>
            </w:r>
          </w:p>
        </w:tc>
        <w:tc>
          <w:tcPr>
            <w:tcW w:w="760" w:type="dxa"/>
            <w:vAlign w:val="bottom"/>
            <w:vMerge w:val="restart"/>
            <w:shd w:val="clear" w:color="auto" w:fill="2AD2C9"/>
          </w:tcPr>
          <w:p>
            <w:pPr>
              <w:jc w:val="center"/>
              <w:spacing w:after="0"/>
              <w:rPr>
                <w:sz w:val="20"/>
                <w:szCs w:val="20"/>
                <w:color w:val="auto"/>
              </w:rPr>
            </w:pPr>
            <w:r>
              <w:rPr>
                <w:rFonts w:ascii="Times New Roman" w:cs="Times New Roman" w:eastAsia="Times New Roman" w:hAnsi="Times New Roman"/>
                <w:sz w:val="14"/>
                <w:szCs w:val="14"/>
                <w:b w:val="1"/>
                <w:bCs w:val="1"/>
                <w:color w:val="FFFFFF"/>
                <w:w w:val="97"/>
              </w:rPr>
              <w:t>QoQ</w:t>
            </w:r>
          </w:p>
        </w:tc>
        <w:tc>
          <w:tcPr>
            <w:tcW w:w="780" w:type="dxa"/>
            <w:vAlign w:val="bottom"/>
            <w:vMerge w:val="restart"/>
            <w:shd w:val="clear" w:color="auto" w:fill="2AD2C9"/>
          </w:tcPr>
          <w:p>
            <w:pPr>
              <w:jc w:val="center"/>
              <w:spacing w:after="0"/>
              <w:rPr>
                <w:sz w:val="20"/>
                <w:szCs w:val="20"/>
                <w:color w:val="auto"/>
              </w:rPr>
            </w:pPr>
            <w:r>
              <w:rPr>
                <w:rFonts w:ascii="Times New Roman" w:cs="Times New Roman" w:eastAsia="Times New Roman" w:hAnsi="Times New Roman"/>
                <w:sz w:val="14"/>
                <w:szCs w:val="14"/>
                <w:b w:val="1"/>
                <w:bCs w:val="1"/>
                <w:color w:val="FFFFFF"/>
                <w:w w:val="87"/>
              </w:rPr>
              <w:t>YoY</w:t>
            </w:r>
          </w:p>
        </w:tc>
        <w:tc>
          <w:tcPr>
            <w:tcW w:w="800" w:type="dxa"/>
            <w:vAlign w:val="bottom"/>
            <w:vMerge w:val="restart"/>
            <w:shd w:val="clear" w:color="auto" w:fill="2AD2C9"/>
          </w:tcPr>
          <w:p>
            <w:pPr>
              <w:jc w:val="center"/>
              <w:spacing w:after="0"/>
              <w:rPr>
                <w:sz w:val="20"/>
                <w:szCs w:val="20"/>
                <w:color w:val="auto"/>
              </w:rPr>
            </w:pPr>
            <w:r>
              <w:rPr>
                <w:rFonts w:ascii="Times New Roman" w:cs="Times New Roman" w:eastAsia="Times New Roman" w:hAnsi="Times New Roman"/>
                <w:sz w:val="14"/>
                <w:szCs w:val="14"/>
                <w:b w:val="1"/>
                <w:bCs w:val="1"/>
                <w:color w:val="FFFFFF"/>
                <w:w w:val="97"/>
              </w:rPr>
              <w:t>QoQ</w:t>
            </w:r>
          </w:p>
        </w:tc>
        <w:tc>
          <w:tcPr>
            <w:tcW w:w="780" w:type="dxa"/>
            <w:vAlign w:val="bottom"/>
            <w:vMerge w:val="restart"/>
            <w:shd w:val="clear" w:color="auto" w:fill="2AD2C9"/>
          </w:tcPr>
          <w:p>
            <w:pPr>
              <w:jc w:val="center"/>
              <w:spacing w:after="0"/>
              <w:rPr>
                <w:sz w:val="20"/>
                <w:szCs w:val="20"/>
                <w:color w:val="auto"/>
              </w:rPr>
            </w:pPr>
            <w:r>
              <w:rPr>
                <w:rFonts w:ascii="Times New Roman" w:cs="Times New Roman" w:eastAsia="Times New Roman" w:hAnsi="Times New Roman"/>
                <w:sz w:val="14"/>
                <w:szCs w:val="14"/>
                <w:b w:val="1"/>
                <w:bCs w:val="1"/>
                <w:color w:val="FFFFFF"/>
                <w:w w:val="95"/>
              </w:rPr>
              <w:t>YoY</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3600" w:type="dxa"/>
            <w:vAlign w:val="bottom"/>
            <w:tcBorders>
              <w:bottom w:val="single" w:sz="8" w:color="auto"/>
            </w:tcBorders>
            <w:shd w:val="clear" w:color="auto" w:fill="2AD2C9"/>
          </w:tcPr>
          <w:p>
            <w:pPr>
              <w:spacing w:after="0"/>
              <w:rPr>
                <w:sz w:val="5"/>
                <w:szCs w:val="5"/>
                <w:color w:val="auto"/>
              </w:rPr>
            </w:pPr>
          </w:p>
        </w:tc>
        <w:tc>
          <w:tcPr>
            <w:tcW w:w="1220" w:type="dxa"/>
            <w:vAlign w:val="bottom"/>
            <w:tcBorders>
              <w:bottom w:val="single" w:sz="8" w:color="auto"/>
            </w:tcBorders>
            <w:vMerge w:val="continue"/>
            <w:shd w:val="clear" w:color="auto" w:fill="2AD2C9"/>
          </w:tcPr>
          <w:p>
            <w:pPr>
              <w:spacing w:after="0"/>
              <w:rPr>
                <w:sz w:val="5"/>
                <w:szCs w:val="5"/>
                <w:color w:val="auto"/>
              </w:rPr>
            </w:pPr>
          </w:p>
        </w:tc>
        <w:tc>
          <w:tcPr>
            <w:tcW w:w="780" w:type="dxa"/>
            <w:vAlign w:val="bottom"/>
            <w:tcBorders>
              <w:bottom w:val="single" w:sz="8" w:color="auto"/>
            </w:tcBorders>
            <w:vMerge w:val="continue"/>
            <w:shd w:val="clear" w:color="auto" w:fill="2AD2C9"/>
          </w:tcPr>
          <w:p>
            <w:pPr>
              <w:spacing w:after="0"/>
              <w:rPr>
                <w:sz w:val="5"/>
                <w:szCs w:val="5"/>
                <w:color w:val="auto"/>
              </w:rPr>
            </w:pPr>
          </w:p>
        </w:tc>
        <w:tc>
          <w:tcPr>
            <w:tcW w:w="800" w:type="dxa"/>
            <w:vAlign w:val="bottom"/>
            <w:tcBorders>
              <w:bottom w:val="single" w:sz="8" w:color="auto"/>
            </w:tcBorders>
            <w:vMerge w:val="continue"/>
            <w:shd w:val="clear" w:color="auto" w:fill="2AD2C9"/>
          </w:tcPr>
          <w:p>
            <w:pPr>
              <w:spacing w:after="0"/>
              <w:rPr>
                <w:sz w:val="5"/>
                <w:szCs w:val="5"/>
                <w:color w:val="auto"/>
              </w:rPr>
            </w:pPr>
          </w:p>
        </w:tc>
        <w:tc>
          <w:tcPr>
            <w:tcW w:w="780" w:type="dxa"/>
            <w:vAlign w:val="bottom"/>
            <w:tcBorders>
              <w:bottom w:val="single" w:sz="8" w:color="auto"/>
            </w:tcBorders>
            <w:vMerge w:val="continue"/>
            <w:shd w:val="clear" w:color="auto" w:fill="2AD2C9"/>
          </w:tcPr>
          <w:p>
            <w:pPr>
              <w:spacing w:after="0"/>
              <w:rPr>
                <w:sz w:val="5"/>
                <w:szCs w:val="5"/>
                <w:color w:val="auto"/>
              </w:rPr>
            </w:pPr>
          </w:p>
        </w:tc>
        <w:tc>
          <w:tcPr>
            <w:tcW w:w="800" w:type="dxa"/>
            <w:vAlign w:val="bottom"/>
            <w:tcBorders>
              <w:bottom w:val="single" w:sz="8" w:color="auto"/>
            </w:tcBorders>
            <w:vMerge w:val="continue"/>
            <w:shd w:val="clear" w:color="auto" w:fill="2AD2C9"/>
          </w:tcPr>
          <w:p>
            <w:pPr>
              <w:spacing w:after="0"/>
              <w:rPr>
                <w:sz w:val="5"/>
                <w:szCs w:val="5"/>
                <w:color w:val="auto"/>
              </w:rPr>
            </w:pPr>
          </w:p>
        </w:tc>
        <w:tc>
          <w:tcPr>
            <w:tcW w:w="760" w:type="dxa"/>
            <w:vAlign w:val="bottom"/>
            <w:tcBorders>
              <w:bottom w:val="single" w:sz="8" w:color="auto"/>
            </w:tcBorders>
            <w:vMerge w:val="continue"/>
            <w:shd w:val="clear" w:color="auto" w:fill="2AD2C9"/>
          </w:tcPr>
          <w:p>
            <w:pPr>
              <w:spacing w:after="0"/>
              <w:rPr>
                <w:sz w:val="5"/>
                <w:szCs w:val="5"/>
                <w:color w:val="auto"/>
              </w:rPr>
            </w:pPr>
          </w:p>
        </w:tc>
        <w:tc>
          <w:tcPr>
            <w:tcW w:w="780" w:type="dxa"/>
            <w:vAlign w:val="bottom"/>
            <w:tcBorders>
              <w:bottom w:val="single" w:sz="8" w:color="auto"/>
            </w:tcBorders>
            <w:vMerge w:val="continue"/>
            <w:shd w:val="clear" w:color="auto" w:fill="2AD2C9"/>
          </w:tcPr>
          <w:p>
            <w:pPr>
              <w:spacing w:after="0"/>
              <w:rPr>
                <w:sz w:val="5"/>
                <w:szCs w:val="5"/>
                <w:color w:val="auto"/>
              </w:rPr>
            </w:pPr>
          </w:p>
        </w:tc>
        <w:tc>
          <w:tcPr>
            <w:tcW w:w="800" w:type="dxa"/>
            <w:vAlign w:val="bottom"/>
            <w:tcBorders>
              <w:bottom w:val="single" w:sz="8" w:color="auto"/>
            </w:tcBorders>
            <w:vMerge w:val="continue"/>
            <w:shd w:val="clear" w:color="auto" w:fill="2AD2C9"/>
          </w:tcPr>
          <w:p>
            <w:pPr>
              <w:spacing w:after="0"/>
              <w:rPr>
                <w:sz w:val="5"/>
                <w:szCs w:val="5"/>
                <w:color w:val="auto"/>
              </w:rPr>
            </w:pPr>
          </w:p>
        </w:tc>
        <w:tc>
          <w:tcPr>
            <w:tcW w:w="780" w:type="dxa"/>
            <w:vAlign w:val="bottom"/>
            <w:tcBorders>
              <w:bottom w:val="single" w:sz="8" w:color="auto"/>
            </w:tcBorders>
            <w:vMerge w:val="continue"/>
            <w:shd w:val="clear" w:color="auto" w:fill="2AD2C9"/>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12"/>
        </w:trPr>
        <w:tc>
          <w:tcPr>
            <w:tcW w:w="3600" w:type="dxa"/>
            <w:vAlign w:val="bottom"/>
          </w:tcPr>
          <w:p>
            <w:pPr>
              <w:ind w:left="60"/>
              <w:spacing w:after="0" w:line="112" w:lineRule="exact"/>
              <w:rPr>
                <w:sz w:val="20"/>
                <w:szCs w:val="20"/>
                <w:color w:val="auto"/>
              </w:rPr>
            </w:pPr>
            <w:r>
              <w:rPr>
                <w:rFonts w:ascii="Times New Roman" w:cs="Times New Roman" w:eastAsia="Times New Roman" w:hAnsi="Times New Roman"/>
                <w:sz w:val="12"/>
                <w:szCs w:val="12"/>
                <w:color w:val="auto"/>
              </w:rPr>
              <w:t>BCP Stand-alone</w:t>
            </w:r>
          </w:p>
        </w:tc>
        <w:tc>
          <w:tcPr>
            <w:tcW w:w="1220" w:type="dxa"/>
            <w:vAlign w:val="bottom"/>
          </w:tcPr>
          <w:p>
            <w:pPr>
              <w:jc w:val="center"/>
              <w:ind w:left="353"/>
              <w:spacing w:after="0" w:line="112" w:lineRule="exact"/>
              <w:rPr>
                <w:sz w:val="20"/>
                <w:szCs w:val="20"/>
                <w:color w:val="auto"/>
              </w:rPr>
            </w:pPr>
            <w:r>
              <w:rPr>
                <w:rFonts w:ascii="Times New Roman" w:cs="Times New Roman" w:eastAsia="Times New Roman" w:hAnsi="Times New Roman"/>
                <w:sz w:val="12"/>
                <w:szCs w:val="12"/>
                <w:color w:val="auto"/>
              </w:rPr>
              <w:t>119,379</w:t>
            </w:r>
          </w:p>
        </w:tc>
        <w:tc>
          <w:tcPr>
            <w:tcW w:w="780" w:type="dxa"/>
            <w:vAlign w:val="bottom"/>
          </w:tcPr>
          <w:p>
            <w:pPr>
              <w:jc w:val="center"/>
              <w:spacing w:after="0" w:line="112" w:lineRule="exact"/>
              <w:rPr>
                <w:sz w:val="20"/>
                <w:szCs w:val="20"/>
                <w:color w:val="auto"/>
              </w:rPr>
            </w:pPr>
            <w:r>
              <w:rPr>
                <w:rFonts w:ascii="Times New Roman" w:cs="Times New Roman" w:eastAsia="Times New Roman" w:hAnsi="Times New Roman"/>
                <w:sz w:val="12"/>
                <w:szCs w:val="12"/>
                <w:color w:val="auto"/>
              </w:rPr>
              <w:t>125,201</w:t>
            </w:r>
          </w:p>
        </w:tc>
        <w:tc>
          <w:tcPr>
            <w:tcW w:w="800" w:type="dxa"/>
            <w:vAlign w:val="bottom"/>
          </w:tcPr>
          <w:p>
            <w:pPr>
              <w:jc w:val="center"/>
              <w:spacing w:after="0" w:line="112" w:lineRule="exact"/>
              <w:rPr>
                <w:sz w:val="20"/>
                <w:szCs w:val="20"/>
                <w:color w:val="auto"/>
              </w:rPr>
            </w:pPr>
            <w:r>
              <w:rPr>
                <w:rFonts w:ascii="Times New Roman" w:cs="Times New Roman" w:eastAsia="Times New Roman" w:hAnsi="Times New Roman"/>
                <w:sz w:val="12"/>
                <w:szCs w:val="12"/>
                <w:color w:val="auto"/>
              </w:rPr>
              <w:t>128,142</w:t>
            </w:r>
          </w:p>
        </w:tc>
        <w:tc>
          <w:tcPr>
            <w:tcW w:w="780" w:type="dxa"/>
            <w:vAlign w:val="bottom"/>
          </w:tcPr>
          <w:p>
            <w:pPr>
              <w:jc w:val="center"/>
              <w:spacing w:after="0" w:line="112" w:lineRule="exact"/>
              <w:rPr>
                <w:sz w:val="20"/>
                <w:szCs w:val="20"/>
                <w:color w:val="auto"/>
              </w:rPr>
            </w:pPr>
            <w:r>
              <w:rPr>
                <w:rFonts w:ascii="Times New Roman" w:cs="Times New Roman" w:eastAsia="Times New Roman" w:hAnsi="Times New Roman"/>
                <w:sz w:val="12"/>
                <w:szCs w:val="12"/>
                <w:color w:val="auto"/>
              </w:rPr>
              <w:t>2.3%</w:t>
            </w:r>
          </w:p>
        </w:tc>
        <w:tc>
          <w:tcPr>
            <w:tcW w:w="800" w:type="dxa"/>
            <w:vAlign w:val="bottom"/>
          </w:tcPr>
          <w:p>
            <w:pPr>
              <w:jc w:val="center"/>
              <w:spacing w:after="0" w:line="112" w:lineRule="exact"/>
              <w:rPr>
                <w:sz w:val="20"/>
                <w:szCs w:val="20"/>
                <w:color w:val="auto"/>
              </w:rPr>
            </w:pPr>
            <w:r>
              <w:rPr>
                <w:rFonts w:ascii="Times New Roman" w:cs="Times New Roman" w:eastAsia="Times New Roman" w:hAnsi="Times New Roman"/>
                <w:sz w:val="12"/>
                <w:szCs w:val="12"/>
                <w:color w:val="auto"/>
              </w:rPr>
              <w:t>7.3%</w:t>
            </w:r>
          </w:p>
        </w:tc>
        <w:tc>
          <w:tcPr>
            <w:tcW w:w="760" w:type="dxa"/>
            <w:vAlign w:val="bottom"/>
          </w:tcPr>
          <w:p>
            <w:pPr>
              <w:jc w:val="center"/>
              <w:spacing w:after="0" w:line="112" w:lineRule="exact"/>
              <w:rPr>
                <w:sz w:val="20"/>
                <w:szCs w:val="20"/>
                <w:color w:val="auto"/>
              </w:rPr>
            </w:pPr>
            <w:r>
              <w:rPr>
                <w:rFonts w:ascii="Times New Roman" w:cs="Times New Roman" w:eastAsia="Times New Roman" w:hAnsi="Times New Roman"/>
                <w:sz w:val="12"/>
                <w:szCs w:val="12"/>
                <w:color w:val="auto"/>
              </w:rPr>
              <w:t>1,408</w:t>
            </w:r>
          </w:p>
        </w:tc>
        <w:tc>
          <w:tcPr>
            <w:tcW w:w="780" w:type="dxa"/>
            <w:vAlign w:val="bottom"/>
          </w:tcPr>
          <w:p>
            <w:pPr>
              <w:jc w:val="center"/>
              <w:spacing w:after="0" w:line="112" w:lineRule="exact"/>
              <w:rPr>
                <w:sz w:val="20"/>
                <w:szCs w:val="20"/>
                <w:color w:val="auto"/>
              </w:rPr>
            </w:pPr>
            <w:r>
              <w:rPr>
                <w:rFonts w:ascii="Times New Roman" w:cs="Times New Roman" w:eastAsia="Times New Roman" w:hAnsi="Times New Roman"/>
                <w:sz w:val="12"/>
                <w:szCs w:val="12"/>
                <w:color w:val="auto"/>
              </w:rPr>
              <w:t>10,884</w:t>
            </w:r>
          </w:p>
        </w:tc>
        <w:tc>
          <w:tcPr>
            <w:tcW w:w="800" w:type="dxa"/>
            <w:vAlign w:val="bottom"/>
          </w:tcPr>
          <w:p>
            <w:pPr>
              <w:jc w:val="center"/>
              <w:spacing w:after="0" w:line="112" w:lineRule="exact"/>
              <w:rPr>
                <w:sz w:val="20"/>
                <w:szCs w:val="20"/>
                <w:color w:val="auto"/>
              </w:rPr>
            </w:pPr>
            <w:r>
              <w:rPr>
                <w:rFonts w:ascii="Times New Roman" w:cs="Times New Roman" w:eastAsia="Times New Roman" w:hAnsi="Times New Roman"/>
                <w:sz w:val="12"/>
                <w:szCs w:val="12"/>
                <w:color w:val="auto"/>
              </w:rPr>
              <w:t>1.1%</w:t>
            </w:r>
          </w:p>
        </w:tc>
        <w:tc>
          <w:tcPr>
            <w:tcW w:w="780" w:type="dxa"/>
            <w:vAlign w:val="bottom"/>
          </w:tcPr>
          <w:p>
            <w:pPr>
              <w:jc w:val="center"/>
              <w:spacing w:after="0" w:line="112" w:lineRule="exact"/>
              <w:rPr>
                <w:sz w:val="20"/>
                <w:szCs w:val="20"/>
                <w:color w:val="auto"/>
              </w:rPr>
            </w:pPr>
            <w:r>
              <w:rPr>
                <w:rFonts w:ascii="Times New Roman" w:cs="Times New Roman" w:eastAsia="Times New Roman" w:hAnsi="Times New Roman"/>
                <w:sz w:val="12"/>
                <w:szCs w:val="12"/>
                <w:color w:val="auto"/>
              </w:rPr>
              <w:t>9.1%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3600" w:type="dxa"/>
            <w:vAlign w:val="bottom"/>
          </w:tcPr>
          <w:p>
            <w:pPr>
              <w:ind w:left="60"/>
              <w:spacing w:after="0" w:line="140" w:lineRule="exact"/>
              <w:rPr>
                <w:sz w:val="20"/>
                <w:szCs w:val="20"/>
                <w:color w:val="auto"/>
              </w:rPr>
            </w:pPr>
            <w:r>
              <w:rPr>
                <w:rFonts w:ascii="Times New Roman" w:cs="Times New Roman" w:eastAsia="Times New Roman" w:hAnsi="Times New Roman"/>
                <w:sz w:val="14"/>
                <w:szCs w:val="14"/>
                <w:color w:val="auto"/>
              </w:rPr>
              <w:t>Mibanco</w:t>
            </w:r>
          </w:p>
        </w:tc>
        <w:tc>
          <w:tcPr>
            <w:tcW w:w="1220" w:type="dxa"/>
            <w:vAlign w:val="bottom"/>
          </w:tcPr>
          <w:p>
            <w:pPr>
              <w:jc w:val="center"/>
              <w:ind w:left="373"/>
              <w:spacing w:after="0" w:line="140" w:lineRule="exact"/>
              <w:rPr>
                <w:sz w:val="20"/>
                <w:szCs w:val="20"/>
                <w:color w:val="auto"/>
              </w:rPr>
            </w:pPr>
            <w:r>
              <w:rPr>
                <w:rFonts w:ascii="Times New Roman" w:cs="Times New Roman" w:eastAsia="Times New Roman" w:hAnsi="Times New Roman"/>
                <w:sz w:val="14"/>
                <w:szCs w:val="14"/>
                <w:color w:val="auto"/>
                <w:w w:val="98"/>
              </w:rPr>
              <w:t>12,525</w:t>
            </w:r>
          </w:p>
        </w:tc>
        <w:tc>
          <w:tcPr>
            <w:tcW w:w="78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8"/>
              </w:rPr>
              <w:t>13,607</w:t>
            </w:r>
          </w:p>
        </w:tc>
        <w:tc>
          <w:tcPr>
            <w:tcW w:w="80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8"/>
              </w:rPr>
              <w:t>14,080</w:t>
            </w:r>
          </w:p>
        </w:tc>
        <w:tc>
          <w:tcPr>
            <w:tcW w:w="78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5"/>
              </w:rPr>
              <w:t>3.5%</w:t>
            </w:r>
          </w:p>
        </w:tc>
        <w:tc>
          <w:tcPr>
            <w:tcW w:w="80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3"/>
              </w:rPr>
              <w:t>12.4%</w:t>
            </w:r>
          </w:p>
        </w:tc>
        <w:tc>
          <w:tcPr>
            <w:tcW w:w="7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5"/>
              </w:rPr>
              <w:t>473</w:t>
            </w:r>
          </w:p>
        </w:tc>
        <w:tc>
          <w:tcPr>
            <w:tcW w:w="78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rPr>
              <w:t>1,555</w:t>
            </w:r>
          </w:p>
        </w:tc>
        <w:tc>
          <w:tcPr>
            <w:tcW w:w="80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5"/>
              </w:rPr>
              <w:t>3.5%</w:t>
            </w:r>
          </w:p>
        </w:tc>
        <w:tc>
          <w:tcPr>
            <w:tcW w:w="78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3"/>
              </w:rPr>
              <w:t>12.4%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600" w:type="dxa"/>
            <w:vAlign w:val="bottom"/>
          </w:tcPr>
          <w:p>
            <w:pPr>
              <w:ind w:left="60"/>
              <w:spacing w:after="0" w:line="140" w:lineRule="exact"/>
              <w:rPr>
                <w:sz w:val="20"/>
                <w:szCs w:val="20"/>
                <w:color w:val="auto"/>
              </w:rPr>
            </w:pPr>
            <w:r>
              <w:rPr>
                <w:rFonts w:ascii="Times New Roman" w:cs="Times New Roman" w:eastAsia="Times New Roman" w:hAnsi="Times New Roman"/>
                <w:sz w:val="14"/>
                <w:szCs w:val="14"/>
                <w:color w:val="auto"/>
              </w:rPr>
              <w:t>Mibanco Colombia</w:t>
            </w:r>
          </w:p>
        </w:tc>
        <w:tc>
          <w:tcPr>
            <w:tcW w:w="1220" w:type="dxa"/>
            <w:vAlign w:val="bottom"/>
          </w:tcPr>
          <w:p>
            <w:pPr>
              <w:jc w:val="center"/>
              <w:ind w:left="373"/>
              <w:spacing w:after="0" w:line="140" w:lineRule="exact"/>
              <w:rPr>
                <w:sz w:val="20"/>
                <w:szCs w:val="20"/>
                <w:color w:val="auto"/>
              </w:rPr>
            </w:pPr>
            <w:r>
              <w:rPr>
                <w:rFonts w:ascii="Times New Roman" w:cs="Times New Roman" w:eastAsia="Times New Roman" w:hAnsi="Times New Roman"/>
                <w:sz w:val="14"/>
                <w:szCs w:val="14"/>
                <w:color w:val="auto"/>
                <w:w w:val="95"/>
              </w:rPr>
              <w:t>1,904</w:t>
            </w:r>
          </w:p>
        </w:tc>
        <w:tc>
          <w:tcPr>
            <w:tcW w:w="78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5"/>
              </w:rPr>
              <w:t>2,315</w:t>
            </w:r>
          </w:p>
        </w:tc>
        <w:tc>
          <w:tcPr>
            <w:tcW w:w="80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5"/>
              </w:rPr>
              <w:t>2,618</w:t>
            </w:r>
          </w:p>
        </w:tc>
        <w:tc>
          <w:tcPr>
            <w:tcW w:w="78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3"/>
              </w:rPr>
              <w:t>13.1%</w:t>
            </w:r>
          </w:p>
        </w:tc>
        <w:tc>
          <w:tcPr>
            <w:tcW w:w="80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3"/>
              </w:rPr>
              <w:t>37.5%</w:t>
            </w:r>
          </w:p>
        </w:tc>
        <w:tc>
          <w:tcPr>
            <w:tcW w:w="7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5"/>
              </w:rPr>
              <w:t>207</w:t>
            </w:r>
          </w:p>
        </w:tc>
        <w:tc>
          <w:tcPr>
            <w:tcW w:w="78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5"/>
              </w:rPr>
              <w:t>847</w:t>
            </w:r>
          </w:p>
        </w:tc>
        <w:tc>
          <w:tcPr>
            <w:tcW w:w="80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5"/>
              </w:rPr>
              <w:t>8.9%</w:t>
            </w:r>
          </w:p>
        </w:tc>
        <w:tc>
          <w:tcPr>
            <w:tcW w:w="78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3"/>
              </w:rPr>
              <w:t>44.5%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600" w:type="dxa"/>
            <w:vAlign w:val="bottom"/>
          </w:tcPr>
          <w:p>
            <w:pPr>
              <w:ind w:left="60"/>
              <w:spacing w:after="0" w:line="140" w:lineRule="exact"/>
              <w:rPr>
                <w:sz w:val="20"/>
                <w:szCs w:val="20"/>
                <w:color w:val="auto"/>
              </w:rPr>
            </w:pPr>
            <w:r>
              <w:rPr>
                <w:rFonts w:ascii="Times New Roman" w:cs="Times New Roman" w:eastAsia="Times New Roman" w:hAnsi="Times New Roman"/>
                <w:sz w:val="14"/>
                <w:szCs w:val="14"/>
                <w:color w:val="auto"/>
              </w:rPr>
              <w:t>BCP Bolivia</w:t>
            </w:r>
          </w:p>
        </w:tc>
        <w:tc>
          <w:tcPr>
            <w:tcW w:w="1220" w:type="dxa"/>
            <w:vAlign w:val="bottom"/>
          </w:tcPr>
          <w:p>
            <w:pPr>
              <w:jc w:val="center"/>
              <w:ind w:left="373"/>
              <w:spacing w:after="0" w:line="140" w:lineRule="exact"/>
              <w:rPr>
                <w:sz w:val="20"/>
                <w:szCs w:val="20"/>
                <w:color w:val="auto"/>
              </w:rPr>
            </w:pPr>
            <w:r>
              <w:rPr>
                <w:rFonts w:ascii="Times New Roman" w:cs="Times New Roman" w:eastAsia="Times New Roman" w:hAnsi="Times New Roman"/>
                <w:sz w:val="14"/>
                <w:szCs w:val="14"/>
                <w:color w:val="auto"/>
                <w:w w:val="95"/>
              </w:rPr>
              <w:t>6,294</w:t>
            </w:r>
          </w:p>
        </w:tc>
        <w:tc>
          <w:tcPr>
            <w:tcW w:w="78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5"/>
              </w:rPr>
              <w:t>7,553</w:t>
            </w:r>
          </w:p>
        </w:tc>
        <w:tc>
          <w:tcPr>
            <w:tcW w:w="80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5"/>
              </w:rPr>
              <w:t>7,319</w:t>
            </w:r>
          </w:p>
        </w:tc>
        <w:tc>
          <w:tcPr>
            <w:tcW w:w="78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4"/>
              </w:rPr>
              <w:t>-3.1%</w:t>
            </w:r>
          </w:p>
        </w:tc>
        <w:tc>
          <w:tcPr>
            <w:tcW w:w="80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3"/>
              </w:rPr>
              <w:t>16.3%</w:t>
            </w:r>
          </w:p>
        </w:tc>
        <w:tc>
          <w:tcPr>
            <w:tcW w:w="7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8"/>
              </w:rPr>
              <w:t>n.a.</w:t>
            </w:r>
          </w:p>
        </w:tc>
        <w:tc>
          <w:tcPr>
            <w:tcW w:w="78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8"/>
              </w:rPr>
              <w:t>n.a.</w:t>
            </w:r>
          </w:p>
        </w:tc>
        <w:tc>
          <w:tcPr>
            <w:tcW w:w="80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8"/>
              </w:rPr>
              <w:t>n.a.</w:t>
            </w:r>
          </w:p>
        </w:tc>
        <w:tc>
          <w:tcPr>
            <w:tcW w:w="78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8"/>
              </w:rPr>
              <w:t>n.a.</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3600" w:type="dxa"/>
            <w:vAlign w:val="bottom"/>
          </w:tcPr>
          <w:p>
            <w:pPr>
              <w:ind w:left="60"/>
              <w:spacing w:after="0" w:line="137" w:lineRule="exact"/>
              <w:rPr>
                <w:sz w:val="20"/>
                <w:szCs w:val="20"/>
                <w:color w:val="auto"/>
              </w:rPr>
            </w:pPr>
            <w:r>
              <w:rPr>
                <w:rFonts w:ascii="Times New Roman" w:cs="Times New Roman" w:eastAsia="Times New Roman" w:hAnsi="Times New Roman"/>
                <w:sz w:val="14"/>
                <w:szCs w:val="14"/>
                <w:color w:val="auto"/>
              </w:rPr>
              <w:t>ASB Bank Corp.</w:t>
            </w:r>
          </w:p>
        </w:tc>
        <w:tc>
          <w:tcPr>
            <w:tcW w:w="1220" w:type="dxa"/>
            <w:vAlign w:val="bottom"/>
          </w:tcPr>
          <w:p>
            <w:pPr>
              <w:jc w:val="center"/>
              <w:ind w:left="373"/>
              <w:spacing w:after="0" w:line="137" w:lineRule="exact"/>
              <w:rPr>
                <w:sz w:val="20"/>
                <w:szCs w:val="20"/>
                <w:color w:val="auto"/>
              </w:rPr>
            </w:pPr>
            <w:r>
              <w:rPr>
                <w:rFonts w:ascii="Times New Roman" w:cs="Times New Roman" w:eastAsia="Times New Roman" w:hAnsi="Times New Roman"/>
                <w:sz w:val="14"/>
                <w:szCs w:val="14"/>
                <w:color w:val="auto"/>
                <w:w w:val="95"/>
              </w:rPr>
              <w:t>1,777</w:t>
            </w:r>
          </w:p>
        </w:tc>
        <w:tc>
          <w:tcPr>
            <w:tcW w:w="78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color w:val="auto"/>
                <w:w w:val="95"/>
              </w:rPr>
              <w:t>1,462</w:t>
            </w:r>
          </w:p>
        </w:tc>
        <w:tc>
          <w:tcPr>
            <w:tcW w:w="80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color w:val="auto"/>
                <w:w w:val="95"/>
              </w:rPr>
              <w:t>1,459</w:t>
            </w:r>
          </w:p>
        </w:tc>
        <w:tc>
          <w:tcPr>
            <w:tcW w:w="78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color w:val="auto"/>
                <w:w w:val="94"/>
              </w:rPr>
              <w:t>-0.2%</w:t>
            </w:r>
          </w:p>
        </w:tc>
        <w:tc>
          <w:tcPr>
            <w:tcW w:w="80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color w:val="auto"/>
                <w:w w:val="97"/>
              </w:rPr>
              <w:t>-17.9%</w:t>
            </w:r>
          </w:p>
        </w:tc>
        <w:tc>
          <w:tcPr>
            <w:tcW w:w="7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color w:val="auto"/>
                <w:w w:val="96"/>
              </w:rPr>
              <w:t>-57</w:t>
            </w:r>
          </w:p>
        </w:tc>
        <w:tc>
          <w:tcPr>
            <w:tcW w:w="78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color w:val="auto"/>
                <w:w w:val="93"/>
              </w:rPr>
              <w:t>-244</w:t>
            </w:r>
          </w:p>
        </w:tc>
        <w:tc>
          <w:tcPr>
            <w:tcW w:w="80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color w:val="auto"/>
              </w:rPr>
              <w:t>-3.9%</w:t>
            </w:r>
          </w:p>
        </w:tc>
        <w:tc>
          <w:tcPr>
            <w:tcW w:w="78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color w:val="auto"/>
                <w:w w:val="97"/>
              </w:rPr>
              <w:t>-13.7%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3600" w:type="dxa"/>
            <w:vAlign w:val="bottom"/>
            <w:tcBorders>
              <w:bottom w:val="single" w:sz="8" w:color="auto"/>
            </w:tcBorders>
          </w:tcPr>
          <w:p>
            <w:pPr>
              <w:ind w:left="60"/>
              <w:spacing w:after="0" w:line="163" w:lineRule="exact"/>
              <w:rPr>
                <w:sz w:val="20"/>
                <w:szCs w:val="20"/>
                <w:color w:val="auto"/>
              </w:rPr>
            </w:pPr>
            <w:r>
              <w:rPr>
                <w:rFonts w:ascii="Times New Roman" w:cs="Times New Roman" w:eastAsia="Times New Roman" w:hAnsi="Times New Roman"/>
                <w:sz w:val="12"/>
                <w:szCs w:val="12"/>
                <w:color w:val="auto"/>
              </w:rPr>
              <w:t xml:space="preserve">Others </w:t>
            </w:r>
            <w:r>
              <w:rPr>
                <w:rFonts w:ascii="Times New Roman" w:cs="Times New Roman" w:eastAsia="Times New Roman" w:hAnsi="Times New Roman"/>
                <w:sz w:val="18"/>
                <w:szCs w:val="18"/>
                <w:color w:val="auto"/>
                <w:vertAlign w:val="superscript"/>
              </w:rPr>
              <w:t>(1)</w:t>
            </w:r>
          </w:p>
        </w:tc>
        <w:tc>
          <w:tcPr>
            <w:tcW w:w="1220" w:type="dxa"/>
            <w:vAlign w:val="bottom"/>
            <w:tcBorders>
              <w:bottom w:val="single" w:sz="8" w:color="auto"/>
            </w:tcBorders>
          </w:tcPr>
          <w:p>
            <w:pPr>
              <w:jc w:val="center"/>
              <w:ind w:left="353"/>
              <w:spacing w:after="0"/>
              <w:rPr>
                <w:sz w:val="20"/>
                <w:szCs w:val="20"/>
                <w:color w:val="auto"/>
              </w:rPr>
            </w:pPr>
            <w:r>
              <w:rPr>
                <w:rFonts w:ascii="Times New Roman" w:cs="Times New Roman" w:eastAsia="Times New Roman" w:hAnsi="Times New Roman"/>
                <w:sz w:val="14"/>
                <w:szCs w:val="14"/>
                <w:color w:val="auto"/>
                <w:w w:val="93"/>
              </w:rPr>
              <w:t>-682</w:t>
            </w: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3"/>
              </w:rPr>
              <w:t>-153</w:t>
            </w: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-794</w:t>
            </w: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418.5%</w:t>
            </w: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3"/>
              </w:rPr>
              <w:t>16.4%</w:t>
            </w: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3"/>
              </w:rPr>
              <w:t>-644</w:t>
            </w: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-93</w:t>
            </w: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420.5%</w:t>
            </w: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3"/>
              </w:rPr>
              <w:t>13.7%</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3600" w:type="dxa"/>
            <w:vAlign w:val="bottom"/>
            <w:tcBorders>
              <w:bottom w:val="single" w:sz="8" w:color="auto"/>
            </w:tcBorders>
          </w:tcPr>
          <w:p>
            <w:pPr>
              <w:ind w:left="60"/>
              <w:spacing w:after="0" w:line="133" w:lineRule="exact"/>
              <w:rPr>
                <w:sz w:val="20"/>
                <w:szCs w:val="20"/>
                <w:color w:val="auto"/>
              </w:rPr>
            </w:pPr>
            <w:r>
              <w:rPr>
                <w:rFonts w:ascii="Times New Roman" w:cs="Times New Roman" w:eastAsia="Times New Roman" w:hAnsi="Times New Roman"/>
                <w:sz w:val="14"/>
                <w:szCs w:val="14"/>
                <w:b w:val="1"/>
                <w:bCs w:val="1"/>
                <w:color w:val="auto"/>
              </w:rPr>
              <w:t>Total Loans BAP</w:t>
            </w:r>
          </w:p>
        </w:tc>
        <w:tc>
          <w:tcPr>
            <w:tcW w:w="1220" w:type="dxa"/>
            <w:vAlign w:val="bottom"/>
            <w:tcBorders>
              <w:bottom w:val="single" w:sz="8" w:color="auto"/>
            </w:tcBorders>
          </w:tcPr>
          <w:p>
            <w:pPr>
              <w:jc w:val="center"/>
              <w:ind w:left="353"/>
              <w:spacing w:after="0" w:line="133" w:lineRule="exact"/>
              <w:rPr>
                <w:sz w:val="20"/>
                <w:szCs w:val="20"/>
                <w:color w:val="auto"/>
              </w:rPr>
            </w:pPr>
            <w:r>
              <w:rPr>
                <w:rFonts w:ascii="Times New Roman" w:cs="Times New Roman" w:eastAsia="Times New Roman" w:hAnsi="Times New Roman"/>
                <w:sz w:val="14"/>
                <w:szCs w:val="14"/>
                <w:b w:val="1"/>
                <w:bCs w:val="1"/>
                <w:color w:val="auto"/>
                <w:w w:val="96"/>
              </w:rPr>
              <w:t>141,197</w:t>
            </w:r>
          </w:p>
        </w:tc>
        <w:tc>
          <w:tcPr>
            <w:tcW w:w="780" w:type="dxa"/>
            <w:vAlign w:val="bottom"/>
            <w:tcBorders>
              <w:bottom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6"/>
              </w:rPr>
              <w:t>149,985</w:t>
            </w:r>
          </w:p>
        </w:tc>
        <w:tc>
          <w:tcPr>
            <w:tcW w:w="800" w:type="dxa"/>
            <w:vAlign w:val="bottom"/>
            <w:tcBorders>
              <w:bottom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6"/>
              </w:rPr>
              <w:t>152,825</w:t>
            </w:r>
          </w:p>
        </w:tc>
        <w:tc>
          <w:tcPr>
            <w:tcW w:w="780" w:type="dxa"/>
            <w:vAlign w:val="bottom"/>
            <w:tcBorders>
              <w:bottom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5"/>
              </w:rPr>
              <w:t>1.9%</w:t>
            </w:r>
          </w:p>
        </w:tc>
        <w:tc>
          <w:tcPr>
            <w:tcW w:w="800" w:type="dxa"/>
            <w:vAlign w:val="bottom"/>
            <w:tcBorders>
              <w:bottom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5"/>
              </w:rPr>
              <w:t>8.2%</w:t>
            </w:r>
          </w:p>
        </w:tc>
        <w:tc>
          <w:tcPr>
            <w:tcW w:w="760" w:type="dxa"/>
            <w:vAlign w:val="bottom"/>
            <w:tcBorders>
              <w:bottom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1"/>
              </w:rPr>
              <w:t>n.a.</w:t>
            </w:r>
          </w:p>
        </w:tc>
        <w:tc>
          <w:tcPr>
            <w:tcW w:w="780" w:type="dxa"/>
            <w:vAlign w:val="bottom"/>
            <w:tcBorders>
              <w:bottom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1"/>
              </w:rPr>
              <w:t>n.a.</w:t>
            </w:r>
          </w:p>
        </w:tc>
        <w:tc>
          <w:tcPr>
            <w:tcW w:w="800" w:type="dxa"/>
            <w:vAlign w:val="bottom"/>
            <w:tcBorders>
              <w:bottom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rPr>
              <w:t>n.a.</w:t>
            </w:r>
          </w:p>
        </w:tc>
        <w:tc>
          <w:tcPr>
            <w:tcW w:w="780" w:type="dxa"/>
            <w:vAlign w:val="bottom"/>
            <w:tcBorders>
              <w:bottom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rPr>
              <w:t>n.a.</w:t>
            </w: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600" w:type="dxa"/>
            <w:vAlign w:val="bottom"/>
          </w:tcPr>
          <w:p>
            <w:pPr>
              <w:ind w:left="60"/>
              <w:spacing w:after="0" w:line="108" w:lineRule="exact"/>
              <w:rPr>
                <w:sz w:val="20"/>
                <w:szCs w:val="20"/>
                <w:color w:val="auto"/>
              </w:rPr>
            </w:pPr>
            <w:r>
              <w:rPr>
                <w:rFonts w:ascii="Times New Roman" w:cs="Times New Roman" w:eastAsia="Times New Roman" w:hAnsi="Times New Roman"/>
                <w:sz w:val="12"/>
                <w:szCs w:val="12"/>
                <w:color w:val="auto"/>
              </w:rPr>
              <w:t>BCP Bolivia (Adjusted for Asset Revaluation)</w:t>
            </w:r>
          </w:p>
        </w:tc>
        <w:tc>
          <w:tcPr>
            <w:tcW w:w="1220" w:type="dxa"/>
            <w:vAlign w:val="bottom"/>
          </w:tcPr>
          <w:p>
            <w:pPr>
              <w:jc w:val="center"/>
              <w:ind w:left="373"/>
              <w:spacing w:after="0" w:line="108" w:lineRule="exact"/>
              <w:rPr>
                <w:sz w:val="20"/>
                <w:szCs w:val="20"/>
                <w:color w:val="auto"/>
              </w:rPr>
            </w:pPr>
            <w:r>
              <w:rPr>
                <w:rFonts w:ascii="Times New Roman" w:cs="Times New Roman" w:eastAsia="Times New Roman" w:hAnsi="Times New Roman"/>
                <w:sz w:val="12"/>
                <w:szCs w:val="12"/>
                <w:color w:val="auto"/>
              </w:rPr>
              <w:t>9,877</w:t>
            </w:r>
          </w:p>
        </w:tc>
        <w:tc>
          <w:tcPr>
            <w:tcW w:w="780" w:type="dxa"/>
            <w:vAlign w:val="bottom"/>
          </w:tcPr>
          <w:p>
            <w:pPr>
              <w:jc w:val="center"/>
              <w:spacing w:after="0" w:line="108" w:lineRule="exact"/>
              <w:rPr>
                <w:sz w:val="20"/>
                <w:szCs w:val="20"/>
                <w:color w:val="auto"/>
              </w:rPr>
            </w:pPr>
            <w:r>
              <w:rPr>
                <w:rFonts w:ascii="Times New Roman" w:cs="Times New Roman" w:eastAsia="Times New Roman" w:hAnsi="Times New Roman"/>
                <w:sz w:val="12"/>
                <w:szCs w:val="12"/>
                <w:color w:val="auto"/>
              </w:rPr>
              <w:t>9,258</w:t>
            </w:r>
          </w:p>
        </w:tc>
        <w:tc>
          <w:tcPr>
            <w:tcW w:w="800" w:type="dxa"/>
            <w:vAlign w:val="bottom"/>
          </w:tcPr>
          <w:p>
            <w:pPr>
              <w:jc w:val="center"/>
              <w:spacing w:after="0" w:line="108" w:lineRule="exact"/>
              <w:rPr>
                <w:sz w:val="20"/>
                <w:szCs w:val="20"/>
                <w:color w:val="auto"/>
              </w:rPr>
            </w:pPr>
            <w:r>
              <w:rPr>
                <w:rFonts w:ascii="Times New Roman" w:cs="Times New Roman" w:eastAsia="Times New Roman" w:hAnsi="Times New Roman"/>
                <w:sz w:val="12"/>
                <w:szCs w:val="12"/>
                <w:color w:val="auto"/>
              </w:rPr>
              <w:t>9,685</w:t>
            </w:r>
          </w:p>
        </w:tc>
        <w:tc>
          <w:tcPr>
            <w:tcW w:w="780" w:type="dxa"/>
            <w:vAlign w:val="bottom"/>
          </w:tcPr>
          <w:p>
            <w:pPr>
              <w:jc w:val="center"/>
              <w:spacing w:after="0" w:line="108" w:lineRule="exact"/>
              <w:rPr>
                <w:sz w:val="20"/>
                <w:szCs w:val="20"/>
                <w:color w:val="auto"/>
              </w:rPr>
            </w:pPr>
            <w:r>
              <w:rPr>
                <w:rFonts w:ascii="Times New Roman" w:cs="Times New Roman" w:eastAsia="Times New Roman" w:hAnsi="Times New Roman"/>
                <w:sz w:val="12"/>
                <w:szCs w:val="12"/>
                <w:color w:val="auto"/>
              </w:rPr>
              <w:t>4.6%</w:t>
            </w:r>
          </w:p>
        </w:tc>
        <w:tc>
          <w:tcPr>
            <w:tcW w:w="800" w:type="dxa"/>
            <w:vAlign w:val="bottom"/>
          </w:tcPr>
          <w:p>
            <w:pPr>
              <w:jc w:val="center"/>
              <w:spacing w:after="0" w:line="108" w:lineRule="exact"/>
              <w:rPr>
                <w:sz w:val="20"/>
                <w:szCs w:val="20"/>
                <w:color w:val="auto"/>
              </w:rPr>
            </w:pPr>
            <w:r>
              <w:rPr>
                <w:rFonts w:ascii="Times New Roman" w:cs="Times New Roman" w:eastAsia="Times New Roman" w:hAnsi="Times New Roman"/>
                <w:sz w:val="12"/>
                <w:szCs w:val="12"/>
                <w:color w:val="auto"/>
              </w:rPr>
              <w:t>-1.9%</w:t>
            </w:r>
          </w:p>
        </w:tc>
        <w:tc>
          <w:tcPr>
            <w:tcW w:w="760" w:type="dxa"/>
            <w:vAlign w:val="bottom"/>
          </w:tcPr>
          <w:p>
            <w:pPr>
              <w:jc w:val="center"/>
              <w:spacing w:after="0" w:line="108" w:lineRule="exact"/>
              <w:rPr>
                <w:sz w:val="20"/>
                <w:szCs w:val="20"/>
                <w:color w:val="auto"/>
              </w:rPr>
            </w:pPr>
            <w:r>
              <w:rPr>
                <w:rFonts w:ascii="Times New Roman" w:cs="Times New Roman" w:eastAsia="Times New Roman" w:hAnsi="Times New Roman"/>
                <w:sz w:val="12"/>
                <w:szCs w:val="12"/>
                <w:color w:val="auto"/>
                <w:w w:val="99"/>
              </w:rPr>
              <w:t>65</w:t>
            </w:r>
          </w:p>
        </w:tc>
        <w:tc>
          <w:tcPr>
            <w:tcW w:w="780" w:type="dxa"/>
            <w:vAlign w:val="bottom"/>
          </w:tcPr>
          <w:p>
            <w:pPr>
              <w:jc w:val="center"/>
              <w:spacing w:after="0" w:line="108" w:lineRule="exact"/>
              <w:rPr>
                <w:sz w:val="20"/>
                <w:szCs w:val="20"/>
                <w:color w:val="auto"/>
              </w:rPr>
            </w:pPr>
            <w:r>
              <w:rPr>
                <w:rFonts w:ascii="Times New Roman" w:cs="Times New Roman" w:eastAsia="Times New Roman" w:hAnsi="Times New Roman"/>
                <w:sz w:val="12"/>
                <w:szCs w:val="12"/>
                <w:color w:val="auto"/>
              </w:rPr>
              <w:t>293</w:t>
            </w:r>
          </w:p>
        </w:tc>
        <w:tc>
          <w:tcPr>
            <w:tcW w:w="800" w:type="dxa"/>
            <w:vAlign w:val="bottom"/>
          </w:tcPr>
          <w:p>
            <w:pPr>
              <w:jc w:val="center"/>
              <w:spacing w:after="0" w:line="108" w:lineRule="exact"/>
              <w:rPr>
                <w:sz w:val="20"/>
                <w:szCs w:val="20"/>
                <w:color w:val="auto"/>
              </w:rPr>
            </w:pPr>
            <w:r>
              <w:rPr>
                <w:rFonts w:ascii="Times New Roman" w:cs="Times New Roman" w:eastAsia="Times New Roman" w:hAnsi="Times New Roman"/>
                <w:sz w:val="12"/>
                <w:szCs w:val="12"/>
                <w:color w:val="auto"/>
              </w:rPr>
              <w:t>0.7%</w:t>
            </w:r>
          </w:p>
        </w:tc>
        <w:tc>
          <w:tcPr>
            <w:tcW w:w="780" w:type="dxa"/>
            <w:vAlign w:val="bottom"/>
          </w:tcPr>
          <w:p>
            <w:pPr>
              <w:jc w:val="center"/>
              <w:spacing w:after="0" w:line="108" w:lineRule="exact"/>
              <w:rPr>
                <w:sz w:val="20"/>
                <w:szCs w:val="20"/>
                <w:color w:val="auto"/>
              </w:rPr>
            </w:pPr>
            <w:r>
              <w:rPr>
                <w:rFonts w:ascii="Times New Roman" w:cs="Times New Roman" w:eastAsia="Times New Roman" w:hAnsi="Times New Roman"/>
                <w:sz w:val="12"/>
                <w:szCs w:val="12"/>
                <w:color w:val="auto"/>
              </w:rPr>
              <w:t>3.0%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36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Total Loans BAP (Adjusted for Asset Revaluation)</w:t>
            </w:r>
          </w:p>
        </w:tc>
        <w:tc>
          <w:tcPr>
            <w:tcW w:w="1220" w:type="dxa"/>
            <w:vAlign w:val="bottom"/>
          </w:tcPr>
          <w:p>
            <w:pPr>
              <w:jc w:val="center"/>
              <w:ind w:left="353"/>
              <w:spacing w:after="0"/>
              <w:rPr>
                <w:sz w:val="20"/>
                <w:szCs w:val="20"/>
                <w:color w:val="auto"/>
              </w:rPr>
            </w:pPr>
            <w:r>
              <w:rPr>
                <w:rFonts w:ascii="Times New Roman" w:cs="Times New Roman" w:eastAsia="Times New Roman" w:hAnsi="Times New Roman"/>
                <w:sz w:val="14"/>
                <w:szCs w:val="14"/>
                <w:b w:val="1"/>
                <w:bCs w:val="1"/>
                <w:color w:val="auto"/>
                <w:w w:val="96"/>
              </w:rPr>
              <w:t>144,780</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151,690</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155,190</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2.3%</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7.2%</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1,452</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13,242</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1.0%</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9.1%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20" w:lineRule="auto"/>
        <w:rPr>
          <w:sz w:val="20"/>
          <w:szCs w:val="20"/>
          <w:color w:val="auto"/>
        </w:rPr>
      </w:pPr>
      <w:r>
        <w:rPr>
          <w:rFonts w:ascii="Times New Roman" w:cs="Times New Roman" w:eastAsia="Times New Roman" w:hAnsi="Times New Roman"/>
          <w:sz w:val="12"/>
          <w:szCs w:val="12"/>
          <w:color w:val="auto"/>
        </w:rPr>
        <w:t>For consolidation purposes, loans generated in Foreign Currency (FC) are converted into Local Currency (LC).</w:t>
      </w:r>
    </w:p>
    <w:p>
      <w:pPr>
        <w:spacing w:after="0"/>
        <w:rPr>
          <w:sz w:val="20"/>
          <w:szCs w:val="20"/>
          <w:color w:val="auto"/>
        </w:rPr>
      </w:pPr>
      <w:r>
        <w:rPr>
          <w:rFonts w:ascii="Times New Roman" w:cs="Times New Roman" w:eastAsia="Times New Roman" w:hAnsi="Times New Roman"/>
          <w:sz w:val="12"/>
          <w:szCs w:val="12"/>
          <w:color w:val="auto"/>
        </w:rPr>
        <w:t>(1) Includes eliminations for intercompany transactions.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b w:val="1"/>
          <w:bCs w:val="1"/>
          <w:color w:val="auto"/>
        </w:rPr>
        <w:t xml:space="preserve">QoQ, </w:t>
      </w:r>
      <w:r>
        <w:rPr>
          <w:rFonts w:ascii="Times New Roman" w:cs="Times New Roman" w:eastAsia="Times New Roman" w:hAnsi="Times New Roman"/>
          <w:sz w:val="17"/>
          <w:szCs w:val="17"/>
          <w:color w:val="auto"/>
        </w:rPr>
        <w:t>loan evolution at a Neutral Exchange rate was driven mainly by</w:t>
      </w:r>
      <w:r>
        <w:rPr>
          <w:rFonts w:ascii="Times New Roman" w:cs="Times New Roman" w:eastAsia="Times New Roman" w:hAnsi="Times New Roman"/>
          <w:sz w:val="17"/>
          <w:szCs w:val="17"/>
          <w:b w:val="1"/>
          <w:bCs w:val="1"/>
          <w:color w:val="auto"/>
        </w:rPr>
        <w:t xml:space="preserve"> BCP Stand-alone (+1.1%), </w:t>
      </w:r>
      <w:r>
        <w:rPr>
          <w:rFonts w:ascii="Times New Roman" w:cs="Times New Roman" w:eastAsia="Times New Roman" w:hAnsi="Times New Roman"/>
          <w:sz w:val="17"/>
          <w:szCs w:val="17"/>
          <w:color w:val="auto"/>
        </w:rPr>
        <w:t>followed by</w:t>
      </w:r>
      <w:r>
        <w:rPr>
          <w:rFonts w:ascii="Times New Roman" w:cs="Times New Roman" w:eastAsia="Times New Roman" w:hAnsi="Times New Roman"/>
          <w:sz w:val="17"/>
          <w:szCs w:val="17"/>
          <w:b w:val="1"/>
          <w:bCs w:val="1"/>
          <w:color w:val="auto"/>
        </w:rPr>
        <w:t xml:space="preserve"> Mibanco (+3.5%). </w:t>
      </w:r>
      <w:r>
        <w:rPr>
          <w:rFonts w:ascii="Times New Roman" w:cs="Times New Roman" w:eastAsia="Times New Roman" w:hAnsi="Times New Roman"/>
          <w:sz w:val="17"/>
          <w:szCs w:val="17"/>
          <w:color w:val="auto"/>
        </w:rPr>
        <w:t>At</w:t>
      </w:r>
      <w:r>
        <w:rPr>
          <w:rFonts w:ascii="Times New Roman" w:cs="Times New Roman" w:eastAsia="Times New Roman" w:hAnsi="Times New Roman"/>
          <w:sz w:val="17"/>
          <w:szCs w:val="17"/>
          <w:b w:val="1"/>
          <w:bCs w:val="1"/>
          <w:color w:val="auto"/>
        </w:rPr>
        <w:t xml:space="preserve"> Mibanco</w:t>
      </w:r>
      <w:r>
        <w:rPr>
          <w:rFonts w:ascii="Times New Roman" w:cs="Times New Roman" w:eastAsia="Times New Roman" w:hAnsi="Times New Roman"/>
          <w:sz w:val="17"/>
          <w:szCs w:val="17"/>
          <w:color w:val="auto"/>
        </w:rPr>
        <w:t>, loan growth was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driven primarily by an acceleration in loan disbursements, which hit a peak in the month of March, fueled mainly by smaller ticket and higher yield loans.</w:t>
      </w:r>
    </w:p>
    <w:p>
      <w:pPr>
        <w:spacing w:after="0" w:line="15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b w:val="1"/>
          <w:bCs w:val="1"/>
          <w:color w:val="auto"/>
        </w:rPr>
        <w:t>YoY</w:t>
      </w:r>
      <w:r>
        <w:rPr>
          <w:rFonts w:ascii="Times New Roman" w:cs="Times New Roman" w:eastAsia="Times New Roman" w:hAnsi="Times New Roman"/>
          <w:sz w:val="17"/>
          <w:szCs w:val="17"/>
          <w:color w:val="auto"/>
        </w:rPr>
        <w:t>, loan evolution at a Neutral Exchange rate was fueled mainly by</w:t>
      </w:r>
      <w:r>
        <w:rPr>
          <w:rFonts w:ascii="Times New Roman" w:cs="Times New Roman" w:eastAsia="Times New Roman" w:hAnsi="Times New Roman"/>
          <w:sz w:val="17"/>
          <w:szCs w:val="17"/>
          <w:b w:val="1"/>
          <w:bCs w:val="1"/>
          <w:color w:val="auto"/>
        </w:rPr>
        <w:t xml:space="preserve"> BCP Stand-alone (+9.1%) </w:t>
      </w:r>
      <w:r>
        <w:rPr>
          <w:rFonts w:ascii="Times New Roman" w:cs="Times New Roman" w:eastAsia="Times New Roman" w:hAnsi="Times New Roman"/>
          <w:sz w:val="17"/>
          <w:szCs w:val="17"/>
          <w:color w:val="auto"/>
        </w:rPr>
        <w:t>and secondarily by</w:t>
      </w:r>
      <w:r>
        <w:rPr>
          <w:rFonts w:ascii="Times New Roman" w:cs="Times New Roman" w:eastAsia="Times New Roman" w:hAnsi="Times New Roman"/>
          <w:sz w:val="17"/>
          <w:szCs w:val="17"/>
          <w:b w:val="1"/>
          <w:bCs w:val="1"/>
          <w:color w:val="auto"/>
        </w:rPr>
        <w:t xml:space="preserve"> Mibanco (+12.4%)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b w:val="1"/>
          <w:bCs w:val="1"/>
          <w:color w:val="auto"/>
        </w:rPr>
        <w:t xml:space="preserve"> Mibanco Colombia (+44.5%)</w:t>
      </w:r>
      <w:r>
        <w:rPr>
          <w:rFonts w:ascii="Times New Roman" w:cs="Times New Roman" w:eastAsia="Times New Roman" w:hAnsi="Times New Roman"/>
          <w:sz w:val="17"/>
          <w:szCs w:val="17"/>
          <w:color w:val="auto"/>
        </w:rPr>
        <w:t>. At</w:t>
      </w:r>
      <w:r>
        <w:rPr>
          <w:rFonts w:ascii="Times New Roman" w:cs="Times New Roman" w:eastAsia="Times New Roman" w:hAnsi="Times New Roman"/>
          <w:sz w:val="17"/>
          <w:szCs w:val="17"/>
          <w:b w:val="1"/>
          <w:bCs w:val="1"/>
          <w:color w:val="auto"/>
        </w:rPr>
        <w:t xml:space="preserve"> Mibanco</w:t>
      </w:r>
      <w:r>
        <w:rPr>
          <w:rFonts w:ascii="Times New Roman" w:cs="Times New Roman" w:eastAsia="Times New Roman" w:hAnsi="Times New Roman"/>
          <w:sz w:val="17"/>
          <w:szCs w:val="17"/>
          <w:color w:val="auto"/>
        </w:rPr>
        <w:t>, loans rose on the back of an uptick in disbursements, which began gaining traction last year and rose in YoY terms, supported by a more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dynamic microfinance environment. At </w:t>
      </w:r>
      <w:r>
        <w:rPr>
          <w:rFonts w:ascii="Times New Roman" w:cs="Times New Roman" w:eastAsia="Times New Roman" w:hAnsi="Times New Roman"/>
          <w:sz w:val="17"/>
          <w:szCs w:val="17"/>
          <w:b w:val="1"/>
          <w:bCs w:val="1"/>
          <w:color w:val="auto"/>
        </w:rPr>
        <w:t>Mibanco Colombia,</w:t>
      </w:r>
      <w:r>
        <w:rPr>
          <w:rFonts w:ascii="Times New Roman" w:cs="Times New Roman" w:eastAsia="Times New Roman" w:hAnsi="Times New Roman"/>
          <w:sz w:val="17"/>
          <w:szCs w:val="17"/>
          <w:color w:val="auto"/>
        </w:rPr>
        <w:t xml:space="preserve"> growth was robust </w:t>
      </w:r>
      <w:r>
        <w:rPr>
          <w:rFonts w:ascii="Times New Roman" w:cs="Times New Roman" w:eastAsia="Times New Roman" w:hAnsi="Times New Roman"/>
          <w:sz w:val="17"/>
          <w:szCs w:val="17"/>
          <w:b w:val="1"/>
          <w:bCs w:val="1"/>
          <w:color w:val="auto"/>
        </w:rPr>
        <w:t>YoY,</w:t>
      </w:r>
      <w:r>
        <w:rPr>
          <w:rFonts w:ascii="Times New Roman" w:cs="Times New Roman" w:eastAsia="Times New Roman" w:hAnsi="Times New Roman"/>
          <w:sz w:val="17"/>
          <w:szCs w:val="17"/>
          <w:color w:val="auto"/>
        </w:rPr>
        <w:t xml:space="preserve"> as loans continued to recover significantly, spurred by the origination guidelines implemented in 2024 and a more favorable economic context for microfinance.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151765</wp:posOffset>
            </wp:positionV>
            <wp:extent cx="142621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426210" cy="825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120" w:hanging="118"/>
        <w:spacing w:after="0"/>
        <w:tabs>
          <w:tab w:leader="none" w:pos="120" w:val="left"/>
        </w:tabs>
        <w:numPr>
          <w:ilvl w:val="0"/>
          <w:numId w:val="1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As in recent quarters, this evolution is impacted by a non-cash accounting adjustment for the revaluation of assets related to the balance sheet of BCP Bolivia.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944245</wp:posOffset>
            </wp:positionV>
            <wp:extent cx="7140575" cy="158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0575" cy="15875"/>
                    </a:xfrm>
                    <a:prstGeom prst="rect">
                      <a:avLst/>
                    </a:prstGeom>
                    <a:noFill/>
                  </pic:spPr>
                </pic:pic>
              </a:graphicData>
            </a:graphic>
          </wp:anchor>
        </w:drawing>
        <w:drawing>
          <wp:anchor simplePos="0" relativeHeight="251657728" behindDoc="1" locked="0" layoutInCell="0" allowOverlap="1">
            <wp:simplePos x="0" y="0"/>
            <wp:positionH relativeFrom="column">
              <wp:posOffset>331470</wp:posOffset>
            </wp:positionH>
            <wp:positionV relativeFrom="paragraph">
              <wp:posOffset>121920</wp:posOffset>
            </wp:positionV>
            <wp:extent cx="6447155" cy="5480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447155" cy="548005"/>
                    </a:xfrm>
                    <a:prstGeom prst="rect">
                      <a:avLst/>
                    </a:prstGeom>
                    <a:noFill/>
                  </pic:spPr>
                </pic:pic>
              </a:graphicData>
            </a:graphic>
          </wp:anchor>
        </w:drawing>
      </w:r>
    </w:p>
    <w:p>
      <w:pPr>
        <w:sectPr>
          <w:pgSz w:w="11900" w:h="16838" w:orient="portrait"/>
          <w:cols w:equalWidth="0" w:num="1">
            <w:col w:w="11240"/>
          </w:cols>
          <w:pgMar w:left="320" w:top="343" w:right="339" w:bottom="1440" w:gutter="0" w:footer="0" w:header="0"/>
        </w:sectPr>
      </w:pPr>
    </w:p>
    <w:bookmarkStart w:id="17" w:name="page18"/>
    <w:bookmarkEnd w:id="17"/>
    <w:p>
      <w:pPr>
        <w:ind w:left="3140"/>
        <w:spacing w:after="0"/>
        <w:tabs>
          <w:tab w:leader="none" w:pos="3320" w:val="left"/>
          <w:tab w:leader="none" w:pos="9060" w:val="left"/>
        </w:tabs>
        <w:rPr>
          <w:sz w:val="20"/>
          <w:szCs w:val="20"/>
          <w:color w:val="auto"/>
        </w:rPr>
      </w:pPr>
      <w:r>
        <w:rPr>
          <w:rFonts w:ascii="Times New Roman" w:cs="Times New Roman" w:eastAsia="Times New Roman" w:hAnsi="Times New Roman"/>
          <w:sz w:val="14"/>
          <w:szCs w:val="14"/>
          <w:color w:val="A6A6A6"/>
        </w:rPr>
        <w:drawing>
          <wp:anchor simplePos="0" relativeHeight="251657728" behindDoc="1" locked="0" layoutInCell="0" allowOverlap="1">
            <wp:simplePos x="0" y="0"/>
            <wp:positionH relativeFrom="page">
              <wp:posOffset>204470</wp:posOffset>
            </wp:positionH>
            <wp:positionV relativeFrom="page">
              <wp:posOffset>217805</wp:posOffset>
            </wp:positionV>
            <wp:extent cx="7140575" cy="6927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0575" cy="692785"/>
                    </a:xfrm>
                    <a:prstGeom prst="rect">
                      <a:avLst/>
                    </a:prstGeom>
                    <a:noFill/>
                  </pic:spPr>
                </pic:pic>
              </a:graphicData>
            </a:graphic>
          </wp:anchor>
        </w:drawing>
        <w:t>|</w:t>
      </w:r>
      <w:r>
        <w:rPr>
          <w:rFonts w:ascii="Times New Roman" w:cs="Times New Roman" w:eastAsia="Times New Roman" w:hAnsi="Times New Roman"/>
          <w:sz w:val="14"/>
          <w:szCs w:val="14"/>
          <w:color w:val="FFFFFF"/>
        </w:rPr>
        <w:tab/>
        <w:t>Earnings Release 1Q / 2026</w:t>
      </w:r>
      <w:r>
        <w:rPr>
          <w:sz w:val="20"/>
          <w:szCs w:val="20"/>
          <w:color w:val="auto"/>
        </w:rPr>
        <w:tab/>
      </w:r>
      <w:r>
        <w:rPr>
          <w:rFonts w:ascii="Times New Roman" w:cs="Times New Roman" w:eastAsia="Times New Roman" w:hAnsi="Times New Roman"/>
          <w:sz w:val="12"/>
          <w:szCs w:val="12"/>
          <w:color w:val="FF00FF"/>
        </w:rPr>
        <w:t>Analysis of 1Q26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7140575" cy="2095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0575" cy="20955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FFFFFF"/>
        </w:rPr>
        <w:t>01. Loan Portfolio</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Next, we will analyze dynamics by segment at </w:t>
      </w:r>
      <w:r>
        <w:rPr>
          <w:rFonts w:ascii="Times New Roman" w:cs="Times New Roman" w:eastAsia="Times New Roman" w:hAnsi="Times New Roman"/>
          <w:sz w:val="17"/>
          <w:szCs w:val="17"/>
          <w:b w:val="1"/>
          <w:bCs w:val="1"/>
          <w:color w:val="auto"/>
        </w:rPr>
        <w:t>BCP Stand-alone</w:t>
      </w:r>
      <w:r>
        <w:rPr>
          <w:rFonts w:ascii="Times New Roman" w:cs="Times New Roman" w:eastAsia="Times New Roman" w:hAnsi="Times New Roman"/>
          <w:sz w:val="17"/>
          <w:szCs w:val="17"/>
          <w:color w:val="auto"/>
        </w:rPr>
        <w:t>:</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QoQ: Total loans by Segment at BCP Stand-alone (in Quarter-end balances)</w:t>
      </w:r>
    </w:p>
    <w:p>
      <w:pPr>
        <w:spacing w:after="0" w:line="211" w:lineRule="exact"/>
        <w:rPr>
          <w:sz w:val="20"/>
          <w:szCs w:val="20"/>
          <w:color w:val="auto"/>
        </w:rPr>
      </w:pPr>
    </w:p>
    <w:tbl>
      <w:tblPr>
        <w:tblLayout w:type="fixed"/>
        <w:tblInd w:w="10" w:type="dxa"/>
        <w:tblCellMar>
          <w:top w:w="0" w:type="dxa"/>
          <w:left w:w="0" w:type="dxa"/>
          <w:bottom w:w="0" w:type="dxa"/>
          <w:right w:w="0" w:type="dxa"/>
        </w:tblCellMar>
      </w:tblPr>
      <w:tr>
        <w:trPr>
          <w:trHeight w:val="128"/>
        </w:trPr>
        <w:tc>
          <w:tcPr>
            <w:tcW w:w="3960" w:type="dxa"/>
            <w:vAlign w:val="bottom"/>
            <w:tcBorders>
              <w:top w:val="single" w:sz="8" w:color="auto"/>
              <w:left w:val="single" w:sz="8" w:color="auto"/>
              <w:right w:val="single" w:sz="8" w:color="auto"/>
            </w:tcBorders>
            <w:vMerge w:val="restart"/>
            <w:shd w:val="clear" w:color="auto" w:fill="2AD2C9"/>
          </w:tcPr>
          <w:p>
            <w:pPr>
              <w:ind w:left="20"/>
              <w:spacing w:after="0"/>
              <w:rPr>
                <w:sz w:val="20"/>
                <w:szCs w:val="20"/>
                <w:color w:val="auto"/>
              </w:rPr>
            </w:pPr>
            <w:r>
              <w:rPr>
                <w:rFonts w:ascii="Times New Roman" w:cs="Times New Roman" w:eastAsia="Times New Roman" w:hAnsi="Times New Roman"/>
                <w:sz w:val="14"/>
                <w:szCs w:val="14"/>
                <w:b w:val="1"/>
                <w:bCs w:val="1"/>
                <w:color w:val="FFFFFF"/>
              </w:rPr>
              <w:t>Total Loans</w:t>
            </w:r>
          </w:p>
        </w:tc>
        <w:tc>
          <w:tcPr>
            <w:tcW w:w="700" w:type="dxa"/>
            <w:vAlign w:val="bottom"/>
            <w:tcBorders>
              <w:top w:val="single" w:sz="8" w:color="auto"/>
            </w:tcBorders>
            <w:shd w:val="clear" w:color="auto" w:fill="2AD2C9"/>
          </w:tcPr>
          <w:p>
            <w:pPr>
              <w:spacing w:after="0"/>
              <w:rPr>
                <w:sz w:val="11"/>
                <w:szCs w:val="11"/>
                <w:color w:val="auto"/>
              </w:rPr>
            </w:pPr>
          </w:p>
        </w:tc>
        <w:tc>
          <w:tcPr>
            <w:tcW w:w="1120" w:type="dxa"/>
            <w:vAlign w:val="bottom"/>
            <w:tcBorders>
              <w:top w:val="single" w:sz="8" w:color="auto"/>
              <w:right w:val="single" w:sz="8" w:color="auto"/>
            </w:tcBorders>
            <w:vMerge w:val="restart"/>
            <w:shd w:val="clear" w:color="auto" w:fill="2AD2C9"/>
          </w:tcPr>
          <w:p>
            <w:pPr>
              <w:ind w:left="40"/>
              <w:spacing w:after="0"/>
              <w:rPr>
                <w:sz w:val="20"/>
                <w:szCs w:val="20"/>
                <w:color w:val="auto"/>
              </w:rPr>
            </w:pPr>
            <w:r>
              <w:rPr>
                <w:rFonts w:ascii="Times New Roman" w:cs="Times New Roman" w:eastAsia="Times New Roman" w:hAnsi="Times New Roman"/>
                <w:sz w:val="14"/>
                <w:szCs w:val="14"/>
                <w:b w:val="1"/>
                <w:bCs w:val="1"/>
                <w:color w:val="FFFFFF"/>
              </w:rPr>
              <w:t>As of</w:t>
            </w:r>
          </w:p>
        </w:tc>
        <w:tc>
          <w:tcPr>
            <w:tcW w:w="1800" w:type="dxa"/>
            <w:vAlign w:val="bottom"/>
            <w:tcBorders>
              <w:top w:val="single" w:sz="8" w:color="auto"/>
              <w:right w:val="single" w:sz="8" w:color="auto"/>
            </w:tcBorders>
            <w:gridSpan w:val="2"/>
            <w:vMerge w:val="restart"/>
            <w:shd w:val="clear" w:color="auto" w:fill="2AD2C9"/>
          </w:tcPr>
          <w:p>
            <w:pPr>
              <w:ind w:left="500"/>
              <w:spacing w:after="0"/>
              <w:rPr>
                <w:sz w:val="20"/>
                <w:szCs w:val="20"/>
                <w:color w:val="auto"/>
              </w:rPr>
            </w:pPr>
            <w:r>
              <w:rPr>
                <w:rFonts w:ascii="Times New Roman" w:cs="Times New Roman" w:eastAsia="Times New Roman" w:hAnsi="Times New Roman"/>
                <w:sz w:val="14"/>
                <w:szCs w:val="14"/>
                <w:b w:val="1"/>
                <w:bCs w:val="1"/>
                <w:color w:val="FFFFFF"/>
              </w:rPr>
              <w:t>QoQ Change</w:t>
            </w:r>
          </w:p>
        </w:tc>
        <w:tc>
          <w:tcPr>
            <w:tcW w:w="1800" w:type="dxa"/>
            <w:vAlign w:val="bottom"/>
            <w:tcBorders>
              <w:top w:val="single" w:sz="8" w:color="auto"/>
              <w:right w:val="single" w:sz="8" w:color="auto"/>
            </w:tcBorders>
            <w:gridSpan w:val="2"/>
            <w:shd w:val="clear" w:color="auto" w:fill="2AD2C9"/>
          </w:tcPr>
          <w:p>
            <w:pPr>
              <w:jc w:val="center"/>
              <w:spacing w:after="0" w:line="128" w:lineRule="exact"/>
              <w:rPr>
                <w:sz w:val="20"/>
                <w:szCs w:val="20"/>
                <w:color w:val="auto"/>
              </w:rPr>
            </w:pPr>
            <w:r>
              <w:rPr>
                <w:rFonts w:ascii="Times New Roman" w:cs="Times New Roman" w:eastAsia="Times New Roman" w:hAnsi="Times New Roman"/>
                <w:sz w:val="14"/>
                <w:szCs w:val="14"/>
                <w:b w:val="1"/>
                <w:bCs w:val="1"/>
                <w:color w:val="FFFFFF"/>
                <w:w w:val="95"/>
              </w:rPr>
              <w:t>Balance in USD/PEN Neutral</w:t>
            </w:r>
          </w:p>
        </w:tc>
        <w:tc>
          <w:tcPr>
            <w:tcW w:w="1780" w:type="dxa"/>
            <w:vAlign w:val="bottom"/>
            <w:tcBorders>
              <w:top w:val="single" w:sz="8" w:color="auto"/>
              <w:right w:val="single" w:sz="8" w:color="auto"/>
            </w:tcBorders>
            <w:gridSpan w:val="2"/>
            <w:shd w:val="clear" w:color="auto" w:fill="2AD2C9"/>
          </w:tcPr>
          <w:p>
            <w:pPr>
              <w:jc w:val="center"/>
              <w:spacing w:after="0" w:line="128" w:lineRule="exact"/>
              <w:rPr>
                <w:sz w:val="20"/>
                <w:szCs w:val="20"/>
                <w:color w:val="auto"/>
              </w:rPr>
            </w:pPr>
            <w:r>
              <w:rPr>
                <w:rFonts w:ascii="Times New Roman" w:cs="Times New Roman" w:eastAsia="Times New Roman" w:hAnsi="Times New Roman"/>
                <w:sz w:val="14"/>
                <w:szCs w:val="14"/>
                <w:b w:val="1"/>
                <w:bCs w:val="1"/>
                <w:color w:val="FFFFFF"/>
                <w:w w:val="97"/>
              </w:rPr>
              <w:t>QoQ Change</w:t>
            </w:r>
          </w:p>
        </w:tc>
        <w:tc>
          <w:tcPr>
            <w:tcW w:w="0" w:type="dxa"/>
            <w:vAlign w:val="bottom"/>
          </w:tcPr>
          <w:p>
            <w:pPr>
              <w:spacing w:after="0"/>
              <w:rPr>
                <w:sz w:val="1"/>
                <w:szCs w:val="1"/>
                <w:color w:val="auto"/>
              </w:rPr>
            </w:pPr>
          </w:p>
        </w:tc>
      </w:tr>
      <w:tr>
        <w:trPr>
          <w:trHeight w:val="67"/>
        </w:trPr>
        <w:tc>
          <w:tcPr>
            <w:tcW w:w="3960" w:type="dxa"/>
            <w:vAlign w:val="bottom"/>
            <w:tcBorders>
              <w:left w:val="single" w:sz="8" w:color="auto"/>
              <w:right w:val="single" w:sz="8" w:color="auto"/>
            </w:tcBorders>
            <w:vMerge w:val="continue"/>
            <w:shd w:val="clear" w:color="auto" w:fill="2AD2C9"/>
          </w:tcPr>
          <w:p>
            <w:pPr>
              <w:spacing w:after="0"/>
              <w:rPr>
                <w:sz w:val="5"/>
                <w:szCs w:val="5"/>
                <w:color w:val="auto"/>
              </w:rPr>
            </w:pPr>
          </w:p>
        </w:tc>
        <w:tc>
          <w:tcPr>
            <w:tcW w:w="700" w:type="dxa"/>
            <w:vAlign w:val="bottom"/>
            <w:shd w:val="clear" w:color="auto" w:fill="2AD2C9"/>
          </w:tcPr>
          <w:p>
            <w:pPr>
              <w:spacing w:after="0"/>
              <w:rPr>
                <w:sz w:val="5"/>
                <w:szCs w:val="5"/>
                <w:color w:val="auto"/>
              </w:rPr>
            </w:pPr>
          </w:p>
        </w:tc>
        <w:tc>
          <w:tcPr>
            <w:tcW w:w="1120" w:type="dxa"/>
            <w:vAlign w:val="bottom"/>
            <w:tcBorders>
              <w:right w:val="single" w:sz="8" w:color="auto"/>
            </w:tcBorders>
            <w:vMerge w:val="continue"/>
            <w:shd w:val="clear" w:color="auto" w:fill="2AD2C9"/>
          </w:tcPr>
          <w:p>
            <w:pPr>
              <w:spacing w:after="0"/>
              <w:rPr>
                <w:sz w:val="5"/>
                <w:szCs w:val="5"/>
                <w:color w:val="auto"/>
              </w:rPr>
            </w:pPr>
          </w:p>
        </w:tc>
        <w:tc>
          <w:tcPr>
            <w:tcW w:w="1800" w:type="dxa"/>
            <w:vAlign w:val="bottom"/>
            <w:tcBorders>
              <w:right w:val="single" w:sz="8" w:color="auto"/>
            </w:tcBorders>
            <w:gridSpan w:val="2"/>
            <w:vMerge w:val="continue"/>
            <w:shd w:val="clear" w:color="auto" w:fill="2AD2C9"/>
          </w:tcPr>
          <w:p>
            <w:pPr>
              <w:spacing w:after="0"/>
              <w:rPr>
                <w:sz w:val="5"/>
                <w:szCs w:val="5"/>
                <w:color w:val="auto"/>
              </w:rPr>
            </w:pPr>
          </w:p>
        </w:tc>
        <w:tc>
          <w:tcPr>
            <w:tcW w:w="700" w:type="dxa"/>
            <w:vAlign w:val="bottom"/>
            <w:shd w:val="clear" w:color="auto" w:fill="2AD2C9"/>
          </w:tcPr>
          <w:p>
            <w:pPr>
              <w:spacing w:after="0"/>
              <w:rPr>
                <w:sz w:val="5"/>
                <w:szCs w:val="5"/>
                <w:color w:val="auto"/>
              </w:rPr>
            </w:pPr>
          </w:p>
        </w:tc>
        <w:tc>
          <w:tcPr>
            <w:tcW w:w="1100" w:type="dxa"/>
            <w:vAlign w:val="bottom"/>
            <w:tcBorders>
              <w:right w:val="single" w:sz="8" w:color="auto"/>
            </w:tcBorders>
            <w:vMerge w:val="restart"/>
            <w:shd w:val="clear" w:color="auto" w:fill="2AD2C9"/>
          </w:tcPr>
          <w:p>
            <w:pPr>
              <w:jc w:val="center"/>
              <w:ind w:right="674"/>
              <w:spacing w:after="0" w:line="140" w:lineRule="exact"/>
              <w:rPr>
                <w:sz w:val="20"/>
                <w:szCs w:val="20"/>
                <w:color w:val="auto"/>
              </w:rPr>
            </w:pPr>
            <w:r>
              <w:rPr>
                <w:rFonts w:ascii="Times New Roman" w:cs="Times New Roman" w:eastAsia="Times New Roman" w:hAnsi="Times New Roman"/>
                <w:sz w:val="14"/>
                <w:szCs w:val="14"/>
                <w:b w:val="1"/>
                <w:bCs w:val="1"/>
                <w:color w:val="FFFFFF"/>
                <w:w w:val="90"/>
              </w:rPr>
              <w:t>As of</w:t>
            </w:r>
          </w:p>
        </w:tc>
        <w:tc>
          <w:tcPr>
            <w:tcW w:w="1780" w:type="dxa"/>
            <w:vAlign w:val="bottom"/>
            <w:tcBorders>
              <w:right w:val="single" w:sz="8" w:color="auto"/>
            </w:tcBorders>
            <w:gridSpan w:val="2"/>
            <w:vMerge w:val="restart"/>
            <w:shd w:val="clear" w:color="auto" w:fill="2AD2C9"/>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FFFFFF"/>
                <w:w w:val="96"/>
              </w:rPr>
              <w:t>in USD/PEN Neutral</w:t>
            </w:r>
          </w:p>
        </w:tc>
        <w:tc>
          <w:tcPr>
            <w:tcW w:w="0" w:type="dxa"/>
            <w:vAlign w:val="bottom"/>
          </w:tcPr>
          <w:p>
            <w:pPr>
              <w:spacing w:after="0"/>
              <w:rPr>
                <w:sz w:val="1"/>
                <w:szCs w:val="1"/>
                <w:color w:val="auto"/>
              </w:rPr>
            </w:pPr>
          </w:p>
        </w:tc>
      </w:tr>
      <w:tr>
        <w:trPr>
          <w:trHeight w:val="72"/>
        </w:trPr>
        <w:tc>
          <w:tcPr>
            <w:tcW w:w="3960" w:type="dxa"/>
            <w:vAlign w:val="bottom"/>
            <w:tcBorders>
              <w:left w:val="single" w:sz="8" w:color="auto"/>
              <w:right w:val="single" w:sz="8" w:color="auto"/>
            </w:tcBorders>
            <w:vMerge w:val="restart"/>
            <w:shd w:val="clear" w:color="auto" w:fill="2AD2C9"/>
          </w:tcPr>
          <w:p>
            <w:pPr>
              <w:ind w:left="20"/>
              <w:spacing w:after="0"/>
              <w:rPr>
                <w:sz w:val="20"/>
                <w:szCs w:val="20"/>
                <w:color w:val="auto"/>
              </w:rPr>
            </w:pPr>
            <w:r>
              <w:rPr>
                <w:rFonts w:ascii="Times New Roman" w:cs="Times New Roman" w:eastAsia="Times New Roman" w:hAnsi="Times New Roman"/>
                <w:sz w:val="14"/>
                <w:szCs w:val="14"/>
                <w:color w:val="FFFFFF"/>
              </w:rPr>
              <w:t>(S/ Millions)</w:t>
            </w:r>
          </w:p>
        </w:tc>
        <w:tc>
          <w:tcPr>
            <w:tcW w:w="700" w:type="dxa"/>
            <w:vAlign w:val="bottom"/>
            <w:shd w:val="clear" w:color="auto" w:fill="2AD2C9"/>
          </w:tcPr>
          <w:p>
            <w:pPr>
              <w:spacing w:after="0"/>
              <w:rPr>
                <w:sz w:val="6"/>
                <w:szCs w:val="6"/>
                <w:color w:val="auto"/>
              </w:rPr>
            </w:pPr>
          </w:p>
        </w:tc>
        <w:tc>
          <w:tcPr>
            <w:tcW w:w="1120" w:type="dxa"/>
            <w:vAlign w:val="bottom"/>
            <w:tcBorders>
              <w:right w:val="single" w:sz="8" w:color="auto"/>
            </w:tcBorders>
            <w:shd w:val="clear" w:color="auto" w:fill="2AD2C9"/>
          </w:tcPr>
          <w:p>
            <w:pPr>
              <w:spacing w:after="0"/>
              <w:rPr>
                <w:sz w:val="6"/>
                <w:szCs w:val="6"/>
                <w:color w:val="auto"/>
              </w:rPr>
            </w:pPr>
          </w:p>
        </w:tc>
        <w:tc>
          <w:tcPr>
            <w:tcW w:w="880" w:type="dxa"/>
            <w:vAlign w:val="bottom"/>
            <w:shd w:val="clear" w:color="auto" w:fill="2AD2C9"/>
          </w:tcPr>
          <w:p>
            <w:pPr>
              <w:spacing w:after="0"/>
              <w:rPr>
                <w:sz w:val="6"/>
                <w:szCs w:val="6"/>
                <w:color w:val="auto"/>
              </w:rPr>
            </w:pPr>
          </w:p>
        </w:tc>
        <w:tc>
          <w:tcPr>
            <w:tcW w:w="920" w:type="dxa"/>
            <w:vAlign w:val="bottom"/>
            <w:tcBorders>
              <w:right w:val="single" w:sz="8" w:color="auto"/>
            </w:tcBorders>
            <w:shd w:val="clear" w:color="auto" w:fill="2AD2C9"/>
          </w:tcPr>
          <w:p>
            <w:pPr>
              <w:spacing w:after="0"/>
              <w:rPr>
                <w:sz w:val="6"/>
                <w:szCs w:val="6"/>
                <w:color w:val="auto"/>
              </w:rPr>
            </w:pPr>
          </w:p>
        </w:tc>
        <w:tc>
          <w:tcPr>
            <w:tcW w:w="700" w:type="dxa"/>
            <w:vAlign w:val="bottom"/>
            <w:shd w:val="clear" w:color="auto" w:fill="2AD2C9"/>
          </w:tcPr>
          <w:p>
            <w:pPr>
              <w:spacing w:after="0"/>
              <w:rPr>
                <w:sz w:val="6"/>
                <w:szCs w:val="6"/>
                <w:color w:val="auto"/>
              </w:rPr>
            </w:pPr>
          </w:p>
        </w:tc>
        <w:tc>
          <w:tcPr>
            <w:tcW w:w="1100" w:type="dxa"/>
            <w:vAlign w:val="bottom"/>
            <w:tcBorders>
              <w:right w:val="single" w:sz="8" w:color="auto"/>
            </w:tcBorders>
            <w:vMerge w:val="continue"/>
            <w:shd w:val="clear" w:color="auto" w:fill="2AD2C9"/>
          </w:tcPr>
          <w:p>
            <w:pPr>
              <w:spacing w:after="0"/>
              <w:rPr>
                <w:sz w:val="6"/>
                <w:szCs w:val="6"/>
                <w:color w:val="auto"/>
              </w:rPr>
            </w:pPr>
          </w:p>
        </w:tc>
        <w:tc>
          <w:tcPr>
            <w:tcW w:w="1780" w:type="dxa"/>
            <w:vAlign w:val="bottom"/>
            <w:tcBorders>
              <w:right w:val="single" w:sz="8" w:color="auto"/>
            </w:tcBorders>
            <w:gridSpan w:val="2"/>
            <w:vMerge w:val="continue"/>
            <w:shd w:val="clear" w:color="auto" w:fill="2AD2C9"/>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3960" w:type="dxa"/>
            <w:vAlign w:val="bottom"/>
            <w:tcBorders>
              <w:left w:val="single" w:sz="8" w:color="auto"/>
              <w:right w:val="single" w:sz="8" w:color="auto"/>
            </w:tcBorders>
            <w:vMerge w:val="continue"/>
            <w:shd w:val="clear" w:color="auto" w:fill="2AD2C9"/>
          </w:tcPr>
          <w:p>
            <w:pPr>
              <w:spacing w:after="0"/>
              <w:rPr>
                <w:sz w:val="8"/>
                <w:szCs w:val="8"/>
                <w:color w:val="auto"/>
              </w:rPr>
            </w:pPr>
          </w:p>
        </w:tc>
        <w:tc>
          <w:tcPr>
            <w:tcW w:w="700" w:type="dxa"/>
            <w:vAlign w:val="bottom"/>
            <w:vMerge w:val="restart"/>
            <w:shd w:val="clear" w:color="auto" w:fill="2AD2C9"/>
          </w:tcPr>
          <w:p>
            <w:pPr>
              <w:ind w:left="260"/>
              <w:spacing w:after="0"/>
              <w:rPr>
                <w:sz w:val="20"/>
                <w:szCs w:val="20"/>
                <w:color w:val="auto"/>
              </w:rPr>
            </w:pPr>
            <w:r>
              <w:rPr>
                <w:rFonts w:ascii="Times New Roman" w:cs="Times New Roman" w:eastAsia="Times New Roman" w:hAnsi="Times New Roman"/>
                <w:sz w:val="14"/>
                <w:szCs w:val="14"/>
                <w:b w:val="1"/>
                <w:bCs w:val="1"/>
                <w:color w:val="FFFFFF"/>
              </w:rPr>
              <w:t>Dec 25</w:t>
            </w:r>
          </w:p>
        </w:tc>
        <w:tc>
          <w:tcPr>
            <w:tcW w:w="1120" w:type="dxa"/>
            <w:vAlign w:val="bottom"/>
            <w:tcBorders>
              <w:right w:val="single" w:sz="8" w:color="auto"/>
            </w:tcBorders>
            <w:vMerge w:val="restart"/>
            <w:shd w:val="clear" w:color="auto" w:fill="2AD2C9"/>
          </w:tcPr>
          <w:p>
            <w:pPr>
              <w:ind w:left="420"/>
              <w:spacing w:after="0"/>
              <w:rPr>
                <w:sz w:val="20"/>
                <w:szCs w:val="20"/>
                <w:color w:val="auto"/>
              </w:rPr>
            </w:pPr>
            <w:r>
              <w:rPr>
                <w:rFonts w:ascii="Times New Roman" w:cs="Times New Roman" w:eastAsia="Times New Roman" w:hAnsi="Times New Roman"/>
                <w:sz w:val="14"/>
                <w:szCs w:val="14"/>
                <w:b w:val="1"/>
                <w:bCs w:val="1"/>
                <w:color w:val="FFFFFF"/>
              </w:rPr>
              <w:t>Mar 26</w:t>
            </w:r>
          </w:p>
        </w:tc>
        <w:tc>
          <w:tcPr>
            <w:tcW w:w="880" w:type="dxa"/>
            <w:vAlign w:val="bottom"/>
            <w:vMerge w:val="restart"/>
            <w:shd w:val="clear" w:color="auto" w:fill="2AD2C9"/>
          </w:tcPr>
          <w:p>
            <w:pPr>
              <w:ind w:left="200"/>
              <w:spacing w:after="0"/>
              <w:rPr>
                <w:sz w:val="20"/>
                <w:szCs w:val="20"/>
                <w:color w:val="auto"/>
              </w:rPr>
            </w:pPr>
            <w:r>
              <w:rPr>
                <w:rFonts w:ascii="Times New Roman" w:cs="Times New Roman" w:eastAsia="Times New Roman" w:hAnsi="Times New Roman"/>
                <w:sz w:val="14"/>
                <w:szCs w:val="14"/>
                <w:b w:val="1"/>
                <w:bCs w:val="1"/>
                <w:color w:val="FFFFFF"/>
              </w:rPr>
              <w:t>Volume</w:t>
            </w:r>
          </w:p>
        </w:tc>
        <w:tc>
          <w:tcPr>
            <w:tcW w:w="920" w:type="dxa"/>
            <w:vAlign w:val="bottom"/>
            <w:tcBorders>
              <w:right w:val="single" w:sz="8" w:color="auto"/>
            </w:tcBorders>
            <w:vMerge w:val="restart"/>
            <w:shd w:val="clear" w:color="auto" w:fill="2AD2C9"/>
          </w:tcPr>
          <w:p>
            <w:pPr>
              <w:jc w:val="center"/>
              <w:spacing w:after="0"/>
              <w:rPr>
                <w:sz w:val="20"/>
                <w:szCs w:val="20"/>
                <w:color w:val="auto"/>
              </w:rPr>
            </w:pPr>
            <w:r>
              <w:rPr>
                <w:rFonts w:ascii="Times New Roman" w:cs="Times New Roman" w:eastAsia="Times New Roman" w:hAnsi="Times New Roman"/>
                <w:sz w:val="14"/>
                <w:szCs w:val="14"/>
                <w:b w:val="1"/>
                <w:bCs w:val="1"/>
                <w:color w:val="FFFFFF"/>
                <w:w w:val="99"/>
              </w:rPr>
              <w:t>%</w:t>
            </w:r>
          </w:p>
        </w:tc>
        <w:tc>
          <w:tcPr>
            <w:tcW w:w="700" w:type="dxa"/>
            <w:vAlign w:val="bottom"/>
            <w:vMerge w:val="restart"/>
            <w:shd w:val="clear" w:color="auto" w:fill="2AD2C9"/>
          </w:tcPr>
          <w:p>
            <w:pPr>
              <w:ind w:left="240"/>
              <w:spacing w:after="0"/>
              <w:rPr>
                <w:sz w:val="20"/>
                <w:szCs w:val="20"/>
                <w:color w:val="auto"/>
              </w:rPr>
            </w:pPr>
            <w:r>
              <w:rPr>
                <w:rFonts w:ascii="Times New Roman" w:cs="Times New Roman" w:eastAsia="Times New Roman" w:hAnsi="Times New Roman"/>
                <w:sz w:val="14"/>
                <w:szCs w:val="14"/>
                <w:b w:val="1"/>
                <w:bCs w:val="1"/>
                <w:color w:val="FFFFFF"/>
              </w:rPr>
              <w:t>Dec 25</w:t>
            </w:r>
          </w:p>
        </w:tc>
        <w:tc>
          <w:tcPr>
            <w:tcW w:w="1100" w:type="dxa"/>
            <w:vAlign w:val="bottom"/>
            <w:tcBorders>
              <w:right w:val="single" w:sz="8" w:color="auto"/>
            </w:tcBorders>
            <w:vMerge w:val="restart"/>
            <w:shd w:val="clear" w:color="auto" w:fill="2AD2C9"/>
          </w:tcPr>
          <w:p>
            <w:pPr>
              <w:ind w:left="420"/>
              <w:spacing w:after="0"/>
              <w:rPr>
                <w:sz w:val="20"/>
                <w:szCs w:val="20"/>
                <w:color w:val="auto"/>
              </w:rPr>
            </w:pPr>
            <w:r>
              <w:rPr>
                <w:rFonts w:ascii="Times New Roman" w:cs="Times New Roman" w:eastAsia="Times New Roman" w:hAnsi="Times New Roman"/>
                <w:sz w:val="14"/>
                <w:szCs w:val="14"/>
                <w:b w:val="1"/>
                <w:bCs w:val="1"/>
                <w:color w:val="FFFFFF"/>
              </w:rPr>
              <w:t>Mar 26</w:t>
            </w:r>
          </w:p>
        </w:tc>
        <w:tc>
          <w:tcPr>
            <w:tcW w:w="880" w:type="dxa"/>
            <w:vAlign w:val="bottom"/>
            <w:vMerge w:val="restart"/>
            <w:shd w:val="clear" w:color="auto" w:fill="2AD2C9"/>
          </w:tcPr>
          <w:p>
            <w:pPr>
              <w:ind w:left="220"/>
              <w:spacing w:after="0"/>
              <w:rPr>
                <w:sz w:val="20"/>
                <w:szCs w:val="20"/>
                <w:color w:val="auto"/>
              </w:rPr>
            </w:pPr>
            <w:r>
              <w:rPr>
                <w:rFonts w:ascii="Times New Roman" w:cs="Times New Roman" w:eastAsia="Times New Roman" w:hAnsi="Times New Roman"/>
                <w:sz w:val="14"/>
                <w:szCs w:val="14"/>
                <w:b w:val="1"/>
                <w:bCs w:val="1"/>
                <w:color w:val="FFFFFF"/>
              </w:rPr>
              <w:t>Volume</w:t>
            </w:r>
          </w:p>
        </w:tc>
        <w:tc>
          <w:tcPr>
            <w:tcW w:w="900" w:type="dxa"/>
            <w:vAlign w:val="bottom"/>
            <w:tcBorders>
              <w:right w:val="single" w:sz="8" w:color="auto"/>
            </w:tcBorders>
            <w:vMerge w:val="restart"/>
            <w:shd w:val="clear" w:color="auto" w:fill="2AD2C9"/>
          </w:tcPr>
          <w:p>
            <w:pPr>
              <w:jc w:val="center"/>
              <w:spacing w:after="0"/>
              <w:rPr>
                <w:sz w:val="20"/>
                <w:szCs w:val="20"/>
                <w:color w:val="auto"/>
              </w:rPr>
            </w:pPr>
            <w:r>
              <w:rPr>
                <w:rFonts w:ascii="Times New Roman" w:cs="Times New Roman" w:eastAsia="Times New Roman" w:hAnsi="Times New Roman"/>
                <w:sz w:val="14"/>
                <w:szCs w:val="14"/>
                <w:b w:val="1"/>
                <w:bCs w:val="1"/>
                <w:color w:val="FFFFFF"/>
                <w:w w:val="85"/>
              </w:rPr>
              <w:t>%</w:t>
            </w:r>
          </w:p>
        </w:tc>
        <w:tc>
          <w:tcPr>
            <w:tcW w:w="0" w:type="dxa"/>
            <w:vAlign w:val="bottom"/>
          </w:tcPr>
          <w:p>
            <w:pPr>
              <w:spacing w:after="0"/>
              <w:rPr>
                <w:sz w:val="1"/>
                <w:szCs w:val="1"/>
                <w:color w:val="auto"/>
              </w:rPr>
            </w:pPr>
          </w:p>
        </w:tc>
      </w:tr>
      <w:tr>
        <w:trPr>
          <w:trHeight w:val="62"/>
        </w:trPr>
        <w:tc>
          <w:tcPr>
            <w:tcW w:w="3960" w:type="dxa"/>
            <w:vAlign w:val="bottom"/>
            <w:tcBorders>
              <w:left w:val="single" w:sz="8" w:color="auto"/>
              <w:bottom w:val="single" w:sz="8" w:color="auto"/>
              <w:right w:val="single" w:sz="8" w:color="auto"/>
            </w:tcBorders>
            <w:shd w:val="clear" w:color="auto" w:fill="2AD2C9"/>
          </w:tcPr>
          <w:p>
            <w:pPr>
              <w:spacing w:after="0"/>
              <w:rPr>
                <w:sz w:val="5"/>
                <w:szCs w:val="5"/>
                <w:color w:val="auto"/>
              </w:rPr>
            </w:pPr>
          </w:p>
        </w:tc>
        <w:tc>
          <w:tcPr>
            <w:tcW w:w="700" w:type="dxa"/>
            <w:vAlign w:val="bottom"/>
            <w:tcBorders>
              <w:bottom w:val="single" w:sz="8" w:color="auto"/>
            </w:tcBorders>
            <w:vMerge w:val="continue"/>
            <w:shd w:val="clear" w:color="auto" w:fill="2AD2C9"/>
          </w:tcPr>
          <w:p>
            <w:pPr>
              <w:spacing w:after="0"/>
              <w:rPr>
                <w:sz w:val="5"/>
                <w:szCs w:val="5"/>
                <w:color w:val="auto"/>
              </w:rPr>
            </w:pPr>
          </w:p>
        </w:tc>
        <w:tc>
          <w:tcPr>
            <w:tcW w:w="1120" w:type="dxa"/>
            <w:vAlign w:val="bottom"/>
            <w:tcBorders>
              <w:bottom w:val="single" w:sz="8" w:color="auto"/>
              <w:right w:val="single" w:sz="8" w:color="auto"/>
            </w:tcBorders>
            <w:vMerge w:val="continue"/>
            <w:shd w:val="clear" w:color="auto" w:fill="2AD2C9"/>
          </w:tcPr>
          <w:p>
            <w:pPr>
              <w:spacing w:after="0"/>
              <w:rPr>
                <w:sz w:val="5"/>
                <w:szCs w:val="5"/>
                <w:color w:val="auto"/>
              </w:rPr>
            </w:pPr>
          </w:p>
        </w:tc>
        <w:tc>
          <w:tcPr>
            <w:tcW w:w="880" w:type="dxa"/>
            <w:vAlign w:val="bottom"/>
            <w:tcBorders>
              <w:bottom w:val="single" w:sz="8" w:color="auto"/>
            </w:tcBorders>
            <w:vMerge w:val="continue"/>
            <w:shd w:val="clear" w:color="auto" w:fill="2AD2C9"/>
          </w:tcPr>
          <w:p>
            <w:pPr>
              <w:spacing w:after="0"/>
              <w:rPr>
                <w:sz w:val="5"/>
                <w:szCs w:val="5"/>
                <w:color w:val="auto"/>
              </w:rPr>
            </w:pPr>
          </w:p>
        </w:tc>
        <w:tc>
          <w:tcPr>
            <w:tcW w:w="920" w:type="dxa"/>
            <w:vAlign w:val="bottom"/>
            <w:tcBorders>
              <w:bottom w:val="single" w:sz="8" w:color="auto"/>
              <w:right w:val="single" w:sz="8" w:color="auto"/>
            </w:tcBorders>
            <w:vMerge w:val="continue"/>
            <w:shd w:val="clear" w:color="auto" w:fill="2AD2C9"/>
          </w:tcPr>
          <w:p>
            <w:pPr>
              <w:spacing w:after="0"/>
              <w:rPr>
                <w:sz w:val="5"/>
                <w:szCs w:val="5"/>
                <w:color w:val="auto"/>
              </w:rPr>
            </w:pPr>
          </w:p>
        </w:tc>
        <w:tc>
          <w:tcPr>
            <w:tcW w:w="700" w:type="dxa"/>
            <w:vAlign w:val="bottom"/>
            <w:tcBorders>
              <w:bottom w:val="single" w:sz="8" w:color="auto"/>
            </w:tcBorders>
            <w:vMerge w:val="continue"/>
            <w:shd w:val="clear" w:color="auto" w:fill="2AD2C9"/>
          </w:tcPr>
          <w:p>
            <w:pPr>
              <w:spacing w:after="0"/>
              <w:rPr>
                <w:sz w:val="5"/>
                <w:szCs w:val="5"/>
                <w:color w:val="auto"/>
              </w:rPr>
            </w:pPr>
          </w:p>
        </w:tc>
        <w:tc>
          <w:tcPr>
            <w:tcW w:w="1100" w:type="dxa"/>
            <w:vAlign w:val="bottom"/>
            <w:tcBorders>
              <w:bottom w:val="single" w:sz="8" w:color="auto"/>
              <w:right w:val="single" w:sz="8" w:color="auto"/>
            </w:tcBorders>
            <w:vMerge w:val="continue"/>
            <w:shd w:val="clear" w:color="auto" w:fill="2AD2C9"/>
          </w:tcPr>
          <w:p>
            <w:pPr>
              <w:spacing w:after="0"/>
              <w:rPr>
                <w:sz w:val="5"/>
                <w:szCs w:val="5"/>
                <w:color w:val="auto"/>
              </w:rPr>
            </w:pPr>
          </w:p>
        </w:tc>
        <w:tc>
          <w:tcPr>
            <w:tcW w:w="880" w:type="dxa"/>
            <w:vAlign w:val="bottom"/>
            <w:tcBorders>
              <w:bottom w:val="single" w:sz="8" w:color="auto"/>
            </w:tcBorders>
            <w:vMerge w:val="continue"/>
            <w:shd w:val="clear" w:color="auto" w:fill="2AD2C9"/>
          </w:tcPr>
          <w:p>
            <w:pPr>
              <w:spacing w:after="0"/>
              <w:rPr>
                <w:sz w:val="5"/>
                <w:szCs w:val="5"/>
                <w:color w:val="auto"/>
              </w:rPr>
            </w:pPr>
          </w:p>
        </w:tc>
        <w:tc>
          <w:tcPr>
            <w:tcW w:w="900" w:type="dxa"/>
            <w:vAlign w:val="bottom"/>
            <w:tcBorders>
              <w:bottom w:val="single" w:sz="8" w:color="auto"/>
              <w:right w:val="single" w:sz="8" w:color="auto"/>
            </w:tcBorders>
            <w:vMerge w:val="continue"/>
            <w:shd w:val="clear" w:color="auto" w:fill="2AD2C9"/>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3960" w:type="dxa"/>
            <w:vAlign w:val="bottom"/>
            <w:tcBorders>
              <w:left w:val="single" w:sz="8" w:color="auto"/>
              <w:right w:val="single" w:sz="8" w:color="auto"/>
            </w:tcBorders>
          </w:tcPr>
          <w:p>
            <w:pPr>
              <w:ind w:left="20"/>
              <w:spacing w:after="0" w:line="108" w:lineRule="exact"/>
              <w:rPr>
                <w:sz w:val="20"/>
                <w:szCs w:val="20"/>
                <w:color w:val="auto"/>
              </w:rPr>
            </w:pPr>
            <w:r>
              <w:rPr>
                <w:rFonts w:ascii="Times New Roman" w:cs="Times New Roman" w:eastAsia="Times New Roman" w:hAnsi="Times New Roman"/>
                <w:sz w:val="12"/>
                <w:szCs w:val="12"/>
                <w:b w:val="1"/>
                <w:bCs w:val="1"/>
                <w:color w:val="auto"/>
              </w:rPr>
              <w:t>BCP Stand-alone</w:t>
            </w:r>
          </w:p>
        </w:tc>
        <w:tc>
          <w:tcPr>
            <w:tcW w:w="700" w:type="dxa"/>
            <w:vAlign w:val="bottom"/>
          </w:tcPr>
          <w:p>
            <w:pPr>
              <w:jc w:val="center"/>
              <w:ind w:left="114"/>
              <w:spacing w:after="0" w:line="108" w:lineRule="exact"/>
              <w:rPr>
                <w:sz w:val="20"/>
                <w:szCs w:val="20"/>
                <w:color w:val="auto"/>
              </w:rPr>
            </w:pPr>
            <w:r>
              <w:rPr>
                <w:rFonts w:ascii="Times New Roman" w:cs="Times New Roman" w:eastAsia="Times New Roman" w:hAnsi="Times New Roman"/>
                <w:sz w:val="12"/>
                <w:szCs w:val="12"/>
                <w:b w:val="1"/>
                <w:bCs w:val="1"/>
                <w:color w:val="auto"/>
              </w:rPr>
              <w:t>125,201</w:t>
            </w:r>
          </w:p>
        </w:tc>
        <w:tc>
          <w:tcPr>
            <w:tcW w:w="1120" w:type="dxa"/>
            <w:vAlign w:val="bottom"/>
            <w:tcBorders>
              <w:right w:val="single" w:sz="8" w:color="auto"/>
            </w:tcBorders>
          </w:tcPr>
          <w:p>
            <w:pPr>
              <w:jc w:val="center"/>
              <w:ind w:left="94"/>
              <w:spacing w:after="0" w:line="108" w:lineRule="exact"/>
              <w:rPr>
                <w:sz w:val="20"/>
                <w:szCs w:val="20"/>
                <w:color w:val="auto"/>
              </w:rPr>
            </w:pPr>
            <w:r>
              <w:rPr>
                <w:rFonts w:ascii="Times New Roman" w:cs="Times New Roman" w:eastAsia="Times New Roman" w:hAnsi="Times New Roman"/>
                <w:sz w:val="12"/>
                <w:szCs w:val="12"/>
                <w:b w:val="1"/>
                <w:bCs w:val="1"/>
                <w:color w:val="auto"/>
              </w:rPr>
              <w:t>128,142</w:t>
            </w:r>
          </w:p>
        </w:tc>
        <w:tc>
          <w:tcPr>
            <w:tcW w:w="880" w:type="dxa"/>
            <w:vAlign w:val="bottom"/>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rPr>
              <w:t>2,942</w:t>
            </w:r>
          </w:p>
        </w:tc>
        <w:tc>
          <w:tcPr>
            <w:tcW w:w="920" w:type="dxa"/>
            <w:vAlign w:val="bottom"/>
            <w:tcBorders>
              <w:right w:val="single" w:sz="8" w:color="auto"/>
            </w:tcBorders>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rPr>
              <w:t>2.3%</w:t>
            </w:r>
          </w:p>
        </w:tc>
        <w:tc>
          <w:tcPr>
            <w:tcW w:w="700" w:type="dxa"/>
            <w:vAlign w:val="bottom"/>
          </w:tcPr>
          <w:p>
            <w:pPr>
              <w:jc w:val="center"/>
              <w:ind w:left="114"/>
              <w:spacing w:after="0" w:line="108" w:lineRule="exact"/>
              <w:rPr>
                <w:sz w:val="20"/>
                <w:szCs w:val="20"/>
                <w:color w:val="auto"/>
              </w:rPr>
            </w:pPr>
            <w:r>
              <w:rPr>
                <w:rFonts w:ascii="Times New Roman" w:cs="Times New Roman" w:eastAsia="Times New Roman" w:hAnsi="Times New Roman"/>
                <w:sz w:val="12"/>
                <w:szCs w:val="12"/>
                <w:b w:val="1"/>
                <w:bCs w:val="1"/>
                <w:color w:val="auto"/>
              </w:rPr>
              <w:t>125,201</w:t>
            </w:r>
          </w:p>
        </w:tc>
        <w:tc>
          <w:tcPr>
            <w:tcW w:w="1100" w:type="dxa"/>
            <w:vAlign w:val="bottom"/>
            <w:tcBorders>
              <w:right w:val="single" w:sz="8" w:color="auto"/>
            </w:tcBorders>
          </w:tcPr>
          <w:p>
            <w:pPr>
              <w:jc w:val="center"/>
              <w:ind w:left="74"/>
              <w:spacing w:after="0" w:line="108" w:lineRule="exact"/>
              <w:rPr>
                <w:sz w:val="20"/>
                <w:szCs w:val="20"/>
                <w:color w:val="auto"/>
              </w:rPr>
            </w:pPr>
            <w:r>
              <w:rPr>
                <w:rFonts w:ascii="Times New Roman" w:cs="Times New Roman" w:eastAsia="Times New Roman" w:hAnsi="Times New Roman"/>
                <w:sz w:val="12"/>
                <w:szCs w:val="12"/>
                <w:b w:val="1"/>
                <w:bCs w:val="1"/>
                <w:color w:val="auto"/>
              </w:rPr>
              <w:t>126,609</w:t>
            </w:r>
          </w:p>
        </w:tc>
        <w:tc>
          <w:tcPr>
            <w:tcW w:w="880" w:type="dxa"/>
            <w:vAlign w:val="bottom"/>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rPr>
              <w:t>1,408</w:t>
            </w:r>
          </w:p>
        </w:tc>
        <w:tc>
          <w:tcPr>
            <w:tcW w:w="900" w:type="dxa"/>
            <w:vAlign w:val="bottom"/>
            <w:tcBorders>
              <w:right w:val="single" w:sz="8" w:color="auto"/>
            </w:tcBorders>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rPr>
              <w:t>1.1%</w:t>
            </w:r>
          </w:p>
        </w:tc>
        <w:tc>
          <w:tcPr>
            <w:tcW w:w="0" w:type="dxa"/>
            <w:vAlign w:val="bottom"/>
          </w:tcPr>
          <w:p>
            <w:pPr>
              <w:spacing w:after="0"/>
              <w:rPr>
                <w:sz w:val="1"/>
                <w:szCs w:val="1"/>
                <w:color w:val="auto"/>
              </w:rPr>
            </w:pPr>
          </w:p>
        </w:tc>
      </w:tr>
      <w:tr>
        <w:trPr>
          <w:trHeight w:val="144"/>
        </w:trPr>
        <w:tc>
          <w:tcPr>
            <w:tcW w:w="3960" w:type="dxa"/>
            <w:vAlign w:val="bottom"/>
            <w:tcBorders>
              <w:left w:val="single" w:sz="8" w:color="auto"/>
              <w:right w:val="single" w:sz="8" w:color="auto"/>
            </w:tcBorders>
          </w:tcPr>
          <w:p>
            <w:pPr>
              <w:ind w:left="180"/>
              <w:spacing w:after="0" w:line="144" w:lineRule="exact"/>
              <w:rPr>
                <w:sz w:val="20"/>
                <w:szCs w:val="20"/>
                <w:color w:val="auto"/>
              </w:rPr>
            </w:pPr>
            <w:r>
              <w:rPr>
                <w:rFonts w:ascii="Times New Roman" w:cs="Times New Roman" w:eastAsia="Times New Roman" w:hAnsi="Times New Roman"/>
                <w:sz w:val="14"/>
                <w:szCs w:val="14"/>
                <w:b w:val="1"/>
                <w:bCs w:val="1"/>
                <w:color w:val="auto"/>
              </w:rPr>
              <w:t>Wholesale Banking</w:t>
            </w:r>
          </w:p>
        </w:tc>
        <w:tc>
          <w:tcPr>
            <w:tcW w:w="700" w:type="dxa"/>
            <w:vAlign w:val="bottom"/>
          </w:tcPr>
          <w:p>
            <w:pPr>
              <w:jc w:val="center"/>
              <w:ind w:left="134"/>
              <w:spacing w:after="0" w:line="144" w:lineRule="exact"/>
              <w:rPr>
                <w:sz w:val="20"/>
                <w:szCs w:val="20"/>
                <w:color w:val="auto"/>
              </w:rPr>
            </w:pPr>
            <w:r>
              <w:rPr>
                <w:rFonts w:ascii="Times New Roman" w:cs="Times New Roman" w:eastAsia="Times New Roman" w:hAnsi="Times New Roman"/>
                <w:sz w:val="14"/>
                <w:szCs w:val="14"/>
                <w:b w:val="1"/>
                <w:bCs w:val="1"/>
                <w:color w:val="auto"/>
                <w:w w:val="98"/>
              </w:rPr>
              <w:t>54,142</w:t>
            </w:r>
          </w:p>
        </w:tc>
        <w:tc>
          <w:tcPr>
            <w:tcW w:w="1120" w:type="dxa"/>
            <w:vAlign w:val="bottom"/>
            <w:tcBorders>
              <w:right w:val="single" w:sz="8" w:color="auto"/>
            </w:tcBorders>
          </w:tcPr>
          <w:p>
            <w:pPr>
              <w:jc w:val="center"/>
              <w:ind w:left="94"/>
              <w:spacing w:after="0" w:line="144" w:lineRule="exact"/>
              <w:rPr>
                <w:sz w:val="20"/>
                <w:szCs w:val="20"/>
                <w:color w:val="auto"/>
              </w:rPr>
            </w:pPr>
            <w:r>
              <w:rPr>
                <w:rFonts w:ascii="Times New Roman" w:cs="Times New Roman" w:eastAsia="Times New Roman" w:hAnsi="Times New Roman"/>
                <w:sz w:val="14"/>
                <w:szCs w:val="14"/>
                <w:b w:val="1"/>
                <w:bCs w:val="1"/>
                <w:color w:val="auto"/>
                <w:w w:val="93"/>
              </w:rPr>
              <w:t>56,335</w:t>
            </w:r>
          </w:p>
        </w:tc>
        <w:tc>
          <w:tcPr>
            <w:tcW w:w="88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5"/>
              </w:rPr>
              <w:t>2,193</w:t>
            </w:r>
          </w:p>
        </w:tc>
        <w:tc>
          <w:tcPr>
            <w:tcW w:w="920" w:type="dxa"/>
            <w:vAlign w:val="bottom"/>
            <w:tcBorders>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5"/>
              </w:rPr>
              <w:t>4.0%</w:t>
            </w:r>
          </w:p>
        </w:tc>
        <w:tc>
          <w:tcPr>
            <w:tcW w:w="700" w:type="dxa"/>
            <w:vAlign w:val="bottom"/>
          </w:tcPr>
          <w:p>
            <w:pPr>
              <w:jc w:val="center"/>
              <w:ind w:left="94"/>
              <w:spacing w:after="0" w:line="144" w:lineRule="exact"/>
              <w:rPr>
                <w:sz w:val="20"/>
                <w:szCs w:val="20"/>
                <w:color w:val="auto"/>
              </w:rPr>
            </w:pPr>
            <w:r>
              <w:rPr>
                <w:rFonts w:ascii="Times New Roman" w:cs="Times New Roman" w:eastAsia="Times New Roman" w:hAnsi="Times New Roman"/>
                <w:sz w:val="14"/>
                <w:szCs w:val="14"/>
                <w:b w:val="1"/>
                <w:bCs w:val="1"/>
                <w:color w:val="auto"/>
                <w:w w:val="98"/>
              </w:rPr>
              <w:t>54,142</w:t>
            </w:r>
          </w:p>
        </w:tc>
        <w:tc>
          <w:tcPr>
            <w:tcW w:w="1100" w:type="dxa"/>
            <w:vAlign w:val="bottom"/>
            <w:tcBorders>
              <w:right w:val="single" w:sz="8" w:color="auto"/>
            </w:tcBorders>
          </w:tcPr>
          <w:p>
            <w:pPr>
              <w:jc w:val="center"/>
              <w:ind w:left="94"/>
              <w:spacing w:after="0" w:line="144" w:lineRule="exact"/>
              <w:rPr>
                <w:sz w:val="20"/>
                <w:szCs w:val="20"/>
                <w:color w:val="auto"/>
              </w:rPr>
            </w:pPr>
            <w:r>
              <w:rPr>
                <w:rFonts w:ascii="Times New Roman" w:cs="Times New Roman" w:eastAsia="Times New Roman" w:hAnsi="Times New Roman"/>
                <w:sz w:val="14"/>
                <w:szCs w:val="14"/>
                <w:b w:val="1"/>
                <w:bCs w:val="1"/>
                <w:color w:val="auto"/>
                <w:w w:val="98"/>
              </w:rPr>
              <w:t>55,159</w:t>
            </w:r>
          </w:p>
        </w:tc>
        <w:tc>
          <w:tcPr>
            <w:tcW w:w="88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5"/>
              </w:rPr>
              <w:t>1,017</w:t>
            </w:r>
          </w:p>
        </w:tc>
        <w:tc>
          <w:tcPr>
            <w:tcW w:w="900" w:type="dxa"/>
            <w:vAlign w:val="bottom"/>
            <w:tcBorders>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1.9%</w:t>
            </w:r>
          </w:p>
        </w:tc>
        <w:tc>
          <w:tcPr>
            <w:tcW w:w="0" w:type="dxa"/>
            <w:vAlign w:val="bottom"/>
          </w:tcPr>
          <w:p>
            <w:pPr>
              <w:spacing w:after="0"/>
              <w:rPr>
                <w:sz w:val="1"/>
                <w:szCs w:val="1"/>
                <w:color w:val="auto"/>
              </w:rPr>
            </w:pPr>
          </w:p>
        </w:tc>
      </w:tr>
      <w:tr>
        <w:trPr>
          <w:trHeight w:val="20"/>
        </w:trPr>
        <w:tc>
          <w:tcPr>
            <w:tcW w:w="3960" w:type="dxa"/>
            <w:vAlign w:val="bottom"/>
            <w:tcBorders>
              <w:left w:val="single" w:sz="8" w:color="auto"/>
              <w:right w:val="single" w:sz="8" w:color="auto"/>
            </w:tcBorders>
            <w:vMerge w:val="restart"/>
          </w:tcPr>
          <w:p>
            <w:pPr>
              <w:ind w:left="280"/>
              <w:spacing w:after="0" w:line="140" w:lineRule="exact"/>
              <w:rPr>
                <w:sz w:val="20"/>
                <w:szCs w:val="20"/>
                <w:color w:val="auto"/>
              </w:rPr>
            </w:pPr>
            <w:r>
              <w:rPr>
                <w:rFonts w:ascii="Times New Roman" w:cs="Times New Roman" w:eastAsia="Times New Roman" w:hAnsi="Times New Roman"/>
                <w:sz w:val="14"/>
                <w:szCs w:val="14"/>
                <w:color w:val="auto"/>
              </w:rPr>
              <w:t>Corporate</w:t>
            </w:r>
          </w:p>
        </w:tc>
        <w:tc>
          <w:tcPr>
            <w:tcW w:w="700" w:type="dxa"/>
            <w:vAlign w:val="bottom"/>
            <w:vMerge w:val="restart"/>
          </w:tcPr>
          <w:p>
            <w:pPr>
              <w:jc w:val="center"/>
              <w:ind w:left="134"/>
              <w:spacing w:after="0" w:line="140" w:lineRule="exact"/>
              <w:rPr>
                <w:sz w:val="20"/>
                <w:szCs w:val="20"/>
                <w:color w:val="auto"/>
              </w:rPr>
            </w:pPr>
            <w:r>
              <w:rPr>
                <w:rFonts w:ascii="Times New Roman" w:cs="Times New Roman" w:eastAsia="Times New Roman" w:hAnsi="Times New Roman"/>
                <w:sz w:val="14"/>
                <w:szCs w:val="14"/>
                <w:color w:val="auto"/>
                <w:w w:val="98"/>
              </w:rPr>
              <w:t>31,958</w:t>
            </w:r>
          </w:p>
        </w:tc>
        <w:tc>
          <w:tcPr>
            <w:tcW w:w="1120" w:type="dxa"/>
            <w:vAlign w:val="bottom"/>
            <w:tcBorders>
              <w:right w:val="single" w:sz="8" w:color="auto"/>
            </w:tcBorders>
            <w:vMerge w:val="restart"/>
          </w:tcPr>
          <w:p>
            <w:pPr>
              <w:jc w:val="center"/>
              <w:ind w:left="94"/>
              <w:spacing w:after="0" w:line="140" w:lineRule="exact"/>
              <w:rPr>
                <w:sz w:val="20"/>
                <w:szCs w:val="20"/>
                <w:color w:val="auto"/>
              </w:rPr>
            </w:pPr>
            <w:r>
              <w:rPr>
                <w:rFonts w:ascii="Times New Roman" w:cs="Times New Roman" w:eastAsia="Times New Roman" w:hAnsi="Times New Roman"/>
                <w:sz w:val="14"/>
                <w:szCs w:val="14"/>
                <w:color w:val="auto"/>
                <w:w w:val="93"/>
              </w:rPr>
              <w:t>33,209</w:t>
            </w:r>
          </w:p>
        </w:tc>
        <w:tc>
          <w:tcPr>
            <w:tcW w:w="88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4"/>
                <w:szCs w:val="14"/>
                <w:color w:val="auto"/>
                <w:w w:val="95"/>
              </w:rPr>
              <w:t>1,251</w:t>
            </w:r>
          </w:p>
        </w:tc>
        <w:tc>
          <w:tcPr>
            <w:tcW w:w="920" w:type="dxa"/>
            <w:vAlign w:val="bottom"/>
            <w:tcBorders>
              <w:right w:val="single" w:sz="8" w:color="auto"/>
            </w:tcBorders>
            <w:vMerge w:val="restart"/>
          </w:tcPr>
          <w:p>
            <w:pPr>
              <w:jc w:val="center"/>
              <w:spacing w:after="0" w:line="140" w:lineRule="exact"/>
              <w:rPr>
                <w:sz w:val="20"/>
                <w:szCs w:val="20"/>
                <w:color w:val="auto"/>
              </w:rPr>
            </w:pPr>
            <w:r>
              <w:rPr>
                <w:rFonts w:ascii="Times New Roman" w:cs="Times New Roman" w:eastAsia="Times New Roman" w:hAnsi="Times New Roman"/>
                <w:sz w:val="14"/>
                <w:szCs w:val="14"/>
                <w:color w:val="auto"/>
                <w:w w:val="95"/>
              </w:rPr>
              <w:t>3.9%</w:t>
            </w:r>
          </w:p>
        </w:tc>
        <w:tc>
          <w:tcPr>
            <w:tcW w:w="700" w:type="dxa"/>
            <w:vAlign w:val="bottom"/>
            <w:vMerge w:val="restart"/>
          </w:tcPr>
          <w:p>
            <w:pPr>
              <w:jc w:val="center"/>
              <w:ind w:left="94"/>
              <w:spacing w:after="0" w:line="140" w:lineRule="exact"/>
              <w:rPr>
                <w:sz w:val="20"/>
                <w:szCs w:val="20"/>
                <w:color w:val="auto"/>
              </w:rPr>
            </w:pPr>
            <w:r>
              <w:rPr>
                <w:rFonts w:ascii="Times New Roman" w:cs="Times New Roman" w:eastAsia="Times New Roman" w:hAnsi="Times New Roman"/>
                <w:sz w:val="14"/>
                <w:szCs w:val="14"/>
                <w:color w:val="auto"/>
                <w:w w:val="98"/>
              </w:rPr>
              <w:t>31,958</w:t>
            </w:r>
          </w:p>
        </w:tc>
        <w:tc>
          <w:tcPr>
            <w:tcW w:w="1100" w:type="dxa"/>
            <w:vAlign w:val="bottom"/>
            <w:tcBorders>
              <w:right w:val="single" w:sz="8" w:color="auto"/>
            </w:tcBorders>
            <w:vMerge w:val="restart"/>
          </w:tcPr>
          <w:p>
            <w:pPr>
              <w:jc w:val="center"/>
              <w:ind w:left="94"/>
              <w:spacing w:after="0" w:line="140" w:lineRule="exact"/>
              <w:rPr>
                <w:sz w:val="20"/>
                <w:szCs w:val="20"/>
                <w:color w:val="auto"/>
              </w:rPr>
            </w:pPr>
            <w:r>
              <w:rPr>
                <w:rFonts w:ascii="Times New Roman" w:cs="Times New Roman" w:eastAsia="Times New Roman" w:hAnsi="Times New Roman"/>
                <w:sz w:val="14"/>
                <w:szCs w:val="14"/>
                <w:color w:val="auto"/>
                <w:w w:val="98"/>
              </w:rPr>
              <w:t>32,528</w:t>
            </w:r>
          </w:p>
        </w:tc>
        <w:tc>
          <w:tcPr>
            <w:tcW w:w="880" w:type="dxa"/>
            <w:vAlign w:val="bottom"/>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3960" w:type="dxa"/>
            <w:vAlign w:val="bottom"/>
            <w:tcBorders>
              <w:left w:val="single" w:sz="8" w:color="auto"/>
              <w:right w:val="single" w:sz="8" w:color="auto"/>
            </w:tcBorders>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120" w:type="dxa"/>
            <w:vAlign w:val="bottom"/>
            <w:tcBorders>
              <w:right w:val="single" w:sz="8" w:color="auto"/>
            </w:tcBorders>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920" w:type="dxa"/>
            <w:vAlign w:val="bottom"/>
            <w:tcBorders>
              <w:right w:val="single" w:sz="8" w:color="auto"/>
            </w:tcBorders>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100" w:type="dxa"/>
            <w:vAlign w:val="bottom"/>
            <w:tcBorders>
              <w:right w:val="single" w:sz="8" w:color="auto"/>
            </w:tcBorders>
            <w:vMerge w:val="continue"/>
          </w:tcPr>
          <w:p>
            <w:pPr>
              <w:spacing w:after="0"/>
              <w:rPr>
                <w:sz w:val="10"/>
                <w:szCs w:val="10"/>
                <w:color w:val="auto"/>
              </w:rPr>
            </w:pPr>
          </w:p>
        </w:tc>
        <w:tc>
          <w:tcPr>
            <w:tcW w:w="880" w:type="dxa"/>
            <w:vAlign w:val="bottom"/>
            <w:shd w:val="clear" w:color="auto" w:fill="26D07C"/>
          </w:tcPr>
          <w:p>
            <w:pPr>
              <w:jc w:val="center"/>
              <w:spacing w:after="0" w:line="120" w:lineRule="exact"/>
              <w:rPr>
                <w:sz w:val="20"/>
                <w:szCs w:val="20"/>
                <w:color w:val="auto"/>
              </w:rPr>
            </w:pPr>
            <w:r>
              <w:rPr>
                <w:rFonts w:ascii="Times New Roman" w:cs="Times New Roman" w:eastAsia="Times New Roman" w:hAnsi="Times New Roman"/>
                <w:sz w:val="12"/>
                <w:szCs w:val="12"/>
                <w:color w:val="auto"/>
              </w:rPr>
              <w:t>570</w:t>
            </w:r>
          </w:p>
        </w:tc>
        <w:tc>
          <w:tcPr>
            <w:tcW w:w="900" w:type="dxa"/>
            <w:vAlign w:val="bottom"/>
            <w:tcBorders>
              <w:right w:val="single" w:sz="8" w:color="auto"/>
            </w:tcBorders>
            <w:shd w:val="clear" w:color="auto" w:fill="26D07C"/>
          </w:tcPr>
          <w:p>
            <w:pPr>
              <w:jc w:val="center"/>
              <w:spacing w:after="0" w:line="120" w:lineRule="exact"/>
              <w:rPr>
                <w:sz w:val="20"/>
                <w:szCs w:val="20"/>
                <w:color w:val="auto"/>
              </w:rPr>
            </w:pPr>
            <w:r>
              <w:rPr>
                <w:rFonts w:ascii="Times New Roman" w:cs="Times New Roman" w:eastAsia="Times New Roman" w:hAnsi="Times New Roman"/>
                <w:sz w:val="12"/>
                <w:szCs w:val="12"/>
                <w:color w:val="auto"/>
              </w:rPr>
              <w:t>1.8%</w:t>
            </w:r>
          </w:p>
        </w:tc>
        <w:tc>
          <w:tcPr>
            <w:tcW w:w="0" w:type="dxa"/>
            <w:vAlign w:val="bottom"/>
          </w:tcPr>
          <w:p>
            <w:pPr>
              <w:spacing w:after="0"/>
              <w:rPr>
                <w:sz w:val="1"/>
                <w:szCs w:val="1"/>
                <w:color w:val="auto"/>
              </w:rPr>
            </w:pPr>
          </w:p>
        </w:tc>
      </w:tr>
      <w:tr>
        <w:trPr>
          <w:trHeight w:val="140"/>
        </w:trPr>
        <w:tc>
          <w:tcPr>
            <w:tcW w:w="3960" w:type="dxa"/>
            <w:vAlign w:val="bottom"/>
            <w:tcBorders>
              <w:left w:val="single" w:sz="8" w:color="auto"/>
              <w:right w:val="single" w:sz="8" w:color="auto"/>
            </w:tcBorders>
          </w:tcPr>
          <w:p>
            <w:pPr>
              <w:ind w:left="280"/>
              <w:spacing w:after="0" w:line="136" w:lineRule="exact"/>
              <w:rPr>
                <w:sz w:val="20"/>
                <w:szCs w:val="20"/>
                <w:color w:val="auto"/>
              </w:rPr>
            </w:pPr>
            <w:r>
              <w:rPr>
                <w:rFonts w:ascii="Times New Roman" w:cs="Times New Roman" w:eastAsia="Times New Roman" w:hAnsi="Times New Roman"/>
                <w:sz w:val="14"/>
                <w:szCs w:val="14"/>
                <w:color w:val="auto"/>
              </w:rPr>
              <w:t>Middle - Market</w:t>
            </w:r>
          </w:p>
        </w:tc>
        <w:tc>
          <w:tcPr>
            <w:tcW w:w="700" w:type="dxa"/>
            <w:vAlign w:val="bottom"/>
          </w:tcPr>
          <w:p>
            <w:pPr>
              <w:jc w:val="center"/>
              <w:ind w:left="134"/>
              <w:spacing w:after="0" w:line="136" w:lineRule="exact"/>
              <w:rPr>
                <w:sz w:val="20"/>
                <w:szCs w:val="20"/>
                <w:color w:val="auto"/>
              </w:rPr>
            </w:pPr>
            <w:r>
              <w:rPr>
                <w:rFonts w:ascii="Times New Roman" w:cs="Times New Roman" w:eastAsia="Times New Roman" w:hAnsi="Times New Roman"/>
                <w:sz w:val="14"/>
                <w:szCs w:val="14"/>
                <w:color w:val="auto"/>
                <w:w w:val="98"/>
              </w:rPr>
              <w:t>22,184</w:t>
            </w:r>
          </w:p>
        </w:tc>
        <w:tc>
          <w:tcPr>
            <w:tcW w:w="1120" w:type="dxa"/>
            <w:vAlign w:val="bottom"/>
            <w:tcBorders>
              <w:right w:val="single" w:sz="8" w:color="auto"/>
            </w:tcBorders>
          </w:tcPr>
          <w:p>
            <w:pPr>
              <w:jc w:val="center"/>
              <w:ind w:left="94"/>
              <w:spacing w:after="0" w:line="136" w:lineRule="exact"/>
              <w:rPr>
                <w:sz w:val="20"/>
                <w:szCs w:val="20"/>
                <w:color w:val="auto"/>
              </w:rPr>
            </w:pPr>
            <w:r>
              <w:rPr>
                <w:rFonts w:ascii="Times New Roman" w:cs="Times New Roman" w:eastAsia="Times New Roman" w:hAnsi="Times New Roman"/>
                <w:sz w:val="14"/>
                <w:szCs w:val="14"/>
                <w:color w:val="auto"/>
                <w:w w:val="93"/>
              </w:rPr>
              <w:t>23,125</w:t>
            </w:r>
          </w:p>
        </w:tc>
        <w:tc>
          <w:tcPr>
            <w:tcW w:w="88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w w:val="95"/>
              </w:rPr>
              <w:t>942</w:t>
            </w:r>
          </w:p>
        </w:tc>
        <w:tc>
          <w:tcPr>
            <w:tcW w:w="92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4"/>
                <w:szCs w:val="14"/>
                <w:color w:val="auto"/>
                <w:w w:val="95"/>
              </w:rPr>
              <w:t>4.2%</w:t>
            </w:r>
          </w:p>
        </w:tc>
        <w:tc>
          <w:tcPr>
            <w:tcW w:w="700" w:type="dxa"/>
            <w:vAlign w:val="bottom"/>
          </w:tcPr>
          <w:p>
            <w:pPr>
              <w:jc w:val="center"/>
              <w:ind w:left="94"/>
              <w:spacing w:after="0" w:line="136" w:lineRule="exact"/>
              <w:rPr>
                <w:sz w:val="20"/>
                <w:szCs w:val="20"/>
                <w:color w:val="auto"/>
              </w:rPr>
            </w:pPr>
            <w:r>
              <w:rPr>
                <w:rFonts w:ascii="Times New Roman" w:cs="Times New Roman" w:eastAsia="Times New Roman" w:hAnsi="Times New Roman"/>
                <w:sz w:val="14"/>
                <w:szCs w:val="14"/>
                <w:color w:val="auto"/>
                <w:w w:val="98"/>
              </w:rPr>
              <w:t>22,184</w:t>
            </w:r>
          </w:p>
        </w:tc>
        <w:tc>
          <w:tcPr>
            <w:tcW w:w="1100" w:type="dxa"/>
            <w:vAlign w:val="bottom"/>
            <w:tcBorders>
              <w:right w:val="single" w:sz="8" w:color="auto"/>
            </w:tcBorders>
          </w:tcPr>
          <w:p>
            <w:pPr>
              <w:jc w:val="center"/>
              <w:ind w:left="94"/>
              <w:spacing w:after="0" w:line="136" w:lineRule="exact"/>
              <w:rPr>
                <w:sz w:val="20"/>
                <w:szCs w:val="20"/>
                <w:color w:val="auto"/>
              </w:rPr>
            </w:pPr>
            <w:r>
              <w:rPr>
                <w:rFonts w:ascii="Times New Roman" w:cs="Times New Roman" w:eastAsia="Times New Roman" w:hAnsi="Times New Roman"/>
                <w:sz w:val="14"/>
                <w:szCs w:val="14"/>
                <w:color w:val="auto"/>
                <w:w w:val="98"/>
              </w:rPr>
              <w:t>22,631</w:t>
            </w:r>
          </w:p>
        </w:tc>
        <w:tc>
          <w:tcPr>
            <w:tcW w:w="880" w:type="dxa"/>
            <w:vAlign w:val="bottom"/>
            <w:tcBorders>
              <w:bottom w:val="single" w:sz="8" w:color="26D07C"/>
            </w:tcBorders>
            <w:shd w:val="clear" w:color="auto" w:fill="26D07C"/>
          </w:tcPr>
          <w:p>
            <w:pPr>
              <w:jc w:val="center"/>
              <w:spacing w:after="0" w:line="136" w:lineRule="exact"/>
              <w:rPr>
                <w:sz w:val="20"/>
                <w:szCs w:val="20"/>
                <w:color w:val="auto"/>
              </w:rPr>
            </w:pPr>
            <w:r>
              <w:rPr>
                <w:rFonts w:ascii="Times New Roman" w:cs="Times New Roman" w:eastAsia="Times New Roman" w:hAnsi="Times New Roman"/>
                <w:sz w:val="14"/>
                <w:szCs w:val="14"/>
                <w:color w:val="auto"/>
                <w:w w:val="95"/>
              </w:rPr>
              <w:t>447</w:t>
            </w:r>
          </w:p>
        </w:tc>
        <w:tc>
          <w:tcPr>
            <w:tcW w:w="900" w:type="dxa"/>
            <w:vAlign w:val="bottom"/>
            <w:tcBorders>
              <w:bottom w:val="single" w:sz="8" w:color="26D07C"/>
              <w:right w:val="single" w:sz="8" w:color="auto"/>
            </w:tcBorders>
            <w:shd w:val="clear" w:color="auto" w:fill="26D07C"/>
          </w:tcPr>
          <w:p>
            <w:pPr>
              <w:jc w:val="center"/>
              <w:spacing w:after="0" w:line="136" w:lineRule="exact"/>
              <w:rPr>
                <w:sz w:val="20"/>
                <w:szCs w:val="20"/>
                <w:color w:val="auto"/>
              </w:rPr>
            </w:pPr>
            <w:r>
              <w:rPr>
                <w:rFonts w:ascii="Times New Roman" w:cs="Times New Roman" w:eastAsia="Times New Roman" w:hAnsi="Times New Roman"/>
                <w:sz w:val="14"/>
                <w:szCs w:val="14"/>
                <w:color w:val="auto"/>
                <w:w w:val="95"/>
              </w:rPr>
              <w:t>2.0%</w:t>
            </w:r>
          </w:p>
        </w:tc>
        <w:tc>
          <w:tcPr>
            <w:tcW w:w="0" w:type="dxa"/>
            <w:vAlign w:val="bottom"/>
          </w:tcPr>
          <w:p>
            <w:pPr>
              <w:spacing w:after="0"/>
              <w:rPr>
                <w:sz w:val="1"/>
                <w:szCs w:val="1"/>
                <w:color w:val="auto"/>
              </w:rPr>
            </w:pPr>
          </w:p>
        </w:tc>
      </w:tr>
      <w:tr>
        <w:trPr>
          <w:trHeight w:val="119"/>
        </w:trPr>
        <w:tc>
          <w:tcPr>
            <w:tcW w:w="3960" w:type="dxa"/>
            <w:vAlign w:val="bottom"/>
            <w:tcBorders>
              <w:left w:val="single" w:sz="8" w:color="auto"/>
              <w:right w:val="single" w:sz="8" w:color="auto"/>
            </w:tcBorders>
          </w:tcPr>
          <w:p>
            <w:pPr>
              <w:ind w:left="180"/>
              <w:spacing w:after="0" w:line="120" w:lineRule="exact"/>
              <w:rPr>
                <w:sz w:val="20"/>
                <w:szCs w:val="20"/>
                <w:color w:val="auto"/>
              </w:rPr>
            </w:pPr>
            <w:r>
              <w:rPr>
                <w:rFonts w:ascii="Times New Roman" w:cs="Times New Roman" w:eastAsia="Times New Roman" w:hAnsi="Times New Roman"/>
                <w:sz w:val="12"/>
                <w:szCs w:val="12"/>
                <w:b w:val="1"/>
                <w:bCs w:val="1"/>
                <w:color w:val="auto"/>
              </w:rPr>
              <w:t>Retail Banking</w:t>
            </w:r>
          </w:p>
        </w:tc>
        <w:tc>
          <w:tcPr>
            <w:tcW w:w="700" w:type="dxa"/>
            <w:vAlign w:val="bottom"/>
          </w:tcPr>
          <w:p>
            <w:pPr>
              <w:jc w:val="center"/>
              <w:ind w:left="134"/>
              <w:spacing w:after="0" w:line="120" w:lineRule="exact"/>
              <w:rPr>
                <w:sz w:val="20"/>
                <w:szCs w:val="20"/>
                <w:color w:val="auto"/>
              </w:rPr>
            </w:pPr>
            <w:r>
              <w:rPr>
                <w:rFonts w:ascii="Times New Roman" w:cs="Times New Roman" w:eastAsia="Times New Roman" w:hAnsi="Times New Roman"/>
                <w:sz w:val="12"/>
                <w:szCs w:val="12"/>
                <w:b w:val="1"/>
                <w:bCs w:val="1"/>
                <w:color w:val="auto"/>
              </w:rPr>
              <w:t>69,501</w:t>
            </w:r>
          </w:p>
        </w:tc>
        <w:tc>
          <w:tcPr>
            <w:tcW w:w="1120" w:type="dxa"/>
            <w:vAlign w:val="bottom"/>
            <w:tcBorders>
              <w:right w:val="single" w:sz="8" w:color="auto"/>
            </w:tcBorders>
          </w:tcPr>
          <w:p>
            <w:pPr>
              <w:jc w:val="center"/>
              <w:ind w:left="94"/>
              <w:spacing w:after="0" w:line="120" w:lineRule="exact"/>
              <w:rPr>
                <w:sz w:val="20"/>
                <w:szCs w:val="20"/>
                <w:color w:val="auto"/>
              </w:rPr>
            </w:pPr>
            <w:r>
              <w:rPr>
                <w:rFonts w:ascii="Times New Roman" w:cs="Times New Roman" w:eastAsia="Times New Roman" w:hAnsi="Times New Roman"/>
                <w:sz w:val="12"/>
                <w:szCs w:val="12"/>
                <w:b w:val="1"/>
                <w:bCs w:val="1"/>
                <w:color w:val="auto"/>
              </w:rPr>
              <w:t>69,808</w:t>
            </w:r>
          </w:p>
        </w:tc>
        <w:tc>
          <w:tcPr>
            <w:tcW w:w="88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b w:val="1"/>
                <w:bCs w:val="1"/>
                <w:color w:val="auto"/>
              </w:rPr>
              <w:t>307</w:t>
            </w:r>
          </w:p>
        </w:tc>
        <w:tc>
          <w:tcPr>
            <w:tcW w:w="920" w:type="dxa"/>
            <w:vAlign w:val="bottom"/>
            <w:tcBorders>
              <w:right w:val="single" w:sz="8" w:color="auto"/>
            </w:tcBorders>
          </w:tcPr>
          <w:p>
            <w:pPr>
              <w:jc w:val="center"/>
              <w:spacing w:after="0" w:line="120" w:lineRule="exact"/>
              <w:rPr>
                <w:sz w:val="20"/>
                <w:szCs w:val="20"/>
                <w:color w:val="auto"/>
              </w:rPr>
            </w:pPr>
            <w:r>
              <w:rPr>
                <w:rFonts w:ascii="Times New Roman" w:cs="Times New Roman" w:eastAsia="Times New Roman" w:hAnsi="Times New Roman"/>
                <w:sz w:val="12"/>
                <w:szCs w:val="12"/>
                <w:b w:val="1"/>
                <w:bCs w:val="1"/>
                <w:color w:val="auto"/>
              </w:rPr>
              <w:t>0.4%</w:t>
            </w:r>
          </w:p>
        </w:tc>
        <w:tc>
          <w:tcPr>
            <w:tcW w:w="700" w:type="dxa"/>
            <w:vAlign w:val="bottom"/>
          </w:tcPr>
          <w:p>
            <w:pPr>
              <w:jc w:val="center"/>
              <w:ind w:left="94"/>
              <w:spacing w:after="0" w:line="120" w:lineRule="exact"/>
              <w:rPr>
                <w:sz w:val="20"/>
                <w:szCs w:val="20"/>
                <w:color w:val="auto"/>
              </w:rPr>
            </w:pPr>
            <w:r>
              <w:rPr>
                <w:rFonts w:ascii="Times New Roman" w:cs="Times New Roman" w:eastAsia="Times New Roman" w:hAnsi="Times New Roman"/>
                <w:sz w:val="12"/>
                <w:szCs w:val="12"/>
                <w:b w:val="1"/>
                <w:bCs w:val="1"/>
                <w:color w:val="auto"/>
              </w:rPr>
              <w:t>69,501</w:t>
            </w:r>
          </w:p>
        </w:tc>
        <w:tc>
          <w:tcPr>
            <w:tcW w:w="1100" w:type="dxa"/>
            <w:vAlign w:val="bottom"/>
            <w:tcBorders>
              <w:right w:val="single" w:sz="8" w:color="auto"/>
            </w:tcBorders>
          </w:tcPr>
          <w:p>
            <w:pPr>
              <w:jc w:val="center"/>
              <w:ind w:left="94"/>
              <w:spacing w:after="0" w:line="120" w:lineRule="exact"/>
              <w:rPr>
                <w:sz w:val="20"/>
                <w:szCs w:val="20"/>
                <w:color w:val="auto"/>
              </w:rPr>
            </w:pPr>
            <w:r>
              <w:rPr>
                <w:rFonts w:ascii="Times New Roman" w:cs="Times New Roman" w:eastAsia="Times New Roman" w:hAnsi="Times New Roman"/>
                <w:sz w:val="12"/>
                <w:szCs w:val="12"/>
                <w:b w:val="1"/>
                <w:bCs w:val="1"/>
                <w:color w:val="auto"/>
              </w:rPr>
              <w:t>69,501</w:t>
            </w:r>
          </w:p>
        </w:tc>
        <w:tc>
          <w:tcPr>
            <w:tcW w:w="88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b w:val="1"/>
                <w:bCs w:val="1"/>
                <w:color w:val="auto"/>
                <w:w w:val="99"/>
              </w:rPr>
              <w:t>0</w:t>
            </w:r>
          </w:p>
        </w:tc>
        <w:tc>
          <w:tcPr>
            <w:tcW w:w="900" w:type="dxa"/>
            <w:vAlign w:val="bottom"/>
            <w:tcBorders>
              <w:right w:val="single" w:sz="8" w:color="auto"/>
            </w:tcBorders>
          </w:tcPr>
          <w:p>
            <w:pPr>
              <w:jc w:val="center"/>
              <w:spacing w:after="0" w:line="120" w:lineRule="exact"/>
              <w:rPr>
                <w:sz w:val="20"/>
                <w:szCs w:val="20"/>
                <w:color w:val="auto"/>
              </w:rPr>
            </w:pPr>
            <w:r>
              <w:rPr>
                <w:rFonts w:ascii="Times New Roman" w:cs="Times New Roman" w:eastAsia="Times New Roman" w:hAnsi="Times New Roman"/>
                <w:sz w:val="12"/>
                <w:szCs w:val="12"/>
                <w:b w:val="1"/>
                <w:bCs w:val="1"/>
                <w:color w:val="auto"/>
              </w:rPr>
              <w:t>0.0%</w:t>
            </w:r>
          </w:p>
        </w:tc>
        <w:tc>
          <w:tcPr>
            <w:tcW w:w="0" w:type="dxa"/>
            <w:vAlign w:val="bottom"/>
          </w:tcPr>
          <w:p>
            <w:pPr>
              <w:spacing w:after="0"/>
              <w:rPr>
                <w:sz w:val="1"/>
                <w:szCs w:val="1"/>
                <w:color w:val="auto"/>
              </w:rPr>
            </w:pPr>
          </w:p>
        </w:tc>
      </w:tr>
      <w:tr>
        <w:trPr>
          <w:trHeight w:val="20"/>
        </w:trPr>
        <w:tc>
          <w:tcPr>
            <w:tcW w:w="3960" w:type="dxa"/>
            <w:vAlign w:val="bottom"/>
            <w:tcBorders>
              <w:left w:val="single" w:sz="8" w:color="auto"/>
              <w:right w:val="single" w:sz="8" w:color="auto"/>
            </w:tcBorders>
            <w:vMerge w:val="restart"/>
          </w:tcPr>
          <w:p>
            <w:pPr>
              <w:ind w:left="280"/>
              <w:spacing w:after="0" w:line="140" w:lineRule="exact"/>
              <w:rPr>
                <w:sz w:val="20"/>
                <w:szCs w:val="20"/>
                <w:color w:val="auto"/>
              </w:rPr>
            </w:pPr>
            <w:r>
              <w:rPr>
                <w:rFonts w:ascii="Times New Roman" w:cs="Times New Roman" w:eastAsia="Times New Roman" w:hAnsi="Times New Roman"/>
                <w:sz w:val="14"/>
                <w:szCs w:val="14"/>
                <w:color w:val="auto"/>
              </w:rPr>
              <w:t>SME - Business</w:t>
            </w:r>
          </w:p>
        </w:tc>
        <w:tc>
          <w:tcPr>
            <w:tcW w:w="700" w:type="dxa"/>
            <w:vAlign w:val="bottom"/>
            <w:vMerge w:val="restart"/>
          </w:tcPr>
          <w:p>
            <w:pPr>
              <w:jc w:val="center"/>
              <w:ind w:left="134"/>
              <w:spacing w:after="0" w:line="140" w:lineRule="exact"/>
              <w:rPr>
                <w:sz w:val="20"/>
                <w:szCs w:val="20"/>
                <w:color w:val="auto"/>
              </w:rPr>
            </w:pPr>
            <w:r>
              <w:rPr>
                <w:rFonts w:ascii="Times New Roman" w:cs="Times New Roman" w:eastAsia="Times New Roman" w:hAnsi="Times New Roman"/>
                <w:sz w:val="14"/>
                <w:szCs w:val="14"/>
                <w:color w:val="auto"/>
                <w:w w:val="95"/>
              </w:rPr>
              <w:t>8,434</w:t>
            </w:r>
          </w:p>
        </w:tc>
        <w:tc>
          <w:tcPr>
            <w:tcW w:w="1120" w:type="dxa"/>
            <w:vAlign w:val="bottom"/>
            <w:tcBorders>
              <w:right w:val="single" w:sz="8" w:color="auto"/>
            </w:tcBorders>
            <w:vMerge w:val="restart"/>
          </w:tcPr>
          <w:p>
            <w:pPr>
              <w:jc w:val="center"/>
              <w:ind w:left="94"/>
              <w:spacing w:after="0" w:line="140" w:lineRule="exact"/>
              <w:rPr>
                <w:sz w:val="20"/>
                <w:szCs w:val="20"/>
                <w:color w:val="auto"/>
              </w:rPr>
            </w:pPr>
            <w:r>
              <w:rPr>
                <w:rFonts w:ascii="Times New Roman" w:cs="Times New Roman" w:eastAsia="Times New Roman" w:hAnsi="Times New Roman"/>
                <w:sz w:val="14"/>
                <w:szCs w:val="14"/>
                <w:color w:val="auto"/>
              </w:rPr>
              <w:t>7,100</w:t>
            </w:r>
          </w:p>
        </w:tc>
        <w:tc>
          <w:tcPr>
            <w:tcW w:w="88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4"/>
                <w:szCs w:val="14"/>
                <w:color w:val="auto"/>
                <w:w w:val="93"/>
              </w:rPr>
              <w:t>-1,333</w:t>
            </w:r>
          </w:p>
        </w:tc>
        <w:tc>
          <w:tcPr>
            <w:tcW w:w="920" w:type="dxa"/>
            <w:vAlign w:val="bottom"/>
            <w:tcBorders>
              <w:right w:val="single" w:sz="8" w:color="auto"/>
            </w:tcBorders>
            <w:vMerge w:val="restart"/>
          </w:tcPr>
          <w:p>
            <w:pPr>
              <w:jc w:val="center"/>
              <w:spacing w:after="0" w:line="140" w:lineRule="exact"/>
              <w:rPr>
                <w:sz w:val="20"/>
                <w:szCs w:val="20"/>
                <w:color w:val="auto"/>
              </w:rPr>
            </w:pPr>
            <w:r>
              <w:rPr>
                <w:rFonts w:ascii="Times New Roman" w:cs="Times New Roman" w:eastAsia="Times New Roman" w:hAnsi="Times New Roman"/>
                <w:sz w:val="14"/>
                <w:szCs w:val="14"/>
                <w:color w:val="auto"/>
                <w:w w:val="97"/>
              </w:rPr>
              <w:t>-15.8%</w:t>
            </w:r>
          </w:p>
        </w:tc>
        <w:tc>
          <w:tcPr>
            <w:tcW w:w="700" w:type="dxa"/>
            <w:vAlign w:val="bottom"/>
            <w:vMerge w:val="restart"/>
          </w:tcPr>
          <w:p>
            <w:pPr>
              <w:jc w:val="center"/>
              <w:ind w:left="94"/>
              <w:spacing w:after="0" w:line="140" w:lineRule="exact"/>
              <w:rPr>
                <w:sz w:val="20"/>
                <w:szCs w:val="20"/>
                <w:color w:val="auto"/>
              </w:rPr>
            </w:pPr>
            <w:r>
              <w:rPr>
                <w:rFonts w:ascii="Times New Roman" w:cs="Times New Roman" w:eastAsia="Times New Roman" w:hAnsi="Times New Roman"/>
                <w:sz w:val="14"/>
                <w:szCs w:val="14"/>
                <w:color w:val="auto"/>
                <w:w w:val="95"/>
              </w:rPr>
              <w:t>8,434</w:t>
            </w:r>
          </w:p>
        </w:tc>
        <w:tc>
          <w:tcPr>
            <w:tcW w:w="1100" w:type="dxa"/>
            <w:vAlign w:val="bottom"/>
            <w:tcBorders>
              <w:right w:val="single" w:sz="8" w:color="auto"/>
            </w:tcBorders>
            <w:vMerge w:val="restart"/>
          </w:tcPr>
          <w:p>
            <w:pPr>
              <w:jc w:val="center"/>
              <w:ind w:left="94"/>
              <w:spacing w:after="0" w:line="140" w:lineRule="exact"/>
              <w:rPr>
                <w:sz w:val="20"/>
                <w:szCs w:val="20"/>
                <w:color w:val="auto"/>
              </w:rPr>
            </w:pPr>
            <w:r>
              <w:rPr>
                <w:rFonts w:ascii="Times New Roman" w:cs="Times New Roman" w:eastAsia="Times New Roman" w:hAnsi="Times New Roman"/>
                <w:sz w:val="14"/>
                <w:szCs w:val="14"/>
                <w:color w:val="auto"/>
                <w:w w:val="95"/>
              </w:rPr>
              <w:t>6,983</w:t>
            </w:r>
          </w:p>
        </w:tc>
        <w:tc>
          <w:tcPr>
            <w:tcW w:w="880" w:type="dxa"/>
            <w:vAlign w:val="bottom"/>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3960" w:type="dxa"/>
            <w:vAlign w:val="bottom"/>
            <w:tcBorders>
              <w:left w:val="single" w:sz="8" w:color="auto"/>
              <w:right w:val="single" w:sz="8" w:color="auto"/>
            </w:tcBorders>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120" w:type="dxa"/>
            <w:vAlign w:val="bottom"/>
            <w:tcBorders>
              <w:right w:val="single" w:sz="8" w:color="auto"/>
            </w:tcBorders>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920" w:type="dxa"/>
            <w:vAlign w:val="bottom"/>
            <w:tcBorders>
              <w:right w:val="single" w:sz="8" w:color="auto"/>
            </w:tcBorders>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100" w:type="dxa"/>
            <w:vAlign w:val="bottom"/>
            <w:tcBorders>
              <w:right w:val="single" w:sz="8" w:color="auto"/>
            </w:tcBorders>
            <w:vMerge w:val="continue"/>
          </w:tcPr>
          <w:p>
            <w:pPr>
              <w:spacing w:after="0"/>
              <w:rPr>
                <w:sz w:val="10"/>
                <w:szCs w:val="10"/>
                <w:color w:val="auto"/>
              </w:rPr>
            </w:pPr>
          </w:p>
        </w:tc>
        <w:tc>
          <w:tcPr>
            <w:tcW w:w="880" w:type="dxa"/>
            <w:vAlign w:val="bottom"/>
            <w:tcBorders>
              <w:bottom w:val="single" w:sz="8" w:color="CC3399"/>
            </w:tcBorders>
            <w:shd w:val="clear" w:color="auto" w:fill="CC3399"/>
          </w:tcPr>
          <w:p>
            <w:pPr>
              <w:jc w:val="center"/>
              <w:spacing w:after="0" w:line="120" w:lineRule="exact"/>
              <w:rPr>
                <w:sz w:val="20"/>
                <w:szCs w:val="20"/>
                <w:color w:val="auto"/>
              </w:rPr>
            </w:pPr>
            <w:r>
              <w:rPr>
                <w:rFonts w:ascii="Times New Roman" w:cs="Times New Roman" w:eastAsia="Times New Roman" w:hAnsi="Times New Roman"/>
                <w:sz w:val="12"/>
                <w:szCs w:val="12"/>
                <w:color w:val="auto"/>
              </w:rPr>
              <w:t>-1,451</w:t>
            </w:r>
          </w:p>
        </w:tc>
        <w:tc>
          <w:tcPr>
            <w:tcW w:w="900" w:type="dxa"/>
            <w:vAlign w:val="bottom"/>
            <w:tcBorders>
              <w:bottom w:val="single" w:sz="8" w:color="CC3399"/>
              <w:right w:val="single" w:sz="8" w:color="auto"/>
            </w:tcBorders>
            <w:shd w:val="clear" w:color="auto" w:fill="CC3399"/>
          </w:tcPr>
          <w:p>
            <w:pPr>
              <w:jc w:val="center"/>
              <w:spacing w:after="0" w:line="120" w:lineRule="exact"/>
              <w:rPr>
                <w:sz w:val="20"/>
                <w:szCs w:val="20"/>
                <w:color w:val="auto"/>
              </w:rPr>
            </w:pPr>
            <w:r>
              <w:rPr>
                <w:rFonts w:ascii="Times New Roman" w:cs="Times New Roman" w:eastAsia="Times New Roman" w:hAnsi="Times New Roman"/>
                <w:sz w:val="12"/>
                <w:szCs w:val="12"/>
                <w:color w:val="auto"/>
              </w:rPr>
              <w:t>-17.2%</w:t>
            </w:r>
          </w:p>
        </w:tc>
        <w:tc>
          <w:tcPr>
            <w:tcW w:w="0" w:type="dxa"/>
            <w:vAlign w:val="bottom"/>
          </w:tcPr>
          <w:p>
            <w:pPr>
              <w:spacing w:after="0"/>
              <w:rPr>
                <w:sz w:val="1"/>
                <w:szCs w:val="1"/>
                <w:color w:val="auto"/>
              </w:rPr>
            </w:pPr>
          </w:p>
        </w:tc>
      </w:tr>
      <w:tr>
        <w:trPr>
          <w:trHeight w:val="119"/>
        </w:trPr>
        <w:tc>
          <w:tcPr>
            <w:tcW w:w="3960" w:type="dxa"/>
            <w:vAlign w:val="bottom"/>
            <w:tcBorders>
              <w:left w:val="single" w:sz="8" w:color="auto"/>
              <w:right w:val="single" w:sz="8" w:color="auto"/>
            </w:tcBorders>
          </w:tcPr>
          <w:p>
            <w:pPr>
              <w:ind w:left="280"/>
              <w:spacing w:after="0" w:line="120" w:lineRule="exact"/>
              <w:rPr>
                <w:sz w:val="20"/>
                <w:szCs w:val="20"/>
                <w:color w:val="auto"/>
              </w:rPr>
            </w:pPr>
            <w:r>
              <w:rPr>
                <w:rFonts w:ascii="Times New Roman" w:cs="Times New Roman" w:eastAsia="Times New Roman" w:hAnsi="Times New Roman"/>
                <w:sz w:val="12"/>
                <w:szCs w:val="12"/>
                <w:color w:val="auto"/>
              </w:rPr>
              <w:t>SME - Pyme</w:t>
            </w:r>
          </w:p>
        </w:tc>
        <w:tc>
          <w:tcPr>
            <w:tcW w:w="700" w:type="dxa"/>
            <w:vAlign w:val="bottom"/>
          </w:tcPr>
          <w:p>
            <w:pPr>
              <w:jc w:val="center"/>
              <w:ind w:left="134"/>
              <w:spacing w:after="0" w:line="120" w:lineRule="exact"/>
              <w:rPr>
                <w:sz w:val="20"/>
                <w:szCs w:val="20"/>
                <w:color w:val="auto"/>
              </w:rPr>
            </w:pPr>
            <w:r>
              <w:rPr>
                <w:rFonts w:ascii="Times New Roman" w:cs="Times New Roman" w:eastAsia="Times New Roman" w:hAnsi="Times New Roman"/>
                <w:sz w:val="12"/>
                <w:szCs w:val="12"/>
                <w:color w:val="auto"/>
              </w:rPr>
              <w:t>16,735</w:t>
            </w:r>
          </w:p>
        </w:tc>
        <w:tc>
          <w:tcPr>
            <w:tcW w:w="1120" w:type="dxa"/>
            <w:vAlign w:val="bottom"/>
            <w:tcBorders>
              <w:right w:val="single" w:sz="8" w:color="auto"/>
            </w:tcBorders>
          </w:tcPr>
          <w:p>
            <w:pPr>
              <w:jc w:val="center"/>
              <w:ind w:left="94"/>
              <w:spacing w:after="0" w:line="120" w:lineRule="exact"/>
              <w:rPr>
                <w:sz w:val="20"/>
                <w:szCs w:val="20"/>
                <w:color w:val="auto"/>
              </w:rPr>
            </w:pPr>
            <w:r>
              <w:rPr>
                <w:rFonts w:ascii="Times New Roman" w:cs="Times New Roman" w:eastAsia="Times New Roman" w:hAnsi="Times New Roman"/>
                <w:sz w:val="12"/>
                <w:szCs w:val="12"/>
                <w:color w:val="auto"/>
              </w:rPr>
              <w:t>17,036</w:t>
            </w:r>
          </w:p>
        </w:tc>
        <w:tc>
          <w:tcPr>
            <w:tcW w:w="88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color w:val="auto"/>
              </w:rPr>
              <w:t>301</w:t>
            </w:r>
          </w:p>
        </w:tc>
        <w:tc>
          <w:tcPr>
            <w:tcW w:w="920" w:type="dxa"/>
            <w:vAlign w:val="bottom"/>
            <w:tcBorders>
              <w:right w:val="single" w:sz="8" w:color="auto"/>
            </w:tcBorders>
          </w:tcPr>
          <w:p>
            <w:pPr>
              <w:jc w:val="center"/>
              <w:spacing w:after="0" w:line="120" w:lineRule="exact"/>
              <w:rPr>
                <w:sz w:val="20"/>
                <w:szCs w:val="20"/>
                <w:color w:val="auto"/>
              </w:rPr>
            </w:pPr>
            <w:r>
              <w:rPr>
                <w:rFonts w:ascii="Times New Roman" w:cs="Times New Roman" w:eastAsia="Times New Roman" w:hAnsi="Times New Roman"/>
                <w:sz w:val="12"/>
                <w:szCs w:val="12"/>
                <w:color w:val="auto"/>
              </w:rPr>
              <w:t>1.8%</w:t>
            </w:r>
          </w:p>
        </w:tc>
        <w:tc>
          <w:tcPr>
            <w:tcW w:w="700" w:type="dxa"/>
            <w:vAlign w:val="bottom"/>
          </w:tcPr>
          <w:p>
            <w:pPr>
              <w:jc w:val="center"/>
              <w:ind w:left="94"/>
              <w:spacing w:after="0" w:line="120" w:lineRule="exact"/>
              <w:rPr>
                <w:sz w:val="20"/>
                <w:szCs w:val="20"/>
                <w:color w:val="auto"/>
              </w:rPr>
            </w:pPr>
            <w:r>
              <w:rPr>
                <w:rFonts w:ascii="Times New Roman" w:cs="Times New Roman" w:eastAsia="Times New Roman" w:hAnsi="Times New Roman"/>
                <w:sz w:val="12"/>
                <w:szCs w:val="12"/>
                <w:color w:val="auto"/>
              </w:rPr>
              <w:t>16,735</w:t>
            </w:r>
          </w:p>
        </w:tc>
        <w:tc>
          <w:tcPr>
            <w:tcW w:w="1100" w:type="dxa"/>
            <w:vAlign w:val="bottom"/>
            <w:tcBorders>
              <w:right w:val="single" w:sz="8" w:color="auto"/>
            </w:tcBorders>
          </w:tcPr>
          <w:p>
            <w:pPr>
              <w:jc w:val="center"/>
              <w:ind w:left="94"/>
              <w:spacing w:after="0" w:line="120" w:lineRule="exact"/>
              <w:rPr>
                <w:sz w:val="20"/>
                <w:szCs w:val="20"/>
                <w:color w:val="auto"/>
              </w:rPr>
            </w:pPr>
            <w:r>
              <w:rPr>
                <w:rFonts w:ascii="Times New Roman" w:cs="Times New Roman" w:eastAsia="Times New Roman" w:hAnsi="Times New Roman"/>
                <w:sz w:val="12"/>
                <w:szCs w:val="12"/>
                <w:color w:val="auto"/>
              </w:rPr>
              <w:t>17,031</w:t>
            </w:r>
          </w:p>
        </w:tc>
        <w:tc>
          <w:tcPr>
            <w:tcW w:w="880" w:type="dxa"/>
            <w:vAlign w:val="bottom"/>
            <w:shd w:val="clear" w:color="auto" w:fill="26D07C"/>
          </w:tcPr>
          <w:p>
            <w:pPr>
              <w:jc w:val="center"/>
              <w:spacing w:after="0" w:line="120" w:lineRule="exact"/>
              <w:rPr>
                <w:sz w:val="20"/>
                <w:szCs w:val="20"/>
                <w:color w:val="auto"/>
              </w:rPr>
            </w:pPr>
            <w:r>
              <w:rPr>
                <w:rFonts w:ascii="Times New Roman" w:cs="Times New Roman" w:eastAsia="Times New Roman" w:hAnsi="Times New Roman"/>
                <w:sz w:val="12"/>
                <w:szCs w:val="12"/>
                <w:color w:val="auto"/>
              </w:rPr>
              <w:t>296</w:t>
            </w:r>
          </w:p>
        </w:tc>
        <w:tc>
          <w:tcPr>
            <w:tcW w:w="900" w:type="dxa"/>
            <w:vAlign w:val="bottom"/>
            <w:tcBorders>
              <w:right w:val="single" w:sz="8" w:color="auto"/>
            </w:tcBorders>
            <w:shd w:val="clear" w:color="auto" w:fill="26D07C"/>
          </w:tcPr>
          <w:p>
            <w:pPr>
              <w:jc w:val="center"/>
              <w:spacing w:after="0" w:line="120" w:lineRule="exact"/>
              <w:rPr>
                <w:sz w:val="20"/>
                <w:szCs w:val="20"/>
                <w:color w:val="auto"/>
              </w:rPr>
            </w:pPr>
            <w:r>
              <w:rPr>
                <w:rFonts w:ascii="Times New Roman" w:cs="Times New Roman" w:eastAsia="Times New Roman" w:hAnsi="Times New Roman"/>
                <w:sz w:val="12"/>
                <w:szCs w:val="12"/>
                <w:color w:val="auto"/>
              </w:rPr>
              <w:t>1.8%</w:t>
            </w:r>
          </w:p>
        </w:tc>
        <w:tc>
          <w:tcPr>
            <w:tcW w:w="0" w:type="dxa"/>
            <w:vAlign w:val="bottom"/>
          </w:tcPr>
          <w:p>
            <w:pPr>
              <w:spacing w:after="0"/>
              <w:rPr>
                <w:sz w:val="1"/>
                <w:szCs w:val="1"/>
                <w:color w:val="auto"/>
              </w:rPr>
            </w:pPr>
          </w:p>
        </w:tc>
      </w:tr>
      <w:tr>
        <w:trPr>
          <w:trHeight w:val="140"/>
        </w:trPr>
        <w:tc>
          <w:tcPr>
            <w:tcW w:w="3960" w:type="dxa"/>
            <w:vAlign w:val="bottom"/>
            <w:tcBorders>
              <w:left w:val="single" w:sz="8" w:color="auto"/>
              <w:right w:val="single" w:sz="8" w:color="auto"/>
            </w:tcBorders>
          </w:tcPr>
          <w:p>
            <w:pPr>
              <w:ind w:left="280"/>
              <w:spacing w:after="0" w:line="140" w:lineRule="exact"/>
              <w:rPr>
                <w:sz w:val="20"/>
                <w:szCs w:val="20"/>
                <w:color w:val="auto"/>
              </w:rPr>
            </w:pPr>
            <w:r>
              <w:rPr>
                <w:rFonts w:ascii="Times New Roman" w:cs="Times New Roman" w:eastAsia="Times New Roman" w:hAnsi="Times New Roman"/>
                <w:sz w:val="14"/>
                <w:szCs w:val="14"/>
                <w:color w:val="auto"/>
              </w:rPr>
              <w:t>Mortgage</w:t>
            </w:r>
          </w:p>
        </w:tc>
        <w:tc>
          <w:tcPr>
            <w:tcW w:w="700" w:type="dxa"/>
            <w:vAlign w:val="bottom"/>
          </w:tcPr>
          <w:p>
            <w:pPr>
              <w:jc w:val="center"/>
              <w:ind w:left="134"/>
              <w:spacing w:after="0" w:line="140" w:lineRule="exact"/>
              <w:rPr>
                <w:sz w:val="20"/>
                <w:szCs w:val="20"/>
                <w:color w:val="auto"/>
              </w:rPr>
            </w:pPr>
            <w:r>
              <w:rPr>
                <w:rFonts w:ascii="Times New Roman" w:cs="Times New Roman" w:eastAsia="Times New Roman" w:hAnsi="Times New Roman"/>
                <w:sz w:val="14"/>
                <w:szCs w:val="14"/>
                <w:color w:val="auto"/>
                <w:w w:val="98"/>
              </w:rPr>
              <w:t>23,822</w:t>
            </w:r>
          </w:p>
        </w:tc>
        <w:tc>
          <w:tcPr>
            <w:tcW w:w="1120" w:type="dxa"/>
            <w:vAlign w:val="bottom"/>
            <w:tcBorders>
              <w:right w:val="single" w:sz="8" w:color="auto"/>
            </w:tcBorders>
          </w:tcPr>
          <w:p>
            <w:pPr>
              <w:jc w:val="center"/>
              <w:ind w:left="94"/>
              <w:spacing w:after="0" w:line="140" w:lineRule="exact"/>
              <w:rPr>
                <w:sz w:val="20"/>
                <w:szCs w:val="20"/>
                <w:color w:val="auto"/>
              </w:rPr>
            </w:pPr>
            <w:r>
              <w:rPr>
                <w:rFonts w:ascii="Times New Roman" w:cs="Times New Roman" w:eastAsia="Times New Roman" w:hAnsi="Times New Roman"/>
                <w:sz w:val="14"/>
                <w:szCs w:val="14"/>
                <w:color w:val="auto"/>
                <w:w w:val="93"/>
              </w:rPr>
              <w:t>24,396</w:t>
            </w:r>
          </w:p>
        </w:tc>
        <w:tc>
          <w:tcPr>
            <w:tcW w:w="88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5"/>
              </w:rPr>
              <w:t>574</w:t>
            </w:r>
          </w:p>
        </w:tc>
        <w:tc>
          <w:tcPr>
            <w:tcW w:w="92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5"/>
              </w:rPr>
              <w:t>2.4%</w:t>
            </w:r>
          </w:p>
        </w:tc>
        <w:tc>
          <w:tcPr>
            <w:tcW w:w="700" w:type="dxa"/>
            <w:vAlign w:val="bottom"/>
          </w:tcPr>
          <w:p>
            <w:pPr>
              <w:jc w:val="center"/>
              <w:ind w:left="94"/>
              <w:spacing w:after="0" w:line="140" w:lineRule="exact"/>
              <w:rPr>
                <w:sz w:val="20"/>
                <w:szCs w:val="20"/>
                <w:color w:val="auto"/>
              </w:rPr>
            </w:pPr>
            <w:r>
              <w:rPr>
                <w:rFonts w:ascii="Times New Roman" w:cs="Times New Roman" w:eastAsia="Times New Roman" w:hAnsi="Times New Roman"/>
                <w:sz w:val="14"/>
                <w:szCs w:val="14"/>
                <w:color w:val="auto"/>
                <w:w w:val="98"/>
              </w:rPr>
              <w:t>23,822</w:t>
            </w:r>
          </w:p>
        </w:tc>
        <w:tc>
          <w:tcPr>
            <w:tcW w:w="1100" w:type="dxa"/>
            <w:vAlign w:val="bottom"/>
            <w:tcBorders>
              <w:right w:val="single" w:sz="8" w:color="auto"/>
            </w:tcBorders>
          </w:tcPr>
          <w:p>
            <w:pPr>
              <w:jc w:val="center"/>
              <w:ind w:left="94"/>
              <w:spacing w:after="0" w:line="140" w:lineRule="exact"/>
              <w:rPr>
                <w:sz w:val="20"/>
                <w:szCs w:val="20"/>
                <w:color w:val="auto"/>
              </w:rPr>
            </w:pPr>
            <w:r>
              <w:rPr>
                <w:rFonts w:ascii="Times New Roman" w:cs="Times New Roman" w:eastAsia="Times New Roman" w:hAnsi="Times New Roman"/>
                <w:sz w:val="14"/>
                <w:szCs w:val="14"/>
                <w:color w:val="auto"/>
                <w:w w:val="98"/>
              </w:rPr>
              <w:t>24,337</w:t>
            </w:r>
          </w:p>
        </w:tc>
        <w:tc>
          <w:tcPr>
            <w:tcW w:w="880" w:type="dxa"/>
            <w:vAlign w:val="bottom"/>
            <w:shd w:val="clear" w:color="auto" w:fill="26D07C"/>
          </w:tcPr>
          <w:p>
            <w:pPr>
              <w:jc w:val="center"/>
              <w:spacing w:after="0" w:line="140" w:lineRule="exact"/>
              <w:rPr>
                <w:sz w:val="20"/>
                <w:szCs w:val="20"/>
                <w:color w:val="auto"/>
              </w:rPr>
            </w:pPr>
            <w:r>
              <w:rPr>
                <w:rFonts w:ascii="Times New Roman" w:cs="Times New Roman" w:eastAsia="Times New Roman" w:hAnsi="Times New Roman"/>
                <w:sz w:val="14"/>
                <w:szCs w:val="14"/>
                <w:color w:val="auto"/>
                <w:w w:val="95"/>
              </w:rPr>
              <w:t>515</w:t>
            </w:r>
          </w:p>
        </w:tc>
        <w:tc>
          <w:tcPr>
            <w:tcW w:w="900" w:type="dxa"/>
            <w:vAlign w:val="bottom"/>
            <w:tcBorders>
              <w:right w:val="single" w:sz="8" w:color="auto"/>
            </w:tcBorders>
            <w:shd w:val="clear" w:color="auto" w:fill="26D07C"/>
          </w:tcPr>
          <w:p>
            <w:pPr>
              <w:jc w:val="center"/>
              <w:spacing w:after="0" w:line="140" w:lineRule="exact"/>
              <w:rPr>
                <w:sz w:val="20"/>
                <w:szCs w:val="20"/>
                <w:color w:val="auto"/>
              </w:rPr>
            </w:pPr>
            <w:r>
              <w:rPr>
                <w:rFonts w:ascii="Times New Roman" w:cs="Times New Roman" w:eastAsia="Times New Roman" w:hAnsi="Times New Roman"/>
                <w:sz w:val="14"/>
                <w:szCs w:val="14"/>
                <w:color w:val="auto"/>
                <w:w w:val="95"/>
              </w:rPr>
              <w:t>2.2%</w:t>
            </w:r>
          </w:p>
        </w:tc>
        <w:tc>
          <w:tcPr>
            <w:tcW w:w="0" w:type="dxa"/>
            <w:vAlign w:val="bottom"/>
          </w:tcPr>
          <w:p>
            <w:pPr>
              <w:spacing w:after="0"/>
              <w:rPr>
                <w:sz w:val="1"/>
                <w:szCs w:val="1"/>
                <w:color w:val="auto"/>
              </w:rPr>
            </w:pPr>
          </w:p>
        </w:tc>
      </w:tr>
      <w:tr>
        <w:trPr>
          <w:trHeight w:val="140"/>
        </w:trPr>
        <w:tc>
          <w:tcPr>
            <w:tcW w:w="3960" w:type="dxa"/>
            <w:vAlign w:val="bottom"/>
            <w:tcBorders>
              <w:left w:val="single" w:sz="8" w:color="auto"/>
              <w:right w:val="single" w:sz="8" w:color="auto"/>
            </w:tcBorders>
          </w:tcPr>
          <w:p>
            <w:pPr>
              <w:ind w:left="280"/>
              <w:spacing w:after="0" w:line="140" w:lineRule="exact"/>
              <w:rPr>
                <w:sz w:val="20"/>
                <w:szCs w:val="20"/>
                <w:color w:val="auto"/>
              </w:rPr>
            </w:pPr>
            <w:r>
              <w:rPr>
                <w:rFonts w:ascii="Times New Roman" w:cs="Times New Roman" w:eastAsia="Times New Roman" w:hAnsi="Times New Roman"/>
                <w:sz w:val="14"/>
                <w:szCs w:val="14"/>
                <w:color w:val="auto"/>
              </w:rPr>
              <w:t>Consumer</w:t>
            </w:r>
          </w:p>
        </w:tc>
        <w:tc>
          <w:tcPr>
            <w:tcW w:w="700" w:type="dxa"/>
            <w:vAlign w:val="bottom"/>
          </w:tcPr>
          <w:p>
            <w:pPr>
              <w:jc w:val="center"/>
              <w:ind w:left="134"/>
              <w:spacing w:after="0" w:line="140" w:lineRule="exact"/>
              <w:rPr>
                <w:sz w:val="20"/>
                <w:szCs w:val="20"/>
                <w:color w:val="auto"/>
              </w:rPr>
            </w:pPr>
            <w:r>
              <w:rPr>
                <w:rFonts w:ascii="Times New Roman" w:cs="Times New Roman" w:eastAsia="Times New Roman" w:hAnsi="Times New Roman"/>
                <w:sz w:val="14"/>
                <w:szCs w:val="14"/>
                <w:color w:val="auto"/>
                <w:w w:val="98"/>
              </w:rPr>
              <w:t>14,074</w:t>
            </w:r>
          </w:p>
        </w:tc>
        <w:tc>
          <w:tcPr>
            <w:tcW w:w="1120" w:type="dxa"/>
            <w:vAlign w:val="bottom"/>
            <w:tcBorders>
              <w:right w:val="single" w:sz="8" w:color="auto"/>
            </w:tcBorders>
          </w:tcPr>
          <w:p>
            <w:pPr>
              <w:jc w:val="center"/>
              <w:ind w:left="94"/>
              <w:spacing w:after="0" w:line="140" w:lineRule="exact"/>
              <w:rPr>
                <w:sz w:val="20"/>
                <w:szCs w:val="20"/>
                <w:color w:val="auto"/>
              </w:rPr>
            </w:pPr>
            <w:r>
              <w:rPr>
                <w:rFonts w:ascii="Times New Roman" w:cs="Times New Roman" w:eastAsia="Times New Roman" w:hAnsi="Times New Roman"/>
                <w:sz w:val="14"/>
                <w:szCs w:val="14"/>
                <w:color w:val="auto"/>
                <w:w w:val="93"/>
              </w:rPr>
              <w:t>14,879</w:t>
            </w:r>
          </w:p>
        </w:tc>
        <w:tc>
          <w:tcPr>
            <w:tcW w:w="88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5"/>
              </w:rPr>
              <w:t>805</w:t>
            </w:r>
          </w:p>
        </w:tc>
        <w:tc>
          <w:tcPr>
            <w:tcW w:w="92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5"/>
              </w:rPr>
              <w:t>5.7%</w:t>
            </w:r>
          </w:p>
        </w:tc>
        <w:tc>
          <w:tcPr>
            <w:tcW w:w="700" w:type="dxa"/>
            <w:vAlign w:val="bottom"/>
          </w:tcPr>
          <w:p>
            <w:pPr>
              <w:jc w:val="center"/>
              <w:ind w:left="94"/>
              <w:spacing w:after="0" w:line="140" w:lineRule="exact"/>
              <w:rPr>
                <w:sz w:val="20"/>
                <w:szCs w:val="20"/>
                <w:color w:val="auto"/>
              </w:rPr>
            </w:pPr>
            <w:r>
              <w:rPr>
                <w:rFonts w:ascii="Times New Roman" w:cs="Times New Roman" w:eastAsia="Times New Roman" w:hAnsi="Times New Roman"/>
                <w:sz w:val="14"/>
                <w:szCs w:val="14"/>
                <w:color w:val="auto"/>
                <w:w w:val="98"/>
              </w:rPr>
              <w:t>14,074</w:t>
            </w:r>
          </w:p>
        </w:tc>
        <w:tc>
          <w:tcPr>
            <w:tcW w:w="1100" w:type="dxa"/>
            <w:vAlign w:val="bottom"/>
            <w:tcBorders>
              <w:right w:val="single" w:sz="8" w:color="auto"/>
            </w:tcBorders>
          </w:tcPr>
          <w:p>
            <w:pPr>
              <w:jc w:val="center"/>
              <w:ind w:left="94"/>
              <w:spacing w:after="0" w:line="140" w:lineRule="exact"/>
              <w:rPr>
                <w:sz w:val="20"/>
                <w:szCs w:val="20"/>
                <w:color w:val="auto"/>
              </w:rPr>
            </w:pPr>
            <w:r>
              <w:rPr>
                <w:rFonts w:ascii="Times New Roman" w:cs="Times New Roman" w:eastAsia="Times New Roman" w:hAnsi="Times New Roman"/>
                <w:sz w:val="14"/>
                <w:szCs w:val="14"/>
                <w:color w:val="auto"/>
                <w:w w:val="98"/>
              </w:rPr>
              <w:t>14,793</w:t>
            </w:r>
          </w:p>
        </w:tc>
        <w:tc>
          <w:tcPr>
            <w:tcW w:w="880" w:type="dxa"/>
            <w:vAlign w:val="bottom"/>
            <w:tcBorders>
              <w:bottom w:val="single" w:sz="8" w:color="26D07C"/>
            </w:tcBorders>
            <w:shd w:val="clear" w:color="auto" w:fill="26D07C"/>
          </w:tcPr>
          <w:p>
            <w:pPr>
              <w:jc w:val="center"/>
              <w:spacing w:after="0" w:line="140" w:lineRule="exact"/>
              <w:rPr>
                <w:sz w:val="20"/>
                <w:szCs w:val="20"/>
                <w:color w:val="auto"/>
              </w:rPr>
            </w:pPr>
            <w:r>
              <w:rPr>
                <w:rFonts w:ascii="Times New Roman" w:cs="Times New Roman" w:eastAsia="Times New Roman" w:hAnsi="Times New Roman"/>
                <w:sz w:val="14"/>
                <w:szCs w:val="14"/>
                <w:color w:val="auto"/>
                <w:w w:val="95"/>
              </w:rPr>
              <w:t>719</w:t>
            </w:r>
          </w:p>
        </w:tc>
        <w:tc>
          <w:tcPr>
            <w:tcW w:w="900" w:type="dxa"/>
            <w:vAlign w:val="bottom"/>
            <w:tcBorders>
              <w:bottom w:val="single" w:sz="8" w:color="26D07C"/>
              <w:right w:val="single" w:sz="8" w:color="auto"/>
            </w:tcBorders>
            <w:shd w:val="clear" w:color="auto" w:fill="26D07C"/>
          </w:tcPr>
          <w:p>
            <w:pPr>
              <w:jc w:val="center"/>
              <w:spacing w:after="0" w:line="140" w:lineRule="exact"/>
              <w:rPr>
                <w:sz w:val="20"/>
                <w:szCs w:val="20"/>
                <w:color w:val="auto"/>
              </w:rPr>
            </w:pPr>
            <w:r>
              <w:rPr>
                <w:rFonts w:ascii="Times New Roman" w:cs="Times New Roman" w:eastAsia="Times New Roman" w:hAnsi="Times New Roman"/>
                <w:sz w:val="14"/>
                <w:szCs w:val="14"/>
                <w:color w:val="auto"/>
                <w:w w:val="95"/>
              </w:rPr>
              <w:t>5.1%</w:t>
            </w:r>
          </w:p>
        </w:tc>
        <w:tc>
          <w:tcPr>
            <w:tcW w:w="0" w:type="dxa"/>
            <w:vAlign w:val="bottom"/>
          </w:tcPr>
          <w:p>
            <w:pPr>
              <w:spacing w:after="0"/>
              <w:rPr>
                <w:sz w:val="1"/>
                <w:szCs w:val="1"/>
                <w:color w:val="auto"/>
              </w:rPr>
            </w:pPr>
          </w:p>
        </w:tc>
      </w:tr>
      <w:tr>
        <w:trPr>
          <w:trHeight w:val="114"/>
        </w:trPr>
        <w:tc>
          <w:tcPr>
            <w:tcW w:w="3960" w:type="dxa"/>
            <w:vAlign w:val="bottom"/>
            <w:tcBorders>
              <w:left w:val="single" w:sz="8" w:color="auto"/>
              <w:right w:val="single" w:sz="8" w:color="auto"/>
            </w:tcBorders>
          </w:tcPr>
          <w:p>
            <w:pPr>
              <w:ind w:left="280"/>
              <w:spacing w:after="0" w:line="114" w:lineRule="exact"/>
              <w:rPr>
                <w:sz w:val="20"/>
                <w:szCs w:val="20"/>
                <w:color w:val="auto"/>
              </w:rPr>
            </w:pPr>
            <w:r>
              <w:rPr>
                <w:rFonts w:ascii="Times New Roman" w:cs="Times New Roman" w:eastAsia="Times New Roman" w:hAnsi="Times New Roman"/>
                <w:sz w:val="12"/>
                <w:szCs w:val="12"/>
                <w:color w:val="auto"/>
              </w:rPr>
              <w:t>Credit Card</w:t>
            </w:r>
          </w:p>
        </w:tc>
        <w:tc>
          <w:tcPr>
            <w:tcW w:w="700" w:type="dxa"/>
            <w:vAlign w:val="bottom"/>
          </w:tcPr>
          <w:p>
            <w:pPr>
              <w:jc w:val="center"/>
              <w:ind w:left="134"/>
              <w:spacing w:after="0" w:line="114" w:lineRule="exact"/>
              <w:rPr>
                <w:sz w:val="20"/>
                <w:szCs w:val="20"/>
                <w:color w:val="auto"/>
              </w:rPr>
            </w:pPr>
            <w:r>
              <w:rPr>
                <w:rFonts w:ascii="Times New Roman" w:cs="Times New Roman" w:eastAsia="Times New Roman" w:hAnsi="Times New Roman"/>
                <w:sz w:val="12"/>
                <w:szCs w:val="12"/>
                <w:color w:val="auto"/>
              </w:rPr>
              <w:t>6,437</w:t>
            </w:r>
          </w:p>
        </w:tc>
        <w:tc>
          <w:tcPr>
            <w:tcW w:w="1120" w:type="dxa"/>
            <w:vAlign w:val="bottom"/>
            <w:tcBorders>
              <w:right w:val="single" w:sz="8" w:color="auto"/>
            </w:tcBorders>
          </w:tcPr>
          <w:p>
            <w:pPr>
              <w:jc w:val="center"/>
              <w:ind w:left="94"/>
              <w:spacing w:after="0" w:line="114" w:lineRule="exact"/>
              <w:rPr>
                <w:sz w:val="20"/>
                <w:szCs w:val="20"/>
                <w:color w:val="auto"/>
              </w:rPr>
            </w:pPr>
            <w:r>
              <w:rPr>
                <w:rFonts w:ascii="Times New Roman" w:cs="Times New Roman" w:eastAsia="Times New Roman" w:hAnsi="Times New Roman"/>
                <w:sz w:val="12"/>
                <w:szCs w:val="12"/>
                <w:color w:val="auto"/>
              </w:rPr>
              <w:t>6,396</w:t>
            </w:r>
          </w:p>
        </w:tc>
        <w:tc>
          <w:tcPr>
            <w:tcW w:w="880" w:type="dxa"/>
            <w:vAlign w:val="bottom"/>
          </w:tcPr>
          <w:p>
            <w:pPr>
              <w:jc w:val="center"/>
              <w:spacing w:after="0" w:line="114" w:lineRule="exact"/>
              <w:rPr>
                <w:sz w:val="20"/>
                <w:szCs w:val="20"/>
                <w:color w:val="auto"/>
              </w:rPr>
            </w:pPr>
            <w:r>
              <w:rPr>
                <w:rFonts w:ascii="Times New Roman" w:cs="Times New Roman" w:eastAsia="Times New Roman" w:hAnsi="Times New Roman"/>
                <w:sz w:val="12"/>
                <w:szCs w:val="12"/>
                <w:color w:val="auto"/>
              </w:rPr>
              <w:t>-40</w:t>
            </w:r>
          </w:p>
        </w:tc>
        <w:tc>
          <w:tcPr>
            <w:tcW w:w="920" w:type="dxa"/>
            <w:vAlign w:val="bottom"/>
            <w:tcBorders>
              <w:right w:val="single" w:sz="8" w:color="auto"/>
            </w:tcBorders>
          </w:tcPr>
          <w:p>
            <w:pPr>
              <w:jc w:val="center"/>
              <w:spacing w:after="0" w:line="114" w:lineRule="exact"/>
              <w:rPr>
                <w:sz w:val="20"/>
                <w:szCs w:val="20"/>
                <w:color w:val="auto"/>
              </w:rPr>
            </w:pPr>
            <w:r>
              <w:rPr>
                <w:rFonts w:ascii="Times New Roman" w:cs="Times New Roman" w:eastAsia="Times New Roman" w:hAnsi="Times New Roman"/>
                <w:sz w:val="12"/>
                <w:szCs w:val="12"/>
                <w:color w:val="auto"/>
              </w:rPr>
              <w:t>-0.6%</w:t>
            </w:r>
          </w:p>
        </w:tc>
        <w:tc>
          <w:tcPr>
            <w:tcW w:w="700" w:type="dxa"/>
            <w:vAlign w:val="bottom"/>
          </w:tcPr>
          <w:p>
            <w:pPr>
              <w:jc w:val="center"/>
              <w:ind w:left="94"/>
              <w:spacing w:after="0" w:line="114" w:lineRule="exact"/>
              <w:rPr>
                <w:sz w:val="20"/>
                <w:szCs w:val="20"/>
                <w:color w:val="auto"/>
              </w:rPr>
            </w:pPr>
            <w:r>
              <w:rPr>
                <w:rFonts w:ascii="Times New Roman" w:cs="Times New Roman" w:eastAsia="Times New Roman" w:hAnsi="Times New Roman"/>
                <w:sz w:val="12"/>
                <w:szCs w:val="12"/>
                <w:color w:val="auto"/>
              </w:rPr>
              <w:t>6,437</w:t>
            </w:r>
          </w:p>
        </w:tc>
        <w:tc>
          <w:tcPr>
            <w:tcW w:w="1100" w:type="dxa"/>
            <w:vAlign w:val="bottom"/>
            <w:tcBorders>
              <w:right w:val="single" w:sz="8" w:color="auto"/>
            </w:tcBorders>
          </w:tcPr>
          <w:p>
            <w:pPr>
              <w:jc w:val="center"/>
              <w:ind w:left="94"/>
              <w:spacing w:after="0" w:line="114" w:lineRule="exact"/>
              <w:rPr>
                <w:sz w:val="20"/>
                <w:szCs w:val="20"/>
                <w:color w:val="auto"/>
              </w:rPr>
            </w:pPr>
            <w:r>
              <w:rPr>
                <w:rFonts w:ascii="Times New Roman" w:cs="Times New Roman" w:eastAsia="Times New Roman" w:hAnsi="Times New Roman"/>
                <w:sz w:val="12"/>
                <w:szCs w:val="12"/>
                <w:color w:val="auto"/>
              </w:rPr>
              <w:t>6,358</w:t>
            </w:r>
          </w:p>
        </w:tc>
        <w:tc>
          <w:tcPr>
            <w:tcW w:w="880" w:type="dxa"/>
            <w:vAlign w:val="bottom"/>
          </w:tcPr>
          <w:p>
            <w:pPr>
              <w:jc w:val="center"/>
              <w:spacing w:after="0" w:line="114" w:lineRule="exact"/>
              <w:rPr>
                <w:sz w:val="20"/>
                <w:szCs w:val="20"/>
                <w:color w:val="auto"/>
              </w:rPr>
            </w:pPr>
            <w:r>
              <w:rPr>
                <w:rFonts w:ascii="Times New Roman" w:cs="Times New Roman" w:eastAsia="Times New Roman" w:hAnsi="Times New Roman"/>
                <w:sz w:val="12"/>
                <w:szCs w:val="12"/>
                <w:color w:val="auto"/>
              </w:rPr>
              <w:t>-79</w:t>
            </w:r>
          </w:p>
        </w:tc>
        <w:tc>
          <w:tcPr>
            <w:tcW w:w="900" w:type="dxa"/>
            <w:vAlign w:val="bottom"/>
            <w:tcBorders>
              <w:right w:val="single" w:sz="8" w:color="auto"/>
            </w:tcBorders>
          </w:tcPr>
          <w:p>
            <w:pPr>
              <w:jc w:val="center"/>
              <w:spacing w:after="0" w:line="114" w:lineRule="exact"/>
              <w:rPr>
                <w:sz w:val="20"/>
                <w:szCs w:val="20"/>
                <w:color w:val="auto"/>
              </w:rPr>
            </w:pPr>
            <w:r>
              <w:rPr>
                <w:rFonts w:ascii="Times New Roman" w:cs="Times New Roman" w:eastAsia="Times New Roman" w:hAnsi="Times New Roman"/>
                <w:sz w:val="12"/>
                <w:szCs w:val="12"/>
                <w:color w:val="auto"/>
              </w:rPr>
              <w:t>-1.2%</w:t>
            </w:r>
          </w:p>
        </w:tc>
        <w:tc>
          <w:tcPr>
            <w:tcW w:w="0" w:type="dxa"/>
            <w:vAlign w:val="bottom"/>
          </w:tcPr>
          <w:p>
            <w:pPr>
              <w:spacing w:after="0"/>
              <w:rPr>
                <w:sz w:val="1"/>
                <w:szCs w:val="1"/>
                <w:color w:val="auto"/>
              </w:rPr>
            </w:pPr>
          </w:p>
        </w:tc>
      </w:tr>
      <w:tr>
        <w:trPr>
          <w:trHeight w:val="165"/>
        </w:trPr>
        <w:tc>
          <w:tcPr>
            <w:tcW w:w="3960" w:type="dxa"/>
            <w:vAlign w:val="bottom"/>
            <w:tcBorders>
              <w:left w:val="single" w:sz="8" w:color="auto"/>
              <w:bottom w:val="single" w:sz="8" w:color="auto"/>
              <w:right w:val="single" w:sz="8" w:color="auto"/>
            </w:tcBorders>
          </w:tcPr>
          <w:p>
            <w:pPr>
              <w:ind w:left="180"/>
              <w:spacing w:after="0" w:line="165" w:lineRule="exact"/>
              <w:rPr>
                <w:sz w:val="20"/>
                <w:szCs w:val="20"/>
                <w:color w:val="auto"/>
              </w:rPr>
            </w:pPr>
            <w:r>
              <w:rPr>
                <w:rFonts w:ascii="Times New Roman" w:cs="Times New Roman" w:eastAsia="Times New Roman" w:hAnsi="Times New Roman"/>
                <w:sz w:val="12"/>
                <w:szCs w:val="12"/>
                <w:b w:val="1"/>
                <w:bCs w:val="1"/>
                <w:color w:val="auto"/>
              </w:rPr>
              <w:t xml:space="preserve">Others </w:t>
            </w:r>
            <w:r>
              <w:rPr>
                <w:rFonts w:ascii="Times New Roman" w:cs="Times New Roman" w:eastAsia="Times New Roman" w:hAnsi="Times New Roman"/>
                <w:sz w:val="19"/>
                <w:szCs w:val="19"/>
                <w:b w:val="1"/>
                <w:bCs w:val="1"/>
                <w:color w:val="auto"/>
                <w:vertAlign w:val="superscript"/>
              </w:rPr>
              <w:t>(1)</w:t>
            </w:r>
          </w:p>
        </w:tc>
        <w:tc>
          <w:tcPr>
            <w:tcW w:w="700" w:type="dxa"/>
            <w:vAlign w:val="bottom"/>
            <w:tcBorders>
              <w:bottom w:val="single" w:sz="8" w:color="auto"/>
            </w:tcBorders>
          </w:tcPr>
          <w:p>
            <w:pPr>
              <w:jc w:val="center"/>
              <w:ind w:left="134"/>
              <w:spacing w:after="0"/>
              <w:rPr>
                <w:sz w:val="20"/>
                <w:szCs w:val="20"/>
                <w:color w:val="auto"/>
              </w:rPr>
            </w:pPr>
            <w:r>
              <w:rPr>
                <w:rFonts w:ascii="Times New Roman" w:cs="Times New Roman" w:eastAsia="Times New Roman" w:hAnsi="Times New Roman"/>
                <w:sz w:val="14"/>
                <w:szCs w:val="14"/>
                <w:b w:val="1"/>
                <w:bCs w:val="1"/>
                <w:color w:val="auto"/>
                <w:w w:val="95"/>
              </w:rPr>
              <w:t>1,558</w:t>
            </w:r>
          </w:p>
        </w:tc>
        <w:tc>
          <w:tcPr>
            <w:tcW w:w="1120" w:type="dxa"/>
            <w:vAlign w:val="bottom"/>
            <w:tcBorders>
              <w:bottom w:val="single" w:sz="8" w:color="auto"/>
              <w:right w:val="single" w:sz="8" w:color="auto"/>
            </w:tcBorders>
          </w:tcPr>
          <w:p>
            <w:pPr>
              <w:jc w:val="center"/>
              <w:ind w:left="94"/>
              <w:spacing w:after="0"/>
              <w:rPr>
                <w:sz w:val="20"/>
                <w:szCs w:val="20"/>
                <w:color w:val="auto"/>
              </w:rPr>
            </w:pPr>
            <w:r>
              <w:rPr>
                <w:rFonts w:ascii="Times New Roman" w:cs="Times New Roman" w:eastAsia="Times New Roman" w:hAnsi="Times New Roman"/>
                <w:sz w:val="14"/>
                <w:szCs w:val="14"/>
                <w:b w:val="1"/>
                <w:bCs w:val="1"/>
                <w:color w:val="auto"/>
              </w:rPr>
              <w:t>2,000</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442</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28.4%</w:t>
            </w:r>
          </w:p>
        </w:tc>
        <w:tc>
          <w:tcPr>
            <w:tcW w:w="700" w:type="dxa"/>
            <w:vAlign w:val="bottom"/>
            <w:tcBorders>
              <w:bottom w:val="single" w:sz="8" w:color="auto"/>
            </w:tcBorders>
          </w:tcPr>
          <w:p>
            <w:pPr>
              <w:jc w:val="center"/>
              <w:ind w:left="94"/>
              <w:spacing w:after="0"/>
              <w:rPr>
                <w:sz w:val="20"/>
                <w:szCs w:val="20"/>
                <w:color w:val="auto"/>
              </w:rPr>
            </w:pPr>
            <w:r>
              <w:rPr>
                <w:rFonts w:ascii="Times New Roman" w:cs="Times New Roman" w:eastAsia="Times New Roman" w:hAnsi="Times New Roman"/>
                <w:sz w:val="14"/>
                <w:szCs w:val="14"/>
                <w:b w:val="1"/>
                <w:bCs w:val="1"/>
                <w:color w:val="auto"/>
                <w:w w:val="95"/>
              </w:rPr>
              <w:t>1,558</w:t>
            </w:r>
          </w:p>
        </w:tc>
        <w:tc>
          <w:tcPr>
            <w:tcW w:w="1100" w:type="dxa"/>
            <w:vAlign w:val="bottom"/>
            <w:tcBorders>
              <w:bottom w:val="single" w:sz="8" w:color="auto"/>
              <w:right w:val="single" w:sz="8" w:color="auto"/>
            </w:tcBorders>
          </w:tcPr>
          <w:p>
            <w:pPr>
              <w:jc w:val="center"/>
              <w:ind w:left="94"/>
              <w:spacing w:after="0"/>
              <w:rPr>
                <w:sz w:val="20"/>
                <w:szCs w:val="20"/>
                <w:color w:val="auto"/>
              </w:rPr>
            </w:pPr>
            <w:r>
              <w:rPr>
                <w:rFonts w:ascii="Times New Roman" w:cs="Times New Roman" w:eastAsia="Times New Roman" w:hAnsi="Times New Roman"/>
                <w:sz w:val="14"/>
                <w:szCs w:val="14"/>
                <w:b w:val="1"/>
                <w:bCs w:val="1"/>
                <w:color w:val="auto"/>
                <w:w w:val="95"/>
              </w:rPr>
              <w:t>1,948</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390</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25.1%</w:t>
            </w:r>
          </w:p>
        </w:tc>
        <w:tc>
          <w:tcPr>
            <w:tcW w:w="0" w:type="dxa"/>
            <w:vAlign w:val="bottom"/>
          </w:tcPr>
          <w:p>
            <w:pPr>
              <w:spacing w:after="0"/>
              <w:rPr>
                <w:sz w:val="1"/>
                <w:szCs w:val="1"/>
                <w:color w:val="auto"/>
              </w:rPr>
            </w:pPr>
          </w:p>
        </w:tc>
      </w:tr>
    </w:tbl>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For consolidation purposes, loans generated in Foreign Currency (FC) are converted into Local Currency (LC).</w:t>
      </w:r>
    </w:p>
    <w:p>
      <w:pPr>
        <w:spacing w:after="0" w:line="222" w:lineRule="auto"/>
        <w:rPr>
          <w:sz w:val="20"/>
          <w:szCs w:val="20"/>
          <w:color w:val="auto"/>
        </w:rPr>
      </w:pPr>
      <w:r>
        <w:rPr>
          <w:rFonts w:ascii="Times New Roman" w:cs="Times New Roman" w:eastAsia="Times New Roman" w:hAnsi="Times New Roman"/>
          <w:sz w:val="12"/>
          <w:szCs w:val="12"/>
          <w:color w:val="auto"/>
        </w:rPr>
        <w:t>(1) Includes other assets and accruals.</w:t>
      </w:r>
    </w:p>
    <w:p>
      <w:pPr>
        <w:ind w:left="8100"/>
        <w:spacing w:after="0" w:line="221" w:lineRule="auto"/>
        <w:rPr>
          <w:sz w:val="20"/>
          <w:szCs w:val="20"/>
          <w:color w:val="auto"/>
        </w:rPr>
      </w:pPr>
      <w:r>
        <w:rPr>
          <w:rFonts w:ascii="Times New Roman" w:cs="Times New Roman" w:eastAsia="Times New Roman" w:hAnsi="Times New Roman"/>
          <w:sz w:val="12"/>
          <w:szCs w:val="12"/>
          <w:color w:val="auto"/>
        </w:rPr>
        <w:t>Larger contraction in volume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4860925</wp:posOffset>
            </wp:positionH>
            <wp:positionV relativeFrom="paragraph">
              <wp:posOffset>-77470</wp:posOffset>
            </wp:positionV>
            <wp:extent cx="217805" cy="781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17805" cy="78105"/>
                    </a:xfrm>
                    <a:prstGeom prst="rect">
                      <a:avLst/>
                    </a:prstGeom>
                    <a:noFill/>
                  </pic:spPr>
                </pic:pic>
              </a:graphicData>
            </a:graphic>
          </wp:anchor>
        </w:drawing>
      </w:r>
    </w:p>
    <w:p>
      <w:pPr>
        <w:ind w:left="8100"/>
        <w:spacing w:after="0"/>
        <w:rPr>
          <w:sz w:val="20"/>
          <w:szCs w:val="20"/>
          <w:color w:val="auto"/>
        </w:rPr>
      </w:pPr>
      <w:r>
        <w:rPr>
          <w:rFonts w:ascii="Times New Roman" w:cs="Times New Roman" w:eastAsia="Times New Roman" w:hAnsi="Times New Roman"/>
          <w:sz w:val="12"/>
          <w:szCs w:val="12"/>
          <w:color w:val="auto"/>
        </w:rPr>
        <w:t>Larger expansion in volume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4860925</wp:posOffset>
            </wp:positionH>
            <wp:positionV relativeFrom="paragraph">
              <wp:posOffset>-84455</wp:posOffset>
            </wp:positionV>
            <wp:extent cx="217805" cy="806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17805" cy="80645"/>
                    </a:xfrm>
                    <a:prstGeom prst="rect">
                      <a:avLst/>
                    </a:prstGeom>
                    <a:noFill/>
                  </pic:spPr>
                </pic:pic>
              </a:graphicData>
            </a:graphic>
          </wp:anchor>
        </w:drawing>
      </w:r>
    </w:p>
    <w:p>
      <w:pPr>
        <w:spacing w:after="0" w:line="15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b w:val="1"/>
          <w:bCs w:val="1"/>
          <w:color w:val="auto"/>
        </w:rPr>
        <w:t>QoQ</w:t>
      </w:r>
      <w:r>
        <w:rPr>
          <w:rFonts w:ascii="Times New Roman" w:cs="Times New Roman" w:eastAsia="Times New Roman" w:hAnsi="Times New Roman"/>
          <w:sz w:val="17"/>
          <w:szCs w:val="17"/>
          <w:color w:val="auto"/>
        </w:rPr>
        <w:t>, total loans in quarter-end balances at</w:t>
      </w:r>
      <w:r>
        <w:rPr>
          <w:rFonts w:ascii="Times New Roman" w:cs="Times New Roman" w:eastAsia="Times New Roman" w:hAnsi="Times New Roman"/>
          <w:sz w:val="17"/>
          <w:szCs w:val="17"/>
          <w:b w:val="1"/>
          <w:bCs w:val="1"/>
          <w:color w:val="auto"/>
        </w:rPr>
        <w:t xml:space="preserve"> BCP Stand-alone </w:t>
      </w:r>
      <w:r>
        <w:rPr>
          <w:rFonts w:ascii="Times New Roman" w:cs="Times New Roman" w:eastAsia="Times New Roman" w:hAnsi="Times New Roman"/>
          <w:sz w:val="17"/>
          <w:szCs w:val="17"/>
          <w:color w:val="auto"/>
        </w:rPr>
        <w:t>increased 1.1% at Neutral exchange rate. This growth was driven mainly by</w:t>
      </w:r>
      <w:r>
        <w:rPr>
          <w:rFonts w:ascii="Times New Roman" w:cs="Times New Roman" w:eastAsia="Times New Roman" w:hAnsi="Times New Roman"/>
          <w:sz w:val="17"/>
          <w:szCs w:val="17"/>
          <w:b w:val="1"/>
          <w:bCs w:val="1"/>
          <w:color w:val="auto"/>
        </w:rPr>
        <w:t xml:space="preserve"> Wholesale Banking (+1.9%), </w:t>
      </w:r>
      <w:r>
        <w:rPr>
          <w:rFonts w:ascii="Times New Roman" w:cs="Times New Roman" w:eastAsia="Times New Roman" w:hAnsi="Times New Roman"/>
          <w:sz w:val="17"/>
          <w:szCs w:val="17"/>
          <w:color w:val="auto"/>
        </w:rPr>
        <w:t>while loans in</w:t>
      </w:r>
      <w:r>
        <w:rPr>
          <w:rFonts w:ascii="Times New Roman" w:cs="Times New Roman" w:eastAsia="Times New Roman" w:hAnsi="Times New Roman"/>
          <w:sz w:val="17"/>
          <w:szCs w:val="17"/>
          <w:b w:val="1"/>
          <w:bCs w:val="1"/>
          <w:color w:val="auto"/>
        </w:rPr>
        <w:t xml:space="preserve"> Retail Banking </w:t>
      </w:r>
      <w:r>
        <w:rPr>
          <w:rFonts w:ascii="Times New Roman" w:cs="Times New Roman" w:eastAsia="Times New Roman" w:hAnsi="Times New Roman"/>
          <w:sz w:val="17"/>
          <w:szCs w:val="17"/>
          <w:color w:val="auto"/>
        </w:rPr>
        <w:t>remained stable.</w:t>
      </w:r>
      <w:r>
        <w:rPr>
          <w:rFonts w:ascii="Times New Roman" w:cs="Times New Roman" w:eastAsia="Times New Roman" w:hAnsi="Times New Roman"/>
          <w:sz w:val="17"/>
          <w:szCs w:val="17"/>
          <w:b w:val="1"/>
          <w:bCs w:val="1"/>
          <w:color w:val="auto"/>
        </w:rPr>
        <w:t xml:space="preserve"> In Wholesale Banking, </w:t>
      </w:r>
      <w:r>
        <w:rPr>
          <w:rFonts w:ascii="Times New Roman" w:cs="Times New Roman" w:eastAsia="Times New Roman" w:hAnsi="Times New Roman"/>
          <w:sz w:val="17"/>
          <w:szCs w:val="17"/>
          <w:color w:val="auto"/>
        </w:rPr>
        <w:t>expansion was driven by an uptick in medium and long-term disbursements,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fueled mainly by </w:t>
      </w:r>
      <w:r>
        <w:rPr>
          <w:rFonts w:ascii="Times New Roman" w:cs="Times New Roman" w:eastAsia="Times New Roman" w:hAnsi="Times New Roman"/>
          <w:sz w:val="17"/>
          <w:szCs w:val="17"/>
          <w:b w:val="1"/>
          <w:bCs w:val="1"/>
          <w:color w:val="auto"/>
        </w:rPr>
        <w:t>Corporate Banking</w:t>
      </w:r>
      <w:r>
        <w:rPr>
          <w:rFonts w:ascii="Times New Roman" w:cs="Times New Roman" w:eastAsia="Times New Roman" w:hAnsi="Times New Roman"/>
          <w:sz w:val="17"/>
          <w:szCs w:val="17"/>
          <w:color w:val="auto"/>
        </w:rPr>
        <w:t xml:space="preserve">, where growth was led by the Energy sector. In </w:t>
      </w:r>
      <w:r>
        <w:rPr>
          <w:rFonts w:ascii="Times New Roman" w:cs="Times New Roman" w:eastAsia="Times New Roman" w:hAnsi="Times New Roman"/>
          <w:sz w:val="17"/>
          <w:szCs w:val="17"/>
          <w:b w:val="1"/>
          <w:bCs w:val="1"/>
          <w:color w:val="auto"/>
        </w:rPr>
        <w:t>Middle Market Banking</w:t>
      </w:r>
      <w:r>
        <w:rPr>
          <w:rFonts w:ascii="Times New Roman" w:cs="Times New Roman" w:eastAsia="Times New Roman" w:hAnsi="Times New Roman"/>
          <w:sz w:val="17"/>
          <w:szCs w:val="17"/>
          <w:color w:val="auto"/>
        </w:rPr>
        <w:t>, expansion was spurred by specific clients in the agriculture sector.</w:t>
      </w:r>
    </w:p>
    <w:p>
      <w:pPr>
        <w:spacing w:after="0" w:line="1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 xml:space="preserve">In </w:t>
      </w:r>
      <w:r>
        <w:rPr>
          <w:rFonts w:ascii="Times New Roman" w:cs="Times New Roman" w:eastAsia="Times New Roman" w:hAnsi="Times New Roman"/>
          <w:sz w:val="17"/>
          <w:szCs w:val="17"/>
          <w:b w:val="1"/>
          <w:bCs w:val="1"/>
          <w:color w:val="auto"/>
        </w:rPr>
        <w:t>Retail Banking,</w:t>
      </w:r>
      <w:r>
        <w:rPr>
          <w:rFonts w:ascii="Times New Roman" w:cs="Times New Roman" w:eastAsia="Times New Roman" w:hAnsi="Times New Roman"/>
          <w:sz w:val="17"/>
          <w:szCs w:val="17"/>
          <w:color w:val="auto"/>
        </w:rPr>
        <w:t xml:space="preserve"> loan growth in </w:t>
      </w:r>
      <w:r>
        <w:rPr>
          <w:rFonts w:ascii="Times New Roman" w:cs="Times New Roman" w:eastAsia="Times New Roman" w:hAnsi="Times New Roman"/>
          <w:sz w:val="17"/>
          <w:szCs w:val="17"/>
          <w:b w:val="1"/>
          <w:bCs w:val="1"/>
          <w:color w:val="auto"/>
        </w:rPr>
        <w:t>Individuals</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b w:val="1"/>
          <w:bCs w:val="1"/>
          <w:color w:val="auto"/>
        </w:rPr>
        <w:t>SME-Pyme</w:t>
      </w:r>
      <w:r>
        <w:rPr>
          <w:rFonts w:ascii="Times New Roman" w:cs="Times New Roman" w:eastAsia="Times New Roman" w:hAnsi="Times New Roman"/>
          <w:sz w:val="17"/>
          <w:szCs w:val="17"/>
          <w:color w:val="auto"/>
        </w:rPr>
        <w:t xml:space="preserve"> was offset by a drop in loans in </w:t>
      </w:r>
      <w:r>
        <w:rPr>
          <w:rFonts w:ascii="Times New Roman" w:cs="Times New Roman" w:eastAsia="Times New Roman" w:hAnsi="Times New Roman"/>
          <w:sz w:val="17"/>
          <w:szCs w:val="17"/>
          <w:b w:val="1"/>
          <w:bCs w:val="1"/>
          <w:color w:val="auto"/>
        </w:rPr>
        <w:t>SME-Business</w:t>
      </w:r>
      <w:r>
        <w:rPr>
          <w:rFonts w:ascii="Times New Roman" w:cs="Times New Roman" w:eastAsia="Times New Roman" w:hAnsi="Times New Roman"/>
          <w:sz w:val="17"/>
          <w:szCs w:val="17"/>
          <w:color w:val="auto"/>
        </w:rPr>
        <w:t xml:space="preserve">, whose evolution was spurred by yearly resegmentation processes, which migrated clients from the </w:t>
      </w:r>
      <w:r>
        <w:rPr>
          <w:rFonts w:ascii="Times New Roman" w:cs="Times New Roman" w:eastAsia="Times New Roman" w:hAnsi="Times New Roman"/>
          <w:sz w:val="17"/>
          <w:szCs w:val="17"/>
          <w:b w:val="1"/>
          <w:bCs w:val="1"/>
          <w:color w:val="auto"/>
        </w:rPr>
        <w:t>SME-Business segment</w:t>
      </w:r>
      <w:r>
        <w:rPr>
          <w:rFonts w:ascii="Times New Roman" w:cs="Times New Roman" w:eastAsia="Times New Roman" w:hAnsi="Times New Roman"/>
          <w:sz w:val="17"/>
          <w:szCs w:val="17"/>
          <w:color w:val="auto"/>
        </w:rPr>
        <w:t xml:space="preserve"> to </w:t>
      </w:r>
      <w:r>
        <w:rPr>
          <w:rFonts w:ascii="Times New Roman" w:cs="Times New Roman" w:eastAsia="Times New Roman" w:hAnsi="Times New Roman"/>
          <w:sz w:val="17"/>
          <w:szCs w:val="17"/>
          <w:b w:val="1"/>
          <w:bCs w:val="1"/>
          <w:color w:val="auto"/>
        </w:rPr>
        <w:t>Wholesale Banking</w:t>
      </w:r>
      <w:r>
        <w:rPr>
          <w:rFonts w:ascii="Times New Roman" w:cs="Times New Roman" w:eastAsia="Times New Roman" w:hAnsi="Times New Roman"/>
          <w:sz w:val="17"/>
          <w:szCs w:val="17"/>
          <w:color w:val="auto"/>
        </w:rPr>
        <w:t>. Segments that evolved positively QoQ include:</w:t>
      </w:r>
    </w:p>
    <w:p>
      <w:pPr>
        <w:spacing w:after="0" w:line="150" w:lineRule="exact"/>
        <w:rPr>
          <w:sz w:val="20"/>
          <w:szCs w:val="20"/>
          <w:color w:val="auto"/>
        </w:rPr>
      </w:pPr>
    </w:p>
    <w:p>
      <w:pPr>
        <w:ind w:left="720" w:hanging="287"/>
        <w:spacing w:after="0"/>
        <w:tabs>
          <w:tab w:leader="none" w:pos="7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Consumer, </w:t>
      </w:r>
      <w:r>
        <w:rPr>
          <w:rFonts w:ascii="Times New Roman" w:cs="Times New Roman" w:eastAsia="Times New Roman" w:hAnsi="Times New Roman"/>
          <w:sz w:val="17"/>
          <w:szCs w:val="17"/>
          <w:color w:val="auto"/>
        </w:rPr>
        <w:t>driven mainly by growth in disbursements through Yape and an uptick in risk appetite at BCP Stand-alone.</w:t>
      </w:r>
    </w:p>
    <w:p>
      <w:pPr>
        <w:spacing w:after="0" w:line="27" w:lineRule="exact"/>
        <w:rPr>
          <w:rFonts w:ascii="Times New Roman" w:cs="Times New Roman" w:eastAsia="Times New Roman" w:hAnsi="Times New Roman"/>
          <w:sz w:val="17"/>
          <w:szCs w:val="17"/>
          <w:color w:val="auto"/>
        </w:rPr>
      </w:pPr>
    </w:p>
    <w:p>
      <w:pPr>
        <w:ind w:left="720" w:hanging="287"/>
        <w:spacing w:after="0"/>
        <w:tabs>
          <w:tab w:leader="none" w:pos="7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Mortgage, </w:t>
      </w:r>
      <w:r>
        <w:rPr>
          <w:rFonts w:ascii="Times New Roman" w:cs="Times New Roman" w:eastAsia="Times New Roman" w:hAnsi="Times New Roman"/>
          <w:sz w:val="17"/>
          <w:szCs w:val="17"/>
          <w:color w:val="auto"/>
        </w:rPr>
        <w:t>fueled by growth in disbursements, which was sustained by favorable macroeconomic conditions and low interest rates.</w:t>
      </w:r>
    </w:p>
    <w:p>
      <w:pPr>
        <w:spacing w:after="0" w:line="7" w:lineRule="exact"/>
        <w:rPr>
          <w:rFonts w:ascii="Times New Roman" w:cs="Times New Roman" w:eastAsia="Times New Roman" w:hAnsi="Times New Roman"/>
          <w:sz w:val="17"/>
          <w:szCs w:val="17"/>
          <w:color w:val="auto"/>
        </w:rPr>
      </w:pPr>
    </w:p>
    <w:p>
      <w:pPr>
        <w:ind w:left="720" w:hanging="287"/>
        <w:spacing w:after="0"/>
        <w:tabs>
          <w:tab w:leader="none" w:pos="7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SME-Pyme</w:t>
      </w:r>
      <w:r>
        <w:rPr>
          <w:rFonts w:ascii="Times New Roman" w:cs="Times New Roman" w:eastAsia="Times New Roman" w:hAnsi="Times New Roman"/>
          <w:sz w:val="17"/>
          <w:szCs w:val="17"/>
          <w:color w:val="auto"/>
        </w:rPr>
        <w:t>, where an increase in the risk appetite led disbursements of working capital loans to rise.</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YoY: Total Loans by Segment at BCP Stand-alone (in Quarter-end Balances)</w:t>
      </w:r>
    </w:p>
    <w:p>
      <w:pPr>
        <w:spacing w:after="0" w:line="211" w:lineRule="exact"/>
        <w:rPr>
          <w:sz w:val="20"/>
          <w:szCs w:val="20"/>
          <w:color w:val="auto"/>
        </w:rPr>
      </w:pPr>
    </w:p>
    <w:tbl>
      <w:tblPr>
        <w:tblLayout w:type="fixed"/>
        <w:tblInd w:w="10" w:type="dxa"/>
        <w:tblCellMar>
          <w:top w:w="0" w:type="dxa"/>
          <w:left w:w="0" w:type="dxa"/>
          <w:bottom w:w="0" w:type="dxa"/>
          <w:right w:w="0" w:type="dxa"/>
        </w:tblCellMar>
      </w:tblPr>
      <w:tr>
        <w:trPr>
          <w:trHeight w:val="128"/>
        </w:trPr>
        <w:tc>
          <w:tcPr>
            <w:tcW w:w="3960" w:type="dxa"/>
            <w:vAlign w:val="bottom"/>
            <w:tcBorders>
              <w:top w:val="single" w:sz="8" w:color="auto"/>
              <w:left w:val="single" w:sz="8" w:color="auto"/>
              <w:right w:val="single" w:sz="8" w:color="auto"/>
            </w:tcBorders>
            <w:vMerge w:val="restart"/>
            <w:shd w:val="clear" w:color="auto" w:fill="2AD2C9"/>
          </w:tcPr>
          <w:p>
            <w:pPr>
              <w:ind w:left="20"/>
              <w:spacing w:after="0"/>
              <w:rPr>
                <w:sz w:val="20"/>
                <w:szCs w:val="20"/>
                <w:color w:val="auto"/>
              </w:rPr>
            </w:pPr>
            <w:r>
              <w:rPr>
                <w:rFonts w:ascii="Times New Roman" w:cs="Times New Roman" w:eastAsia="Times New Roman" w:hAnsi="Times New Roman"/>
                <w:sz w:val="14"/>
                <w:szCs w:val="14"/>
                <w:b w:val="1"/>
                <w:bCs w:val="1"/>
                <w:color w:val="FFFFFF"/>
              </w:rPr>
              <w:t>Total Loans</w:t>
            </w:r>
          </w:p>
        </w:tc>
        <w:tc>
          <w:tcPr>
            <w:tcW w:w="700" w:type="dxa"/>
            <w:vAlign w:val="bottom"/>
            <w:tcBorders>
              <w:top w:val="single" w:sz="8" w:color="auto"/>
            </w:tcBorders>
            <w:shd w:val="clear" w:color="auto" w:fill="2AD2C9"/>
          </w:tcPr>
          <w:p>
            <w:pPr>
              <w:spacing w:after="0"/>
              <w:rPr>
                <w:sz w:val="11"/>
                <w:szCs w:val="11"/>
                <w:color w:val="auto"/>
              </w:rPr>
            </w:pPr>
          </w:p>
        </w:tc>
        <w:tc>
          <w:tcPr>
            <w:tcW w:w="1120" w:type="dxa"/>
            <w:vAlign w:val="bottom"/>
            <w:tcBorders>
              <w:top w:val="single" w:sz="8" w:color="auto"/>
              <w:right w:val="single" w:sz="8" w:color="auto"/>
            </w:tcBorders>
            <w:vMerge w:val="restart"/>
            <w:shd w:val="clear" w:color="auto" w:fill="2AD2C9"/>
          </w:tcPr>
          <w:p>
            <w:pPr>
              <w:ind w:left="40"/>
              <w:spacing w:after="0"/>
              <w:rPr>
                <w:sz w:val="20"/>
                <w:szCs w:val="20"/>
                <w:color w:val="auto"/>
              </w:rPr>
            </w:pPr>
            <w:r>
              <w:rPr>
                <w:rFonts w:ascii="Times New Roman" w:cs="Times New Roman" w:eastAsia="Times New Roman" w:hAnsi="Times New Roman"/>
                <w:sz w:val="14"/>
                <w:szCs w:val="14"/>
                <w:b w:val="1"/>
                <w:bCs w:val="1"/>
                <w:color w:val="FFFFFF"/>
              </w:rPr>
              <w:t>As of</w:t>
            </w:r>
          </w:p>
        </w:tc>
        <w:tc>
          <w:tcPr>
            <w:tcW w:w="1800" w:type="dxa"/>
            <w:vAlign w:val="bottom"/>
            <w:tcBorders>
              <w:top w:val="single" w:sz="8" w:color="auto"/>
              <w:right w:val="single" w:sz="8" w:color="auto"/>
            </w:tcBorders>
            <w:gridSpan w:val="2"/>
            <w:vMerge w:val="restart"/>
            <w:shd w:val="clear" w:color="auto" w:fill="2AD2C9"/>
          </w:tcPr>
          <w:p>
            <w:pPr>
              <w:ind w:left="520"/>
              <w:spacing w:after="0"/>
              <w:rPr>
                <w:sz w:val="20"/>
                <w:szCs w:val="20"/>
                <w:color w:val="auto"/>
              </w:rPr>
            </w:pPr>
            <w:r>
              <w:rPr>
                <w:rFonts w:ascii="Times New Roman" w:cs="Times New Roman" w:eastAsia="Times New Roman" w:hAnsi="Times New Roman"/>
                <w:sz w:val="14"/>
                <w:szCs w:val="14"/>
                <w:b w:val="1"/>
                <w:bCs w:val="1"/>
                <w:color w:val="FFFFFF"/>
              </w:rPr>
              <w:t>YoY Change</w:t>
            </w:r>
          </w:p>
        </w:tc>
        <w:tc>
          <w:tcPr>
            <w:tcW w:w="80" w:type="dxa"/>
            <w:vAlign w:val="bottom"/>
            <w:tcBorders>
              <w:top w:val="single" w:sz="8" w:color="auto"/>
            </w:tcBorders>
            <w:shd w:val="clear" w:color="auto" w:fill="2AD2C9"/>
          </w:tcPr>
          <w:p>
            <w:pPr>
              <w:spacing w:after="0"/>
              <w:rPr>
                <w:sz w:val="11"/>
                <w:szCs w:val="11"/>
                <w:color w:val="auto"/>
              </w:rPr>
            </w:pPr>
          </w:p>
        </w:tc>
        <w:tc>
          <w:tcPr>
            <w:tcW w:w="1720" w:type="dxa"/>
            <w:vAlign w:val="bottom"/>
            <w:tcBorders>
              <w:top w:val="single" w:sz="8" w:color="auto"/>
              <w:right w:val="single" w:sz="8" w:color="auto"/>
            </w:tcBorders>
            <w:gridSpan w:val="3"/>
            <w:shd w:val="clear" w:color="auto" w:fill="2AD2C9"/>
          </w:tcPr>
          <w:p>
            <w:pPr>
              <w:jc w:val="center"/>
              <w:ind w:right="55"/>
              <w:spacing w:after="0" w:line="128" w:lineRule="exact"/>
              <w:rPr>
                <w:sz w:val="20"/>
                <w:szCs w:val="20"/>
                <w:color w:val="auto"/>
              </w:rPr>
            </w:pPr>
            <w:r>
              <w:rPr>
                <w:rFonts w:ascii="Times New Roman" w:cs="Times New Roman" w:eastAsia="Times New Roman" w:hAnsi="Times New Roman"/>
                <w:sz w:val="14"/>
                <w:szCs w:val="14"/>
                <w:b w:val="1"/>
                <w:bCs w:val="1"/>
                <w:color w:val="FFFFFF"/>
                <w:w w:val="95"/>
              </w:rPr>
              <w:t>Balance in USD/PEN</w:t>
            </w:r>
          </w:p>
        </w:tc>
        <w:tc>
          <w:tcPr>
            <w:tcW w:w="160" w:type="dxa"/>
            <w:vAlign w:val="bottom"/>
            <w:tcBorders>
              <w:top w:val="single" w:sz="8" w:color="auto"/>
            </w:tcBorders>
            <w:shd w:val="clear" w:color="auto" w:fill="2AD2C9"/>
          </w:tcPr>
          <w:p>
            <w:pPr>
              <w:spacing w:after="0"/>
              <w:rPr>
                <w:sz w:val="11"/>
                <w:szCs w:val="11"/>
                <w:color w:val="auto"/>
              </w:rPr>
            </w:pPr>
          </w:p>
        </w:tc>
        <w:tc>
          <w:tcPr>
            <w:tcW w:w="1620" w:type="dxa"/>
            <w:vAlign w:val="bottom"/>
            <w:tcBorders>
              <w:top w:val="single" w:sz="8" w:color="auto"/>
              <w:right w:val="single" w:sz="8" w:color="auto"/>
            </w:tcBorders>
            <w:gridSpan w:val="2"/>
            <w:shd w:val="clear" w:color="auto" w:fill="2AD2C9"/>
          </w:tcPr>
          <w:p>
            <w:pPr>
              <w:jc w:val="center"/>
              <w:ind w:right="156"/>
              <w:spacing w:after="0" w:line="128" w:lineRule="exact"/>
              <w:rPr>
                <w:sz w:val="20"/>
                <w:szCs w:val="20"/>
                <w:color w:val="auto"/>
              </w:rPr>
            </w:pPr>
            <w:r>
              <w:rPr>
                <w:rFonts w:ascii="Times New Roman" w:cs="Times New Roman" w:eastAsia="Times New Roman" w:hAnsi="Times New Roman"/>
                <w:sz w:val="14"/>
                <w:szCs w:val="14"/>
                <w:b w:val="1"/>
                <w:bCs w:val="1"/>
                <w:color w:val="FFFFFF"/>
                <w:w w:val="93"/>
              </w:rPr>
              <w:t>YoY Change</w:t>
            </w:r>
          </w:p>
        </w:tc>
        <w:tc>
          <w:tcPr>
            <w:tcW w:w="0" w:type="dxa"/>
            <w:vAlign w:val="bottom"/>
          </w:tcPr>
          <w:p>
            <w:pPr>
              <w:spacing w:after="0"/>
              <w:rPr>
                <w:sz w:val="1"/>
                <w:szCs w:val="1"/>
                <w:color w:val="auto"/>
              </w:rPr>
            </w:pPr>
          </w:p>
        </w:tc>
      </w:tr>
      <w:tr>
        <w:trPr>
          <w:trHeight w:val="67"/>
        </w:trPr>
        <w:tc>
          <w:tcPr>
            <w:tcW w:w="3960" w:type="dxa"/>
            <w:vAlign w:val="bottom"/>
            <w:tcBorders>
              <w:left w:val="single" w:sz="8" w:color="auto"/>
              <w:right w:val="single" w:sz="8" w:color="auto"/>
            </w:tcBorders>
            <w:vMerge w:val="continue"/>
            <w:shd w:val="clear" w:color="auto" w:fill="2AD2C9"/>
          </w:tcPr>
          <w:p>
            <w:pPr>
              <w:spacing w:after="0"/>
              <w:rPr>
                <w:sz w:val="5"/>
                <w:szCs w:val="5"/>
                <w:color w:val="auto"/>
              </w:rPr>
            </w:pPr>
          </w:p>
        </w:tc>
        <w:tc>
          <w:tcPr>
            <w:tcW w:w="700" w:type="dxa"/>
            <w:vAlign w:val="bottom"/>
            <w:shd w:val="clear" w:color="auto" w:fill="2AD2C9"/>
          </w:tcPr>
          <w:p>
            <w:pPr>
              <w:spacing w:after="0"/>
              <w:rPr>
                <w:sz w:val="5"/>
                <w:szCs w:val="5"/>
                <w:color w:val="auto"/>
              </w:rPr>
            </w:pPr>
          </w:p>
        </w:tc>
        <w:tc>
          <w:tcPr>
            <w:tcW w:w="1120" w:type="dxa"/>
            <w:vAlign w:val="bottom"/>
            <w:tcBorders>
              <w:right w:val="single" w:sz="8" w:color="auto"/>
            </w:tcBorders>
            <w:vMerge w:val="continue"/>
            <w:shd w:val="clear" w:color="auto" w:fill="2AD2C9"/>
          </w:tcPr>
          <w:p>
            <w:pPr>
              <w:spacing w:after="0"/>
              <w:rPr>
                <w:sz w:val="5"/>
                <w:szCs w:val="5"/>
                <w:color w:val="auto"/>
              </w:rPr>
            </w:pPr>
          </w:p>
        </w:tc>
        <w:tc>
          <w:tcPr>
            <w:tcW w:w="1800" w:type="dxa"/>
            <w:vAlign w:val="bottom"/>
            <w:tcBorders>
              <w:right w:val="single" w:sz="8" w:color="auto"/>
            </w:tcBorders>
            <w:gridSpan w:val="2"/>
            <w:vMerge w:val="continue"/>
            <w:shd w:val="clear" w:color="auto" w:fill="2AD2C9"/>
          </w:tcPr>
          <w:p>
            <w:pPr>
              <w:spacing w:after="0"/>
              <w:rPr>
                <w:sz w:val="5"/>
                <w:szCs w:val="5"/>
                <w:color w:val="auto"/>
              </w:rPr>
            </w:pPr>
          </w:p>
        </w:tc>
        <w:tc>
          <w:tcPr>
            <w:tcW w:w="80" w:type="dxa"/>
            <w:vAlign w:val="bottom"/>
            <w:shd w:val="clear" w:color="auto" w:fill="2AD2C9"/>
          </w:tcPr>
          <w:p>
            <w:pPr>
              <w:spacing w:after="0"/>
              <w:rPr>
                <w:sz w:val="5"/>
                <w:szCs w:val="5"/>
                <w:color w:val="auto"/>
              </w:rPr>
            </w:pPr>
          </w:p>
        </w:tc>
        <w:tc>
          <w:tcPr>
            <w:tcW w:w="340" w:type="dxa"/>
            <w:vAlign w:val="bottom"/>
            <w:shd w:val="clear" w:color="auto" w:fill="2AD2C9"/>
          </w:tcPr>
          <w:p>
            <w:pPr>
              <w:spacing w:after="0"/>
              <w:rPr>
                <w:sz w:val="5"/>
                <w:szCs w:val="5"/>
                <w:color w:val="auto"/>
              </w:rPr>
            </w:pPr>
          </w:p>
        </w:tc>
        <w:tc>
          <w:tcPr>
            <w:tcW w:w="1380" w:type="dxa"/>
            <w:vAlign w:val="bottom"/>
            <w:tcBorders>
              <w:right w:val="single" w:sz="8" w:color="auto"/>
            </w:tcBorders>
            <w:gridSpan w:val="2"/>
            <w:vMerge w:val="restart"/>
            <w:shd w:val="clear" w:color="auto" w:fill="2AD2C9"/>
          </w:tcPr>
          <w:p>
            <w:pPr>
              <w:jc w:val="center"/>
              <w:ind w:right="395"/>
              <w:spacing w:after="0" w:line="140" w:lineRule="exact"/>
              <w:rPr>
                <w:sz w:val="20"/>
                <w:szCs w:val="20"/>
                <w:color w:val="auto"/>
              </w:rPr>
            </w:pPr>
            <w:r>
              <w:rPr>
                <w:rFonts w:ascii="Times New Roman" w:cs="Times New Roman" w:eastAsia="Times New Roman" w:hAnsi="Times New Roman"/>
                <w:sz w:val="14"/>
                <w:szCs w:val="14"/>
                <w:b w:val="1"/>
                <w:bCs w:val="1"/>
                <w:color w:val="FFFFFF"/>
                <w:w w:val="94"/>
              </w:rPr>
              <w:t>Neutral As of</w:t>
            </w:r>
          </w:p>
        </w:tc>
        <w:tc>
          <w:tcPr>
            <w:tcW w:w="160" w:type="dxa"/>
            <w:vAlign w:val="bottom"/>
            <w:shd w:val="clear" w:color="auto" w:fill="2AD2C9"/>
          </w:tcPr>
          <w:p>
            <w:pPr>
              <w:spacing w:after="0"/>
              <w:rPr>
                <w:sz w:val="5"/>
                <w:szCs w:val="5"/>
                <w:color w:val="auto"/>
              </w:rPr>
            </w:pPr>
          </w:p>
        </w:tc>
        <w:tc>
          <w:tcPr>
            <w:tcW w:w="1620" w:type="dxa"/>
            <w:vAlign w:val="bottom"/>
            <w:tcBorders>
              <w:right w:val="single" w:sz="8" w:color="auto"/>
            </w:tcBorders>
            <w:gridSpan w:val="2"/>
            <w:vMerge w:val="restart"/>
            <w:shd w:val="clear" w:color="auto" w:fill="2AD2C9"/>
          </w:tcPr>
          <w:p>
            <w:pPr>
              <w:jc w:val="center"/>
              <w:ind w:right="116"/>
              <w:spacing w:after="0" w:line="140" w:lineRule="exact"/>
              <w:rPr>
                <w:sz w:val="20"/>
                <w:szCs w:val="20"/>
                <w:color w:val="auto"/>
              </w:rPr>
            </w:pPr>
            <w:r>
              <w:rPr>
                <w:rFonts w:ascii="Times New Roman" w:cs="Times New Roman" w:eastAsia="Times New Roman" w:hAnsi="Times New Roman"/>
                <w:sz w:val="14"/>
                <w:szCs w:val="14"/>
                <w:b w:val="1"/>
                <w:bCs w:val="1"/>
                <w:color w:val="FFFFFF"/>
                <w:w w:val="96"/>
              </w:rPr>
              <w:t>in USD/PEN Neutral</w:t>
            </w:r>
          </w:p>
        </w:tc>
        <w:tc>
          <w:tcPr>
            <w:tcW w:w="0" w:type="dxa"/>
            <w:vAlign w:val="bottom"/>
          </w:tcPr>
          <w:p>
            <w:pPr>
              <w:spacing w:after="0"/>
              <w:rPr>
                <w:sz w:val="1"/>
                <w:szCs w:val="1"/>
                <w:color w:val="auto"/>
              </w:rPr>
            </w:pPr>
          </w:p>
        </w:tc>
      </w:tr>
      <w:tr>
        <w:trPr>
          <w:trHeight w:val="72"/>
        </w:trPr>
        <w:tc>
          <w:tcPr>
            <w:tcW w:w="3960" w:type="dxa"/>
            <w:vAlign w:val="bottom"/>
            <w:tcBorders>
              <w:left w:val="single" w:sz="8" w:color="auto"/>
              <w:right w:val="single" w:sz="8" w:color="auto"/>
            </w:tcBorders>
            <w:vMerge w:val="restart"/>
            <w:shd w:val="clear" w:color="auto" w:fill="2AD2C9"/>
          </w:tcPr>
          <w:p>
            <w:pPr>
              <w:ind w:left="20"/>
              <w:spacing w:after="0"/>
              <w:rPr>
                <w:sz w:val="20"/>
                <w:szCs w:val="20"/>
                <w:color w:val="auto"/>
              </w:rPr>
            </w:pPr>
            <w:r>
              <w:rPr>
                <w:rFonts w:ascii="Times New Roman" w:cs="Times New Roman" w:eastAsia="Times New Roman" w:hAnsi="Times New Roman"/>
                <w:sz w:val="14"/>
                <w:szCs w:val="14"/>
                <w:color w:val="FFFFFF"/>
              </w:rPr>
              <w:t>(S/ Millions)</w:t>
            </w:r>
          </w:p>
        </w:tc>
        <w:tc>
          <w:tcPr>
            <w:tcW w:w="700" w:type="dxa"/>
            <w:vAlign w:val="bottom"/>
            <w:shd w:val="clear" w:color="auto" w:fill="2AD2C9"/>
          </w:tcPr>
          <w:p>
            <w:pPr>
              <w:spacing w:after="0"/>
              <w:rPr>
                <w:sz w:val="6"/>
                <w:szCs w:val="6"/>
                <w:color w:val="auto"/>
              </w:rPr>
            </w:pPr>
          </w:p>
        </w:tc>
        <w:tc>
          <w:tcPr>
            <w:tcW w:w="1120" w:type="dxa"/>
            <w:vAlign w:val="bottom"/>
            <w:tcBorders>
              <w:right w:val="single" w:sz="8" w:color="auto"/>
            </w:tcBorders>
            <w:shd w:val="clear" w:color="auto" w:fill="2AD2C9"/>
          </w:tcPr>
          <w:p>
            <w:pPr>
              <w:spacing w:after="0"/>
              <w:rPr>
                <w:sz w:val="6"/>
                <w:szCs w:val="6"/>
                <w:color w:val="auto"/>
              </w:rPr>
            </w:pPr>
          </w:p>
        </w:tc>
        <w:tc>
          <w:tcPr>
            <w:tcW w:w="900" w:type="dxa"/>
            <w:vAlign w:val="bottom"/>
            <w:shd w:val="clear" w:color="auto" w:fill="2AD2C9"/>
          </w:tcPr>
          <w:p>
            <w:pPr>
              <w:spacing w:after="0"/>
              <w:rPr>
                <w:sz w:val="6"/>
                <w:szCs w:val="6"/>
                <w:color w:val="auto"/>
              </w:rPr>
            </w:pPr>
          </w:p>
        </w:tc>
        <w:tc>
          <w:tcPr>
            <w:tcW w:w="900" w:type="dxa"/>
            <w:vAlign w:val="bottom"/>
            <w:tcBorders>
              <w:right w:val="single" w:sz="8" w:color="auto"/>
            </w:tcBorders>
            <w:shd w:val="clear" w:color="auto" w:fill="2AD2C9"/>
          </w:tcPr>
          <w:p>
            <w:pPr>
              <w:spacing w:after="0"/>
              <w:rPr>
                <w:sz w:val="6"/>
                <w:szCs w:val="6"/>
                <w:color w:val="auto"/>
              </w:rPr>
            </w:pPr>
          </w:p>
        </w:tc>
        <w:tc>
          <w:tcPr>
            <w:tcW w:w="80" w:type="dxa"/>
            <w:vAlign w:val="bottom"/>
            <w:shd w:val="clear" w:color="auto" w:fill="2AD2C9"/>
          </w:tcPr>
          <w:p>
            <w:pPr>
              <w:spacing w:after="0"/>
              <w:rPr>
                <w:sz w:val="6"/>
                <w:szCs w:val="6"/>
                <w:color w:val="auto"/>
              </w:rPr>
            </w:pPr>
          </w:p>
        </w:tc>
        <w:tc>
          <w:tcPr>
            <w:tcW w:w="340" w:type="dxa"/>
            <w:vAlign w:val="bottom"/>
            <w:shd w:val="clear" w:color="auto" w:fill="2AD2C9"/>
          </w:tcPr>
          <w:p>
            <w:pPr>
              <w:spacing w:after="0"/>
              <w:rPr>
                <w:sz w:val="6"/>
                <w:szCs w:val="6"/>
                <w:color w:val="auto"/>
              </w:rPr>
            </w:pPr>
          </w:p>
        </w:tc>
        <w:tc>
          <w:tcPr>
            <w:tcW w:w="1380" w:type="dxa"/>
            <w:vAlign w:val="bottom"/>
            <w:tcBorders>
              <w:right w:val="single" w:sz="8" w:color="auto"/>
            </w:tcBorders>
            <w:gridSpan w:val="2"/>
            <w:vMerge w:val="continue"/>
            <w:shd w:val="clear" w:color="auto" w:fill="2AD2C9"/>
          </w:tcPr>
          <w:p>
            <w:pPr>
              <w:spacing w:after="0"/>
              <w:rPr>
                <w:sz w:val="6"/>
                <w:szCs w:val="6"/>
                <w:color w:val="auto"/>
              </w:rPr>
            </w:pPr>
          </w:p>
        </w:tc>
        <w:tc>
          <w:tcPr>
            <w:tcW w:w="160" w:type="dxa"/>
            <w:vAlign w:val="bottom"/>
            <w:shd w:val="clear" w:color="auto" w:fill="2AD2C9"/>
          </w:tcPr>
          <w:p>
            <w:pPr>
              <w:spacing w:after="0"/>
              <w:rPr>
                <w:sz w:val="6"/>
                <w:szCs w:val="6"/>
                <w:color w:val="auto"/>
              </w:rPr>
            </w:pPr>
          </w:p>
        </w:tc>
        <w:tc>
          <w:tcPr>
            <w:tcW w:w="1620" w:type="dxa"/>
            <w:vAlign w:val="bottom"/>
            <w:tcBorders>
              <w:right w:val="single" w:sz="8" w:color="auto"/>
            </w:tcBorders>
            <w:gridSpan w:val="2"/>
            <w:vMerge w:val="continue"/>
            <w:shd w:val="clear" w:color="auto" w:fill="2AD2C9"/>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3960" w:type="dxa"/>
            <w:vAlign w:val="bottom"/>
            <w:tcBorders>
              <w:left w:val="single" w:sz="8" w:color="auto"/>
              <w:right w:val="single" w:sz="8" w:color="auto"/>
            </w:tcBorders>
            <w:vMerge w:val="continue"/>
            <w:shd w:val="clear" w:color="auto" w:fill="2AD2C9"/>
          </w:tcPr>
          <w:p>
            <w:pPr>
              <w:spacing w:after="0"/>
              <w:rPr>
                <w:sz w:val="8"/>
                <w:szCs w:val="8"/>
                <w:color w:val="auto"/>
              </w:rPr>
            </w:pPr>
          </w:p>
        </w:tc>
        <w:tc>
          <w:tcPr>
            <w:tcW w:w="700" w:type="dxa"/>
            <w:vAlign w:val="bottom"/>
            <w:vMerge w:val="restart"/>
            <w:shd w:val="clear" w:color="auto" w:fill="2AD2C9"/>
          </w:tcPr>
          <w:p>
            <w:pPr>
              <w:ind w:left="240"/>
              <w:spacing w:after="0"/>
              <w:rPr>
                <w:sz w:val="20"/>
                <w:szCs w:val="20"/>
                <w:color w:val="auto"/>
              </w:rPr>
            </w:pPr>
            <w:r>
              <w:rPr>
                <w:rFonts w:ascii="Times New Roman" w:cs="Times New Roman" w:eastAsia="Times New Roman" w:hAnsi="Times New Roman"/>
                <w:sz w:val="14"/>
                <w:szCs w:val="14"/>
                <w:b w:val="1"/>
                <w:bCs w:val="1"/>
                <w:color w:val="FFFFFF"/>
              </w:rPr>
              <w:t>Mar 25</w:t>
            </w:r>
          </w:p>
        </w:tc>
        <w:tc>
          <w:tcPr>
            <w:tcW w:w="1120" w:type="dxa"/>
            <w:vAlign w:val="bottom"/>
            <w:tcBorders>
              <w:right w:val="single" w:sz="8" w:color="auto"/>
            </w:tcBorders>
            <w:vMerge w:val="restart"/>
            <w:shd w:val="clear" w:color="auto" w:fill="2AD2C9"/>
          </w:tcPr>
          <w:p>
            <w:pPr>
              <w:ind w:left="420"/>
              <w:spacing w:after="0"/>
              <w:rPr>
                <w:sz w:val="20"/>
                <w:szCs w:val="20"/>
                <w:color w:val="auto"/>
              </w:rPr>
            </w:pPr>
            <w:r>
              <w:rPr>
                <w:rFonts w:ascii="Times New Roman" w:cs="Times New Roman" w:eastAsia="Times New Roman" w:hAnsi="Times New Roman"/>
                <w:sz w:val="14"/>
                <w:szCs w:val="14"/>
                <w:b w:val="1"/>
                <w:bCs w:val="1"/>
                <w:color w:val="FFFFFF"/>
              </w:rPr>
              <w:t>Mar 26</w:t>
            </w:r>
          </w:p>
        </w:tc>
        <w:tc>
          <w:tcPr>
            <w:tcW w:w="900" w:type="dxa"/>
            <w:vAlign w:val="bottom"/>
            <w:vMerge w:val="restart"/>
            <w:shd w:val="clear" w:color="auto" w:fill="2AD2C9"/>
          </w:tcPr>
          <w:p>
            <w:pPr>
              <w:ind w:left="200"/>
              <w:spacing w:after="0"/>
              <w:rPr>
                <w:sz w:val="20"/>
                <w:szCs w:val="20"/>
                <w:color w:val="auto"/>
              </w:rPr>
            </w:pPr>
            <w:r>
              <w:rPr>
                <w:rFonts w:ascii="Times New Roman" w:cs="Times New Roman" w:eastAsia="Times New Roman" w:hAnsi="Times New Roman"/>
                <w:sz w:val="14"/>
                <w:szCs w:val="14"/>
                <w:b w:val="1"/>
                <w:bCs w:val="1"/>
                <w:color w:val="FFFFFF"/>
              </w:rPr>
              <w:t>Volume</w:t>
            </w:r>
          </w:p>
        </w:tc>
        <w:tc>
          <w:tcPr>
            <w:tcW w:w="900" w:type="dxa"/>
            <w:vAlign w:val="bottom"/>
            <w:tcBorders>
              <w:right w:val="single" w:sz="8" w:color="auto"/>
            </w:tcBorders>
            <w:vMerge w:val="restart"/>
            <w:shd w:val="clear" w:color="auto" w:fill="2AD2C9"/>
          </w:tcPr>
          <w:p>
            <w:pPr>
              <w:jc w:val="center"/>
              <w:spacing w:after="0"/>
              <w:rPr>
                <w:sz w:val="20"/>
                <w:szCs w:val="20"/>
                <w:color w:val="auto"/>
              </w:rPr>
            </w:pPr>
            <w:r>
              <w:rPr>
                <w:rFonts w:ascii="Times New Roman" w:cs="Times New Roman" w:eastAsia="Times New Roman" w:hAnsi="Times New Roman"/>
                <w:sz w:val="14"/>
                <w:szCs w:val="14"/>
                <w:b w:val="1"/>
                <w:bCs w:val="1"/>
                <w:color w:val="FFFFFF"/>
                <w:w w:val="99"/>
              </w:rPr>
              <w:t>%</w:t>
            </w:r>
          </w:p>
        </w:tc>
        <w:tc>
          <w:tcPr>
            <w:tcW w:w="80" w:type="dxa"/>
            <w:vAlign w:val="bottom"/>
            <w:shd w:val="clear" w:color="auto" w:fill="2AD2C9"/>
          </w:tcPr>
          <w:p>
            <w:pPr>
              <w:spacing w:after="0"/>
              <w:rPr>
                <w:sz w:val="8"/>
                <w:szCs w:val="8"/>
                <w:color w:val="auto"/>
              </w:rPr>
            </w:pPr>
          </w:p>
        </w:tc>
        <w:tc>
          <w:tcPr>
            <w:tcW w:w="800" w:type="dxa"/>
            <w:vAlign w:val="bottom"/>
            <w:gridSpan w:val="2"/>
            <w:vMerge w:val="restart"/>
            <w:shd w:val="clear" w:color="auto" w:fill="2AD2C9"/>
          </w:tcPr>
          <w:p>
            <w:pPr>
              <w:ind w:left="140"/>
              <w:spacing w:after="0"/>
              <w:rPr>
                <w:sz w:val="20"/>
                <w:szCs w:val="20"/>
                <w:color w:val="auto"/>
              </w:rPr>
            </w:pPr>
            <w:r>
              <w:rPr>
                <w:rFonts w:ascii="Times New Roman" w:cs="Times New Roman" w:eastAsia="Times New Roman" w:hAnsi="Times New Roman"/>
                <w:sz w:val="14"/>
                <w:szCs w:val="14"/>
                <w:b w:val="1"/>
                <w:bCs w:val="1"/>
                <w:color w:val="FFFFFF"/>
              </w:rPr>
              <w:t>Mar 25</w:t>
            </w:r>
          </w:p>
        </w:tc>
        <w:tc>
          <w:tcPr>
            <w:tcW w:w="920" w:type="dxa"/>
            <w:vAlign w:val="bottom"/>
            <w:tcBorders>
              <w:right w:val="single" w:sz="8" w:color="auto"/>
            </w:tcBorders>
            <w:vMerge w:val="restart"/>
            <w:shd w:val="clear" w:color="auto" w:fill="2AD2C9"/>
          </w:tcPr>
          <w:p>
            <w:pPr>
              <w:ind w:left="240"/>
              <w:spacing w:after="0"/>
              <w:rPr>
                <w:sz w:val="20"/>
                <w:szCs w:val="20"/>
                <w:color w:val="auto"/>
              </w:rPr>
            </w:pPr>
            <w:r>
              <w:rPr>
                <w:rFonts w:ascii="Times New Roman" w:cs="Times New Roman" w:eastAsia="Times New Roman" w:hAnsi="Times New Roman"/>
                <w:sz w:val="14"/>
                <w:szCs w:val="14"/>
                <w:b w:val="1"/>
                <w:bCs w:val="1"/>
                <w:color w:val="FFFFFF"/>
              </w:rPr>
              <w:t>Mar 26</w:t>
            </w:r>
          </w:p>
        </w:tc>
        <w:tc>
          <w:tcPr>
            <w:tcW w:w="160" w:type="dxa"/>
            <w:vAlign w:val="bottom"/>
            <w:shd w:val="clear" w:color="auto" w:fill="2AD2C9"/>
          </w:tcPr>
          <w:p>
            <w:pPr>
              <w:spacing w:after="0"/>
              <w:rPr>
                <w:sz w:val="8"/>
                <w:szCs w:val="8"/>
                <w:color w:val="auto"/>
              </w:rPr>
            </w:pPr>
          </w:p>
        </w:tc>
        <w:tc>
          <w:tcPr>
            <w:tcW w:w="720" w:type="dxa"/>
            <w:vAlign w:val="bottom"/>
            <w:vMerge w:val="restart"/>
            <w:shd w:val="clear" w:color="auto" w:fill="2AD2C9"/>
          </w:tcPr>
          <w:p>
            <w:pPr>
              <w:ind w:left="60"/>
              <w:spacing w:after="0"/>
              <w:rPr>
                <w:sz w:val="20"/>
                <w:szCs w:val="20"/>
                <w:color w:val="auto"/>
              </w:rPr>
            </w:pPr>
            <w:r>
              <w:rPr>
                <w:rFonts w:ascii="Times New Roman" w:cs="Times New Roman" w:eastAsia="Times New Roman" w:hAnsi="Times New Roman"/>
                <w:sz w:val="14"/>
                <w:szCs w:val="14"/>
                <w:b w:val="1"/>
                <w:bCs w:val="1"/>
                <w:color w:val="FFFFFF"/>
              </w:rPr>
              <w:t>Volume</w:t>
            </w:r>
          </w:p>
        </w:tc>
        <w:tc>
          <w:tcPr>
            <w:tcW w:w="900" w:type="dxa"/>
            <w:vAlign w:val="bottom"/>
            <w:tcBorders>
              <w:right w:val="single" w:sz="8" w:color="auto"/>
            </w:tcBorders>
            <w:vMerge w:val="restart"/>
            <w:shd w:val="clear" w:color="auto" w:fill="2AD2C9"/>
          </w:tcPr>
          <w:p>
            <w:pPr>
              <w:jc w:val="center"/>
              <w:spacing w:after="0"/>
              <w:rPr>
                <w:sz w:val="20"/>
                <w:szCs w:val="20"/>
                <w:color w:val="auto"/>
              </w:rPr>
            </w:pPr>
            <w:r>
              <w:rPr>
                <w:rFonts w:ascii="Times New Roman" w:cs="Times New Roman" w:eastAsia="Times New Roman" w:hAnsi="Times New Roman"/>
                <w:sz w:val="14"/>
                <w:szCs w:val="14"/>
                <w:b w:val="1"/>
                <w:bCs w:val="1"/>
                <w:color w:val="FFFFFF"/>
                <w:w w:val="85"/>
              </w:rPr>
              <w:t>%</w:t>
            </w:r>
          </w:p>
        </w:tc>
        <w:tc>
          <w:tcPr>
            <w:tcW w:w="0" w:type="dxa"/>
            <w:vAlign w:val="bottom"/>
          </w:tcPr>
          <w:p>
            <w:pPr>
              <w:spacing w:after="0"/>
              <w:rPr>
                <w:sz w:val="1"/>
                <w:szCs w:val="1"/>
                <w:color w:val="auto"/>
              </w:rPr>
            </w:pPr>
          </w:p>
        </w:tc>
      </w:tr>
      <w:tr>
        <w:trPr>
          <w:trHeight w:val="62"/>
        </w:trPr>
        <w:tc>
          <w:tcPr>
            <w:tcW w:w="3960" w:type="dxa"/>
            <w:vAlign w:val="bottom"/>
            <w:tcBorders>
              <w:left w:val="single" w:sz="8" w:color="auto"/>
              <w:bottom w:val="single" w:sz="8" w:color="auto"/>
              <w:right w:val="single" w:sz="8" w:color="auto"/>
            </w:tcBorders>
            <w:shd w:val="clear" w:color="auto" w:fill="2AD2C9"/>
          </w:tcPr>
          <w:p>
            <w:pPr>
              <w:spacing w:after="0"/>
              <w:rPr>
                <w:sz w:val="5"/>
                <w:szCs w:val="5"/>
                <w:color w:val="auto"/>
              </w:rPr>
            </w:pPr>
          </w:p>
        </w:tc>
        <w:tc>
          <w:tcPr>
            <w:tcW w:w="700" w:type="dxa"/>
            <w:vAlign w:val="bottom"/>
            <w:tcBorders>
              <w:bottom w:val="single" w:sz="8" w:color="auto"/>
            </w:tcBorders>
            <w:vMerge w:val="continue"/>
            <w:shd w:val="clear" w:color="auto" w:fill="2AD2C9"/>
          </w:tcPr>
          <w:p>
            <w:pPr>
              <w:spacing w:after="0"/>
              <w:rPr>
                <w:sz w:val="5"/>
                <w:szCs w:val="5"/>
                <w:color w:val="auto"/>
              </w:rPr>
            </w:pPr>
          </w:p>
        </w:tc>
        <w:tc>
          <w:tcPr>
            <w:tcW w:w="1120" w:type="dxa"/>
            <w:vAlign w:val="bottom"/>
            <w:tcBorders>
              <w:bottom w:val="single" w:sz="8" w:color="auto"/>
              <w:right w:val="single" w:sz="8" w:color="auto"/>
            </w:tcBorders>
            <w:vMerge w:val="continue"/>
            <w:shd w:val="clear" w:color="auto" w:fill="2AD2C9"/>
          </w:tcPr>
          <w:p>
            <w:pPr>
              <w:spacing w:after="0"/>
              <w:rPr>
                <w:sz w:val="5"/>
                <w:szCs w:val="5"/>
                <w:color w:val="auto"/>
              </w:rPr>
            </w:pPr>
          </w:p>
        </w:tc>
        <w:tc>
          <w:tcPr>
            <w:tcW w:w="900" w:type="dxa"/>
            <w:vAlign w:val="bottom"/>
            <w:tcBorders>
              <w:bottom w:val="single" w:sz="8" w:color="auto"/>
            </w:tcBorders>
            <w:vMerge w:val="continue"/>
            <w:shd w:val="clear" w:color="auto" w:fill="2AD2C9"/>
          </w:tcPr>
          <w:p>
            <w:pPr>
              <w:spacing w:after="0"/>
              <w:rPr>
                <w:sz w:val="5"/>
                <w:szCs w:val="5"/>
                <w:color w:val="auto"/>
              </w:rPr>
            </w:pPr>
          </w:p>
        </w:tc>
        <w:tc>
          <w:tcPr>
            <w:tcW w:w="900" w:type="dxa"/>
            <w:vAlign w:val="bottom"/>
            <w:tcBorders>
              <w:bottom w:val="single" w:sz="8" w:color="auto"/>
              <w:right w:val="single" w:sz="8" w:color="auto"/>
            </w:tcBorders>
            <w:vMerge w:val="continue"/>
            <w:shd w:val="clear" w:color="auto" w:fill="2AD2C9"/>
          </w:tcPr>
          <w:p>
            <w:pPr>
              <w:spacing w:after="0"/>
              <w:rPr>
                <w:sz w:val="5"/>
                <w:szCs w:val="5"/>
                <w:color w:val="auto"/>
              </w:rPr>
            </w:pPr>
          </w:p>
        </w:tc>
        <w:tc>
          <w:tcPr>
            <w:tcW w:w="80" w:type="dxa"/>
            <w:vAlign w:val="bottom"/>
            <w:tcBorders>
              <w:bottom w:val="single" w:sz="8" w:color="auto"/>
            </w:tcBorders>
            <w:shd w:val="clear" w:color="auto" w:fill="2AD2C9"/>
          </w:tcPr>
          <w:p>
            <w:pPr>
              <w:spacing w:after="0"/>
              <w:rPr>
                <w:sz w:val="5"/>
                <w:szCs w:val="5"/>
                <w:color w:val="auto"/>
              </w:rPr>
            </w:pPr>
          </w:p>
        </w:tc>
        <w:tc>
          <w:tcPr>
            <w:tcW w:w="800" w:type="dxa"/>
            <w:vAlign w:val="bottom"/>
            <w:tcBorders>
              <w:bottom w:val="single" w:sz="8" w:color="auto"/>
            </w:tcBorders>
            <w:gridSpan w:val="2"/>
            <w:vMerge w:val="continue"/>
            <w:shd w:val="clear" w:color="auto" w:fill="2AD2C9"/>
          </w:tcPr>
          <w:p>
            <w:pPr>
              <w:spacing w:after="0"/>
              <w:rPr>
                <w:sz w:val="5"/>
                <w:szCs w:val="5"/>
                <w:color w:val="auto"/>
              </w:rPr>
            </w:pPr>
          </w:p>
        </w:tc>
        <w:tc>
          <w:tcPr>
            <w:tcW w:w="920" w:type="dxa"/>
            <w:vAlign w:val="bottom"/>
            <w:tcBorders>
              <w:bottom w:val="single" w:sz="8" w:color="auto"/>
              <w:right w:val="single" w:sz="8" w:color="auto"/>
            </w:tcBorders>
            <w:vMerge w:val="continue"/>
            <w:shd w:val="clear" w:color="auto" w:fill="2AD2C9"/>
          </w:tcPr>
          <w:p>
            <w:pPr>
              <w:spacing w:after="0"/>
              <w:rPr>
                <w:sz w:val="5"/>
                <w:szCs w:val="5"/>
                <w:color w:val="auto"/>
              </w:rPr>
            </w:pPr>
          </w:p>
        </w:tc>
        <w:tc>
          <w:tcPr>
            <w:tcW w:w="160" w:type="dxa"/>
            <w:vAlign w:val="bottom"/>
            <w:tcBorders>
              <w:bottom w:val="single" w:sz="8" w:color="auto"/>
            </w:tcBorders>
            <w:shd w:val="clear" w:color="auto" w:fill="2AD2C9"/>
          </w:tcPr>
          <w:p>
            <w:pPr>
              <w:spacing w:after="0"/>
              <w:rPr>
                <w:sz w:val="5"/>
                <w:szCs w:val="5"/>
                <w:color w:val="auto"/>
              </w:rPr>
            </w:pPr>
          </w:p>
        </w:tc>
        <w:tc>
          <w:tcPr>
            <w:tcW w:w="720" w:type="dxa"/>
            <w:vAlign w:val="bottom"/>
            <w:tcBorders>
              <w:bottom w:val="single" w:sz="8" w:color="auto"/>
            </w:tcBorders>
            <w:vMerge w:val="continue"/>
            <w:shd w:val="clear" w:color="auto" w:fill="2AD2C9"/>
          </w:tcPr>
          <w:p>
            <w:pPr>
              <w:spacing w:after="0"/>
              <w:rPr>
                <w:sz w:val="5"/>
                <w:szCs w:val="5"/>
                <w:color w:val="auto"/>
              </w:rPr>
            </w:pPr>
          </w:p>
        </w:tc>
        <w:tc>
          <w:tcPr>
            <w:tcW w:w="900" w:type="dxa"/>
            <w:vAlign w:val="bottom"/>
            <w:tcBorders>
              <w:bottom w:val="single" w:sz="8" w:color="auto"/>
              <w:right w:val="single" w:sz="8" w:color="auto"/>
            </w:tcBorders>
            <w:vMerge w:val="continue"/>
            <w:shd w:val="clear" w:color="auto" w:fill="2AD2C9"/>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3960" w:type="dxa"/>
            <w:vAlign w:val="bottom"/>
            <w:tcBorders>
              <w:left w:val="single" w:sz="8" w:color="auto"/>
              <w:right w:val="single" w:sz="8" w:color="auto"/>
            </w:tcBorders>
          </w:tcPr>
          <w:p>
            <w:pPr>
              <w:ind w:left="20"/>
              <w:spacing w:after="0" w:line="108" w:lineRule="exact"/>
              <w:rPr>
                <w:sz w:val="20"/>
                <w:szCs w:val="20"/>
                <w:color w:val="auto"/>
              </w:rPr>
            </w:pPr>
            <w:r>
              <w:rPr>
                <w:rFonts w:ascii="Times New Roman" w:cs="Times New Roman" w:eastAsia="Times New Roman" w:hAnsi="Times New Roman"/>
                <w:sz w:val="12"/>
                <w:szCs w:val="12"/>
                <w:b w:val="1"/>
                <w:bCs w:val="1"/>
                <w:color w:val="auto"/>
              </w:rPr>
              <w:t>BCP Stand-alone</w:t>
            </w:r>
          </w:p>
        </w:tc>
        <w:tc>
          <w:tcPr>
            <w:tcW w:w="700" w:type="dxa"/>
            <w:vAlign w:val="bottom"/>
          </w:tcPr>
          <w:p>
            <w:pPr>
              <w:jc w:val="center"/>
              <w:ind w:left="115"/>
              <w:spacing w:after="0" w:line="108" w:lineRule="exact"/>
              <w:rPr>
                <w:sz w:val="20"/>
                <w:szCs w:val="20"/>
                <w:color w:val="auto"/>
              </w:rPr>
            </w:pPr>
            <w:r>
              <w:rPr>
                <w:rFonts w:ascii="Times New Roman" w:cs="Times New Roman" w:eastAsia="Times New Roman" w:hAnsi="Times New Roman"/>
                <w:sz w:val="12"/>
                <w:szCs w:val="12"/>
                <w:b w:val="1"/>
                <w:bCs w:val="1"/>
                <w:color w:val="auto"/>
              </w:rPr>
              <w:t>119,379</w:t>
            </w:r>
          </w:p>
        </w:tc>
        <w:tc>
          <w:tcPr>
            <w:tcW w:w="1120" w:type="dxa"/>
            <w:vAlign w:val="bottom"/>
            <w:tcBorders>
              <w:right w:val="single" w:sz="8" w:color="auto"/>
            </w:tcBorders>
          </w:tcPr>
          <w:p>
            <w:pPr>
              <w:jc w:val="center"/>
              <w:ind w:left="95"/>
              <w:spacing w:after="0" w:line="108" w:lineRule="exact"/>
              <w:rPr>
                <w:sz w:val="20"/>
                <w:szCs w:val="20"/>
                <w:color w:val="auto"/>
              </w:rPr>
            </w:pPr>
            <w:r>
              <w:rPr>
                <w:rFonts w:ascii="Times New Roman" w:cs="Times New Roman" w:eastAsia="Times New Roman" w:hAnsi="Times New Roman"/>
                <w:sz w:val="12"/>
                <w:szCs w:val="12"/>
                <w:b w:val="1"/>
                <w:bCs w:val="1"/>
                <w:color w:val="auto"/>
              </w:rPr>
              <w:t>128,142</w:t>
            </w:r>
          </w:p>
        </w:tc>
        <w:tc>
          <w:tcPr>
            <w:tcW w:w="900" w:type="dxa"/>
            <w:vAlign w:val="bottom"/>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rPr>
              <w:t>8,764</w:t>
            </w:r>
          </w:p>
        </w:tc>
        <w:tc>
          <w:tcPr>
            <w:tcW w:w="900" w:type="dxa"/>
            <w:vAlign w:val="bottom"/>
            <w:tcBorders>
              <w:right w:val="single" w:sz="8" w:color="auto"/>
            </w:tcBorders>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rPr>
              <w:t>7.3%</w:t>
            </w:r>
          </w:p>
        </w:tc>
        <w:tc>
          <w:tcPr>
            <w:tcW w:w="880" w:type="dxa"/>
            <w:vAlign w:val="bottom"/>
            <w:gridSpan w:val="3"/>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rPr>
              <w:t>119,379</w:t>
            </w:r>
          </w:p>
        </w:tc>
        <w:tc>
          <w:tcPr>
            <w:tcW w:w="920" w:type="dxa"/>
            <w:vAlign w:val="bottom"/>
            <w:tcBorders>
              <w:right w:val="single" w:sz="8" w:color="auto"/>
            </w:tcBorders>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rPr>
              <w:t>130,263</w:t>
            </w:r>
          </w:p>
        </w:tc>
        <w:tc>
          <w:tcPr>
            <w:tcW w:w="160" w:type="dxa"/>
            <w:vAlign w:val="bottom"/>
          </w:tcPr>
          <w:p>
            <w:pPr>
              <w:spacing w:after="0"/>
              <w:rPr>
                <w:sz w:val="9"/>
                <w:szCs w:val="9"/>
                <w:color w:val="auto"/>
              </w:rPr>
            </w:pPr>
          </w:p>
        </w:tc>
        <w:tc>
          <w:tcPr>
            <w:tcW w:w="720" w:type="dxa"/>
            <w:vAlign w:val="bottom"/>
          </w:tcPr>
          <w:p>
            <w:pPr>
              <w:jc w:val="center"/>
              <w:ind w:right="115"/>
              <w:spacing w:after="0" w:line="108" w:lineRule="exact"/>
              <w:rPr>
                <w:sz w:val="20"/>
                <w:szCs w:val="20"/>
                <w:color w:val="auto"/>
              </w:rPr>
            </w:pPr>
            <w:r>
              <w:rPr>
                <w:rFonts w:ascii="Times New Roman" w:cs="Times New Roman" w:eastAsia="Times New Roman" w:hAnsi="Times New Roman"/>
                <w:sz w:val="12"/>
                <w:szCs w:val="12"/>
                <w:b w:val="1"/>
                <w:bCs w:val="1"/>
                <w:color w:val="auto"/>
              </w:rPr>
              <w:t>10,884</w:t>
            </w:r>
          </w:p>
        </w:tc>
        <w:tc>
          <w:tcPr>
            <w:tcW w:w="900" w:type="dxa"/>
            <w:vAlign w:val="bottom"/>
            <w:tcBorders>
              <w:right w:val="single" w:sz="8" w:color="auto"/>
            </w:tcBorders>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rPr>
              <w:t>9.1%</w:t>
            </w:r>
          </w:p>
        </w:tc>
        <w:tc>
          <w:tcPr>
            <w:tcW w:w="0" w:type="dxa"/>
            <w:vAlign w:val="bottom"/>
          </w:tcPr>
          <w:p>
            <w:pPr>
              <w:spacing w:after="0"/>
              <w:rPr>
                <w:sz w:val="1"/>
                <w:szCs w:val="1"/>
                <w:color w:val="auto"/>
              </w:rPr>
            </w:pPr>
          </w:p>
        </w:tc>
      </w:tr>
      <w:tr>
        <w:trPr>
          <w:trHeight w:val="144"/>
        </w:trPr>
        <w:tc>
          <w:tcPr>
            <w:tcW w:w="3960" w:type="dxa"/>
            <w:vAlign w:val="bottom"/>
            <w:tcBorders>
              <w:left w:val="single" w:sz="8" w:color="auto"/>
              <w:right w:val="single" w:sz="8" w:color="auto"/>
            </w:tcBorders>
          </w:tcPr>
          <w:p>
            <w:pPr>
              <w:ind w:left="180"/>
              <w:spacing w:after="0" w:line="144" w:lineRule="exact"/>
              <w:rPr>
                <w:sz w:val="20"/>
                <w:szCs w:val="20"/>
                <w:color w:val="auto"/>
              </w:rPr>
            </w:pPr>
            <w:r>
              <w:rPr>
                <w:rFonts w:ascii="Times New Roman" w:cs="Times New Roman" w:eastAsia="Times New Roman" w:hAnsi="Times New Roman"/>
                <w:sz w:val="14"/>
                <w:szCs w:val="14"/>
                <w:b w:val="1"/>
                <w:bCs w:val="1"/>
                <w:color w:val="auto"/>
              </w:rPr>
              <w:t>Wholesale Banking</w:t>
            </w:r>
          </w:p>
        </w:tc>
        <w:tc>
          <w:tcPr>
            <w:tcW w:w="700" w:type="dxa"/>
            <w:vAlign w:val="bottom"/>
          </w:tcPr>
          <w:p>
            <w:pPr>
              <w:jc w:val="center"/>
              <w:ind w:left="135"/>
              <w:spacing w:after="0" w:line="144" w:lineRule="exact"/>
              <w:rPr>
                <w:sz w:val="20"/>
                <w:szCs w:val="20"/>
                <w:color w:val="auto"/>
              </w:rPr>
            </w:pPr>
            <w:r>
              <w:rPr>
                <w:rFonts w:ascii="Times New Roman" w:cs="Times New Roman" w:eastAsia="Times New Roman" w:hAnsi="Times New Roman"/>
                <w:sz w:val="14"/>
                <w:szCs w:val="14"/>
                <w:b w:val="1"/>
                <w:bCs w:val="1"/>
                <w:color w:val="auto"/>
                <w:w w:val="98"/>
              </w:rPr>
              <w:t>52,602</w:t>
            </w:r>
          </w:p>
        </w:tc>
        <w:tc>
          <w:tcPr>
            <w:tcW w:w="1120" w:type="dxa"/>
            <w:vAlign w:val="bottom"/>
            <w:tcBorders>
              <w:right w:val="single" w:sz="8" w:color="auto"/>
            </w:tcBorders>
          </w:tcPr>
          <w:p>
            <w:pPr>
              <w:jc w:val="center"/>
              <w:ind w:left="95"/>
              <w:spacing w:after="0" w:line="144" w:lineRule="exact"/>
              <w:rPr>
                <w:sz w:val="20"/>
                <w:szCs w:val="20"/>
                <w:color w:val="auto"/>
              </w:rPr>
            </w:pPr>
            <w:r>
              <w:rPr>
                <w:rFonts w:ascii="Times New Roman" w:cs="Times New Roman" w:eastAsia="Times New Roman" w:hAnsi="Times New Roman"/>
                <w:sz w:val="14"/>
                <w:szCs w:val="14"/>
                <w:b w:val="1"/>
                <w:bCs w:val="1"/>
                <w:color w:val="auto"/>
                <w:w w:val="93"/>
              </w:rPr>
              <w:t>56,335</w:t>
            </w:r>
          </w:p>
        </w:tc>
        <w:tc>
          <w:tcPr>
            <w:tcW w:w="90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5"/>
              </w:rPr>
              <w:t>3,732</w:t>
            </w:r>
          </w:p>
        </w:tc>
        <w:tc>
          <w:tcPr>
            <w:tcW w:w="900" w:type="dxa"/>
            <w:vAlign w:val="bottom"/>
            <w:tcBorders>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5"/>
              </w:rPr>
              <w:t>7.1%</w:t>
            </w:r>
          </w:p>
        </w:tc>
        <w:tc>
          <w:tcPr>
            <w:tcW w:w="880" w:type="dxa"/>
            <w:vAlign w:val="bottom"/>
            <w:gridSpan w:val="3"/>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8"/>
              </w:rPr>
              <w:t>52,602</w:t>
            </w:r>
          </w:p>
        </w:tc>
        <w:tc>
          <w:tcPr>
            <w:tcW w:w="920" w:type="dxa"/>
            <w:vAlign w:val="bottom"/>
            <w:tcBorders>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8"/>
              </w:rPr>
              <w:t>57,962</w:t>
            </w:r>
          </w:p>
        </w:tc>
        <w:tc>
          <w:tcPr>
            <w:tcW w:w="160" w:type="dxa"/>
            <w:vAlign w:val="bottom"/>
          </w:tcPr>
          <w:p>
            <w:pPr>
              <w:spacing w:after="0"/>
              <w:rPr>
                <w:sz w:val="12"/>
                <w:szCs w:val="12"/>
                <w:color w:val="auto"/>
              </w:rPr>
            </w:pPr>
          </w:p>
        </w:tc>
        <w:tc>
          <w:tcPr>
            <w:tcW w:w="720" w:type="dxa"/>
            <w:vAlign w:val="bottom"/>
          </w:tcPr>
          <w:p>
            <w:pPr>
              <w:jc w:val="center"/>
              <w:ind w:right="115"/>
              <w:spacing w:after="0" w:line="144" w:lineRule="exact"/>
              <w:rPr>
                <w:sz w:val="20"/>
                <w:szCs w:val="20"/>
                <w:color w:val="auto"/>
              </w:rPr>
            </w:pPr>
            <w:r>
              <w:rPr>
                <w:rFonts w:ascii="Times New Roman" w:cs="Times New Roman" w:eastAsia="Times New Roman" w:hAnsi="Times New Roman"/>
                <w:sz w:val="14"/>
                <w:szCs w:val="14"/>
                <w:b w:val="1"/>
                <w:bCs w:val="1"/>
                <w:color w:val="auto"/>
                <w:w w:val="95"/>
              </w:rPr>
              <w:t>5,360</w:t>
            </w:r>
          </w:p>
        </w:tc>
        <w:tc>
          <w:tcPr>
            <w:tcW w:w="900" w:type="dxa"/>
            <w:vAlign w:val="bottom"/>
            <w:tcBorders>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3"/>
              </w:rPr>
              <w:t>10.2%</w:t>
            </w:r>
          </w:p>
        </w:tc>
        <w:tc>
          <w:tcPr>
            <w:tcW w:w="0" w:type="dxa"/>
            <w:vAlign w:val="bottom"/>
          </w:tcPr>
          <w:p>
            <w:pPr>
              <w:spacing w:after="0"/>
              <w:rPr>
                <w:sz w:val="1"/>
                <w:szCs w:val="1"/>
                <w:color w:val="auto"/>
              </w:rPr>
            </w:pPr>
          </w:p>
        </w:tc>
      </w:tr>
      <w:tr>
        <w:trPr>
          <w:trHeight w:val="20"/>
        </w:trPr>
        <w:tc>
          <w:tcPr>
            <w:tcW w:w="3960" w:type="dxa"/>
            <w:vAlign w:val="bottom"/>
            <w:tcBorders>
              <w:left w:val="single" w:sz="8" w:color="auto"/>
              <w:right w:val="single" w:sz="8" w:color="auto"/>
            </w:tcBorders>
            <w:vMerge w:val="restart"/>
          </w:tcPr>
          <w:p>
            <w:pPr>
              <w:ind w:left="280"/>
              <w:spacing w:after="0" w:line="140" w:lineRule="exact"/>
              <w:rPr>
                <w:sz w:val="20"/>
                <w:szCs w:val="20"/>
                <w:color w:val="auto"/>
              </w:rPr>
            </w:pPr>
            <w:r>
              <w:rPr>
                <w:rFonts w:ascii="Times New Roman" w:cs="Times New Roman" w:eastAsia="Times New Roman" w:hAnsi="Times New Roman"/>
                <w:sz w:val="14"/>
                <w:szCs w:val="14"/>
                <w:color w:val="auto"/>
              </w:rPr>
              <w:t>Corporate</w:t>
            </w:r>
          </w:p>
        </w:tc>
        <w:tc>
          <w:tcPr>
            <w:tcW w:w="700" w:type="dxa"/>
            <w:vAlign w:val="bottom"/>
            <w:vMerge w:val="restart"/>
          </w:tcPr>
          <w:p>
            <w:pPr>
              <w:jc w:val="center"/>
              <w:ind w:left="135"/>
              <w:spacing w:after="0" w:line="140" w:lineRule="exact"/>
              <w:rPr>
                <w:sz w:val="20"/>
                <w:szCs w:val="20"/>
                <w:color w:val="auto"/>
              </w:rPr>
            </w:pPr>
            <w:r>
              <w:rPr>
                <w:rFonts w:ascii="Times New Roman" w:cs="Times New Roman" w:eastAsia="Times New Roman" w:hAnsi="Times New Roman"/>
                <w:sz w:val="14"/>
                <w:szCs w:val="14"/>
                <w:color w:val="auto"/>
                <w:w w:val="98"/>
              </w:rPr>
              <w:t>31,369</w:t>
            </w:r>
          </w:p>
        </w:tc>
        <w:tc>
          <w:tcPr>
            <w:tcW w:w="1120" w:type="dxa"/>
            <w:vAlign w:val="bottom"/>
            <w:tcBorders>
              <w:right w:val="single" w:sz="8" w:color="auto"/>
            </w:tcBorders>
            <w:vMerge w:val="restart"/>
          </w:tcPr>
          <w:p>
            <w:pPr>
              <w:jc w:val="center"/>
              <w:ind w:left="95"/>
              <w:spacing w:after="0" w:line="140" w:lineRule="exact"/>
              <w:rPr>
                <w:sz w:val="20"/>
                <w:szCs w:val="20"/>
                <w:color w:val="auto"/>
              </w:rPr>
            </w:pPr>
            <w:r>
              <w:rPr>
                <w:rFonts w:ascii="Times New Roman" w:cs="Times New Roman" w:eastAsia="Times New Roman" w:hAnsi="Times New Roman"/>
                <w:sz w:val="14"/>
                <w:szCs w:val="14"/>
                <w:color w:val="auto"/>
                <w:w w:val="93"/>
              </w:rPr>
              <w:t>33,209</w:t>
            </w:r>
          </w:p>
        </w:tc>
        <w:tc>
          <w:tcPr>
            <w:tcW w:w="90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4"/>
                <w:szCs w:val="14"/>
                <w:color w:val="auto"/>
                <w:w w:val="95"/>
              </w:rPr>
              <w:t>1,840</w:t>
            </w:r>
          </w:p>
        </w:tc>
        <w:tc>
          <w:tcPr>
            <w:tcW w:w="900" w:type="dxa"/>
            <w:vAlign w:val="bottom"/>
            <w:tcBorders>
              <w:right w:val="single" w:sz="8" w:color="auto"/>
            </w:tcBorders>
            <w:vMerge w:val="restart"/>
          </w:tcPr>
          <w:p>
            <w:pPr>
              <w:jc w:val="center"/>
              <w:spacing w:after="0" w:line="140" w:lineRule="exact"/>
              <w:rPr>
                <w:sz w:val="20"/>
                <w:szCs w:val="20"/>
                <w:color w:val="auto"/>
              </w:rPr>
            </w:pPr>
            <w:r>
              <w:rPr>
                <w:rFonts w:ascii="Times New Roman" w:cs="Times New Roman" w:eastAsia="Times New Roman" w:hAnsi="Times New Roman"/>
                <w:sz w:val="14"/>
                <w:szCs w:val="14"/>
                <w:color w:val="auto"/>
                <w:w w:val="95"/>
              </w:rPr>
              <w:t>5.9%</w:t>
            </w:r>
          </w:p>
        </w:tc>
        <w:tc>
          <w:tcPr>
            <w:tcW w:w="880" w:type="dxa"/>
            <w:vAlign w:val="bottom"/>
            <w:gridSpan w:val="3"/>
            <w:vMerge w:val="restart"/>
          </w:tcPr>
          <w:p>
            <w:pPr>
              <w:jc w:val="center"/>
              <w:spacing w:after="0" w:line="140" w:lineRule="exact"/>
              <w:rPr>
                <w:sz w:val="20"/>
                <w:szCs w:val="20"/>
                <w:color w:val="auto"/>
              </w:rPr>
            </w:pPr>
            <w:r>
              <w:rPr>
                <w:rFonts w:ascii="Times New Roman" w:cs="Times New Roman" w:eastAsia="Times New Roman" w:hAnsi="Times New Roman"/>
                <w:sz w:val="14"/>
                <w:szCs w:val="14"/>
                <w:color w:val="auto"/>
                <w:w w:val="98"/>
              </w:rPr>
              <w:t>31,369</w:t>
            </w:r>
          </w:p>
        </w:tc>
        <w:tc>
          <w:tcPr>
            <w:tcW w:w="920" w:type="dxa"/>
            <w:vAlign w:val="bottom"/>
            <w:tcBorders>
              <w:right w:val="single" w:sz="8" w:color="auto"/>
            </w:tcBorders>
            <w:vMerge w:val="restart"/>
          </w:tcPr>
          <w:p>
            <w:pPr>
              <w:jc w:val="center"/>
              <w:spacing w:after="0" w:line="140" w:lineRule="exact"/>
              <w:rPr>
                <w:sz w:val="20"/>
                <w:szCs w:val="20"/>
                <w:color w:val="auto"/>
              </w:rPr>
            </w:pPr>
            <w:r>
              <w:rPr>
                <w:rFonts w:ascii="Times New Roman" w:cs="Times New Roman" w:eastAsia="Times New Roman" w:hAnsi="Times New Roman"/>
                <w:sz w:val="14"/>
                <w:szCs w:val="14"/>
                <w:color w:val="auto"/>
                <w:w w:val="98"/>
              </w:rPr>
              <w:t>34,153</w:t>
            </w: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3960" w:type="dxa"/>
            <w:vAlign w:val="bottom"/>
            <w:tcBorders>
              <w:left w:val="single" w:sz="8" w:color="auto"/>
              <w:right w:val="single" w:sz="8" w:color="auto"/>
            </w:tcBorders>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120" w:type="dxa"/>
            <w:vAlign w:val="bottom"/>
            <w:tcBorders>
              <w:right w:val="single" w:sz="8" w:color="auto"/>
            </w:tcBorders>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900" w:type="dxa"/>
            <w:vAlign w:val="bottom"/>
            <w:tcBorders>
              <w:right w:val="single" w:sz="8" w:color="auto"/>
            </w:tcBorders>
            <w:vMerge w:val="continue"/>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920" w:type="dxa"/>
            <w:vAlign w:val="bottom"/>
            <w:tcBorders>
              <w:right w:val="single" w:sz="8" w:color="auto"/>
            </w:tcBorders>
            <w:vMerge w:val="continue"/>
          </w:tcPr>
          <w:p>
            <w:pPr>
              <w:spacing w:after="0"/>
              <w:rPr>
                <w:sz w:val="10"/>
                <w:szCs w:val="10"/>
                <w:color w:val="auto"/>
              </w:rPr>
            </w:pPr>
          </w:p>
        </w:tc>
        <w:tc>
          <w:tcPr>
            <w:tcW w:w="160" w:type="dxa"/>
            <w:vAlign w:val="bottom"/>
            <w:shd w:val="clear" w:color="auto" w:fill="26D07C"/>
          </w:tcPr>
          <w:p>
            <w:pPr>
              <w:spacing w:after="0"/>
              <w:rPr>
                <w:sz w:val="10"/>
                <w:szCs w:val="10"/>
                <w:color w:val="auto"/>
              </w:rPr>
            </w:pPr>
          </w:p>
        </w:tc>
        <w:tc>
          <w:tcPr>
            <w:tcW w:w="720" w:type="dxa"/>
            <w:vAlign w:val="bottom"/>
            <w:shd w:val="clear" w:color="auto" w:fill="26D07C"/>
          </w:tcPr>
          <w:p>
            <w:pPr>
              <w:jc w:val="center"/>
              <w:ind w:right="115"/>
              <w:spacing w:after="0" w:line="120" w:lineRule="exact"/>
              <w:rPr>
                <w:sz w:val="20"/>
                <w:szCs w:val="20"/>
                <w:color w:val="auto"/>
              </w:rPr>
            </w:pPr>
            <w:r>
              <w:rPr>
                <w:rFonts w:ascii="Times New Roman" w:cs="Times New Roman" w:eastAsia="Times New Roman" w:hAnsi="Times New Roman"/>
                <w:sz w:val="12"/>
                <w:szCs w:val="12"/>
                <w:color w:val="auto"/>
              </w:rPr>
              <w:t>2,784</w:t>
            </w:r>
          </w:p>
        </w:tc>
        <w:tc>
          <w:tcPr>
            <w:tcW w:w="900" w:type="dxa"/>
            <w:vAlign w:val="bottom"/>
            <w:tcBorders>
              <w:right w:val="single" w:sz="8" w:color="auto"/>
            </w:tcBorders>
            <w:shd w:val="clear" w:color="auto" w:fill="26D07C"/>
          </w:tcPr>
          <w:p>
            <w:pPr>
              <w:jc w:val="center"/>
              <w:spacing w:after="0" w:line="120" w:lineRule="exact"/>
              <w:rPr>
                <w:sz w:val="20"/>
                <w:szCs w:val="20"/>
                <w:color w:val="auto"/>
              </w:rPr>
            </w:pPr>
            <w:r>
              <w:rPr>
                <w:rFonts w:ascii="Times New Roman" w:cs="Times New Roman" w:eastAsia="Times New Roman" w:hAnsi="Times New Roman"/>
                <w:sz w:val="12"/>
                <w:szCs w:val="12"/>
                <w:color w:val="auto"/>
              </w:rPr>
              <w:t>8.9%</w:t>
            </w:r>
          </w:p>
        </w:tc>
        <w:tc>
          <w:tcPr>
            <w:tcW w:w="0" w:type="dxa"/>
            <w:vAlign w:val="bottom"/>
          </w:tcPr>
          <w:p>
            <w:pPr>
              <w:spacing w:after="0"/>
              <w:rPr>
                <w:sz w:val="1"/>
                <w:szCs w:val="1"/>
                <w:color w:val="auto"/>
              </w:rPr>
            </w:pPr>
          </w:p>
        </w:tc>
      </w:tr>
      <w:tr>
        <w:trPr>
          <w:trHeight w:val="140"/>
        </w:trPr>
        <w:tc>
          <w:tcPr>
            <w:tcW w:w="3960" w:type="dxa"/>
            <w:vAlign w:val="bottom"/>
            <w:tcBorders>
              <w:left w:val="single" w:sz="8" w:color="auto"/>
              <w:right w:val="single" w:sz="8" w:color="auto"/>
            </w:tcBorders>
          </w:tcPr>
          <w:p>
            <w:pPr>
              <w:ind w:left="280"/>
              <w:spacing w:after="0" w:line="136" w:lineRule="exact"/>
              <w:rPr>
                <w:sz w:val="20"/>
                <w:szCs w:val="20"/>
                <w:color w:val="auto"/>
              </w:rPr>
            </w:pPr>
            <w:r>
              <w:rPr>
                <w:rFonts w:ascii="Times New Roman" w:cs="Times New Roman" w:eastAsia="Times New Roman" w:hAnsi="Times New Roman"/>
                <w:sz w:val="14"/>
                <w:szCs w:val="14"/>
                <w:color w:val="auto"/>
              </w:rPr>
              <w:t>Middle - Market</w:t>
            </w:r>
          </w:p>
        </w:tc>
        <w:tc>
          <w:tcPr>
            <w:tcW w:w="700" w:type="dxa"/>
            <w:vAlign w:val="bottom"/>
          </w:tcPr>
          <w:p>
            <w:pPr>
              <w:jc w:val="center"/>
              <w:ind w:left="135"/>
              <w:spacing w:after="0" w:line="136" w:lineRule="exact"/>
              <w:rPr>
                <w:sz w:val="20"/>
                <w:szCs w:val="20"/>
                <w:color w:val="auto"/>
              </w:rPr>
            </w:pPr>
            <w:r>
              <w:rPr>
                <w:rFonts w:ascii="Times New Roman" w:cs="Times New Roman" w:eastAsia="Times New Roman" w:hAnsi="Times New Roman"/>
                <w:sz w:val="14"/>
                <w:szCs w:val="14"/>
                <w:color w:val="auto"/>
                <w:w w:val="98"/>
              </w:rPr>
              <w:t>21,234</w:t>
            </w:r>
          </w:p>
        </w:tc>
        <w:tc>
          <w:tcPr>
            <w:tcW w:w="1120" w:type="dxa"/>
            <w:vAlign w:val="bottom"/>
            <w:tcBorders>
              <w:right w:val="single" w:sz="8" w:color="auto"/>
            </w:tcBorders>
          </w:tcPr>
          <w:p>
            <w:pPr>
              <w:jc w:val="center"/>
              <w:ind w:left="95"/>
              <w:spacing w:after="0" w:line="136" w:lineRule="exact"/>
              <w:rPr>
                <w:sz w:val="20"/>
                <w:szCs w:val="20"/>
                <w:color w:val="auto"/>
              </w:rPr>
            </w:pPr>
            <w:r>
              <w:rPr>
                <w:rFonts w:ascii="Times New Roman" w:cs="Times New Roman" w:eastAsia="Times New Roman" w:hAnsi="Times New Roman"/>
                <w:sz w:val="14"/>
                <w:szCs w:val="14"/>
                <w:color w:val="auto"/>
                <w:w w:val="93"/>
              </w:rPr>
              <w:t>23,125</w:t>
            </w:r>
          </w:p>
        </w:tc>
        <w:tc>
          <w:tcPr>
            <w:tcW w:w="90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w w:val="95"/>
              </w:rPr>
              <w:t>1,892</w:t>
            </w:r>
          </w:p>
        </w:tc>
        <w:tc>
          <w:tcPr>
            <w:tcW w:w="90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4"/>
                <w:szCs w:val="14"/>
                <w:color w:val="auto"/>
                <w:w w:val="95"/>
              </w:rPr>
              <w:t>8.9%</w:t>
            </w:r>
          </w:p>
        </w:tc>
        <w:tc>
          <w:tcPr>
            <w:tcW w:w="880" w:type="dxa"/>
            <w:vAlign w:val="bottom"/>
            <w:gridSpan w:val="3"/>
          </w:tcPr>
          <w:p>
            <w:pPr>
              <w:jc w:val="center"/>
              <w:spacing w:after="0" w:line="136" w:lineRule="exact"/>
              <w:rPr>
                <w:sz w:val="20"/>
                <w:szCs w:val="20"/>
                <w:color w:val="auto"/>
              </w:rPr>
            </w:pPr>
            <w:r>
              <w:rPr>
                <w:rFonts w:ascii="Times New Roman" w:cs="Times New Roman" w:eastAsia="Times New Roman" w:hAnsi="Times New Roman"/>
                <w:sz w:val="14"/>
                <w:szCs w:val="14"/>
                <w:color w:val="auto"/>
                <w:w w:val="98"/>
              </w:rPr>
              <w:t>21,234</w:t>
            </w:r>
          </w:p>
        </w:tc>
        <w:tc>
          <w:tcPr>
            <w:tcW w:w="92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4"/>
                <w:szCs w:val="14"/>
                <w:color w:val="auto"/>
                <w:w w:val="98"/>
              </w:rPr>
              <w:t>23,809</w:t>
            </w:r>
          </w:p>
        </w:tc>
        <w:tc>
          <w:tcPr>
            <w:tcW w:w="160" w:type="dxa"/>
            <w:vAlign w:val="bottom"/>
            <w:tcBorders>
              <w:bottom w:val="single" w:sz="8" w:color="26D07C"/>
            </w:tcBorders>
            <w:shd w:val="clear" w:color="auto" w:fill="26D07C"/>
          </w:tcPr>
          <w:p>
            <w:pPr>
              <w:spacing w:after="0"/>
              <w:rPr>
                <w:sz w:val="12"/>
                <w:szCs w:val="12"/>
                <w:color w:val="auto"/>
              </w:rPr>
            </w:pPr>
          </w:p>
        </w:tc>
        <w:tc>
          <w:tcPr>
            <w:tcW w:w="720" w:type="dxa"/>
            <w:vAlign w:val="bottom"/>
            <w:tcBorders>
              <w:bottom w:val="single" w:sz="8" w:color="26D07C"/>
            </w:tcBorders>
            <w:shd w:val="clear" w:color="auto" w:fill="26D07C"/>
          </w:tcPr>
          <w:p>
            <w:pPr>
              <w:jc w:val="center"/>
              <w:ind w:right="115"/>
              <w:spacing w:after="0" w:line="136" w:lineRule="exact"/>
              <w:rPr>
                <w:sz w:val="20"/>
                <w:szCs w:val="20"/>
                <w:color w:val="auto"/>
              </w:rPr>
            </w:pPr>
            <w:r>
              <w:rPr>
                <w:rFonts w:ascii="Times New Roman" w:cs="Times New Roman" w:eastAsia="Times New Roman" w:hAnsi="Times New Roman"/>
                <w:sz w:val="14"/>
                <w:szCs w:val="14"/>
                <w:color w:val="auto"/>
                <w:w w:val="95"/>
              </w:rPr>
              <w:t>2,575</w:t>
            </w:r>
          </w:p>
        </w:tc>
        <w:tc>
          <w:tcPr>
            <w:tcW w:w="900" w:type="dxa"/>
            <w:vAlign w:val="bottom"/>
            <w:tcBorders>
              <w:bottom w:val="single" w:sz="8" w:color="26D07C"/>
              <w:right w:val="single" w:sz="8" w:color="auto"/>
            </w:tcBorders>
            <w:shd w:val="clear" w:color="auto" w:fill="26D07C"/>
          </w:tcPr>
          <w:p>
            <w:pPr>
              <w:jc w:val="center"/>
              <w:spacing w:after="0" w:line="136" w:lineRule="exact"/>
              <w:rPr>
                <w:sz w:val="20"/>
                <w:szCs w:val="20"/>
                <w:color w:val="auto"/>
              </w:rPr>
            </w:pPr>
            <w:r>
              <w:rPr>
                <w:rFonts w:ascii="Times New Roman" w:cs="Times New Roman" w:eastAsia="Times New Roman" w:hAnsi="Times New Roman"/>
                <w:sz w:val="14"/>
                <w:szCs w:val="14"/>
                <w:color w:val="auto"/>
                <w:w w:val="99"/>
              </w:rPr>
              <w:t>12.1%</w:t>
            </w:r>
          </w:p>
        </w:tc>
        <w:tc>
          <w:tcPr>
            <w:tcW w:w="0" w:type="dxa"/>
            <w:vAlign w:val="bottom"/>
          </w:tcPr>
          <w:p>
            <w:pPr>
              <w:spacing w:after="0"/>
              <w:rPr>
                <w:sz w:val="1"/>
                <w:szCs w:val="1"/>
                <w:color w:val="auto"/>
              </w:rPr>
            </w:pPr>
          </w:p>
        </w:tc>
      </w:tr>
      <w:tr>
        <w:trPr>
          <w:trHeight w:val="119"/>
        </w:trPr>
        <w:tc>
          <w:tcPr>
            <w:tcW w:w="3960" w:type="dxa"/>
            <w:vAlign w:val="bottom"/>
            <w:tcBorders>
              <w:left w:val="single" w:sz="8" w:color="auto"/>
              <w:right w:val="single" w:sz="8" w:color="auto"/>
            </w:tcBorders>
          </w:tcPr>
          <w:p>
            <w:pPr>
              <w:ind w:left="180"/>
              <w:spacing w:after="0" w:line="120" w:lineRule="exact"/>
              <w:rPr>
                <w:sz w:val="20"/>
                <w:szCs w:val="20"/>
                <w:color w:val="auto"/>
              </w:rPr>
            </w:pPr>
            <w:r>
              <w:rPr>
                <w:rFonts w:ascii="Times New Roman" w:cs="Times New Roman" w:eastAsia="Times New Roman" w:hAnsi="Times New Roman"/>
                <w:sz w:val="12"/>
                <w:szCs w:val="12"/>
                <w:b w:val="1"/>
                <w:bCs w:val="1"/>
                <w:color w:val="auto"/>
              </w:rPr>
              <w:t>Retail Banking</w:t>
            </w:r>
          </w:p>
        </w:tc>
        <w:tc>
          <w:tcPr>
            <w:tcW w:w="700" w:type="dxa"/>
            <w:vAlign w:val="bottom"/>
          </w:tcPr>
          <w:p>
            <w:pPr>
              <w:jc w:val="center"/>
              <w:ind w:left="135"/>
              <w:spacing w:after="0" w:line="120" w:lineRule="exact"/>
              <w:rPr>
                <w:sz w:val="20"/>
                <w:szCs w:val="20"/>
                <w:color w:val="auto"/>
              </w:rPr>
            </w:pPr>
            <w:r>
              <w:rPr>
                <w:rFonts w:ascii="Times New Roman" w:cs="Times New Roman" w:eastAsia="Times New Roman" w:hAnsi="Times New Roman"/>
                <w:sz w:val="12"/>
                <w:szCs w:val="12"/>
                <w:b w:val="1"/>
                <w:bCs w:val="1"/>
                <w:color w:val="auto"/>
              </w:rPr>
              <w:t>64,875</w:t>
            </w:r>
          </w:p>
        </w:tc>
        <w:tc>
          <w:tcPr>
            <w:tcW w:w="1120" w:type="dxa"/>
            <w:vAlign w:val="bottom"/>
            <w:tcBorders>
              <w:right w:val="single" w:sz="8" w:color="auto"/>
            </w:tcBorders>
          </w:tcPr>
          <w:p>
            <w:pPr>
              <w:jc w:val="center"/>
              <w:ind w:left="95"/>
              <w:spacing w:after="0" w:line="120" w:lineRule="exact"/>
              <w:rPr>
                <w:sz w:val="20"/>
                <w:szCs w:val="20"/>
                <w:color w:val="auto"/>
              </w:rPr>
            </w:pPr>
            <w:r>
              <w:rPr>
                <w:rFonts w:ascii="Times New Roman" w:cs="Times New Roman" w:eastAsia="Times New Roman" w:hAnsi="Times New Roman"/>
                <w:sz w:val="12"/>
                <w:szCs w:val="12"/>
                <w:b w:val="1"/>
                <w:bCs w:val="1"/>
                <w:color w:val="auto"/>
              </w:rPr>
              <w:t>69,808</w:t>
            </w:r>
          </w:p>
        </w:tc>
        <w:tc>
          <w:tcPr>
            <w:tcW w:w="90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b w:val="1"/>
                <w:bCs w:val="1"/>
                <w:color w:val="auto"/>
              </w:rPr>
              <w:t>4,932</w:t>
            </w:r>
          </w:p>
        </w:tc>
        <w:tc>
          <w:tcPr>
            <w:tcW w:w="900" w:type="dxa"/>
            <w:vAlign w:val="bottom"/>
            <w:tcBorders>
              <w:right w:val="single" w:sz="8" w:color="auto"/>
            </w:tcBorders>
          </w:tcPr>
          <w:p>
            <w:pPr>
              <w:jc w:val="center"/>
              <w:spacing w:after="0" w:line="120" w:lineRule="exact"/>
              <w:rPr>
                <w:sz w:val="20"/>
                <w:szCs w:val="20"/>
                <w:color w:val="auto"/>
              </w:rPr>
            </w:pPr>
            <w:r>
              <w:rPr>
                <w:rFonts w:ascii="Times New Roman" w:cs="Times New Roman" w:eastAsia="Times New Roman" w:hAnsi="Times New Roman"/>
                <w:sz w:val="12"/>
                <w:szCs w:val="12"/>
                <w:b w:val="1"/>
                <w:bCs w:val="1"/>
                <w:color w:val="auto"/>
              </w:rPr>
              <w:t>7.6%</w:t>
            </w:r>
          </w:p>
        </w:tc>
        <w:tc>
          <w:tcPr>
            <w:tcW w:w="880" w:type="dxa"/>
            <w:vAlign w:val="bottom"/>
            <w:gridSpan w:val="3"/>
          </w:tcPr>
          <w:p>
            <w:pPr>
              <w:jc w:val="center"/>
              <w:spacing w:after="0" w:line="120" w:lineRule="exact"/>
              <w:rPr>
                <w:sz w:val="20"/>
                <w:szCs w:val="20"/>
                <w:color w:val="auto"/>
              </w:rPr>
            </w:pPr>
            <w:r>
              <w:rPr>
                <w:rFonts w:ascii="Times New Roman" w:cs="Times New Roman" w:eastAsia="Times New Roman" w:hAnsi="Times New Roman"/>
                <w:sz w:val="12"/>
                <w:szCs w:val="12"/>
                <w:b w:val="1"/>
                <w:bCs w:val="1"/>
                <w:color w:val="auto"/>
              </w:rPr>
              <w:t>64,875</w:t>
            </w:r>
          </w:p>
        </w:tc>
        <w:tc>
          <w:tcPr>
            <w:tcW w:w="920" w:type="dxa"/>
            <w:vAlign w:val="bottom"/>
            <w:tcBorders>
              <w:right w:val="single" w:sz="8" w:color="auto"/>
            </w:tcBorders>
          </w:tcPr>
          <w:p>
            <w:pPr>
              <w:jc w:val="center"/>
              <w:spacing w:after="0" w:line="120" w:lineRule="exact"/>
              <w:rPr>
                <w:sz w:val="20"/>
                <w:szCs w:val="20"/>
                <w:color w:val="auto"/>
              </w:rPr>
            </w:pPr>
            <w:r>
              <w:rPr>
                <w:rFonts w:ascii="Times New Roman" w:cs="Times New Roman" w:eastAsia="Times New Roman" w:hAnsi="Times New Roman"/>
                <w:sz w:val="12"/>
                <w:szCs w:val="12"/>
                <w:b w:val="1"/>
                <w:bCs w:val="1"/>
                <w:color w:val="auto"/>
              </w:rPr>
              <w:t>70,232</w:t>
            </w:r>
          </w:p>
        </w:tc>
        <w:tc>
          <w:tcPr>
            <w:tcW w:w="160" w:type="dxa"/>
            <w:vAlign w:val="bottom"/>
          </w:tcPr>
          <w:p>
            <w:pPr>
              <w:spacing w:after="0"/>
              <w:rPr>
                <w:sz w:val="10"/>
                <w:szCs w:val="10"/>
                <w:color w:val="auto"/>
              </w:rPr>
            </w:pPr>
          </w:p>
        </w:tc>
        <w:tc>
          <w:tcPr>
            <w:tcW w:w="720" w:type="dxa"/>
            <w:vAlign w:val="bottom"/>
          </w:tcPr>
          <w:p>
            <w:pPr>
              <w:jc w:val="center"/>
              <w:ind w:right="115"/>
              <w:spacing w:after="0" w:line="120" w:lineRule="exact"/>
              <w:rPr>
                <w:sz w:val="20"/>
                <w:szCs w:val="20"/>
                <w:color w:val="auto"/>
              </w:rPr>
            </w:pPr>
            <w:r>
              <w:rPr>
                <w:rFonts w:ascii="Times New Roman" w:cs="Times New Roman" w:eastAsia="Times New Roman" w:hAnsi="Times New Roman"/>
                <w:sz w:val="12"/>
                <w:szCs w:val="12"/>
                <w:b w:val="1"/>
                <w:bCs w:val="1"/>
                <w:color w:val="auto"/>
              </w:rPr>
              <w:t>5,356</w:t>
            </w:r>
          </w:p>
        </w:tc>
        <w:tc>
          <w:tcPr>
            <w:tcW w:w="900" w:type="dxa"/>
            <w:vAlign w:val="bottom"/>
            <w:tcBorders>
              <w:right w:val="single" w:sz="8" w:color="auto"/>
            </w:tcBorders>
          </w:tcPr>
          <w:p>
            <w:pPr>
              <w:jc w:val="center"/>
              <w:spacing w:after="0" w:line="120" w:lineRule="exact"/>
              <w:rPr>
                <w:sz w:val="20"/>
                <w:szCs w:val="20"/>
                <w:color w:val="auto"/>
              </w:rPr>
            </w:pPr>
            <w:r>
              <w:rPr>
                <w:rFonts w:ascii="Times New Roman" w:cs="Times New Roman" w:eastAsia="Times New Roman" w:hAnsi="Times New Roman"/>
                <w:sz w:val="12"/>
                <w:szCs w:val="12"/>
                <w:b w:val="1"/>
                <w:bCs w:val="1"/>
                <w:color w:val="auto"/>
              </w:rPr>
              <w:t>8.3%</w:t>
            </w:r>
          </w:p>
        </w:tc>
        <w:tc>
          <w:tcPr>
            <w:tcW w:w="0" w:type="dxa"/>
            <w:vAlign w:val="bottom"/>
          </w:tcPr>
          <w:p>
            <w:pPr>
              <w:spacing w:after="0"/>
              <w:rPr>
                <w:sz w:val="1"/>
                <w:szCs w:val="1"/>
                <w:color w:val="auto"/>
              </w:rPr>
            </w:pPr>
          </w:p>
        </w:tc>
      </w:tr>
      <w:tr>
        <w:trPr>
          <w:trHeight w:val="20"/>
        </w:trPr>
        <w:tc>
          <w:tcPr>
            <w:tcW w:w="3960" w:type="dxa"/>
            <w:vAlign w:val="bottom"/>
            <w:tcBorders>
              <w:left w:val="single" w:sz="8" w:color="auto"/>
              <w:right w:val="single" w:sz="8" w:color="auto"/>
            </w:tcBorders>
            <w:vMerge w:val="restart"/>
          </w:tcPr>
          <w:p>
            <w:pPr>
              <w:ind w:left="280"/>
              <w:spacing w:after="0" w:line="140" w:lineRule="exact"/>
              <w:rPr>
                <w:sz w:val="20"/>
                <w:szCs w:val="20"/>
                <w:color w:val="auto"/>
              </w:rPr>
            </w:pPr>
            <w:r>
              <w:rPr>
                <w:rFonts w:ascii="Times New Roman" w:cs="Times New Roman" w:eastAsia="Times New Roman" w:hAnsi="Times New Roman"/>
                <w:sz w:val="14"/>
                <w:szCs w:val="14"/>
                <w:color w:val="auto"/>
              </w:rPr>
              <w:t>SME - Business</w:t>
            </w:r>
          </w:p>
        </w:tc>
        <w:tc>
          <w:tcPr>
            <w:tcW w:w="700" w:type="dxa"/>
            <w:vAlign w:val="bottom"/>
            <w:vMerge w:val="restart"/>
          </w:tcPr>
          <w:p>
            <w:pPr>
              <w:jc w:val="center"/>
              <w:ind w:left="135"/>
              <w:spacing w:after="0" w:line="140" w:lineRule="exact"/>
              <w:rPr>
                <w:sz w:val="20"/>
                <w:szCs w:val="20"/>
                <w:color w:val="auto"/>
              </w:rPr>
            </w:pPr>
            <w:r>
              <w:rPr>
                <w:rFonts w:ascii="Times New Roman" w:cs="Times New Roman" w:eastAsia="Times New Roman" w:hAnsi="Times New Roman"/>
                <w:sz w:val="14"/>
                <w:szCs w:val="14"/>
                <w:color w:val="auto"/>
                <w:w w:val="95"/>
              </w:rPr>
              <w:t>7,711</w:t>
            </w:r>
          </w:p>
        </w:tc>
        <w:tc>
          <w:tcPr>
            <w:tcW w:w="1120" w:type="dxa"/>
            <w:vAlign w:val="bottom"/>
            <w:tcBorders>
              <w:right w:val="single" w:sz="8" w:color="auto"/>
            </w:tcBorders>
            <w:vMerge w:val="restart"/>
          </w:tcPr>
          <w:p>
            <w:pPr>
              <w:jc w:val="center"/>
              <w:ind w:left="95"/>
              <w:spacing w:after="0" w:line="140" w:lineRule="exact"/>
              <w:rPr>
                <w:sz w:val="20"/>
                <w:szCs w:val="20"/>
                <w:color w:val="auto"/>
              </w:rPr>
            </w:pPr>
            <w:r>
              <w:rPr>
                <w:rFonts w:ascii="Times New Roman" w:cs="Times New Roman" w:eastAsia="Times New Roman" w:hAnsi="Times New Roman"/>
                <w:sz w:val="14"/>
                <w:szCs w:val="14"/>
                <w:color w:val="auto"/>
              </w:rPr>
              <w:t>7,100</w:t>
            </w:r>
          </w:p>
        </w:tc>
        <w:tc>
          <w:tcPr>
            <w:tcW w:w="90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4"/>
                <w:szCs w:val="14"/>
                <w:color w:val="auto"/>
                <w:w w:val="93"/>
              </w:rPr>
              <w:t>-611</w:t>
            </w:r>
          </w:p>
        </w:tc>
        <w:tc>
          <w:tcPr>
            <w:tcW w:w="900" w:type="dxa"/>
            <w:vAlign w:val="bottom"/>
            <w:tcBorders>
              <w:right w:val="single" w:sz="8" w:color="auto"/>
            </w:tcBorders>
            <w:vMerge w:val="restart"/>
          </w:tcPr>
          <w:p>
            <w:pPr>
              <w:jc w:val="center"/>
              <w:spacing w:after="0" w:line="140" w:lineRule="exact"/>
              <w:rPr>
                <w:sz w:val="20"/>
                <w:szCs w:val="20"/>
                <w:color w:val="auto"/>
              </w:rPr>
            </w:pPr>
            <w:r>
              <w:rPr>
                <w:rFonts w:ascii="Times New Roman" w:cs="Times New Roman" w:eastAsia="Times New Roman" w:hAnsi="Times New Roman"/>
                <w:sz w:val="14"/>
                <w:szCs w:val="14"/>
                <w:color w:val="auto"/>
                <w:w w:val="94"/>
              </w:rPr>
              <w:t>-7.9%</w:t>
            </w:r>
          </w:p>
        </w:tc>
        <w:tc>
          <w:tcPr>
            <w:tcW w:w="880" w:type="dxa"/>
            <w:vAlign w:val="bottom"/>
            <w:gridSpan w:val="3"/>
            <w:vMerge w:val="restart"/>
          </w:tcPr>
          <w:p>
            <w:pPr>
              <w:jc w:val="center"/>
              <w:spacing w:after="0" w:line="140" w:lineRule="exact"/>
              <w:rPr>
                <w:sz w:val="20"/>
                <w:szCs w:val="20"/>
                <w:color w:val="auto"/>
              </w:rPr>
            </w:pPr>
            <w:r>
              <w:rPr>
                <w:rFonts w:ascii="Times New Roman" w:cs="Times New Roman" w:eastAsia="Times New Roman" w:hAnsi="Times New Roman"/>
                <w:sz w:val="14"/>
                <w:szCs w:val="14"/>
                <w:color w:val="auto"/>
                <w:w w:val="95"/>
              </w:rPr>
              <w:t>7,711</w:t>
            </w:r>
          </w:p>
        </w:tc>
        <w:tc>
          <w:tcPr>
            <w:tcW w:w="920" w:type="dxa"/>
            <w:vAlign w:val="bottom"/>
            <w:tcBorders>
              <w:right w:val="single" w:sz="8" w:color="auto"/>
            </w:tcBorders>
            <w:vMerge w:val="restart"/>
          </w:tcPr>
          <w:p>
            <w:pPr>
              <w:jc w:val="center"/>
              <w:spacing w:after="0" w:line="140" w:lineRule="exact"/>
              <w:rPr>
                <w:sz w:val="20"/>
                <w:szCs w:val="20"/>
                <w:color w:val="auto"/>
              </w:rPr>
            </w:pPr>
            <w:r>
              <w:rPr>
                <w:rFonts w:ascii="Times New Roman" w:cs="Times New Roman" w:eastAsia="Times New Roman" w:hAnsi="Times New Roman"/>
                <w:sz w:val="14"/>
                <w:szCs w:val="14"/>
                <w:color w:val="auto"/>
                <w:w w:val="95"/>
              </w:rPr>
              <w:t>7,262</w:t>
            </w: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3960" w:type="dxa"/>
            <w:vAlign w:val="bottom"/>
            <w:tcBorders>
              <w:left w:val="single" w:sz="8" w:color="auto"/>
              <w:right w:val="single" w:sz="8" w:color="auto"/>
            </w:tcBorders>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120" w:type="dxa"/>
            <w:vAlign w:val="bottom"/>
            <w:tcBorders>
              <w:right w:val="single" w:sz="8" w:color="auto"/>
            </w:tcBorders>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900" w:type="dxa"/>
            <w:vAlign w:val="bottom"/>
            <w:tcBorders>
              <w:right w:val="single" w:sz="8" w:color="auto"/>
            </w:tcBorders>
            <w:vMerge w:val="continue"/>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920" w:type="dxa"/>
            <w:vAlign w:val="bottom"/>
            <w:tcBorders>
              <w:right w:val="single" w:sz="8" w:color="auto"/>
            </w:tcBorders>
            <w:vMerge w:val="continue"/>
          </w:tcPr>
          <w:p>
            <w:pPr>
              <w:spacing w:after="0"/>
              <w:rPr>
                <w:sz w:val="10"/>
                <w:szCs w:val="10"/>
                <w:color w:val="auto"/>
              </w:rPr>
            </w:pPr>
          </w:p>
        </w:tc>
        <w:tc>
          <w:tcPr>
            <w:tcW w:w="160" w:type="dxa"/>
            <w:vAlign w:val="bottom"/>
            <w:tcBorders>
              <w:bottom w:val="single" w:sz="8" w:color="CC3399"/>
            </w:tcBorders>
            <w:shd w:val="clear" w:color="auto" w:fill="CC3399"/>
          </w:tcPr>
          <w:p>
            <w:pPr>
              <w:spacing w:after="0"/>
              <w:rPr>
                <w:sz w:val="10"/>
                <w:szCs w:val="10"/>
                <w:color w:val="auto"/>
              </w:rPr>
            </w:pPr>
          </w:p>
        </w:tc>
        <w:tc>
          <w:tcPr>
            <w:tcW w:w="720" w:type="dxa"/>
            <w:vAlign w:val="bottom"/>
            <w:tcBorders>
              <w:bottom w:val="single" w:sz="8" w:color="CC3399"/>
            </w:tcBorders>
            <w:shd w:val="clear" w:color="auto" w:fill="CC3399"/>
          </w:tcPr>
          <w:p>
            <w:pPr>
              <w:jc w:val="center"/>
              <w:ind w:right="115"/>
              <w:spacing w:after="0" w:line="120" w:lineRule="exact"/>
              <w:rPr>
                <w:sz w:val="20"/>
                <w:szCs w:val="20"/>
                <w:color w:val="auto"/>
              </w:rPr>
            </w:pPr>
            <w:r>
              <w:rPr>
                <w:rFonts w:ascii="Times New Roman" w:cs="Times New Roman" w:eastAsia="Times New Roman" w:hAnsi="Times New Roman"/>
                <w:sz w:val="12"/>
                <w:szCs w:val="12"/>
                <w:color w:val="auto"/>
              </w:rPr>
              <w:t>-449</w:t>
            </w:r>
          </w:p>
        </w:tc>
        <w:tc>
          <w:tcPr>
            <w:tcW w:w="900" w:type="dxa"/>
            <w:vAlign w:val="bottom"/>
            <w:tcBorders>
              <w:bottom w:val="single" w:sz="8" w:color="CC3399"/>
              <w:right w:val="single" w:sz="8" w:color="auto"/>
            </w:tcBorders>
            <w:shd w:val="clear" w:color="auto" w:fill="CC3399"/>
          </w:tcPr>
          <w:p>
            <w:pPr>
              <w:jc w:val="center"/>
              <w:spacing w:after="0" w:line="120" w:lineRule="exact"/>
              <w:rPr>
                <w:sz w:val="20"/>
                <w:szCs w:val="20"/>
                <w:color w:val="auto"/>
              </w:rPr>
            </w:pPr>
            <w:r>
              <w:rPr>
                <w:rFonts w:ascii="Times New Roman" w:cs="Times New Roman" w:eastAsia="Times New Roman" w:hAnsi="Times New Roman"/>
                <w:sz w:val="12"/>
                <w:szCs w:val="12"/>
                <w:color w:val="auto"/>
              </w:rPr>
              <w:t>-5.8%</w:t>
            </w:r>
          </w:p>
        </w:tc>
        <w:tc>
          <w:tcPr>
            <w:tcW w:w="0" w:type="dxa"/>
            <w:vAlign w:val="bottom"/>
          </w:tcPr>
          <w:p>
            <w:pPr>
              <w:spacing w:after="0"/>
              <w:rPr>
                <w:sz w:val="1"/>
                <w:szCs w:val="1"/>
                <w:color w:val="auto"/>
              </w:rPr>
            </w:pPr>
          </w:p>
        </w:tc>
      </w:tr>
      <w:tr>
        <w:trPr>
          <w:trHeight w:val="120"/>
        </w:trPr>
        <w:tc>
          <w:tcPr>
            <w:tcW w:w="3960" w:type="dxa"/>
            <w:vAlign w:val="bottom"/>
            <w:tcBorders>
              <w:left w:val="single" w:sz="8" w:color="auto"/>
              <w:right w:val="single" w:sz="8" w:color="auto"/>
            </w:tcBorders>
          </w:tcPr>
          <w:p>
            <w:pPr>
              <w:ind w:left="280"/>
              <w:spacing w:after="0" w:line="120" w:lineRule="exact"/>
              <w:rPr>
                <w:sz w:val="20"/>
                <w:szCs w:val="20"/>
                <w:color w:val="auto"/>
              </w:rPr>
            </w:pPr>
            <w:r>
              <w:rPr>
                <w:rFonts w:ascii="Times New Roman" w:cs="Times New Roman" w:eastAsia="Times New Roman" w:hAnsi="Times New Roman"/>
                <w:sz w:val="12"/>
                <w:szCs w:val="12"/>
                <w:color w:val="auto"/>
              </w:rPr>
              <w:t>SME - Pyme</w:t>
            </w:r>
          </w:p>
        </w:tc>
        <w:tc>
          <w:tcPr>
            <w:tcW w:w="700" w:type="dxa"/>
            <w:vAlign w:val="bottom"/>
          </w:tcPr>
          <w:p>
            <w:pPr>
              <w:jc w:val="center"/>
              <w:ind w:left="135"/>
              <w:spacing w:after="0" w:line="120" w:lineRule="exact"/>
              <w:rPr>
                <w:sz w:val="20"/>
                <w:szCs w:val="20"/>
                <w:color w:val="auto"/>
              </w:rPr>
            </w:pPr>
            <w:r>
              <w:rPr>
                <w:rFonts w:ascii="Times New Roman" w:cs="Times New Roman" w:eastAsia="Times New Roman" w:hAnsi="Times New Roman"/>
                <w:sz w:val="12"/>
                <w:szCs w:val="12"/>
                <w:color w:val="auto"/>
              </w:rPr>
              <w:t>15,922</w:t>
            </w:r>
          </w:p>
        </w:tc>
        <w:tc>
          <w:tcPr>
            <w:tcW w:w="1120" w:type="dxa"/>
            <w:vAlign w:val="bottom"/>
            <w:tcBorders>
              <w:right w:val="single" w:sz="8" w:color="auto"/>
            </w:tcBorders>
          </w:tcPr>
          <w:p>
            <w:pPr>
              <w:jc w:val="center"/>
              <w:ind w:left="95"/>
              <w:spacing w:after="0" w:line="120" w:lineRule="exact"/>
              <w:rPr>
                <w:sz w:val="20"/>
                <w:szCs w:val="20"/>
                <w:color w:val="auto"/>
              </w:rPr>
            </w:pPr>
            <w:r>
              <w:rPr>
                <w:rFonts w:ascii="Times New Roman" w:cs="Times New Roman" w:eastAsia="Times New Roman" w:hAnsi="Times New Roman"/>
                <w:sz w:val="12"/>
                <w:szCs w:val="12"/>
                <w:color w:val="auto"/>
              </w:rPr>
              <w:t>17,036</w:t>
            </w:r>
          </w:p>
        </w:tc>
        <w:tc>
          <w:tcPr>
            <w:tcW w:w="90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color w:val="auto"/>
              </w:rPr>
              <w:t>1,114</w:t>
            </w:r>
          </w:p>
        </w:tc>
        <w:tc>
          <w:tcPr>
            <w:tcW w:w="900" w:type="dxa"/>
            <w:vAlign w:val="bottom"/>
            <w:tcBorders>
              <w:right w:val="single" w:sz="8" w:color="auto"/>
            </w:tcBorders>
          </w:tcPr>
          <w:p>
            <w:pPr>
              <w:jc w:val="center"/>
              <w:spacing w:after="0" w:line="120" w:lineRule="exact"/>
              <w:rPr>
                <w:sz w:val="20"/>
                <w:szCs w:val="20"/>
                <w:color w:val="auto"/>
              </w:rPr>
            </w:pPr>
            <w:r>
              <w:rPr>
                <w:rFonts w:ascii="Times New Roman" w:cs="Times New Roman" w:eastAsia="Times New Roman" w:hAnsi="Times New Roman"/>
                <w:sz w:val="12"/>
                <w:szCs w:val="12"/>
                <w:color w:val="auto"/>
              </w:rPr>
              <w:t>7.0%</w:t>
            </w:r>
          </w:p>
        </w:tc>
        <w:tc>
          <w:tcPr>
            <w:tcW w:w="880" w:type="dxa"/>
            <w:vAlign w:val="bottom"/>
            <w:gridSpan w:val="3"/>
          </w:tcPr>
          <w:p>
            <w:pPr>
              <w:jc w:val="center"/>
              <w:spacing w:after="0" w:line="120" w:lineRule="exact"/>
              <w:rPr>
                <w:sz w:val="20"/>
                <w:szCs w:val="20"/>
                <w:color w:val="auto"/>
              </w:rPr>
            </w:pPr>
            <w:r>
              <w:rPr>
                <w:rFonts w:ascii="Times New Roman" w:cs="Times New Roman" w:eastAsia="Times New Roman" w:hAnsi="Times New Roman"/>
                <w:sz w:val="12"/>
                <w:szCs w:val="12"/>
                <w:color w:val="auto"/>
              </w:rPr>
              <w:t>15,922</w:t>
            </w:r>
          </w:p>
        </w:tc>
        <w:tc>
          <w:tcPr>
            <w:tcW w:w="920" w:type="dxa"/>
            <w:vAlign w:val="bottom"/>
            <w:tcBorders>
              <w:right w:val="single" w:sz="8" w:color="auto"/>
            </w:tcBorders>
          </w:tcPr>
          <w:p>
            <w:pPr>
              <w:jc w:val="center"/>
              <w:spacing w:after="0" w:line="120" w:lineRule="exact"/>
              <w:rPr>
                <w:sz w:val="20"/>
                <w:szCs w:val="20"/>
                <w:color w:val="auto"/>
              </w:rPr>
            </w:pPr>
            <w:r>
              <w:rPr>
                <w:rFonts w:ascii="Times New Roman" w:cs="Times New Roman" w:eastAsia="Times New Roman" w:hAnsi="Times New Roman"/>
                <w:sz w:val="12"/>
                <w:szCs w:val="12"/>
                <w:color w:val="auto"/>
              </w:rPr>
              <w:t>17,043</w:t>
            </w:r>
          </w:p>
        </w:tc>
        <w:tc>
          <w:tcPr>
            <w:tcW w:w="160" w:type="dxa"/>
            <w:vAlign w:val="bottom"/>
            <w:tcBorders>
              <w:bottom w:val="single" w:sz="8" w:color="00D274"/>
            </w:tcBorders>
            <w:shd w:val="clear" w:color="auto" w:fill="00D274"/>
          </w:tcPr>
          <w:p>
            <w:pPr>
              <w:spacing w:after="0"/>
              <w:rPr>
                <w:sz w:val="10"/>
                <w:szCs w:val="10"/>
                <w:color w:val="auto"/>
              </w:rPr>
            </w:pPr>
          </w:p>
        </w:tc>
        <w:tc>
          <w:tcPr>
            <w:tcW w:w="720" w:type="dxa"/>
            <w:vAlign w:val="bottom"/>
            <w:tcBorders>
              <w:bottom w:val="single" w:sz="8" w:color="00D274"/>
            </w:tcBorders>
            <w:shd w:val="clear" w:color="auto" w:fill="00D274"/>
          </w:tcPr>
          <w:p>
            <w:pPr>
              <w:jc w:val="center"/>
              <w:ind w:right="115"/>
              <w:spacing w:after="0" w:line="120" w:lineRule="exact"/>
              <w:rPr>
                <w:sz w:val="20"/>
                <w:szCs w:val="20"/>
                <w:color w:val="auto"/>
              </w:rPr>
            </w:pPr>
            <w:r>
              <w:rPr>
                <w:rFonts w:ascii="Times New Roman" w:cs="Times New Roman" w:eastAsia="Times New Roman" w:hAnsi="Times New Roman"/>
                <w:sz w:val="12"/>
                <w:szCs w:val="12"/>
                <w:color w:val="auto"/>
              </w:rPr>
              <w:t>1,121</w:t>
            </w:r>
          </w:p>
        </w:tc>
        <w:tc>
          <w:tcPr>
            <w:tcW w:w="900" w:type="dxa"/>
            <w:vAlign w:val="bottom"/>
            <w:tcBorders>
              <w:bottom w:val="single" w:sz="8" w:color="00D274"/>
              <w:right w:val="single" w:sz="8" w:color="auto"/>
            </w:tcBorders>
            <w:shd w:val="clear" w:color="auto" w:fill="00D274"/>
          </w:tcPr>
          <w:p>
            <w:pPr>
              <w:jc w:val="center"/>
              <w:spacing w:after="0" w:line="120" w:lineRule="exact"/>
              <w:rPr>
                <w:sz w:val="20"/>
                <w:szCs w:val="20"/>
                <w:color w:val="auto"/>
              </w:rPr>
            </w:pPr>
            <w:r>
              <w:rPr>
                <w:rFonts w:ascii="Times New Roman" w:cs="Times New Roman" w:eastAsia="Times New Roman" w:hAnsi="Times New Roman"/>
                <w:sz w:val="12"/>
                <w:szCs w:val="12"/>
                <w:color w:val="auto"/>
              </w:rPr>
              <w:t>7.0%</w:t>
            </w:r>
          </w:p>
        </w:tc>
        <w:tc>
          <w:tcPr>
            <w:tcW w:w="0" w:type="dxa"/>
            <w:vAlign w:val="bottom"/>
          </w:tcPr>
          <w:p>
            <w:pPr>
              <w:spacing w:after="0"/>
              <w:rPr>
                <w:sz w:val="1"/>
                <w:szCs w:val="1"/>
                <w:color w:val="auto"/>
              </w:rPr>
            </w:pPr>
          </w:p>
        </w:tc>
      </w:tr>
      <w:tr>
        <w:trPr>
          <w:trHeight w:val="119"/>
        </w:trPr>
        <w:tc>
          <w:tcPr>
            <w:tcW w:w="3960" w:type="dxa"/>
            <w:vAlign w:val="bottom"/>
            <w:tcBorders>
              <w:left w:val="single" w:sz="8" w:color="auto"/>
              <w:right w:val="single" w:sz="8" w:color="auto"/>
            </w:tcBorders>
          </w:tcPr>
          <w:p>
            <w:pPr>
              <w:ind w:left="280"/>
              <w:spacing w:after="0" w:line="120" w:lineRule="exact"/>
              <w:rPr>
                <w:sz w:val="20"/>
                <w:szCs w:val="20"/>
                <w:color w:val="auto"/>
              </w:rPr>
            </w:pPr>
            <w:r>
              <w:rPr>
                <w:rFonts w:ascii="Times New Roman" w:cs="Times New Roman" w:eastAsia="Times New Roman" w:hAnsi="Times New Roman"/>
                <w:sz w:val="12"/>
                <w:szCs w:val="12"/>
                <w:color w:val="auto"/>
              </w:rPr>
              <w:t>Mortgage</w:t>
            </w:r>
          </w:p>
        </w:tc>
        <w:tc>
          <w:tcPr>
            <w:tcW w:w="700" w:type="dxa"/>
            <w:vAlign w:val="bottom"/>
          </w:tcPr>
          <w:p>
            <w:pPr>
              <w:jc w:val="center"/>
              <w:ind w:left="115"/>
              <w:spacing w:after="0" w:line="120" w:lineRule="exact"/>
              <w:rPr>
                <w:sz w:val="20"/>
                <w:szCs w:val="20"/>
                <w:color w:val="auto"/>
              </w:rPr>
            </w:pPr>
            <w:r>
              <w:rPr>
                <w:rFonts w:ascii="Times New Roman" w:cs="Times New Roman" w:eastAsia="Times New Roman" w:hAnsi="Times New Roman"/>
                <w:sz w:val="12"/>
                <w:szCs w:val="12"/>
                <w:color w:val="auto"/>
              </w:rPr>
              <w:t>22,115</w:t>
            </w:r>
          </w:p>
        </w:tc>
        <w:tc>
          <w:tcPr>
            <w:tcW w:w="1120" w:type="dxa"/>
            <w:vAlign w:val="bottom"/>
            <w:tcBorders>
              <w:right w:val="single" w:sz="8" w:color="auto"/>
            </w:tcBorders>
          </w:tcPr>
          <w:p>
            <w:pPr>
              <w:jc w:val="center"/>
              <w:ind w:left="95"/>
              <w:spacing w:after="0" w:line="120" w:lineRule="exact"/>
              <w:rPr>
                <w:sz w:val="20"/>
                <w:szCs w:val="20"/>
                <w:color w:val="auto"/>
              </w:rPr>
            </w:pPr>
            <w:r>
              <w:rPr>
                <w:rFonts w:ascii="Times New Roman" w:cs="Times New Roman" w:eastAsia="Times New Roman" w:hAnsi="Times New Roman"/>
                <w:sz w:val="12"/>
                <w:szCs w:val="12"/>
                <w:color w:val="auto"/>
              </w:rPr>
              <w:t>24,396</w:t>
            </w:r>
          </w:p>
        </w:tc>
        <w:tc>
          <w:tcPr>
            <w:tcW w:w="90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color w:val="auto"/>
              </w:rPr>
              <w:t>2,282</w:t>
            </w:r>
          </w:p>
        </w:tc>
        <w:tc>
          <w:tcPr>
            <w:tcW w:w="900" w:type="dxa"/>
            <w:vAlign w:val="bottom"/>
            <w:tcBorders>
              <w:right w:val="single" w:sz="8" w:color="auto"/>
            </w:tcBorders>
          </w:tcPr>
          <w:p>
            <w:pPr>
              <w:jc w:val="center"/>
              <w:spacing w:after="0" w:line="120" w:lineRule="exact"/>
              <w:rPr>
                <w:sz w:val="20"/>
                <w:szCs w:val="20"/>
                <w:color w:val="auto"/>
              </w:rPr>
            </w:pPr>
            <w:r>
              <w:rPr>
                <w:rFonts w:ascii="Times New Roman" w:cs="Times New Roman" w:eastAsia="Times New Roman" w:hAnsi="Times New Roman"/>
                <w:sz w:val="12"/>
                <w:szCs w:val="12"/>
                <w:color w:val="auto"/>
              </w:rPr>
              <w:t>10.3%</w:t>
            </w:r>
          </w:p>
        </w:tc>
        <w:tc>
          <w:tcPr>
            <w:tcW w:w="880" w:type="dxa"/>
            <w:vAlign w:val="bottom"/>
            <w:gridSpan w:val="3"/>
          </w:tcPr>
          <w:p>
            <w:pPr>
              <w:jc w:val="center"/>
              <w:spacing w:after="0" w:line="120" w:lineRule="exact"/>
              <w:rPr>
                <w:sz w:val="20"/>
                <w:szCs w:val="20"/>
                <w:color w:val="auto"/>
              </w:rPr>
            </w:pPr>
            <w:r>
              <w:rPr>
                <w:rFonts w:ascii="Times New Roman" w:cs="Times New Roman" w:eastAsia="Times New Roman" w:hAnsi="Times New Roman"/>
                <w:sz w:val="12"/>
                <w:szCs w:val="12"/>
                <w:color w:val="auto"/>
              </w:rPr>
              <w:t>22,115</w:t>
            </w:r>
          </w:p>
        </w:tc>
        <w:tc>
          <w:tcPr>
            <w:tcW w:w="920" w:type="dxa"/>
            <w:vAlign w:val="bottom"/>
            <w:tcBorders>
              <w:right w:val="single" w:sz="8" w:color="auto"/>
            </w:tcBorders>
          </w:tcPr>
          <w:p>
            <w:pPr>
              <w:jc w:val="center"/>
              <w:spacing w:after="0" w:line="120" w:lineRule="exact"/>
              <w:rPr>
                <w:sz w:val="20"/>
                <w:szCs w:val="20"/>
                <w:color w:val="auto"/>
              </w:rPr>
            </w:pPr>
            <w:r>
              <w:rPr>
                <w:rFonts w:ascii="Times New Roman" w:cs="Times New Roman" w:eastAsia="Times New Roman" w:hAnsi="Times New Roman"/>
                <w:sz w:val="12"/>
                <w:szCs w:val="12"/>
                <w:color w:val="auto"/>
              </w:rPr>
              <w:t>24,478</w:t>
            </w:r>
          </w:p>
        </w:tc>
        <w:tc>
          <w:tcPr>
            <w:tcW w:w="160" w:type="dxa"/>
            <w:vAlign w:val="bottom"/>
            <w:shd w:val="clear" w:color="auto" w:fill="26D07C"/>
          </w:tcPr>
          <w:p>
            <w:pPr>
              <w:spacing w:after="0"/>
              <w:rPr>
                <w:sz w:val="10"/>
                <w:szCs w:val="10"/>
                <w:color w:val="auto"/>
              </w:rPr>
            </w:pPr>
          </w:p>
        </w:tc>
        <w:tc>
          <w:tcPr>
            <w:tcW w:w="720" w:type="dxa"/>
            <w:vAlign w:val="bottom"/>
            <w:shd w:val="clear" w:color="auto" w:fill="26D07C"/>
          </w:tcPr>
          <w:p>
            <w:pPr>
              <w:jc w:val="center"/>
              <w:ind w:right="115"/>
              <w:spacing w:after="0" w:line="120" w:lineRule="exact"/>
              <w:rPr>
                <w:sz w:val="20"/>
                <w:szCs w:val="20"/>
                <w:color w:val="auto"/>
              </w:rPr>
            </w:pPr>
            <w:r>
              <w:rPr>
                <w:rFonts w:ascii="Times New Roman" w:cs="Times New Roman" w:eastAsia="Times New Roman" w:hAnsi="Times New Roman"/>
                <w:sz w:val="12"/>
                <w:szCs w:val="12"/>
                <w:color w:val="auto"/>
              </w:rPr>
              <w:t>2,364</w:t>
            </w:r>
          </w:p>
        </w:tc>
        <w:tc>
          <w:tcPr>
            <w:tcW w:w="900" w:type="dxa"/>
            <w:vAlign w:val="bottom"/>
            <w:tcBorders>
              <w:right w:val="single" w:sz="8" w:color="auto"/>
            </w:tcBorders>
            <w:shd w:val="clear" w:color="auto" w:fill="26D07C"/>
          </w:tcPr>
          <w:p>
            <w:pPr>
              <w:jc w:val="center"/>
              <w:spacing w:after="0" w:line="120" w:lineRule="exact"/>
              <w:rPr>
                <w:sz w:val="20"/>
                <w:szCs w:val="20"/>
                <w:color w:val="auto"/>
              </w:rPr>
            </w:pPr>
            <w:r>
              <w:rPr>
                <w:rFonts w:ascii="Times New Roman" w:cs="Times New Roman" w:eastAsia="Times New Roman" w:hAnsi="Times New Roman"/>
                <w:sz w:val="12"/>
                <w:szCs w:val="12"/>
                <w:color w:val="auto"/>
              </w:rPr>
              <w:t>10.7%</w:t>
            </w:r>
          </w:p>
        </w:tc>
        <w:tc>
          <w:tcPr>
            <w:tcW w:w="0" w:type="dxa"/>
            <w:vAlign w:val="bottom"/>
          </w:tcPr>
          <w:p>
            <w:pPr>
              <w:spacing w:after="0"/>
              <w:rPr>
                <w:sz w:val="1"/>
                <w:szCs w:val="1"/>
                <w:color w:val="auto"/>
              </w:rPr>
            </w:pPr>
          </w:p>
        </w:tc>
      </w:tr>
      <w:tr>
        <w:trPr>
          <w:trHeight w:val="140"/>
        </w:trPr>
        <w:tc>
          <w:tcPr>
            <w:tcW w:w="3960" w:type="dxa"/>
            <w:vAlign w:val="bottom"/>
            <w:tcBorders>
              <w:left w:val="single" w:sz="8" w:color="auto"/>
              <w:right w:val="single" w:sz="8" w:color="auto"/>
            </w:tcBorders>
          </w:tcPr>
          <w:p>
            <w:pPr>
              <w:ind w:left="280"/>
              <w:spacing w:after="0" w:line="140" w:lineRule="exact"/>
              <w:rPr>
                <w:sz w:val="20"/>
                <w:szCs w:val="20"/>
                <w:color w:val="auto"/>
              </w:rPr>
            </w:pPr>
            <w:r>
              <w:rPr>
                <w:rFonts w:ascii="Times New Roman" w:cs="Times New Roman" w:eastAsia="Times New Roman" w:hAnsi="Times New Roman"/>
                <w:sz w:val="14"/>
                <w:szCs w:val="14"/>
                <w:color w:val="auto"/>
              </w:rPr>
              <w:t>Consumer</w:t>
            </w:r>
          </w:p>
        </w:tc>
        <w:tc>
          <w:tcPr>
            <w:tcW w:w="700" w:type="dxa"/>
            <w:vAlign w:val="bottom"/>
          </w:tcPr>
          <w:p>
            <w:pPr>
              <w:jc w:val="center"/>
              <w:ind w:left="135"/>
              <w:spacing w:after="0" w:line="140" w:lineRule="exact"/>
              <w:rPr>
                <w:sz w:val="20"/>
                <w:szCs w:val="20"/>
                <w:color w:val="auto"/>
              </w:rPr>
            </w:pPr>
            <w:r>
              <w:rPr>
                <w:rFonts w:ascii="Times New Roman" w:cs="Times New Roman" w:eastAsia="Times New Roman" w:hAnsi="Times New Roman"/>
                <w:sz w:val="14"/>
                <w:szCs w:val="14"/>
                <w:color w:val="auto"/>
                <w:w w:val="98"/>
              </w:rPr>
              <w:t>13,173</w:t>
            </w:r>
          </w:p>
        </w:tc>
        <w:tc>
          <w:tcPr>
            <w:tcW w:w="1120" w:type="dxa"/>
            <w:vAlign w:val="bottom"/>
            <w:tcBorders>
              <w:right w:val="single" w:sz="8" w:color="auto"/>
            </w:tcBorders>
          </w:tcPr>
          <w:p>
            <w:pPr>
              <w:jc w:val="center"/>
              <w:ind w:left="95"/>
              <w:spacing w:after="0" w:line="140" w:lineRule="exact"/>
              <w:rPr>
                <w:sz w:val="20"/>
                <w:szCs w:val="20"/>
                <w:color w:val="auto"/>
              </w:rPr>
            </w:pPr>
            <w:r>
              <w:rPr>
                <w:rFonts w:ascii="Times New Roman" w:cs="Times New Roman" w:eastAsia="Times New Roman" w:hAnsi="Times New Roman"/>
                <w:sz w:val="14"/>
                <w:szCs w:val="14"/>
                <w:color w:val="auto"/>
                <w:w w:val="93"/>
              </w:rPr>
              <w:t>14,879</w:t>
            </w:r>
          </w:p>
        </w:tc>
        <w:tc>
          <w:tcPr>
            <w:tcW w:w="90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5"/>
              </w:rPr>
              <w:t>1,707</w:t>
            </w:r>
          </w:p>
        </w:tc>
        <w:tc>
          <w:tcPr>
            <w:tcW w:w="90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9"/>
              </w:rPr>
              <w:t>13.0%</w:t>
            </w:r>
          </w:p>
        </w:tc>
        <w:tc>
          <w:tcPr>
            <w:tcW w:w="880" w:type="dxa"/>
            <w:vAlign w:val="bottom"/>
            <w:gridSpan w:val="3"/>
          </w:tcPr>
          <w:p>
            <w:pPr>
              <w:jc w:val="center"/>
              <w:spacing w:after="0" w:line="140" w:lineRule="exact"/>
              <w:rPr>
                <w:sz w:val="20"/>
                <w:szCs w:val="20"/>
                <w:color w:val="auto"/>
              </w:rPr>
            </w:pPr>
            <w:r>
              <w:rPr>
                <w:rFonts w:ascii="Times New Roman" w:cs="Times New Roman" w:eastAsia="Times New Roman" w:hAnsi="Times New Roman"/>
                <w:sz w:val="14"/>
                <w:szCs w:val="14"/>
                <w:color w:val="auto"/>
                <w:w w:val="98"/>
              </w:rPr>
              <w:t>13,173</w:t>
            </w:r>
          </w:p>
        </w:tc>
        <w:tc>
          <w:tcPr>
            <w:tcW w:w="92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8"/>
              </w:rPr>
              <w:t>14,999</w:t>
            </w:r>
          </w:p>
        </w:tc>
        <w:tc>
          <w:tcPr>
            <w:tcW w:w="160" w:type="dxa"/>
            <w:vAlign w:val="bottom"/>
            <w:tcBorders>
              <w:bottom w:val="single" w:sz="8" w:color="26D07C"/>
            </w:tcBorders>
            <w:shd w:val="clear" w:color="auto" w:fill="26D07C"/>
          </w:tcPr>
          <w:p>
            <w:pPr>
              <w:spacing w:after="0"/>
              <w:rPr>
                <w:sz w:val="12"/>
                <w:szCs w:val="12"/>
                <w:color w:val="auto"/>
              </w:rPr>
            </w:pPr>
          </w:p>
        </w:tc>
        <w:tc>
          <w:tcPr>
            <w:tcW w:w="720" w:type="dxa"/>
            <w:vAlign w:val="bottom"/>
            <w:tcBorders>
              <w:bottom w:val="single" w:sz="8" w:color="26D07C"/>
            </w:tcBorders>
            <w:shd w:val="clear" w:color="auto" w:fill="26D07C"/>
          </w:tcPr>
          <w:p>
            <w:pPr>
              <w:jc w:val="center"/>
              <w:ind w:right="115"/>
              <w:spacing w:after="0" w:line="140" w:lineRule="exact"/>
              <w:rPr>
                <w:sz w:val="20"/>
                <w:szCs w:val="20"/>
                <w:color w:val="auto"/>
              </w:rPr>
            </w:pPr>
            <w:r>
              <w:rPr>
                <w:rFonts w:ascii="Times New Roman" w:cs="Times New Roman" w:eastAsia="Times New Roman" w:hAnsi="Times New Roman"/>
                <w:sz w:val="14"/>
                <w:szCs w:val="14"/>
                <w:color w:val="auto"/>
                <w:w w:val="95"/>
              </w:rPr>
              <w:t>1,826</w:t>
            </w:r>
          </w:p>
        </w:tc>
        <w:tc>
          <w:tcPr>
            <w:tcW w:w="900" w:type="dxa"/>
            <w:vAlign w:val="bottom"/>
            <w:tcBorders>
              <w:bottom w:val="single" w:sz="8" w:color="26D07C"/>
              <w:right w:val="single" w:sz="8" w:color="auto"/>
            </w:tcBorders>
            <w:shd w:val="clear" w:color="auto" w:fill="26D07C"/>
          </w:tcPr>
          <w:p>
            <w:pPr>
              <w:jc w:val="center"/>
              <w:spacing w:after="0" w:line="140" w:lineRule="exact"/>
              <w:rPr>
                <w:sz w:val="20"/>
                <w:szCs w:val="20"/>
                <w:color w:val="auto"/>
              </w:rPr>
            </w:pPr>
            <w:r>
              <w:rPr>
                <w:rFonts w:ascii="Times New Roman" w:cs="Times New Roman" w:eastAsia="Times New Roman" w:hAnsi="Times New Roman"/>
                <w:sz w:val="14"/>
                <w:szCs w:val="14"/>
                <w:color w:val="auto"/>
                <w:w w:val="99"/>
              </w:rPr>
              <w:t>13.9%</w:t>
            </w:r>
          </w:p>
        </w:tc>
        <w:tc>
          <w:tcPr>
            <w:tcW w:w="0" w:type="dxa"/>
            <w:vAlign w:val="bottom"/>
          </w:tcPr>
          <w:p>
            <w:pPr>
              <w:spacing w:after="0"/>
              <w:rPr>
                <w:sz w:val="1"/>
                <w:szCs w:val="1"/>
                <w:color w:val="auto"/>
              </w:rPr>
            </w:pPr>
          </w:p>
        </w:tc>
      </w:tr>
      <w:tr>
        <w:trPr>
          <w:trHeight w:val="114"/>
        </w:trPr>
        <w:tc>
          <w:tcPr>
            <w:tcW w:w="3960" w:type="dxa"/>
            <w:vAlign w:val="bottom"/>
            <w:tcBorders>
              <w:left w:val="single" w:sz="8" w:color="auto"/>
              <w:right w:val="single" w:sz="8" w:color="auto"/>
            </w:tcBorders>
          </w:tcPr>
          <w:p>
            <w:pPr>
              <w:ind w:left="280"/>
              <w:spacing w:after="0" w:line="114" w:lineRule="exact"/>
              <w:rPr>
                <w:sz w:val="20"/>
                <w:szCs w:val="20"/>
                <w:color w:val="auto"/>
              </w:rPr>
            </w:pPr>
            <w:r>
              <w:rPr>
                <w:rFonts w:ascii="Times New Roman" w:cs="Times New Roman" w:eastAsia="Times New Roman" w:hAnsi="Times New Roman"/>
                <w:sz w:val="12"/>
                <w:szCs w:val="12"/>
                <w:color w:val="auto"/>
              </w:rPr>
              <w:t>Credit Card</w:t>
            </w:r>
          </w:p>
        </w:tc>
        <w:tc>
          <w:tcPr>
            <w:tcW w:w="700" w:type="dxa"/>
            <w:vAlign w:val="bottom"/>
          </w:tcPr>
          <w:p>
            <w:pPr>
              <w:jc w:val="center"/>
              <w:ind w:left="135"/>
              <w:spacing w:after="0" w:line="114" w:lineRule="exact"/>
              <w:rPr>
                <w:sz w:val="20"/>
                <w:szCs w:val="20"/>
                <w:color w:val="auto"/>
              </w:rPr>
            </w:pPr>
            <w:r>
              <w:rPr>
                <w:rFonts w:ascii="Times New Roman" w:cs="Times New Roman" w:eastAsia="Times New Roman" w:hAnsi="Times New Roman"/>
                <w:sz w:val="12"/>
                <w:szCs w:val="12"/>
                <w:color w:val="auto"/>
              </w:rPr>
              <w:t>5,955</w:t>
            </w:r>
          </w:p>
        </w:tc>
        <w:tc>
          <w:tcPr>
            <w:tcW w:w="1120" w:type="dxa"/>
            <w:vAlign w:val="bottom"/>
            <w:tcBorders>
              <w:right w:val="single" w:sz="8" w:color="auto"/>
            </w:tcBorders>
          </w:tcPr>
          <w:p>
            <w:pPr>
              <w:jc w:val="center"/>
              <w:ind w:left="95"/>
              <w:spacing w:after="0" w:line="114" w:lineRule="exact"/>
              <w:rPr>
                <w:sz w:val="20"/>
                <w:szCs w:val="20"/>
                <w:color w:val="auto"/>
              </w:rPr>
            </w:pPr>
            <w:r>
              <w:rPr>
                <w:rFonts w:ascii="Times New Roman" w:cs="Times New Roman" w:eastAsia="Times New Roman" w:hAnsi="Times New Roman"/>
                <w:sz w:val="12"/>
                <w:szCs w:val="12"/>
                <w:color w:val="auto"/>
              </w:rPr>
              <w:t>6,396</w:t>
            </w:r>
          </w:p>
        </w:tc>
        <w:tc>
          <w:tcPr>
            <w:tcW w:w="900" w:type="dxa"/>
            <w:vAlign w:val="bottom"/>
          </w:tcPr>
          <w:p>
            <w:pPr>
              <w:jc w:val="center"/>
              <w:spacing w:after="0" w:line="114" w:lineRule="exact"/>
              <w:rPr>
                <w:sz w:val="20"/>
                <w:szCs w:val="20"/>
                <w:color w:val="auto"/>
              </w:rPr>
            </w:pPr>
            <w:r>
              <w:rPr>
                <w:rFonts w:ascii="Times New Roman" w:cs="Times New Roman" w:eastAsia="Times New Roman" w:hAnsi="Times New Roman"/>
                <w:sz w:val="12"/>
                <w:szCs w:val="12"/>
                <w:color w:val="auto"/>
              </w:rPr>
              <w:t>441</w:t>
            </w:r>
          </w:p>
        </w:tc>
        <w:tc>
          <w:tcPr>
            <w:tcW w:w="900" w:type="dxa"/>
            <w:vAlign w:val="bottom"/>
            <w:tcBorders>
              <w:right w:val="single" w:sz="8" w:color="auto"/>
            </w:tcBorders>
          </w:tcPr>
          <w:p>
            <w:pPr>
              <w:jc w:val="center"/>
              <w:spacing w:after="0" w:line="114" w:lineRule="exact"/>
              <w:rPr>
                <w:sz w:val="20"/>
                <w:szCs w:val="20"/>
                <w:color w:val="auto"/>
              </w:rPr>
            </w:pPr>
            <w:r>
              <w:rPr>
                <w:rFonts w:ascii="Times New Roman" w:cs="Times New Roman" w:eastAsia="Times New Roman" w:hAnsi="Times New Roman"/>
                <w:sz w:val="12"/>
                <w:szCs w:val="12"/>
                <w:color w:val="auto"/>
              </w:rPr>
              <w:t>7.4%</w:t>
            </w:r>
          </w:p>
        </w:tc>
        <w:tc>
          <w:tcPr>
            <w:tcW w:w="880" w:type="dxa"/>
            <w:vAlign w:val="bottom"/>
            <w:gridSpan w:val="3"/>
          </w:tcPr>
          <w:p>
            <w:pPr>
              <w:jc w:val="center"/>
              <w:spacing w:after="0" w:line="114" w:lineRule="exact"/>
              <w:rPr>
                <w:sz w:val="20"/>
                <w:szCs w:val="20"/>
                <w:color w:val="auto"/>
              </w:rPr>
            </w:pPr>
            <w:r>
              <w:rPr>
                <w:rFonts w:ascii="Times New Roman" w:cs="Times New Roman" w:eastAsia="Times New Roman" w:hAnsi="Times New Roman"/>
                <w:sz w:val="12"/>
                <w:szCs w:val="12"/>
                <w:color w:val="auto"/>
              </w:rPr>
              <w:t>5,955</w:t>
            </w:r>
          </w:p>
        </w:tc>
        <w:tc>
          <w:tcPr>
            <w:tcW w:w="920" w:type="dxa"/>
            <w:vAlign w:val="bottom"/>
            <w:tcBorders>
              <w:right w:val="single" w:sz="8" w:color="auto"/>
            </w:tcBorders>
          </w:tcPr>
          <w:p>
            <w:pPr>
              <w:jc w:val="center"/>
              <w:spacing w:after="0" w:line="114" w:lineRule="exact"/>
              <w:rPr>
                <w:sz w:val="20"/>
                <w:szCs w:val="20"/>
                <w:color w:val="auto"/>
              </w:rPr>
            </w:pPr>
            <w:r>
              <w:rPr>
                <w:rFonts w:ascii="Times New Roman" w:cs="Times New Roman" w:eastAsia="Times New Roman" w:hAnsi="Times New Roman"/>
                <w:sz w:val="12"/>
                <w:szCs w:val="12"/>
                <w:color w:val="auto"/>
              </w:rPr>
              <w:t>6,450</w:t>
            </w:r>
          </w:p>
        </w:tc>
        <w:tc>
          <w:tcPr>
            <w:tcW w:w="160" w:type="dxa"/>
            <w:vAlign w:val="bottom"/>
          </w:tcPr>
          <w:p>
            <w:pPr>
              <w:spacing w:after="0"/>
              <w:rPr>
                <w:sz w:val="9"/>
                <w:szCs w:val="9"/>
                <w:color w:val="auto"/>
              </w:rPr>
            </w:pPr>
          </w:p>
        </w:tc>
        <w:tc>
          <w:tcPr>
            <w:tcW w:w="720" w:type="dxa"/>
            <w:vAlign w:val="bottom"/>
          </w:tcPr>
          <w:p>
            <w:pPr>
              <w:jc w:val="center"/>
              <w:ind w:right="95"/>
              <w:spacing w:after="0" w:line="114" w:lineRule="exact"/>
              <w:rPr>
                <w:sz w:val="20"/>
                <w:szCs w:val="20"/>
                <w:color w:val="auto"/>
              </w:rPr>
            </w:pPr>
            <w:r>
              <w:rPr>
                <w:rFonts w:ascii="Times New Roman" w:cs="Times New Roman" w:eastAsia="Times New Roman" w:hAnsi="Times New Roman"/>
                <w:sz w:val="12"/>
                <w:szCs w:val="12"/>
                <w:color w:val="auto"/>
              </w:rPr>
              <w:t>495</w:t>
            </w:r>
          </w:p>
        </w:tc>
        <w:tc>
          <w:tcPr>
            <w:tcW w:w="900" w:type="dxa"/>
            <w:vAlign w:val="bottom"/>
            <w:tcBorders>
              <w:right w:val="single" w:sz="8" w:color="auto"/>
            </w:tcBorders>
          </w:tcPr>
          <w:p>
            <w:pPr>
              <w:jc w:val="center"/>
              <w:spacing w:after="0" w:line="114" w:lineRule="exact"/>
              <w:rPr>
                <w:sz w:val="20"/>
                <w:szCs w:val="20"/>
                <w:color w:val="auto"/>
              </w:rPr>
            </w:pPr>
            <w:r>
              <w:rPr>
                <w:rFonts w:ascii="Times New Roman" w:cs="Times New Roman" w:eastAsia="Times New Roman" w:hAnsi="Times New Roman"/>
                <w:sz w:val="12"/>
                <w:szCs w:val="12"/>
                <w:color w:val="auto"/>
              </w:rPr>
              <w:t>8.3%</w:t>
            </w:r>
          </w:p>
        </w:tc>
        <w:tc>
          <w:tcPr>
            <w:tcW w:w="0" w:type="dxa"/>
            <w:vAlign w:val="bottom"/>
          </w:tcPr>
          <w:p>
            <w:pPr>
              <w:spacing w:after="0"/>
              <w:rPr>
                <w:sz w:val="1"/>
                <w:szCs w:val="1"/>
                <w:color w:val="auto"/>
              </w:rPr>
            </w:pPr>
          </w:p>
        </w:tc>
      </w:tr>
      <w:tr>
        <w:trPr>
          <w:trHeight w:val="165"/>
        </w:trPr>
        <w:tc>
          <w:tcPr>
            <w:tcW w:w="3960" w:type="dxa"/>
            <w:vAlign w:val="bottom"/>
            <w:tcBorders>
              <w:left w:val="single" w:sz="8" w:color="auto"/>
              <w:bottom w:val="single" w:sz="8" w:color="auto"/>
              <w:right w:val="single" w:sz="8" w:color="auto"/>
            </w:tcBorders>
          </w:tcPr>
          <w:p>
            <w:pPr>
              <w:ind w:left="180"/>
              <w:spacing w:after="0" w:line="165" w:lineRule="exact"/>
              <w:rPr>
                <w:sz w:val="20"/>
                <w:szCs w:val="20"/>
                <w:color w:val="auto"/>
              </w:rPr>
            </w:pPr>
            <w:r>
              <w:rPr>
                <w:rFonts w:ascii="Times New Roman" w:cs="Times New Roman" w:eastAsia="Times New Roman" w:hAnsi="Times New Roman"/>
                <w:sz w:val="12"/>
                <w:szCs w:val="12"/>
                <w:b w:val="1"/>
                <w:bCs w:val="1"/>
                <w:color w:val="auto"/>
              </w:rPr>
              <w:t xml:space="preserve">Others </w:t>
            </w:r>
            <w:r>
              <w:rPr>
                <w:rFonts w:ascii="Times New Roman" w:cs="Times New Roman" w:eastAsia="Times New Roman" w:hAnsi="Times New Roman"/>
                <w:sz w:val="19"/>
                <w:szCs w:val="19"/>
                <w:b w:val="1"/>
                <w:bCs w:val="1"/>
                <w:color w:val="auto"/>
                <w:vertAlign w:val="superscript"/>
              </w:rPr>
              <w:t>(1)</w:t>
            </w:r>
          </w:p>
        </w:tc>
        <w:tc>
          <w:tcPr>
            <w:tcW w:w="700" w:type="dxa"/>
            <w:vAlign w:val="bottom"/>
            <w:tcBorders>
              <w:bottom w:val="single" w:sz="8" w:color="auto"/>
            </w:tcBorders>
          </w:tcPr>
          <w:p>
            <w:pPr>
              <w:jc w:val="center"/>
              <w:ind w:left="135"/>
              <w:spacing w:after="0"/>
              <w:rPr>
                <w:sz w:val="20"/>
                <w:szCs w:val="20"/>
                <w:color w:val="auto"/>
              </w:rPr>
            </w:pPr>
            <w:r>
              <w:rPr>
                <w:rFonts w:ascii="Times New Roman" w:cs="Times New Roman" w:eastAsia="Times New Roman" w:hAnsi="Times New Roman"/>
                <w:sz w:val="14"/>
                <w:szCs w:val="14"/>
                <w:b w:val="1"/>
                <w:bCs w:val="1"/>
                <w:color w:val="auto"/>
                <w:w w:val="95"/>
              </w:rPr>
              <w:t>1,901</w:t>
            </w:r>
          </w:p>
        </w:tc>
        <w:tc>
          <w:tcPr>
            <w:tcW w:w="1120" w:type="dxa"/>
            <w:vAlign w:val="bottom"/>
            <w:tcBorders>
              <w:bottom w:val="single" w:sz="8" w:color="auto"/>
              <w:right w:val="single" w:sz="8" w:color="auto"/>
            </w:tcBorders>
          </w:tcPr>
          <w:p>
            <w:pPr>
              <w:jc w:val="center"/>
              <w:ind w:left="95"/>
              <w:spacing w:after="0"/>
              <w:rPr>
                <w:sz w:val="20"/>
                <w:szCs w:val="20"/>
                <w:color w:val="auto"/>
              </w:rPr>
            </w:pPr>
            <w:r>
              <w:rPr>
                <w:rFonts w:ascii="Times New Roman" w:cs="Times New Roman" w:eastAsia="Times New Roman" w:hAnsi="Times New Roman"/>
                <w:sz w:val="14"/>
                <w:szCs w:val="14"/>
                <w:b w:val="1"/>
                <w:bCs w:val="1"/>
                <w:color w:val="auto"/>
              </w:rPr>
              <w:t>2,000</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99</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5.2%</w:t>
            </w:r>
          </w:p>
        </w:tc>
        <w:tc>
          <w:tcPr>
            <w:tcW w:w="8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1,901</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2,069</w:t>
            </w: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5"/>
              </w:rPr>
              <w:t>168</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8.8%</w:t>
            </w:r>
          </w:p>
        </w:tc>
        <w:tc>
          <w:tcPr>
            <w:tcW w:w="0" w:type="dxa"/>
            <w:vAlign w:val="bottom"/>
          </w:tcPr>
          <w:p>
            <w:pPr>
              <w:spacing w:after="0"/>
              <w:rPr>
                <w:sz w:val="1"/>
                <w:szCs w:val="1"/>
                <w:color w:val="auto"/>
              </w:rPr>
            </w:pPr>
          </w:p>
        </w:tc>
      </w:tr>
      <w:tr>
        <w:trPr>
          <w:trHeight w:val="104"/>
        </w:trPr>
        <w:tc>
          <w:tcPr>
            <w:tcW w:w="5780" w:type="dxa"/>
            <w:vAlign w:val="bottom"/>
            <w:gridSpan w:val="3"/>
          </w:tcPr>
          <w:p>
            <w:pPr>
              <w:spacing w:after="0" w:line="104" w:lineRule="exact"/>
              <w:rPr>
                <w:sz w:val="20"/>
                <w:szCs w:val="20"/>
                <w:color w:val="auto"/>
              </w:rPr>
            </w:pPr>
            <w:r>
              <w:rPr>
                <w:rFonts w:ascii="Times New Roman" w:cs="Times New Roman" w:eastAsia="Times New Roman" w:hAnsi="Times New Roman"/>
                <w:sz w:val="12"/>
                <w:szCs w:val="12"/>
                <w:color w:val="auto"/>
              </w:rPr>
              <w:t>For consolidation purposes, loans generated in Foreign Currency (FC) are converted into Local Currency (LC).</w:t>
            </w:r>
          </w:p>
        </w:tc>
        <w:tc>
          <w:tcPr>
            <w:tcW w:w="90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3960" w:type="dxa"/>
            <w:vAlign w:val="bottom"/>
          </w:tcPr>
          <w:p>
            <w:pPr>
              <w:spacing w:after="0"/>
              <w:rPr>
                <w:sz w:val="20"/>
                <w:szCs w:val="20"/>
                <w:color w:val="auto"/>
              </w:rPr>
            </w:pPr>
            <w:r>
              <w:rPr>
                <w:rFonts w:ascii="Times New Roman" w:cs="Times New Roman" w:eastAsia="Times New Roman" w:hAnsi="Times New Roman"/>
                <w:sz w:val="12"/>
                <w:szCs w:val="12"/>
                <w:color w:val="auto"/>
              </w:rPr>
              <w:t>(1) Includes other assets and accruals.</w:t>
            </w:r>
          </w:p>
        </w:tc>
        <w:tc>
          <w:tcPr>
            <w:tcW w:w="7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2"/>
                <w:szCs w:val="12"/>
                <w:color w:val="auto"/>
              </w:rPr>
              <w:t>Larger contraction in volume</w:t>
            </w: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39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shd w:val="clear" w:color="auto" w:fill="EC40A9"/>
          </w:tcPr>
          <w:p>
            <w:pPr>
              <w:spacing w:after="0"/>
              <w:rPr>
                <w:sz w:val="9"/>
                <w:szCs w:val="9"/>
                <w:color w:val="auto"/>
              </w:rPr>
            </w:pPr>
          </w:p>
        </w:tc>
        <w:tc>
          <w:tcPr>
            <w:tcW w:w="1540" w:type="dxa"/>
            <w:vAlign w:val="bottom"/>
            <w:gridSpan w:val="3"/>
            <w:vMerge w:val="continue"/>
          </w:tcPr>
          <w:p>
            <w:pPr>
              <w:spacing w:after="0"/>
              <w:rPr>
                <w:sz w:val="9"/>
                <w:szCs w:val="9"/>
                <w:color w:val="auto"/>
              </w:rPr>
            </w:pPr>
          </w:p>
        </w:tc>
        <w:tc>
          <w:tcPr>
            <w:tcW w:w="72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39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shd w:val="clear" w:color="auto" w:fill="26D07C"/>
          </w:tcPr>
          <w:p>
            <w:pPr>
              <w:spacing w:after="0"/>
              <w:rPr>
                <w:sz w:val="12"/>
                <w:szCs w:val="12"/>
                <w:color w:val="auto"/>
              </w:rPr>
            </w:pPr>
          </w:p>
        </w:tc>
        <w:tc>
          <w:tcPr>
            <w:tcW w:w="154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Larger expansion in volume</w:t>
            </w: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7"/>
          <w:szCs w:val="17"/>
          <w:b w:val="1"/>
          <w:bCs w:val="1"/>
          <w:color w:val="auto"/>
        </w:rPr>
        <w:t>YoY</w:t>
      </w:r>
      <w:r>
        <w:rPr>
          <w:rFonts w:ascii="Times New Roman" w:cs="Times New Roman" w:eastAsia="Times New Roman" w:hAnsi="Times New Roman"/>
          <w:sz w:val="17"/>
          <w:szCs w:val="17"/>
          <w:color w:val="auto"/>
        </w:rPr>
        <w:t>, total loans in quarter-end balances at</w:t>
      </w:r>
      <w:r>
        <w:rPr>
          <w:rFonts w:ascii="Times New Roman" w:cs="Times New Roman" w:eastAsia="Times New Roman" w:hAnsi="Times New Roman"/>
          <w:sz w:val="17"/>
          <w:szCs w:val="17"/>
          <w:b w:val="1"/>
          <w:bCs w:val="1"/>
          <w:color w:val="auto"/>
        </w:rPr>
        <w:t xml:space="preserve"> BCP Stand-alone </w:t>
      </w:r>
      <w:r>
        <w:rPr>
          <w:rFonts w:ascii="Times New Roman" w:cs="Times New Roman" w:eastAsia="Times New Roman" w:hAnsi="Times New Roman"/>
          <w:sz w:val="17"/>
          <w:szCs w:val="17"/>
          <w:color w:val="auto"/>
        </w:rPr>
        <w:t>increased 9.1% with a Neutral exchange rate. This growth was driven mainly by</w:t>
      </w:r>
      <w:r>
        <w:rPr>
          <w:rFonts w:ascii="Times New Roman" w:cs="Times New Roman" w:eastAsia="Times New Roman" w:hAnsi="Times New Roman"/>
          <w:sz w:val="17"/>
          <w:szCs w:val="17"/>
          <w:b w:val="1"/>
          <w:bCs w:val="1"/>
          <w:color w:val="auto"/>
        </w:rPr>
        <w:t xml:space="preserve"> Wholesale Banking (+10.2%) </w:t>
      </w:r>
      <w:r>
        <w:rPr>
          <w:rFonts w:ascii="Times New Roman" w:cs="Times New Roman" w:eastAsia="Times New Roman" w:hAnsi="Times New Roman"/>
          <w:sz w:val="17"/>
          <w:szCs w:val="17"/>
          <w:color w:val="auto"/>
        </w:rPr>
        <w:t>and secondarily by</w:t>
      </w:r>
      <w:r>
        <w:rPr>
          <w:rFonts w:ascii="Times New Roman" w:cs="Times New Roman" w:eastAsia="Times New Roman" w:hAnsi="Times New Roman"/>
          <w:sz w:val="17"/>
          <w:szCs w:val="17"/>
          <w:b w:val="1"/>
          <w:bCs w:val="1"/>
          <w:color w:val="auto"/>
        </w:rPr>
        <w:t xml:space="preserve"> Retail Banking (+8.3%).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922020</wp:posOffset>
            </wp:positionV>
            <wp:extent cx="7140575" cy="158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0575" cy="15875"/>
                    </a:xfrm>
                    <a:prstGeom prst="rect">
                      <a:avLst/>
                    </a:prstGeom>
                    <a:noFill/>
                  </pic:spPr>
                </pic:pic>
              </a:graphicData>
            </a:graphic>
          </wp:anchor>
        </w:drawing>
        <w:drawing>
          <wp:anchor simplePos="0" relativeHeight="251657728" behindDoc="1" locked="0" layoutInCell="0" allowOverlap="1">
            <wp:simplePos x="0" y="0"/>
            <wp:positionH relativeFrom="column">
              <wp:posOffset>331470</wp:posOffset>
            </wp:positionH>
            <wp:positionV relativeFrom="paragraph">
              <wp:posOffset>107950</wp:posOffset>
            </wp:positionV>
            <wp:extent cx="6447155" cy="5480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447155" cy="54800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8" w:name="page19"/>
    <w:bookmarkEnd w:id="18"/>
    <w:p>
      <w:pPr>
        <w:ind w:left="3140"/>
        <w:spacing w:after="0"/>
        <w:tabs>
          <w:tab w:leader="none" w:pos="3320" w:val="left"/>
          <w:tab w:leader="none" w:pos="9060" w:val="left"/>
        </w:tabs>
        <w:rPr>
          <w:sz w:val="20"/>
          <w:szCs w:val="20"/>
          <w:color w:val="auto"/>
        </w:rPr>
      </w:pPr>
      <w:r>
        <w:rPr>
          <w:rFonts w:ascii="Times New Roman" w:cs="Times New Roman" w:eastAsia="Times New Roman" w:hAnsi="Times New Roman"/>
          <w:sz w:val="14"/>
          <w:szCs w:val="14"/>
          <w:color w:val="A6A6A6"/>
        </w:rPr>
        <w:drawing>
          <wp:anchor simplePos="0" relativeHeight="251657728" behindDoc="1" locked="0" layoutInCell="0" allowOverlap="1">
            <wp:simplePos x="0" y="0"/>
            <wp:positionH relativeFrom="page">
              <wp:posOffset>204470</wp:posOffset>
            </wp:positionH>
            <wp:positionV relativeFrom="page">
              <wp:posOffset>88900</wp:posOffset>
            </wp:positionV>
            <wp:extent cx="7140575" cy="6927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0575" cy="692785"/>
                    </a:xfrm>
                    <a:prstGeom prst="rect">
                      <a:avLst/>
                    </a:prstGeom>
                    <a:noFill/>
                  </pic:spPr>
                </pic:pic>
              </a:graphicData>
            </a:graphic>
          </wp:anchor>
        </w:drawing>
        <w:t>|</w:t>
      </w:r>
      <w:r>
        <w:rPr>
          <w:rFonts w:ascii="Times New Roman" w:cs="Times New Roman" w:eastAsia="Times New Roman" w:hAnsi="Times New Roman"/>
          <w:sz w:val="14"/>
          <w:szCs w:val="14"/>
          <w:color w:val="FFFFFF"/>
        </w:rPr>
        <w:tab/>
        <w:t>Earnings Release 1Q / 2026</w:t>
      </w:r>
      <w:r>
        <w:rPr>
          <w:sz w:val="20"/>
          <w:szCs w:val="20"/>
          <w:color w:val="auto"/>
        </w:rPr>
        <w:tab/>
      </w:r>
      <w:r>
        <w:rPr>
          <w:rFonts w:ascii="Times New Roman" w:cs="Times New Roman" w:eastAsia="Times New Roman" w:hAnsi="Times New Roman"/>
          <w:sz w:val="12"/>
          <w:szCs w:val="12"/>
          <w:color w:val="FF00FF"/>
        </w:rPr>
        <w:t>Analysis of 1Q26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7140575" cy="2095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0575" cy="20955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FFFFFF"/>
        </w:rPr>
        <w:t>01. Loan Portfolio</w:t>
      </w:r>
    </w:p>
    <w:p>
      <w:pPr>
        <w:spacing w:after="0" w:line="26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7"/>
          <w:szCs w:val="17"/>
          <w:color w:val="auto"/>
        </w:rPr>
        <w:t xml:space="preserve">In </w:t>
      </w:r>
      <w:r>
        <w:rPr>
          <w:rFonts w:ascii="Times New Roman" w:cs="Times New Roman" w:eastAsia="Times New Roman" w:hAnsi="Times New Roman"/>
          <w:sz w:val="17"/>
          <w:szCs w:val="17"/>
          <w:b w:val="1"/>
          <w:bCs w:val="1"/>
          <w:color w:val="auto"/>
        </w:rPr>
        <w:t>Wholesale Banking</w:t>
      </w:r>
      <w:r>
        <w:rPr>
          <w:rFonts w:ascii="Times New Roman" w:cs="Times New Roman" w:eastAsia="Times New Roman" w:hAnsi="Times New Roman"/>
          <w:sz w:val="17"/>
          <w:szCs w:val="17"/>
          <w:color w:val="auto"/>
        </w:rPr>
        <w:t>, growth was fueled primarily by an uptick in medium and long-term loans. This evolution was driven by an increased risk appetite within the business, underpinned by a favorable macroeconomic environment, particularly the recovery in private investment.</w:t>
      </w:r>
    </w:p>
    <w:p>
      <w:pPr>
        <w:spacing w:after="0" w:line="15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7"/>
          <w:szCs w:val="17"/>
          <w:color w:val="auto"/>
        </w:rPr>
        <w:t xml:space="preserve">In </w:t>
      </w:r>
      <w:r>
        <w:rPr>
          <w:rFonts w:ascii="Times New Roman" w:cs="Times New Roman" w:eastAsia="Times New Roman" w:hAnsi="Times New Roman"/>
          <w:sz w:val="17"/>
          <w:szCs w:val="17"/>
          <w:b w:val="1"/>
          <w:bCs w:val="1"/>
          <w:color w:val="auto"/>
        </w:rPr>
        <w:t>Retail Banking,</w:t>
      </w:r>
      <w:r>
        <w:rPr>
          <w:rFonts w:ascii="Times New Roman" w:cs="Times New Roman" w:eastAsia="Times New Roman" w:hAnsi="Times New Roman"/>
          <w:sz w:val="17"/>
          <w:szCs w:val="17"/>
          <w:color w:val="auto"/>
        </w:rPr>
        <w:t xml:space="preserve"> all segments, excluding </w:t>
      </w:r>
      <w:r>
        <w:rPr>
          <w:rFonts w:ascii="Times New Roman" w:cs="Times New Roman" w:eastAsia="Times New Roman" w:hAnsi="Times New Roman"/>
          <w:sz w:val="17"/>
          <w:szCs w:val="17"/>
          <w:b w:val="1"/>
          <w:bCs w:val="1"/>
          <w:color w:val="auto"/>
        </w:rPr>
        <w:t>SME Business</w:t>
      </w:r>
      <w:r>
        <w:rPr>
          <w:rFonts w:ascii="Times New Roman" w:cs="Times New Roman" w:eastAsia="Times New Roman" w:hAnsi="Times New Roman"/>
          <w:sz w:val="17"/>
          <w:szCs w:val="17"/>
          <w:color w:val="auto"/>
        </w:rPr>
        <w:t>, evolved favorably YoY, buoyed by the same dynamics seen QoQ coupled with a more dynamic economic backdrop.</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YoY evolution of the Dollarization Level of Loans (in Quarter-end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1193800</wp:posOffset>
            </wp:positionH>
            <wp:positionV relativeFrom="paragraph">
              <wp:posOffset>146685</wp:posOffset>
            </wp:positionV>
            <wp:extent cx="4763135" cy="18376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763135" cy="1837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 Participation in FC loans at the Credicorp level considers BCP Stand-alone, Mibanco, Mibanco Colombia, BCP Bolivia and ASB.</w:t>
      </w:r>
    </w:p>
    <w:p>
      <w:pPr>
        <w:spacing w:after="0" w:line="18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7"/>
          <w:szCs w:val="17"/>
          <w:b w:val="1"/>
          <w:bCs w:val="1"/>
          <w:color w:val="auto"/>
        </w:rPr>
        <w:t xml:space="preserve">YoY, </w:t>
      </w:r>
      <w:r>
        <w:rPr>
          <w:rFonts w:ascii="Times New Roman" w:cs="Times New Roman" w:eastAsia="Times New Roman" w:hAnsi="Times New Roman"/>
          <w:sz w:val="17"/>
          <w:szCs w:val="17"/>
          <w:color w:val="auto"/>
        </w:rPr>
        <w:t>the dollarization level of total loans dropped 10 bps. This evolution was driven by loan growth in LC (+8.4%), mainly in</w:t>
      </w:r>
      <w:r>
        <w:rPr>
          <w:rFonts w:ascii="Times New Roman" w:cs="Times New Roman" w:eastAsia="Times New Roman" w:hAnsi="Times New Roman"/>
          <w:sz w:val="17"/>
          <w:szCs w:val="17"/>
          <w:b w:val="1"/>
          <w:bCs w:val="1"/>
          <w:color w:val="auto"/>
        </w:rPr>
        <w:t xml:space="preserve"> Retail Banking</w:t>
      </w:r>
      <w:r>
        <w:rPr>
          <w:rFonts w:ascii="Times New Roman" w:cs="Times New Roman" w:eastAsia="Times New Roman" w:hAnsi="Times New Roman"/>
          <w:sz w:val="17"/>
          <w:szCs w:val="17"/>
          <w:color w:val="auto"/>
        </w:rPr>
        <w:t>, and partially offset by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loan expansion in FC (+7.9%), mainly in </w:t>
      </w:r>
      <w:r>
        <w:rPr>
          <w:rFonts w:ascii="Times New Roman" w:cs="Times New Roman" w:eastAsia="Times New Roman" w:hAnsi="Times New Roman"/>
          <w:sz w:val="17"/>
          <w:szCs w:val="17"/>
          <w:b w:val="1"/>
          <w:bCs w:val="1"/>
          <w:color w:val="auto"/>
        </w:rPr>
        <w:t>Wholesale Banking</w:t>
      </w:r>
      <w:r>
        <w:rPr>
          <w:rFonts w:ascii="Times New Roman" w:cs="Times New Roman" w:eastAsia="Times New Roman" w:hAnsi="Times New Roman"/>
          <w:sz w:val="17"/>
          <w:szCs w:val="17"/>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Evolution of Loans in Average Daily Balances</w:t>
      </w:r>
    </w:p>
    <w:p>
      <w:pPr>
        <w:spacing w:after="0" w:line="21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7"/>
          <w:szCs w:val="17"/>
          <w:color w:val="auto"/>
        </w:rPr>
        <w:t xml:space="preserve">Loans in average daily balances (ADB) rose 2.2% and 4.6%, </w:t>
      </w:r>
      <w:r>
        <w:rPr>
          <w:rFonts w:ascii="Times New Roman" w:cs="Times New Roman" w:eastAsia="Times New Roman" w:hAnsi="Times New Roman"/>
          <w:sz w:val="17"/>
          <w:szCs w:val="17"/>
          <w:b w:val="1"/>
          <w:bCs w:val="1"/>
          <w:color w:val="auto"/>
        </w:rPr>
        <w:t>QoQ and YoY,</w:t>
      </w:r>
      <w:r>
        <w:rPr>
          <w:rFonts w:ascii="Times New Roman" w:cs="Times New Roman" w:eastAsia="Times New Roman" w:hAnsi="Times New Roman"/>
          <w:sz w:val="17"/>
          <w:szCs w:val="17"/>
          <w:color w:val="auto"/>
        </w:rPr>
        <w:t xml:space="preserve"> respectively. It is important to note that the figures for ADB are derived from internal management figures and exclude the impact of the revaluation of </w:t>
      </w:r>
      <w:r>
        <w:rPr>
          <w:rFonts w:ascii="Times New Roman" w:cs="Times New Roman" w:eastAsia="Times New Roman" w:hAnsi="Times New Roman"/>
          <w:sz w:val="17"/>
          <w:szCs w:val="17"/>
          <w:b w:val="1"/>
          <w:bCs w:val="1"/>
          <w:color w:val="auto"/>
        </w:rPr>
        <w:t>BCP Bolivia’s</w:t>
      </w:r>
      <w:r>
        <w:rPr>
          <w:rFonts w:ascii="Times New Roman" w:cs="Times New Roman" w:eastAsia="Times New Roman" w:hAnsi="Times New Roman"/>
          <w:sz w:val="17"/>
          <w:szCs w:val="17"/>
          <w:color w:val="auto"/>
        </w:rPr>
        <w:t xml:space="preserve"> asset balance.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For more details on loan dynamics in ADB, see </w:t>
      </w:r>
      <w:r>
        <w:rPr>
          <w:rFonts w:ascii="Times New Roman" w:cs="Times New Roman" w:eastAsia="Times New Roman" w:hAnsi="Times New Roman"/>
          <w:sz w:val="17"/>
          <w:szCs w:val="17"/>
          <w:b w:val="1"/>
          <w:bCs w:val="1"/>
          <w:color w:val="auto"/>
        </w:rPr>
        <w:t>Annex 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952500</wp:posOffset>
            </wp:positionV>
            <wp:extent cx="7140575" cy="158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0575" cy="15875"/>
                    </a:xfrm>
                    <a:prstGeom prst="rect">
                      <a:avLst/>
                    </a:prstGeom>
                    <a:noFill/>
                  </pic:spPr>
                </pic:pic>
              </a:graphicData>
            </a:graphic>
          </wp:anchor>
        </w:drawing>
        <w:drawing>
          <wp:anchor simplePos="0" relativeHeight="251657728" behindDoc="1" locked="0" layoutInCell="0" allowOverlap="1">
            <wp:simplePos x="0" y="0"/>
            <wp:positionH relativeFrom="column">
              <wp:posOffset>331470</wp:posOffset>
            </wp:positionH>
            <wp:positionV relativeFrom="paragraph">
              <wp:posOffset>146685</wp:posOffset>
            </wp:positionV>
            <wp:extent cx="6447155" cy="5397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447155" cy="539750"/>
                    </a:xfrm>
                    <a:prstGeom prst="rect">
                      <a:avLst/>
                    </a:prstGeom>
                    <a:noFill/>
                  </pic:spPr>
                </pic:pic>
              </a:graphicData>
            </a:graphic>
          </wp:anchor>
        </w:drawing>
      </w:r>
    </w:p>
    <w:p>
      <w:pPr>
        <w:sectPr>
          <w:pgSz w:w="11900" w:h="16838" w:orient="portrait"/>
          <w:cols w:equalWidth="0" w:num="1">
            <w:col w:w="11240"/>
          </w:cols>
          <w:pgMar w:left="320" w:top="589" w:right="339" w:bottom="1440" w:gutter="0" w:footer="0" w:header="0"/>
        </w:sectPr>
      </w:pPr>
    </w:p>
    <w:bookmarkStart w:id="19" w:name="page20"/>
    <w:bookmarkEnd w:id="19"/>
    <w:p>
      <w:pPr>
        <w:ind w:left="3140"/>
        <w:spacing w:after="0"/>
        <w:tabs>
          <w:tab w:leader="none" w:pos="3320" w:val="left"/>
          <w:tab w:leader="none" w:pos="9060" w:val="left"/>
        </w:tabs>
        <w:rPr>
          <w:sz w:val="20"/>
          <w:szCs w:val="20"/>
          <w:color w:val="auto"/>
        </w:rPr>
      </w:pPr>
      <w:r>
        <w:rPr>
          <w:rFonts w:ascii="Times New Roman" w:cs="Times New Roman" w:eastAsia="Times New Roman" w:hAnsi="Times New Roman"/>
          <w:sz w:val="14"/>
          <w:szCs w:val="14"/>
          <w:color w:val="A6A6A6"/>
        </w:rPr>
        <w:drawing>
          <wp:anchor simplePos="0" relativeHeight="251657728" behindDoc="1" locked="0" layoutInCell="0" allowOverlap="1">
            <wp:simplePos x="0" y="0"/>
            <wp:positionH relativeFrom="page">
              <wp:posOffset>204470</wp:posOffset>
            </wp:positionH>
            <wp:positionV relativeFrom="page">
              <wp:posOffset>217805</wp:posOffset>
            </wp:positionV>
            <wp:extent cx="7140575" cy="6927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0575" cy="692785"/>
                    </a:xfrm>
                    <a:prstGeom prst="rect">
                      <a:avLst/>
                    </a:prstGeom>
                    <a:noFill/>
                  </pic:spPr>
                </pic:pic>
              </a:graphicData>
            </a:graphic>
          </wp:anchor>
        </w:drawing>
        <w:t>|</w:t>
      </w:r>
      <w:r>
        <w:rPr>
          <w:rFonts w:ascii="Times New Roman" w:cs="Times New Roman" w:eastAsia="Times New Roman" w:hAnsi="Times New Roman"/>
          <w:sz w:val="14"/>
          <w:szCs w:val="14"/>
          <w:color w:val="FFFFFF"/>
        </w:rPr>
        <w:tab/>
        <w:t>Earnings Release 1Q / 2026</w:t>
      </w:r>
      <w:r>
        <w:rPr>
          <w:sz w:val="20"/>
          <w:szCs w:val="20"/>
          <w:color w:val="auto"/>
        </w:rPr>
        <w:tab/>
      </w:r>
      <w:r>
        <w:rPr>
          <w:rFonts w:ascii="Times New Roman" w:cs="Times New Roman" w:eastAsia="Times New Roman" w:hAnsi="Times New Roman"/>
          <w:sz w:val="12"/>
          <w:szCs w:val="12"/>
          <w:color w:val="FF00FF"/>
        </w:rPr>
        <w:t>Analysis of 1Q26 Consolidated Results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49"/>
          <w:szCs w:val="49"/>
          <w:b w:val="1"/>
          <w:bCs w:val="1"/>
          <w:color w:val="E93BAC"/>
        </w:rPr>
        <w:t>02</w:t>
      </w:r>
      <w:r>
        <w:rPr>
          <w:sz w:val="20"/>
          <w:szCs w:val="20"/>
          <w:color w:val="auto"/>
        </w:rPr>
        <w:tab/>
      </w:r>
      <w:r>
        <w:rPr>
          <w:rFonts w:ascii="Times New Roman" w:cs="Times New Roman" w:eastAsia="Times New Roman" w:hAnsi="Times New Roman"/>
          <w:sz w:val="30"/>
          <w:szCs w:val="30"/>
          <w:color w:val="E93BAC"/>
        </w:rPr>
        <w:t>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114935</wp:posOffset>
            </wp:positionV>
            <wp:extent cx="7140575" cy="17087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0575" cy="1708785"/>
                    </a:xfrm>
                    <a:prstGeom prst="rect">
                      <a:avLst/>
                    </a:prstGeom>
                    <a:noFill/>
                  </pic:spPr>
                </pic:pic>
              </a:graphicData>
            </a:graphic>
          </wp:anchor>
        </w:drawing>
      </w:r>
    </w:p>
    <w:p>
      <w:pPr>
        <w:spacing w:after="0" w:line="195" w:lineRule="exact"/>
        <w:rPr>
          <w:sz w:val="20"/>
          <w:szCs w:val="20"/>
          <w:color w:val="auto"/>
        </w:rPr>
      </w:pPr>
    </w:p>
    <w:p>
      <w:pPr>
        <w:ind w:left="120" w:right="380"/>
        <w:spacing w:after="0" w:line="277" w:lineRule="auto"/>
        <w:rPr>
          <w:sz w:val="20"/>
          <w:szCs w:val="20"/>
          <w:color w:val="auto"/>
        </w:rPr>
      </w:pPr>
      <w:r>
        <w:rPr>
          <w:rFonts w:ascii="Times New Roman" w:cs="Times New Roman" w:eastAsia="Times New Roman" w:hAnsi="Times New Roman"/>
          <w:sz w:val="17"/>
          <w:szCs w:val="17"/>
          <w:color w:val="FFFFFF"/>
        </w:rPr>
        <w:t>Total deposits rose 4.8% QoQ and 13.3% YoY. If we exclude the impacts generated by asset revaluation at BCP Bolivia and devaluation of USD PEN (Neutral exchange rate), total deposits increased 0.8% QoQ and 13.7% YoY.</w:t>
      </w:r>
    </w:p>
    <w:p>
      <w:pPr>
        <w:spacing w:after="0" w:line="158" w:lineRule="exact"/>
        <w:rPr>
          <w:sz w:val="20"/>
          <w:szCs w:val="20"/>
          <w:color w:val="auto"/>
        </w:rPr>
      </w:pPr>
    </w:p>
    <w:p>
      <w:pPr>
        <w:jc w:val="both"/>
        <w:ind w:left="120" w:right="100"/>
        <w:spacing w:after="0" w:line="263" w:lineRule="auto"/>
        <w:rPr>
          <w:sz w:val="20"/>
          <w:szCs w:val="20"/>
          <w:color w:val="auto"/>
        </w:rPr>
      </w:pPr>
      <w:r>
        <w:rPr>
          <w:rFonts w:ascii="Times New Roman" w:cs="Times New Roman" w:eastAsia="Times New Roman" w:hAnsi="Times New Roman"/>
          <w:sz w:val="17"/>
          <w:szCs w:val="17"/>
          <w:color w:val="FFFFFF"/>
        </w:rPr>
        <w:t>QoQ, growth was driven mainly by an uptick in the Low-cost Deposit balance, which was fueled mainly by our investments in digital infrastructure and initiatives to strengthen client relations, which has helped us captured inflows from pension fund withdrawal and, to a lesser extent, the profit-sharing payments in the month of March.</w:t>
      </w:r>
    </w:p>
    <w:p>
      <w:pPr>
        <w:spacing w:after="0" w:line="170" w:lineRule="exact"/>
        <w:rPr>
          <w:sz w:val="20"/>
          <w:szCs w:val="20"/>
          <w:color w:val="auto"/>
        </w:rPr>
      </w:pPr>
    </w:p>
    <w:p>
      <w:pPr>
        <w:ind w:left="120" w:right="160"/>
        <w:spacing w:after="0" w:line="277" w:lineRule="auto"/>
        <w:rPr>
          <w:sz w:val="20"/>
          <w:szCs w:val="20"/>
          <w:color w:val="auto"/>
        </w:rPr>
      </w:pPr>
      <w:r>
        <w:rPr>
          <w:rFonts w:ascii="Times New Roman" w:cs="Times New Roman" w:eastAsia="Times New Roman" w:hAnsi="Times New Roman"/>
          <w:sz w:val="17"/>
          <w:szCs w:val="17"/>
          <w:color w:val="FFFFFF"/>
        </w:rPr>
        <w:t>YoY, the uptick was fueled by the same dynamics in play QoQ and by an increase in the FC balance for Low-cost Deposits due to an appreciation in the exchange rate to bolster their balances in USD.</w:t>
      </w:r>
    </w:p>
    <w:p>
      <w:pPr>
        <w:spacing w:after="0" w:line="158" w:lineRule="exact"/>
        <w:rPr>
          <w:sz w:val="20"/>
          <w:szCs w:val="20"/>
          <w:color w:val="auto"/>
        </w:rPr>
      </w:pPr>
    </w:p>
    <w:p>
      <w:pPr>
        <w:ind w:left="120" w:right="480"/>
        <w:spacing w:after="0" w:line="277" w:lineRule="auto"/>
        <w:rPr>
          <w:sz w:val="20"/>
          <w:szCs w:val="20"/>
          <w:color w:val="auto"/>
        </w:rPr>
      </w:pPr>
      <w:r>
        <w:rPr>
          <w:rFonts w:ascii="Times New Roman" w:cs="Times New Roman" w:eastAsia="Times New Roman" w:hAnsi="Times New Roman"/>
          <w:sz w:val="17"/>
          <w:szCs w:val="17"/>
          <w:color w:val="FFFFFF"/>
        </w:rPr>
        <w:t>At the end of 1Q26, 74.6% of Total Deposits were Low-cost (Demand + Savings). Credicorp continues to lead the market for low-cost deposits with a 41.2% share at the end of March.</w:t>
      </w:r>
    </w:p>
    <w:p>
      <w:pPr>
        <w:spacing w:after="0" w:line="350" w:lineRule="exact"/>
        <w:rPr>
          <w:sz w:val="20"/>
          <w:szCs w:val="20"/>
          <w:color w:val="auto"/>
        </w:rPr>
      </w:pPr>
    </w:p>
    <w:p>
      <w:pPr>
        <w:spacing w:after="0" w:line="200" w:lineRule="auto"/>
        <w:rPr>
          <w:sz w:val="20"/>
          <w:szCs w:val="20"/>
          <w:color w:val="auto"/>
        </w:rPr>
      </w:pPr>
      <w:r>
        <w:rPr>
          <w:rFonts w:ascii="Times New Roman" w:cs="Times New Roman" w:eastAsia="Times New Roman" w:hAnsi="Times New Roman"/>
          <w:sz w:val="17"/>
          <w:szCs w:val="17"/>
          <w:color w:val="auto"/>
        </w:rPr>
        <w:t xml:space="preserve">This quarter, Total Deposits rose 4.8% and 13.3%, </w:t>
      </w:r>
      <w:r>
        <w:rPr>
          <w:rFonts w:ascii="Times New Roman" w:cs="Times New Roman" w:eastAsia="Times New Roman" w:hAnsi="Times New Roman"/>
          <w:sz w:val="17"/>
          <w:szCs w:val="17"/>
          <w:b w:val="1"/>
          <w:bCs w:val="1"/>
          <w:color w:val="auto"/>
        </w:rPr>
        <w:t>QoQ and YoY</w:t>
      </w:r>
      <w:r>
        <w:rPr>
          <w:rFonts w:ascii="Times New Roman" w:cs="Times New Roman" w:eastAsia="Times New Roman" w:hAnsi="Times New Roman"/>
          <w:sz w:val="17"/>
          <w:szCs w:val="17"/>
          <w:color w:val="auto"/>
        </w:rPr>
        <w:t xml:space="preserve">, respectively. Both evolutions were impacted by asset revaluation at </w:t>
      </w:r>
      <w:r>
        <w:rPr>
          <w:rFonts w:ascii="Times New Roman" w:cs="Times New Roman" w:eastAsia="Times New Roman" w:hAnsi="Times New Roman"/>
          <w:sz w:val="17"/>
          <w:szCs w:val="17"/>
          <w:b w:val="1"/>
          <w:bCs w:val="1"/>
          <w:color w:val="auto"/>
        </w:rPr>
        <w:t>BCP Bolivia</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7"/>
          <w:szCs w:val="17"/>
          <w:color w:val="auto"/>
        </w:rPr>
        <w:t xml:space="preserve">. If we exclude this impact and effects from changes of PEN against the US Dollar, the deposit balance increased 0.8% </w:t>
      </w:r>
      <w:r>
        <w:rPr>
          <w:rFonts w:ascii="Times New Roman" w:cs="Times New Roman" w:eastAsia="Times New Roman" w:hAnsi="Times New Roman"/>
          <w:sz w:val="17"/>
          <w:szCs w:val="17"/>
          <w:b w:val="1"/>
          <w:bCs w:val="1"/>
          <w:color w:val="auto"/>
        </w:rPr>
        <w:t>QoQ</w:t>
      </w:r>
      <w:r>
        <w:rPr>
          <w:rFonts w:ascii="Times New Roman" w:cs="Times New Roman" w:eastAsia="Times New Roman" w:hAnsi="Times New Roman"/>
          <w:sz w:val="17"/>
          <w:szCs w:val="17"/>
          <w:color w:val="auto"/>
        </w:rPr>
        <w:t xml:space="preserve"> and 13.7% </w:t>
      </w:r>
      <w:r>
        <w:rPr>
          <w:rFonts w:ascii="Times New Roman" w:cs="Times New Roman" w:eastAsia="Times New Roman" w:hAnsi="Times New Roman"/>
          <w:sz w:val="17"/>
          <w:szCs w:val="17"/>
          <w:b w:val="1"/>
          <w:bCs w:val="1"/>
          <w:color w:val="auto"/>
        </w:rPr>
        <w:t>YoY,</w:t>
      </w:r>
      <w:r>
        <w:rPr>
          <w:rFonts w:ascii="Times New Roman" w:cs="Times New Roman" w:eastAsia="Times New Roman" w:hAnsi="Times New Roman"/>
          <w:sz w:val="17"/>
          <w:szCs w:val="17"/>
          <w:color w:val="auto"/>
        </w:rPr>
        <w:t xml:space="preserve"> driven by the following dynamics:</w:t>
      </w:r>
    </w:p>
    <w:p>
      <w:pPr>
        <w:spacing w:after="0" w:line="185" w:lineRule="exact"/>
        <w:rPr>
          <w:sz w:val="20"/>
          <w:szCs w:val="20"/>
          <w:color w:val="auto"/>
        </w:rPr>
      </w:pPr>
    </w:p>
    <w:tbl>
      <w:tblPr>
        <w:tblLayout w:type="fixed"/>
        <w:tblInd w:w="10" w:type="dxa"/>
        <w:tblCellMar>
          <w:top w:w="0" w:type="dxa"/>
          <w:left w:w="0" w:type="dxa"/>
          <w:bottom w:w="0" w:type="dxa"/>
          <w:right w:w="0" w:type="dxa"/>
        </w:tblCellMar>
      </w:tblPr>
      <w:tr>
        <w:trPr>
          <w:trHeight w:val="92"/>
        </w:trPr>
        <w:tc>
          <w:tcPr>
            <w:tcW w:w="2620" w:type="dxa"/>
            <w:vAlign w:val="bottom"/>
            <w:tcBorders>
              <w:top w:val="single" w:sz="8" w:color="auto"/>
              <w:left w:val="single" w:sz="8" w:color="auto"/>
              <w:right w:val="single" w:sz="8" w:color="auto"/>
            </w:tcBorders>
            <w:shd w:val="clear" w:color="auto" w:fill="2AD2C9"/>
          </w:tcPr>
          <w:p>
            <w:pPr>
              <w:ind w:left="40"/>
              <w:spacing w:after="0"/>
              <w:rPr>
                <w:sz w:val="20"/>
                <w:szCs w:val="20"/>
                <w:color w:val="auto"/>
              </w:rPr>
            </w:pPr>
            <w:r>
              <w:rPr>
                <w:rFonts w:ascii="Times New Roman" w:cs="Times New Roman" w:eastAsia="Times New Roman" w:hAnsi="Times New Roman"/>
                <w:sz w:val="8"/>
                <w:szCs w:val="8"/>
                <w:b w:val="1"/>
                <w:bCs w:val="1"/>
                <w:color w:val="FFFFFF"/>
              </w:rPr>
              <w:t>Deposits</w:t>
            </w:r>
          </w:p>
        </w:tc>
        <w:tc>
          <w:tcPr>
            <w:tcW w:w="760" w:type="dxa"/>
            <w:vAlign w:val="bottom"/>
            <w:tcBorders>
              <w:top w:val="single" w:sz="8" w:color="auto"/>
            </w:tcBorders>
            <w:shd w:val="clear" w:color="auto" w:fill="2AD2C9"/>
          </w:tcPr>
          <w:p>
            <w:pPr>
              <w:spacing w:after="0"/>
              <w:rPr>
                <w:sz w:val="8"/>
                <w:szCs w:val="8"/>
                <w:color w:val="auto"/>
              </w:rPr>
            </w:pPr>
          </w:p>
        </w:tc>
        <w:tc>
          <w:tcPr>
            <w:tcW w:w="780" w:type="dxa"/>
            <w:vAlign w:val="bottom"/>
            <w:tcBorders>
              <w:top w:val="single" w:sz="8" w:color="auto"/>
            </w:tcBorders>
            <w:vMerge w:val="restart"/>
            <w:shd w:val="clear" w:color="auto" w:fill="2AD2C9"/>
          </w:tcPr>
          <w:p>
            <w:pPr>
              <w:jc w:val="center"/>
              <w:spacing w:after="0"/>
              <w:rPr>
                <w:sz w:val="20"/>
                <w:szCs w:val="20"/>
                <w:color w:val="auto"/>
              </w:rPr>
            </w:pPr>
            <w:r>
              <w:rPr>
                <w:rFonts w:ascii="Times New Roman" w:cs="Times New Roman" w:eastAsia="Times New Roman" w:hAnsi="Times New Roman"/>
                <w:sz w:val="8"/>
                <w:szCs w:val="8"/>
                <w:b w:val="1"/>
                <w:bCs w:val="1"/>
                <w:color w:val="FFFFFF"/>
              </w:rPr>
              <w:t>As of</w:t>
            </w:r>
          </w:p>
        </w:tc>
        <w:tc>
          <w:tcPr>
            <w:tcW w:w="820" w:type="dxa"/>
            <w:vAlign w:val="bottom"/>
            <w:tcBorders>
              <w:top w:val="single" w:sz="8" w:color="auto"/>
              <w:right w:val="single" w:sz="8" w:color="auto"/>
            </w:tcBorders>
            <w:shd w:val="clear" w:color="auto" w:fill="2AD2C9"/>
          </w:tcPr>
          <w:p>
            <w:pPr>
              <w:spacing w:after="0"/>
              <w:rPr>
                <w:sz w:val="8"/>
                <w:szCs w:val="8"/>
                <w:color w:val="auto"/>
              </w:rPr>
            </w:pPr>
          </w:p>
        </w:tc>
        <w:tc>
          <w:tcPr>
            <w:tcW w:w="560" w:type="dxa"/>
            <w:vAlign w:val="bottom"/>
            <w:tcBorders>
              <w:top w:val="single" w:sz="8" w:color="auto"/>
            </w:tcBorders>
            <w:shd w:val="clear" w:color="auto" w:fill="2AD2C9"/>
          </w:tcPr>
          <w:p>
            <w:pPr>
              <w:spacing w:after="0"/>
              <w:rPr>
                <w:sz w:val="8"/>
                <w:szCs w:val="8"/>
                <w:color w:val="auto"/>
              </w:rPr>
            </w:pPr>
          </w:p>
        </w:tc>
        <w:tc>
          <w:tcPr>
            <w:tcW w:w="1000" w:type="dxa"/>
            <w:vAlign w:val="bottom"/>
            <w:tcBorders>
              <w:top w:val="single" w:sz="8" w:color="auto"/>
              <w:right w:val="single" w:sz="8" w:color="auto"/>
            </w:tcBorders>
            <w:shd w:val="clear" w:color="auto" w:fill="2AD2C9"/>
          </w:tcPr>
          <w:p>
            <w:pPr>
              <w:jc w:val="center"/>
              <w:ind w:right="558"/>
              <w:spacing w:after="0"/>
              <w:rPr>
                <w:sz w:val="20"/>
                <w:szCs w:val="20"/>
                <w:color w:val="auto"/>
              </w:rPr>
            </w:pPr>
            <w:r>
              <w:rPr>
                <w:rFonts w:ascii="Times New Roman" w:cs="Times New Roman" w:eastAsia="Times New Roman" w:hAnsi="Times New Roman"/>
                <w:sz w:val="8"/>
                <w:szCs w:val="8"/>
                <w:b w:val="1"/>
                <w:bCs w:val="1"/>
                <w:color w:val="FFFFFF"/>
              </w:rPr>
              <w:t>Change</w:t>
            </w:r>
          </w:p>
        </w:tc>
        <w:tc>
          <w:tcPr>
            <w:tcW w:w="980" w:type="dxa"/>
            <w:vAlign w:val="bottom"/>
            <w:tcBorders>
              <w:top w:val="single" w:sz="8" w:color="auto"/>
            </w:tcBorders>
            <w:shd w:val="clear" w:color="auto" w:fill="2AD2C9"/>
          </w:tcPr>
          <w:p>
            <w:pPr>
              <w:jc w:val="center"/>
              <w:ind w:left="498"/>
              <w:spacing w:after="0"/>
              <w:rPr>
                <w:sz w:val="20"/>
                <w:szCs w:val="20"/>
                <w:color w:val="auto"/>
              </w:rPr>
            </w:pPr>
            <w:r>
              <w:rPr>
                <w:rFonts w:ascii="Times New Roman" w:cs="Times New Roman" w:eastAsia="Times New Roman" w:hAnsi="Times New Roman"/>
                <w:sz w:val="8"/>
                <w:szCs w:val="8"/>
                <w:b w:val="1"/>
                <w:bCs w:val="1"/>
                <w:color w:val="FFFFFF"/>
              </w:rPr>
              <w:t>Change</w:t>
            </w:r>
          </w:p>
        </w:tc>
        <w:tc>
          <w:tcPr>
            <w:tcW w:w="600" w:type="dxa"/>
            <w:vAlign w:val="bottom"/>
            <w:tcBorders>
              <w:top w:val="single" w:sz="8" w:color="auto"/>
              <w:right w:val="single" w:sz="8" w:color="auto"/>
            </w:tcBorders>
            <w:shd w:val="clear" w:color="auto" w:fill="2AD2C9"/>
          </w:tcPr>
          <w:p>
            <w:pPr>
              <w:spacing w:after="0"/>
              <w:rPr>
                <w:sz w:val="8"/>
                <w:szCs w:val="8"/>
                <w:color w:val="auto"/>
              </w:rPr>
            </w:pPr>
          </w:p>
        </w:tc>
        <w:tc>
          <w:tcPr>
            <w:tcW w:w="1580" w:type="dxa"/>
            <w:vAlign w:val="bottom"/>
            <w:tcBorders>
              <w:top w:val="single" w:sz="8" w:color="auto"/>
              <w:right w:val="single" w:sz="8" w:color="auto"/>
            </w:tcBorders>
            <w:gridSpan w:val="2"/>
            <w:shd w:val="clear" w:color="auto" w:fill="2AD2C9"/>
          </w:tcPr>
          <w:p>
            <w:pPr>
              <w:jc w:val="center"/>
              <w:spacing w:after="0"/>
              <w:rPr>
                <w:sz w:val="20"/>
                <w:szCs w:val="20"/>
                <w:color w:val="auto"/>
              </w:rPr>
            </w:pPr>
            <w:r>
              <w:rPr>
                <w:rFonts w:ascii="Times New Roman" w:cs="Times New Roman" w:eastAsia="Times New Roman" w:hAnsi="Times New Roman"/>
                <w:sz w:val="8"/>
                <w:szCs w:val="8"/>
                <w:b w:val="1"/>
                <w:bCs w:val="1"/>
                <w:color w:val="FFFFFF"/>
              </w:rPr>
              <w:t>Change FX Neutral USD PEN</w:t>
            </w:r>
          </w:p>
        </w:tc>
        <w:tc>
          <w:tcPr>
            <w:tcW w:w="1560" w:type="dxa"/>
            <w:vAlign w:val="bottom"/>
            <w:tcBorders>
              <w:top w:val="single" w:sz="8" w:color="auto"/>
              <w:right w:val="single" w:sz="8" w:color="auto"/>
            </w:tcBorders>
            <w:gridSpan w:val="2"/>
            <w:shd w:val="clear" w:color="auto" w:fill="2AD2C9"/>
          </w:tcPr>
          <w:p>
            <w:pPr>
              <w:jc w:val="center"/>
              <w:spacing w:after="0"/>
              <w:rPr>
                <w:sz w:val="20"/>
                <w:szCs w:val="20"/>
                <w:color w:val="auto"/>
              </w:rPr>
            </w:pPr>
            <w:r>
              <w:rPr>
                <w:rFonts w:ascii="Times New Roman" w:cs="Times New Roman" w:eastAsia="Times New Roman" w:hAnsi="Times New Roman"/>
                <w:sz w:val="8"/>
                <w:szCs w:val="8"/>
                <w:b w:val="1"/>
                <w:bCs w:val="1"/>
                <w:color w:val="FFFFFF"/>
              </w:rPr>
              <w:t>Change FX Neutral USD PEN</w:t>
            </w:r>
          </w:p>
        </w:tc>
        <w:tc>
          <w:tcPr>
            <w:tcW w:w="0" w:type="dxa"/>
            <w:vAlign w:val="bottom"/>
          </w:tcPr>
          <w:p>
            <w:pPr>
              <w:spacing w:after="0"/>
              <w:rPr>
                <w:sz w:val="1"/>
                <w:szCs w:val="1"/>
                <w:color w:val="auto"/>
              </w:rPr>
            </w:pPr>
          </w:p>
        </w:tc>
      </w:tr>
      <w:tr>
        <w:trPr>
          <w:trHeight w:val="59"/>
        </w:trPr>
        <w:tc>
          <w:tcPr>
            <w:tcW w:w="2620" w:type="dxa"/>
            <w:vAlign w:val="bottom"/>
            <w:tcBorders>
              <w:left w:val="single" w:sz="8" w:color="auto"/>
              <w:right w:val="single" w:sz="8" w:color="auto"/>
            </w:tcBorders>
            <w:shd w:val="clear" w:color="auto" w:fill="2AD2C9"/>
          </w:tcPr>
          <w:p>
            <w:pPr>
              <w:spacing w:after="0"/>
              <w:rPr>
                <w:sz w:val="5"/>
                <w:szCs w:val="5"/>
                <w:color w:val="auto"/>
              </w:rPr>
            </w:pPr>
          </w:p>
        </w:tc>
        <w:tc>
          <w:tcPr>
            <w:tcW w:w="760" w:type="dxa"/>
            <w:vAlign w:val="bottom"/>
            <w:shd w:val="clear" w:color="auto" w:fill="2AD2C9"/>
          </w:tcPr>
          <w:p>
            <w:pPr>
              <w:spacing w:after="0"/>
              <w:rPr>
                <w:sz w:val="5"/>
                <w:szCs w:val="5"/>
                <w:color w:val="auto"/>
              </w:rPr>
            </w:pPr>
          </w:p>
        </w:tc>
        <w:tc>
          <w:tcPr>
            <w:tcW w:w="780" w:type="dxa"/>
            <w:vAlign w:val="bottom"/>
            <w:vMerge w:val="continue"/>
            <w:shd w:val="clear" w:color="auto" w:fill="2AD2C9"/>
          </w:tcPr>
          <w:p>
            <w:pPr>
              <w:spacing w:after="0"/>
              <w:rPr>
                <w:sz w:val="5"/>
                <w:szCs w:val="5"/>
                <w:color w:val="auto"/>
              </w:rPr>
            </w:pPr>
          </w:p>
        </w:tc>
        <w:tc>
          <w:tcPr>
            <w:tcW w:w="820" w:type="dxa"/>
            <w:vAlign w:val="bottom"/>
            <w:tcBorders>
              <w:right w:val="single" w:sz="8" w:color="auto"/>
            </w:tcBorders>
            <w:shd w:val="clear" w:color="auto" w:fill="2AD2C9"/>
          </w:tcPr>
          <w:p>
            <w:pPr>
              <w:spacing w:after="0"/>
              <w:rPr>
                <w:sz w:val="5"/>
                <w:szCs w:val="5"/>
                <w:color w:val="auto"/>
              </w:rPr>
            </w:pPr>
          </w:p>
        </w:tc>
        <w:tc>
          <w:tcPr>
            <w:tcW w:w="560" w:type="dxa"/>
            <w:vAlign w:val="bottom"/>
            <w:shd w:val="clear" w:color="auto" w:fill="2AD2C9"/>
          </w:tcPr>
          <w:p>
            <w:pPr>
              <w:spacing w:after="0"/>
              <w:rPr>
                <w:sz w:val="5"/>
                <w:szCs w:val="5"/>
                <w:color w:val="auto"/>
              </w:rPr>
            </w:pPr>
          </w:p>
        </w:tc>
        <w:tc>
          <w:tcPr>
            <w:tcW w:w="1000" w:type="dxa"/>
            <w:vAlign w:val="bottom"/>
            <w:tcBorders>
              <w:right w:val="single" w:sz="8" w:color="auto"/>
            </w:tcBorders>
            <w:vMerge w:val="restart"/>
            <w:shd w:val="clear" w:color="auto" w:fill="2AD2C9"/>
          </w:tcPr>
          <w:p>
            <w:pPr>
              <w:jc w:val="center"/>
              <w:ind w:right="558"/>
              <w:spacing w:after="0"/>
              <w:rPr>
                <w:sz w:val="20"/>
                <w:szCs w:val="20"/>
                <w:color w:val="auto"/>
              </w:rPr>
            </w:pPr>
            <w:r>
              <w:rPr>
                <w:rFonts w:ascii="Times New Roman" w:cs="Times New Roman" w:eastAsia="Times New Roman" w:hAnsi="Times New Roman"/>
                <w:sz w:val="8"/>
                <w:szCs w:val="8"/>
                <w:b w:val="1"/>
                <w:bCs w:val="1"/>
                <w:color w:val="FFFFFF"/>
                <w:w w:val="99"/>
              </w:rPr>
              <w:t>(Volume)</w:t>
            </w:r>
          </w:p>
        </w:tc>
        <w:tc>
          <w:tcPr>
            <w:tcW w:w="980" w:type="dxa"/>
            <w:vAlign w:val="bottom"/>
            <w:vMerge w:val="restart"/>
            <w:shd w:val="clear" w:color="auto" w:fill="2AD2C9"/>
          </w:tcPr>
          <w:p>
            <w:pPr>
              <w:jc w:val="right"/>
              <w:ind w:right="98"/>
              <w:spacing w:after="0"/>
              <w:rPr>
                <w:sz w:val="20"/>
                <w:szCs w:val="20"/>
                <w:color w:val="auto"/>
              </w:rPr>
            </w:pPr>
            <w:r>
              <w:rPr>
                <w:rFonts w:ascii="Times New Roman" w:cs="Times New Roman" w:eastAsia="Times New Roman" w:hAnsi="Times New Roman"/>
                <w:sz w:val="8"/>
                <w:szCs w:val="8"/>
                <w:b w:val="1"/>
                <w:bCs w:val="1"/>
                <w:color w:val="FFFFFF"/>
              </w:rPr>
              <w:t>(%)</w:t>
            </w:r>
          </w:p>
        </w:tc>
        <w:tc>
          <w:tcPr>
            <w:tcW w:w="600" w:type="dxa"/>
            <w:vAlign w:val="bottom"/>
            <w:tcBorders>
              <w:right w:val="single" w:sz="8" w:color="auto"/>
            </w:tcBorders>
            <w:shd w:val="clear" w:color="auto" w:fill="2AD2C9"/>
          </w:tcPr>
          <w:p>
            <w:pPr>
              <w:spacing w:after="0"/>
              <w:rPr>
                <w:sz w:val="5"/>
                <w:szCs w:val="5"/>
                <w:color w:val="auto"/>
              </w:rPr>
            </w:pPr>
          </w:p>
        </w:tc>
        <w:tc>
          <w:tcPr>
            <w:tcW w:w="600" w:type="dxa"/>
            <w:vAlign w:val="bottom"/>
            <w:shd w:val="clear" w:color="auto" w:fill="2AD2C9"/>
          </w:tcPr>
          <w:p>
            <w:pPr>
              <w:spacing w:after="0"/>
              <w:rPr>
                <w:sz w:val="5"/>
                <w:szCs w:val="5"/>
                <w:color w:val="auto"/>
              </w:rPr>
            </w:pPr>
          </w:p>
        </w:tc>
        <w:tc>
          <w:tcPr>
            <w:tcW w:w="980" w:type="dxa"/>
            <w:vAlign w:val="bottom"/>
            <w:tcBorders>
              <w:right w:val="single" w:sz="8" w:color="auto"/>
            </w:tcBorders>
            <w:vMerge w:val="restart"/>
            <w:shd w:val="clear" w:color="auto" w:fill="2AD2C9"/>
          </w:tcPr>
          <w:p>
            <w:pPr>
              <w:jc w:val="center"/>
              <w:ind w:right="598"/>
              <w:spacing w:after="0"/>
              <w:rPr>
                <w:sz w:val="20"/>
                <w:szCs w:val="20"/>
                <w:color w:val="auto"/>
              </w:rPr>
            </w:pPr>
            <w:r>
              <w:rPr>
                <w:rFonts w:ascii="Times New Roman" w:cs="Times New Roman" w:eastAsia="Times New Roman" w:hAnsi="Times New Roman"/>
                <w:sz w:val="8"/>
                <w:szCs w:val="8"/>
                <w:b w:val="1"/>
                <w:bCs w:val="1"/>
                <w:color w:val="FFFFFF"/>
              </w:rPr>
              <w:t>(Volume)</w:t>
            </w:r>
          </w:p>
        </w:tc>
        <w:tc>
          <w:tcPr>
            <w:tcW w:w="580" w:type="dxa"/>
            <w:vAlign w:val="bottom"/>
            <w:shd w:val="clear" w:color="auto" w:fill="2AD2C9"/>
          </w:tcPr>
          <w:p>
            <w:pPr>
              <w:spacing w:after="0"/>
              <w:rPr>
                <w:sz w:val="5"/>
                <w:szCs w:val="5"/>
                <w:color w:val="auto"/>
              </w:rPr>
            </w:pPr>
          </w:p>
        </w:tc>
        <w:tc>
          <w:tcPr>
            <w:tcW w:w="980" w:type="dxa"/>
            <w:vAlign w:val="bottom"/>
            <w:tcBorders>
              <w:right w:val="single" w:sz="8" w:color="auto"/>
            </w:tcBorders>
            <w:vMerge w:val="restart"/>
            <w:shd w:val="clear" w:color="auto" w:fill="2AD2C9"/>
          </w:tcPr>
          <w:p>
            <w:pPr>
              <w:jc w:val="right"/>
              <w:ind w:right="678"/>
              <w:spacing w:after="0"/>
              <w:rPr>
                <w:sz w:val="20"/>
                <w:szCs w:val="20"/>
                <w:color w:val="auto"/>
              </w:rPr>
            </w:pPr>
            <w:r>
              <w:rPr>
                <w:rFonts w:ascii="Times New Roman" w:cs="Times New Roman" w:eastAsia="Times New Roman" w:hAnsi="Times New Roman"/>
                <w:sz w:val="8"/>
                <w:szCs w:val="8"/>
                <w:b w:val="1"/>
                <w:bCs w:val="1"/>
                <w:color w:val="FFFFFF"/>
              </w:rPr>
              <w:t>(%)</w:t>
            </w:r>
          </w:p>
        </w:tc>
        <w:tc>
          <w:tcPr>
            <w:tcW w:w="0" w:type="dxa"/>
            <w:vAlign w:val="bottom"/>
          </w:tcPr>
          <w:p>
            <w:pPr>
              <w:spacing w:after="0"/>
              <w:rPr>
                <w:sz w:val="1"/>
                <w:szCs w:val="1"/>
                <w:color w:val="auto"/>
              </w:rPr>
            </w:pPr>
          </w:p>
        </w:tc>
      </w:tr>
      <w:tr>
        <w:trPr>
          <w:trHeight w:val="39"/>
        </w:trPr>
        <w:tc>
          <w:tcPr>
            <w:tcW w:w="2620" w:type="dxa"/>
            <w:vAlign w:val="bottom"/>
            <w:tcBorders>
              <w:left w:val="single" w:sz="8" w:color="auto"/>
              <w:right w:val="single" w:sz="8" w:color="auto"/>
            </w:tcBorders>
            <w:shd w:val="clear" w:color="auto" w:fill="2AD2C9"/>
          </w:tcPr>
          <w:p>
            <w:pPr>
              <w:spacing w:after="0"/>
              <w:rPr>
                <w:sz w:val="3"/>
                <w:szCs w:val="3"/>
                <w:color w:val="auto"/>
              </w:rPr>
            </w:pPr>
          </w:p>
        </w:tc>
        <w:tc>
          <w:tcPr>
            <w:tcW w:w="760" w:type="dxa"/>
            <w:vAlign w:val="bottom"/>
            <w:shd w:val="clear" w:color="auto" w:fill="2AD2C9"/>
          </w:tcPr>
          <w:p>
            <w:pPr>
              <w:spacing w:after="0"/>
              <w:rPr>
                <w:sz w:val="3"/>
                <w:szCs w:val="3"/>
                <w:color w:val="auto"/>
              </w:rPr>
            </w:pPr>
          </w:p>
        </w:tc>
        <w:tc>
          <w:tcPr>
            <w:tcW w:w="780" w:type="dxa"/>
            <w:vAlign w:val="bottom"/>
            <w:shd w:val="clear" w:color="auto" w:fill="2AD2C9"/>
          </w:tcPr>
          <w:p>
            <w:pPr>
              <w:spacing w:after="0"/>
              <w:rPr>
                <w:sz w:val="3"/>
                <w:szCs w:val="3"/>
                <w:color w:val="auto"/>
              </w:rPr>
            </w:pPr>
          </w:p>
        </w:tc>
        <w:tc>
          <w:tcPr>
            <w:tcW w:w="820" w:type="dxa"/>
            <w:vAlign w:val="bottom"/>
            <w:tcBorders>
              <w:right w:val="single" w:sz="8" w:color="auto"/>
            </w:tcBorders>
            <w:shd w:val="clear" w:color="auto" w:fill="2AD2C9"/>
          </w:tcPr>
          <w:p>
            <w:pPr>
              <w:spacing w:after="0"/>
              <w:rPr>
                <w:sz w:val="3"/>
                <w:szCs w:val="3"/>
                <w:color w:val="auto"/>
              </w:rPr>
            </w:pPr>
          </w:p>
        </w:tc>
        <w:tc>
          <w:tcPr>
            <w:tcW w:w="560" w:type="dxa"/>
            <w:vAlign w:val="bottom"/>
            <w:shd w:val="clear" w:color="auto" w:fill="2AD2C9"/>
          </w:tcPr>
          <w:p>
            <w:pPr>
              <w:spacing w:after="0"/>
              <w:rPr>
                <w:sz w:val="3"/>
                <w:szCs w:val="3"/>
                <w:color w:val="auto"/>
              </w:rPr>
            </w:pPr>
          </w:p>
        </w:tc>
        <w:tc>
          <w:tcPr>
            <w:tcW w:w="1000" w:type="dxa"/>
            <w:vAlign w:val="bottom"/>
            <w:tcBorders>
              <w:right w:val="single" w:sz="8" w:color="auto"/>
            </w:tcBorders>
            <w:vMerge w:val="continue"/>
            <w:shd w:val="clear" w:color="auto" w:fill="2AD2C9"/>
          </w:tcPr>
          <w:p>
            <w:pPr>
              <w:spacing w:after="0"/>
              <w:rPr>
                <w:sz w:val="3"/>
                <w:szCs w:val="3"/>
                <w:color w:val="auto"/>
              </w:rPr>
            </w:pPr>
          </w:p>
        </w:tc>
        <w:tc>
          <w:tcPr>
            <w:tcW w:w="980" w:type="dxa"/>
            <w:vAlign w:val="bottom"/>
            <w:vMerge w:val="continue"/>
            <w:shd w:val="clear" w:color="auto" w:fill="2AD2C9"/>
          </w:tcPr>
          <w:p>
            <w:pPr>
              <w:spacing w:after="0"/>
              <w:rPr>
                <w:sz w:val="3"/>
                <w:szCs w:val="3"/>
                <w:color w:val="auto"/>
              </w:rPr>
            </w:pPr>
          </w:p>
        </w:tc>
        <w:tc>
          <w:tcPr>
            <w:tcW w:w="600" w:type="dxa"/>
            <w:vAlign w:val="bottom"/>
            <w:tcBorders>
              <w:right w:val="single" w:sz="8" w:color="auto"/>
            </w:tcBorders>
            <w:shd w:val="clear" w:color="auto" w:fill="2AD2C9"/>
          </w:tcPr>
          <w:p>
            <w:pPr>
              <w:spacing w:after="0"/>
              <w:rPr>
                <w:sz w:val="3"/>
                <w:szCs w:val="3"/>
                <w:color w:val="auto"/>
              </w:rPr>
            </w:pPr>
          </w:p>
        </w:tc>
        <w:tc>
          <w:tcPr>
            <w:tcW w:w="600" w:type="dxa"/>
            <w:vAlign w:val="bottom"/>
            <w:shd w:val="clear" w:color="auto" w:fill="2AD2C9"/>
          </w:tcPr>
          <w:p>
            <w:pPr>
              <w:spacing w:after="0"/>
              <w:rPr>
                <w:sz w:val="3"/>
                <w:szCs w:val="3"/>
                <w:color w:val="auto"/>
              </w:rPr>
            </w:pPr>
          </w:p>
        </w:tc>
        <w:tc>
          <w:tcPr>
            <w:tcW w:w="980" w:type="dxa"/>
            <w:vAlign w:val="bottom"/>
            <w:tcBorders>
              <w:right w:val="single" w:sz="8" w:color="auto"/>
            </w:tcBorders>
            <w:vMerge w:val="continue"/>
            <w:shd w:val="clear" w:color="auto" w:fill="2AD2C9"/>
          </w:tcPr>
          <w:p>
            <w:pPr>
              <w:spacing w:after="0"/>
              <w:rPr>
                <w:sz w:val="3"/>
                <w:szCs w:val="3"/>
                <w:color w:val="auto"/>
              </w:rPr>
            </w:pPr>
          </w:p>
        </w:tc>
        <w:tc>
          <w:tcPr>
            <w:tcW w:w="580" w:type="dxa"/>
            <w:vAlign w:val="bottom"/>
            <w:shd w:val="clear" w:color="auto" w:fill="2AD2C9"/>
          </w:tcPr>
          <w:p>
            <w:pPr>
              <w:spacing w:after="0"/>
              <w:rPr>
                <w:sz w:val="3"/>
                <w:szCs w:val="3"/>
                <w:color w:val="auto"/>
              </w:rPr>
            </w:pPr>
          </w:p>
        </w:tc>
        <w:tc>
          <w:tcPr>
            <w:tcW w:w="980" w:type="dxa"/>
            <w:vAlign w:val="bottom"/>
            <w:tcBorders>
              <w:right w:val="single" w:sz="8" w:color="auto"/>
            </w:tcBorders>
            <w:vMerge w:val="continue"/>
            <w:shd w:val="clear" w:color="auto" w:fill="2AD2C9"/>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9"/>
        </w:trPr>
        <w:tc>
          <w:tcPr>
            <w:tcW w:w="2620" w:type="dxa"/>
            <w:vAlign w:val="bottom"/>
            <w:tcBorders>
              <w:left w:val="single" w:sz="8" w:color="auto"/>
              <w:bottom w:val="single" w:sz="8" w:color="auto"/>
              <w:right w:val="single" w:sz="8" w:color="auto"/>
            </w:tcBorders>
            <w:shd w:val="clear" w:color="auto" w:fill="2AD2C9"/>
          </w:tcPr>
          <w:p>
            <w:pPr>
              <w:ind w:left="40"/>
              <w:spacing w:after="0" w:line="89" w:lineRule="exact"/>
              <w:rPr>
                <w:sz w:val="20"/>
                <w:szCs w:val="20"/>
                <w:color w:val="auto"/>
              </w:rPr>
            </w:pPr>
            <w:r>
              <w:rPr>
                <w:rFonts w:ascii="Times New Roman" w:cs="Times New Roman" w:eastAsia="Times New Roman" w:hAnsi="Times New Roman"/>
                <w:sz w:val="8"/>
                <w:szCs w:val="8"/>
                <w:b w:val="1"/>
                <w:bCs w:val="1"/>
                <w:color w:val="FFFFFF"/>
              </w:rPr>
              <w:t>S/000</w:t>
            </w:r>
          </w:p>
        </w:tc>
        <w:tc>
          <w:tcPr>
            <w:tcW w:w="760" w:type="dxa"/>
            <w:vAlign w:val="bottom"/>
            <w:tcBorders>
              <w:bottom w:val="single" w:sz="8" w:color="auto"/>
            </w:tcBorders>
            <w:shd w:val="clear" w:color="auto" w:fill="2AD2C9"/>
          </w:tcPr>
          <w:p>
            <w:pPr>
              <w:ind w:left="240"/>
              <w:spacing w:after="0" w:line="89" w:lineRule="exact"/>
              <w:rPr>
                <w:sz w:val="20"/>
                <w:szCs w:val="20"/>
                <w:color w:val="auto"/>
              </w:rPr>
            </w:pPr>
            <w:r>
              <w:rPr>
                <w:rFonts w:ascii="Times New Roman" w:cs="Times New Roman" w:eastAsia="Times New Roman" w:hAnsi="Times New Roman"/>
                <w:sz w:val="8"/>
                <w:szCs w:val="8"/>
                <w:b w:val="1"/>
                <w:bCs w:val="1"/>
                <w:color w:val="FFFFFF"/>
              </w:rPr>
              <w:t>Mar 25</w:t>
            </w:r>
          </w:p>
        </w:tc>
        <w:tc>
          <w:tcPr>
            <w:tcW w:w="780" w:type="dxa"/>
            <w:vAlign w:val="bottom"/>
            <w:tcBorders>
              <w:bottom w:val="single" w:sz="8" w:color="auto"/>
            </w:tcBorders>
            <w:shd w:val="clear" w:color="auto" w:fill="2AD2C9"/>
          </w:tcPr>
          <w:p>
            <w:pPr>
              <w:jc w:val="center"/>
              <w:spacing w:after="0" w:line="89" w:lineRule="exact"/>
              <w:rPr>
                <w:sz w:val="20"/>
                <w:szCs w:val="20"/>
                <w:color w:val="auto"/>
              </w:rPr>
            </w:pPr>
            <w:r>
              <w:rPr>
                <w:rFonts w:ascii="Times New Roman" w:cs="Times New Roman" w:eastAsia="Times New Roman" w:hAnsi="Times New Roman"/>
                <w:sz w:val="8"/>
                <w:szCs w:val="8"/>
                <w:b w:val="1"/>
                <w:bCs w:val="1"/>
                <w:color w:val="FFFFFF"/>
              </w:rPr>
              <w:t>Dec 25</w:t>
            </w:r>
          </w:p>
        </w:tc>
        <w:tc>
          <w:tcPr>
            <w:tcW w:w="820" w:type="dxa"/>
            <w:vAlign w:val="bottom"/>
            <w:tcBorders>
              <w:bottom w:val="single" w:sz="8" w:color="auto"/>
              <w:right w:val="single" w:sz="8" w:color="auto"/>
            </w:tcBorders>
            <w:shd w:val="clear" w:color="auto" w:fill="2AD2C9"/>
          </w:tcPr>
          <w:p>
            <w:pPr>
              <w:ind w:left="260"/>
              <w:spacing w:after="0" w:line="89" w:lineRule="exact"/>
              <w:rPr>
                <w:sz w:val="20"/>
                <w:szCs w:val="20"/>
                <w:color w:val="auto"/>
              </w:rPr>
            </w:pPr>
            <w:r>
              <w:rPr>
                <w:rFonts w:ascii="Times New Roman" w:cs="Times New Roman" w:eastAsia="Times New Roman" w:hAnsi="Times New Roman"/>
                <w:sz w:val="8"/>
                <w:szCs w:val="8"/>
                <w:b w:val="1"/>
                <w:bCs w:val="1"/>
                <w:color w:val="FFFFFF"/>
              </w:rPr>
              <w:t>Mar 26</w:t>
            </w:r>
          </w:p>
        </w:tc>
        <w:tc>
          <w:tcPr>
            <w:tcW w:w="560" w:type="dxa"/>
            <w:vAlign w:val="bottom"/>
            <w:tcBorders>
              <w:bottom w:val="single" w:sz="8" w:color="auto"/>
            </w:tcBorders>
            <w:shd w:val="clear" w:color="auto" w:fill="2AD2C9"/>
          </w:tcPr>
          <w:p>
            <w:pPr>
              <w:ind w:left="280"/>
              <w:spacing w:after="0" w:line="89" w:lineRule="exact"/>
              <w:rPr>
                <w:sz w:val="20"/>
                <w:szCs w:val="20"/>
                <w:color w:val="auto"/>
              </w:rPr>
            </w:pPr>
            <w:r>
              <w:rPr>
                <w:rFonts w:ascii="Times New Roman" w:cs="Times New Roman" w:eastAsia="Times New Roman" w:hAnsi="Times New Roman"/>
                <w:sz w:val="8"/>
                <w:szCs w:val="8"/>
                <w:b w:val="1"/>
                <w:bCs w:val="1"/>
                <w:color w:val="FFFFFF"/>
              </w:rPr>
              <w:t>QoQ</w:t>
            </w:r>
          </w:p>
        </w:tc>
        <w:tc>
          <w:tcPr>
            <w:tcW w:w="1000" w:type="dxa"/>
            <w:vAlign w:val="bottom"/>
            <w:tcBorders>
              <w:bottom w:val="single" w:sz="8" w:color="auto"/>
              <w:right w:val="single" w:sz="8" w:color="auto"/>
            </w:tcBorders>
            <w:shd w:val="clear" w:color="auto" w:fill="2AD2C9"/>
          </w:tcPr>
          <w:p>
            <w:pPr>
              <w:ind w:left="520"/>
              <w:spacing w:after="0" w:line="89" w:lineRule="exact"/>
              <w:rPr>
                <w:sz w:val="20"/>
                <w:szCs w:val="20"/>
                <w:color w:val="auto"/>
              </w:rPr>
            </w:pPr>
            <w:r>
              <w:rPr>
                <w:rFonts w:ascii="Times New Roman" w:cs="Times New Roman" w:eastAsia="Times New Roman" w:hAnsi="Times New Roman"/>
                <w:sz w:val="8"/>
                <w:szCs w:val="8"/>
                <w:b w:val="1"/>
                <w:bCs w:val="1"/>
                <w:color w:val="FFFFFF"/>
              </w:rPr>
              <w:t>YoY</w:t>
            </w:r>
          </w:p>
        </w:tc>
        <w:tc>
          <w:tcPr>
            <w:tcW w:w="980" w:type="dxa"/>
            <w:vAlign w:val="bottom"/>
            <w:tcBorders>
              <w:bottom w:val="single" w:sz="8" w:color="auto"/>
            </w:tcBorders>
            <w:shd w:val="clear" w:color="auto" w:fill="2AD2C9"/>
          </w:tcPr>
          <w:p>
            <w:pPr>
              <w:ind w:left="300"/>
              <w:spacing w:after="0" w:line="89" w:lineRule="exact"/>
              <w:rPr>
                <w:sz w:val="20"/>
                <w:szCs w:val="20"/>
                <w:color w:val="auto"/>
              </w:rPr>
            </w:pPr>
            <w:r>
              <w:rPr>
                <w:rFonts w:ascii="Times New Roman" w:cs="Times New Roman" w:eastAsia="Times New Roman" w:hAnsi="Times New Roman"/>
                <w:sz w:val="8"/>
                <w:szCs w:val="8"/>
                <w:b w:val="1"/>
                <w:bCs w:val="1"/>
                <w:color w:val="FFFFFF"/>
              </w:rPr>
              <w:t>QoQ</w:t>
            </w:r>
          </w:p>
        </w:tc>
        <w:tc>
          <w:tcPr>
            <w:tcW w:w="600" w:type="dxa"/>
            <w:vAlign w:val="bottom"/>
            <w:tcBorders>
              <w:bottom w:val="single" w:sz="8" w:color="auto"/>
              <w:right w:val="single" w:sz="8" w:color="auto"/>
            </w:tcBorders>
            <w:shd w:val="clear" w:color="auto" w:fill="2AD2C9"/>
          </w:tcPr>
          <w:p>
            <w:pPr>
              <w:ind w:left="100"/>
              <w:spacing w:after="0" w:line="89" w:lineRule="exact"/>
              <w:rPr>
                <w:sz w:val="20"/>
                <w:szCs w:val="20"/>
                <w:color w:val="auto"/>
              </w:rPr>
            </w:pPr>
            <w:r>
              <w:rPr>
                <w:rFonts w:ascii="Times New Roman" w:cs="Times New Roman" w:eastAsia="Times New Roman" w:hAnsi="Times New Roman"/>
                <w:sz w:val="8"/>
                <w:szCs w:val="8"/>
                <w:b w:val="1"/>
                <w:bCs w:val="1"/>
                <w:color w:val="FFFFFF"/>
              </w:rPr>
              <w:t>YoY</w:t>
            </w:r>
          </w:p>
        </w:tc>
        <w:tc>
          <w:tcPr>
            <w:tcW w:w="600" w:type="dxa"/>
            <w:vAlign w:val="bottom"/>
            <w:tcBorders>
              <w:bottom w:val="single" w:sz="8" w:color="auto"/>
            </w:tcBorders>
            <w:shd w:val="clear" w:color="auto" w:fill="2AD2C9"/>
          </w:tcPr>
          <w:p>
            <w:pPr>
              <w:ind w:left="300"/>
              <w:spacing w:after="0" w:line="89" w:lineRule="exact"/>
              <w:rPr>
                <w:sz w:val="20"/>
                <w:szCs w:val="20"/>
                <w:color w:val="auto"/>
              </w:rPr>
            </w:pPr>
            <w:r>
              <w:rPr>
                <w:rFonts w:ascii="Times New Roman" w:cs="Times New Roman" w:eastAsia="Times New Roman" w:hAnsi="Times New Roman"/>
                <w:sz w:val="8"/>
                <w:szCs w:val="8"/>
                <w:b w:val="1"/>
                <w:bCs w:val="1"/>
                <w:color w:val="FFFFFF"/>
              </w:rPr>
              <w:t>QoQ</w:t>
            </w:r>
          </w:p>
        </w:tc>
        <w:tc>
          <w:tcPr>
            <w:tcW w:w="980" w:type="dxa"/>
            <w:vAlign w:val="bottom"/>
            <w:tcBorders>
              <w:bottom w:val="single" w:sz="8" w:color="auto"/>
              <w:right w:val="single" w:sz="8" w:color="auto"/>
            </w:tcBorders>
            <w:shd w:val="clear" w:color="auto" w:fill="2AD2C9"/>
          </w:tcPr>
          <w:p>
            <w:pPr>
              <w:ind w:left="480"/>
              <w:spacing w:after="0" w:line="89" w:lineRule="exact"/>
              <w:rPr>
                <w:sz w:val="20"/>
                <w:szCs w:val="20"/>
                <w:color w:val="auto"/>
              </w:rPr>
            </w:pPr>
            <w:r>
              <w:rPr>
                <w:rFonts w:ascii="Times New Roman" w:cs="Times New Roman" w:eastAsia="Times New Roman" w:hAnsi="Times New Roman"/>
                <w:sz w:val="8"/>
                <w:szCs w:val="8"/>
                <w:b w:val="1"/>
                <w:bCs w:val="1"/>
                <w:color w:val="FFFFFF"/>
              </w:rPr>
              <w:t>YoY</w:t>
            </w:r>
          </w:p>
        </w:tc>
        <w:tc>
          <w:tcPr>
            <w:tcW w:w="580" w:type="dxa"/>
            <w:vAlign w:val="bottom"/>
            <w:tcBorders>
              <w:bottom w:val="single" w:sz="8" w:color="auto"/>
            </w:tcBorders>
            <w:shd w:val="clear" w:color="auto" w:fill="2AD2C9"/>
          </w:tcPr>
          <w:p>
            <w:pPr>
              <w:ind w:left="280"/>
              <w:spacing w:after="0" w:line="89" w:lineRule="exact"/>
              <w:rPr>
                <w:sz w:val="20"/>
                <w:szCs w:val="20"/>
                <w:color w:val="auto"/>
              </w:rPr>
            </w:pPr>
            <w:r>
              <w:rPr>
                <w:rFonts w:ascii="Times New Roman" w:cs="Times New Roman" w:eastAsia="Times New Roman" w:hAnsi="Times New Roman"/>
                <w:sz w:val="8"/>
                <w:szCs w:val="8"/>
                <w:b w:val="1"/>
                <w:bCs w:val="1"/>
                <w:color w:val="FFFFFF"/>
              </w:rPr>
              <w:t>QoQ</w:t>
            </w:r>
          </w:p>
        </w:tc>
        <w:tc>
          <w:tcPr>
            <w:tcW w:w="980" w:type="dxa"/>
            <w:vAlign w:val="bottom"/>
            <w:tcBorders>
              <w:bottom w:val="single" w:sz="8" w:color="auto"/>
              <w:right w:val="single" w:sz="8" w:color="auto"/>
            </w:tcBorders>
            <w:shd w:val="clear" w:color="auto" w:fill="2AD2C9"/>
          </w:tcPr>
          <w:p>
            <w:pPr>
              <w:ind w:left="480"/>
              <w:spacing w:after="0" w:line="89" w:lineRule="exact"/>
              <w:rPr>
                <w:sz w:val="20"/>
                <w:szCs w:val="20"/>
                <w:color w:val="auto"/>
              </w:rPr>
            </w:pPr>
            <w:r>
              <w:rPr>
                <w:rFonts w:ascii="Times New Roman" w:cs="Times New Roman" w:eastAsia="Times New Roman" w:hAnsi="Times New Roman"/>
                <w:sz w:val="8"/>
                <w:szCs w:val="8"/>
                <w:b w:val="1"/>
                <w:bCs w:val="1"/>
                <w:color w:val="FFFFFF"/>
              </w:rPr>
              <w:t>YoY</w:t>
            </w:r>
          </w:p>
        </w:tc>
        <w:tc>
          <w:tcPr>
            <w:tcW w:w="0" w:type="dxa"/>
            <w:vAlign w:val="bottom"/>
          </w:tcPr>
          <w:p>
            <w:pPr>
              <w:spacing w:after="0"/>
              <w:rPr>
                <w:sz w:val="1"/>
                <w:szCs w:val="1"/>
                <w:color w:val="auto"/>
              </w:rPr>
            </w:pPr>
          </w:p>
        </w:tc>
      </w:tr>
      <w:tr>
        <w:trPr>
          <w:trHeight w:val="74"/>
        </w:trPr>
        <w:tc>
          <w:tcPr>
            <w:tcW w:w="2620" w:type="dxa"/>
            <w:vAlign w:val="bottom"/>
            <w:tcBorders>
              <w:left w:val="single" w:sz="8" w:color="auto"/>
              <w:right w:val="single" w:sz="8" w:color="auto"/>
            </w:tcBorders>
          </w:tcPr>
          <w:p>
            <w:pPr>
              <w:ind w:left="40"/>
              <w:spacing w:after="0" w:line="75" w:lineRule="exact"/>
              <w:rPr>
                <w:sz w:val="20"/>
                <w:szCs w:val="20"/>
                <w:color w:val="auto"/>
              </w:rPr>
            </w:pPr>
            <w:r>
              <w:rPr>
                <w:rFonts w:ascii="Times New Roman" w:cs="Times New Roman" w:eastAsia="Times New Roman" w:hAnsi="Times New Roman"/>
                <w:sz w:val="8"/>
                <w:szCs w:val="8"/>
                <w:color w:val="auto"/>
              </w:rPr>
              <w:t>Demand deposits</w:t>
            </w:r>
          </w:p>
        </w:tc>
        <w:tc>
          <w:tcPr>
            <w:tcW w:w="760" w:type="dxa"/>
            <w:vAlign w:val="bottom"/>
          </w:tcPr>
          <w:p>
            <w:pPr>
              <w:jc w:val="center"/>
              <w:spacing w:after="0" w:line="75" w:lineRule="exact"/>
              <w:rPr>
                <w:sz w:val="20"/>
                <w:szCs w:val="20"/>
                <w:color w:val="auto"/>
              </w:rPr>
            </w:pPr>
            <w:r>
              <w:rPr>
                <w:rFonts w:ascii="Times New Roman" w:cs="Times New Roman" w:eastAsia="Times New Roman" w:hAnsi="Times New Roman"/>
                <w:sz w:val="8"/>
                <w:szCs w:val="8"/>
                <w:color w:val="auto"/>
              </w:rPr>
              <w:t>53,992,479</w:t>
            </w:r>
          </w:p>
        </w:tc>
        <w:tc>
          <w:tcPr>
            <w:tcW w:w="780" w:type="dxa"/>
            <w:vAlign w:val="bottom"/>
          </w:tcPr>
          <w:p>
            <w:pPr>
              <w:jc w:val="center"/>
              <w:spacing w:after="0" w:line="75" w:lineRule="exact"/>
              <w:rPr>
                <w:sz w:val="20"/>
                <w:szCs w:val="20"/>
                <w:color w:val="auto"/>
              </w:rPr>
            </w:pPr>
            <w:r>
              <w:rPr>
                <w:rFonts w:ascii="Times New Roman" w:cs="Times New Roman" w:eastAsia="Times New Roman" w:hAnsi="Times New Roman"/>
                <w:sz w:val="8"/>
                <w:szCs w:val="8"/>
                <w:color w:val="auto"/>
              </w:rPr>
              <w:t>57,051,969</w:t>
            </w:r>
          </w:p>
        </w:tc>
        <w:tc>
          <w:tcPr>
            <w:tcW w:w="820" w:type="dxa"/>
            <w:vAlign w:val="bottom"/>
            <w:tcBorders>
              <w:right w:val="single" w:sz="8" w:color="auto"/>
            </w:tcBorders>
          </w:tcPr>
          <w:p>
            <w:pPr>
              <w:jc w:val="center"/>
              <w:spacing w:after="0" w:line="75" w:lineRule="exact"/>
              <w:rPr>
                <w:sz w:val="20"/>
                <w:szCs w:val="20"/>
                <w:color w:val="auto"/>
              </w:rPr>
            </w:pPr>
            <w:r>
              <w:rPr>
                <w:rFonts w:ascii="Times New Roman" w:cs="Times New Roman" w:eastAsia="Times New Roman" w:hAnsi="Times New Roman"/>
                <w:sz w:val="8"/>
                <w:szCs w:val="8"/>
                <w:color w:val="auto"/>
              </w:rPr>
              <w:t>62,594,945</w:t>
            </w:r>
          </w:p>
        </w:tc>
        <w:tc>
          <w:tcPr>
            <w:tcW w:w="560" w:type="dxa"/>
            <w:vAlign w:val="bottom"/>
          </w:tcPr>
          <w:p>
            <w:pPr>
              <w:jc w:val="center"/>
              <w:ind w:left="138"/>
              <w:spacing w:after="0" w:line="75" w:lineRule="exact"/>
              <w:rPr>
                <w:sz w:val="20"/>
                <w:szCs w:val="20"/>
                <w:color w:val="auto"/>
              </w:rPr>
            </w:pPr>
            <w:r>
              <w:rPr>
                <w:rFonts w:ascii="Times New Roman" w:cs="Times New Roman" w:eastAsia="Times New Roman" w:hAnsi="Times New Roman"/>
                <w:sz w:val="8"/>
                <w:szCs w:val="8"/>
                <w:color w:val="auto"/>
              </w:rPr>
              <w:t>5,542,976</w:t>
            </w:r>
          </w:p>
        </w:tc>
        <w:tc>
          <w:tcPr>
            <w:tcW w:w="1000" w:type="dxa"/>
            <w:vAlign w:val="bottom"/>
            <w:tcBorders>
              <w:right w:val="single" w:sz="8" w:color="auto"/>
            </w:tcBorders>
          </w:tcPr>
          <w:p>
            <w:pPr>
              <w:jc w:val="center"/>
              <w:ind w:left="138"/>
              <w:spacing w:after="0" w:line="75" w:lineRule="exact"/>
              <w:rPr>
                <w:sz w:val="20"/>
                <w:szCs w:val="20"/>
                <w:color w:val="auto"/>
              </w:rPr>
            </w:pPr>
            <w:r>
              <w:rPr>
                <w:rFonts w:ascii="Times New Roman" w:cs="Times New Roman" w:eastAsia="Times New Roman" w:hAnsi="Times New Roman"/>
                <w:sz w:val="8"/>
                <w:szCs w:val="8"/>
                <w:color w:val="auto"/>
              </w:rPr>
              <w:t>8,602,466</w:t>
            </w:r>
          </w:p>
        </w:tc>
        <w:tc>
          <w:tcPr>
            <w:tcW w:w="980" w:type="dxa"/>
            <w:vAlign w:val="bottom"/>
          </w:tcPr>
          <w:p>
            <w:pPr>
              <w:jc w:val="center"/>
              <w:ind w:right="158"/>
              <w:spacing w:after="0" w:line="75" w:lineRule="exact"/>
              <w:rPr>
                <w:sz w:val="20"/>
                <w:szCs w:val="20"/>
                <w:color w:val="auto"/>
              </w:rPr>
            </w:pPr>
            <w:r>
              <w:rPr>
                <w:rFonts w:ascii="Times New Roman" w:cs="Times New Roman" w:eastAsia="Times New Roman" w:hAnsi="Times New Roman"/>
                <w:sz w:val="8"/>
                <w:szCs w:val="8"/>
                <w:color w:val="auto"/>
              </w:rPr>
              <w:t>9.7%</w:t>
            </w:r>
          </w:p>
        </w:tc>
        <w:tc>
          <w:tcPr>
            <w:tcW w:w="600" w:type="dxa"/>
            <w:vAlign w:val="bottom"/>
            <w:tcBorders>
              <w:right w:val="single" w:sz="8" w:color="auto"/>
            </w:tcBorders>
          </w:tcPr>
          <w:p>
            <w:pPr>
              <w:jc w:val="center"/>
              <w:ind w:right="178"/>
              <w:spacing w:after="0" w:line="75" w:lineRule="exact"/>
              <w:rPr>
                <w:sz w:val="20"/>
                <w:szCs w:val="20"/>
                <w:color w:val="auto"/>
              </w:rPr>
            </w:pPr>
            <w:r>
              <w:rPr>
                <w:rFonts w:ascii="Times New Roman" w:cs="Times New Roman" w:eastAsia="Times New Roman" w:hAnsi="Times New Roman"/>
                <w:sz w:val="8"/>
                <w:szCs w:val="8"/>
                <w:color w:val="auto"/>
              </w:rPr>
              <w:t>15.9%</w:t>
            </w:r>
          </w:p>
        </w:tc>
        <w:tc>
          <w:tcPr>
            <w:tcW w:w="600" w:type="dxa"/>
            <w:vAlign w:val="bottom"/>
          </w:tcPr>
          <w:p>
            <w:pPr>
              <w:jc w:val="center"/>
              <w:ind w:left="98"/>
              <w:spacing w:after="0" w:line="75" w:lineRule="exact"/>
              <w:rPr>
                <w:sz w:val="20"/>
                <w:szCs w:val="20"/>
                <w:color w:val="auto"/>
              </w:rPr>
            </w:pPr>
            <w:r>
              <w:rPr>
                <w:rFonts w:ascii="Times New Roman" w:cs="Times New Roman" w:eastAsia="Times New Roman" w:hAnsi="Times New Roman"/>
                <w:sz w:val="8"/>
                <w:szCs w:val="8"/>
                <w:color w:val="auto"/>
              </w:rPr>
              <w:t>2,972,339</w:t>
            </w:r>
          </w:p>
        </w:tc>
        <w:tc>
          <w:tcPr>
            <w:tcW w:w="980" w:type="dxa"/>
            <w:vAlign w:val="bottom"/>
            <w:tcBorders>
              <w:right w:val="single" w:sz="8" w:color="auto"/>
            </w:tcBorders>
          </w:tcPr>
          <w:p>
            <w:pPr>
              <w:jc w:val="center"/>
              <w:ind w:left="98"/>
              <w:spacing w:after="0" w:line="75" w:lineRule="exact"/>
              <w:rPr>
                <w:sz w:val="20"/>
                <w:szCs w:val="20"/>
                <w:color w:val="auto"/>
              </w:rPr>
            </w:pPr>
            <w:r>
              <w:rPr>
                <w:rFonts w:ascii="Times New Roman" w:cs="Times New Roman" w:eastAsia="Times New Roman" w:hAnsi="Times New Roman"/>
                <w:sz w:val="8"/>
                <w:szCs w:val="8"/>
                <w:color w:val="auto"/>
                <w:w w:val="99"/>
              </w:rPr>
              <w:t>8,234,568</w:t>
            </w:r>
          </w:p>
        </w:tc>
        <w:tc>
          <w:tcPr>
            <w:tcW w:w="580" w:type="dxa"/>
            <w:vAlign w:val="bottom"/>
          </w:tcPr>
          <w:p>
            <w:pPr>
              <w:jc w:val="center"/>
              <w:ind w:left="118"/>
              <w:spacing w:after="0" w:line="75" w:lineRule="exact"/>
              <w:rPr>
                <w:sz w:val="20"/>
                <w:szCs w:val="20"/>
                <w:color w:val="auto"/>
              </w:rPr>
            </w:pPr>
            <w:r>
              <w:rPr>
                <w:rFonts w:ascii="Times New Roman" w:cs="Times New Roman" w:eastAsia="Times New Roman" w:hAnsi="Times New Roman"/>
                <w:sz w:val="8"/>
                <w:szCs w:val="8"/>
                <w:color w:val="auto"/>
              </w:rPr>
              <w:t>5.1%</w:t>
            </w:r>
          </w:p>
        </w:tc>
        <w:tc>
          <w:tcPr>
            <w:tcW w:w="980" w:type="dxa"/>
            <w:vAlign w:val="bottom"/>
            <w:tcBorders>
              <w:right w:val="single" w:sz="8" w:color="auto"/>
            </w:tcBorders>
          </w:tcPr>
          <w:p>
            <w:pPr>
              <w:jc w:val="center"/>
              <w:ind w:left="118"/>
              <w:spacing w:after="0" w:line="75" w:lineRule="exact"/>
              <w:rPr>
                <w:sz w:val="20"/>
                <w:szCs w:val="20"/>
                <w:color w:val="auto"/>
              </w:rPr>
            </w:pPr>
            <w:r>
              <w:rPr>
                <w:rFonts w:ascii="Times New Roman" w:cs="Times New Roman" w:eastAsia="Times New Roman" w:hAnsi="Times New Roman"/>
                <w:sz w:val="8"/>
                <w:szCs w:val="8"/>
                <w:color w:val="auto"/>
              </w:rPr>
              <w:t>14.8%</w:t>
            </w:r>
          </w:p>
        </w:tc>
        <w:tc>
          <w:tcPr>
            <w:tcW w:w="0" w:type="dxa"/>
            <w:vAlign w:val="bottom"/>
          </w:tcPr>
          <w:p>
            <w:pPr>
              <w:spacing w:after="0"/>
              <w:rPr>
                <w:sz w:val="1"/>
                <w:szCs w:val="1"/>
                <w:color w:val="auto"/>
              </w:rPr>
            </w:pPr>
          </w:p>
        </w:tc>
      </w:tr>
      <w:tr>
        <w:trPr>
          <w:trHeight w:val="89"/>
        </w:trPr>
        <w:tc>
          <w:tcPr>
            <w:tcW w:w="2620" w:type="dxa"/>
            <w:vAlign w:val="bottom"/>
            <w:tcBorders>
              <w:left w:val="single" w:sz="8" w:color="auto"/>
              <w:right w:val="single" w:sz="8" w:color="auto"/>
            </w:tcBorders>
          </w:tcPr>
          <w:p>
            <w:pPr>
              <w:ind w:left="40"/>
              <w:spacing w:after="0" w:line="89" w:lineRule="exact"/>
              <w:rPr>
                <w:sz w:val="20"/>
                <w:szCs w:val="20"/>
                <w:color w:val="auto"/>
              </w:rPr>
            </w:pPr>
            <w:r>
              <w:rPr>
                <w:rFonts w:ascii="Times New Roman" w:cs="Times New Roman" w:eastAsia="Times New Roman" w:hAnsi="Times New Roman"/>
                <w:sz w:val="8"/>
                <w:szCs w:val="8"/>
                <w:color w:val="auto"/>
              </w:rPr>
              <w:t>Saving deposits</w:t>
            </w:r>
          </w:p>
        </w:tc>
        <w:tc>
          <w:tcPr>
            <w:tcW w:w="760" w:type="dxa"/>
            <w:vAlign w:val="bottom"/>
          </w:tcPr>
          <w:p>
            <w:pPr>
              <w:jc w:val="center"/>
              <w:spacing w:after="0" w:line="89" w:lineRule="exact"/>
              <w:rPr>
                <w:sz w:val="20"/>
                <w:szCs w:val="20"/>
                <w:color w:val="auto"/>
              </w:rPr>
            </w:pPr>
            <w:r>
              <w:rPr>
                <w:rFonts w:ascii="Times New Roman" w:cs="Times New Roman" w:eastAsia="Times New Roman" w:hAnsi="Times New Roman"/>
                <w:sz w:val="8"/>
                <w:szCs w:val="8"/>
                <w:color w:val="auto"/>
              </w:rPr>
              <w:t>59,969,559</w:t>
            </w:r>
          </w:p>
        </w:tc>
        <w:tc>
          <w:tcPr>
            <w:tcW w:w="780" w:type="dxa"/>
            <w:vAlign w:val="bottom"/>
          </w:tcPr>
          <w:p>
            <w:pPr>
              <w:jc w:val="center"/>
              <w:spacing w:after="0" w:line="89" w:lineRule="exact"/>
              <w:rPr>
                <w:sz w:val="20"/>
                <w:szCs w:val="20"/>
                <w:color w:val="auto"/>
              </w:rPr>
            </w:pPr>
            <w:r>
              <w:rPr>
                <w:rFonts w:ascii="Times New Roman" w:cs="Times New Roman" w:eastAsia="Times New Roman" w:hAnsi="Times New Roman"/>
                <w:sz w:val="8"/>
                <w:szCs w:val="8"/>
                <w:color w:val="auto"/>
              </w:rPr>
              <w:t>67,811,945</w:t>
            </w:r>
          </w:p>
        </w:tc>
        <w:tc>
          <w:tcPr>
            <w:tcW w:w="820" w:type="dxa"/>
            <w:vAlign w:val="bottom"/>
            <w:tcBorders>
              <w:right w:val="single" w:sz="8" w:color="auto"/>
            </w:tcBorders>
          </w:tcPr>
          <w:p>
            <w:pPr>
              <w:jc w:val="center"/>
              <w:spacing w:after="0" w:line="89" w:lineRule="exact"/>
              <w:rPr>
                <w:sz w:val="20"/>
                <w:szCs w:val="20"/>
                <w:color w:val="auto"/>
              </w:rPr>
            </w:pPr>
            <w:r>
              <w:rPr>
                <w:rFonts w:ascii="Times New Roman" w:cs="Times New Roman" w:eastAsia="Times New Roman" w:hAnsi="Times New Roman"/>
                <w:sz w:val="8"/>
                <w:szCs w:val="8"/>
                <w:color w:val="auto"/>
              </w:rPr>
              <w:t>71,249,909</w:t>
            </w:r>
          </w:p>
        </w:tc>
        <w:tc>
          <w:tcPr>
            <w:tcW w:w="560" w:type="dxa"/>
            <w:vAlign w:val="bottom"/>
          </w:tcPr>
          <w:p>
            <w:pPr>
              <w:jc w:val="center"/>
              <w:ind w:left="138"/>
              <w:spacing w:after="0" w:line="89" w:lineRule="exact"/>
              <w:rPr>
                <w:sz w:val="20"/>
                <w:szCs w:val="20"/>
                <w:color w:val="auto"/>
              </w:rPr>
            </w:pPr>
            <w:r>
              <w:rPr>
                <w:rFonts w:ascii="Times New Roman" w:cs="Times New Roman" w:eastAsia="Times New Roman" w:hAnsi="Times New Roman"/>
                <w:sz w:val="8"/>
                <w:szCs w:val="8"/>
                <w:color w:val="auto"/>
              </w:rPr>
              <w:t>3,437,964</w:t>
            </w:r>
          </w:p>
        </w:tc>
        <w:tc>
          <w:tcPr>
            <w:tcW w:w="1000" w:type="dxa"/>
            <w:vAlign w:val="bottom"/>
            <w:tcBorders>
              <w:right w:val="single" w:sz="8" w:color="auto"/>
            </w:tcBorders>
          </w:tcPr>
          <w:p>
            <w:pPr>
              <w:jc w:val="center"/>
              <w:ind w:left="138"/>
              <w:spacing w:after="0" w:line="89" w:lineRule="exact"/>
              <w:rPr>
                <w:sz w:val="20"/>
                <w:szCs w:val="20"/>
                <w:color w:val="auto"/>
              </w:rPr>
            </w:pPr>
            <w:r>
              <w:rPr>
                <w:rFonts w:ascii="Times New Roman" w:cs="Times New Roman" w:eastAsia="Times New Roman" w:hAnsi="Times New Roman"/>
                <w:sz w:val="8"/>
                <w:szCs w:val="8"/>
                <w:color w:val="auto"/>
              </w:rPr>
              <w:t>11,280,350</w:t>
            </w:r>
          </w:p>
        </w:tc>
        <w:tc>
          <w:tcPr>
            <w:tcW w:w="980" w:type="dxa"/>
            <w:vAlign w:val="bottom"/>
          </w:tcPr>
          <w:p>
            <w:pPr>
              <w:jc w:val="center"/>
              <w:ind w:right="158"/>
              <w:spacing w:after="0" w:line="89" w:lineRule="exact"/>
              <w:rPr>
                <w:sz w:val="20"/>
                <w:szCs w:val="20"/>
                <w:color w:val="auto"/>
              </w:rPr>
            </w:pPr>
            <w:r>
              <w:rPr>
                <w:rFonts w:ascii="Times New Roman" w:cs="Times New Roman" w:eastAsia="Times New Roman" w:hAnsi="Times New Roman"/>
                <w:sz w:val="8"/>
                <w:szCs w:val="8"/>
                <w:color w:val="auto"/>
              </w:rPr>
              <w:t>5.1%</w:t>
            </w:r>
          </w:p>
        </w:tc>
        <w:tc>
          <w:tcPr>
            <w:tcW w:w="600" w:type="dxa"/>
            <w:vAlign w:val="bottom"/>
            <w:tcBorders>
              <w:right w:val="single" w:sz="8" w:color="auto"/>
            </w:tcBorders>
          </w:tcPr>
          <w:p>
            <w:pPr>
              <w:jc w:val="center"/>
              <w:ind w:right="178"/>
              <w:spacing w:after="0" w:line="89" w:lineRule="exact"/>
              <w:rPr>
                <w:sz w:val="20"/>
                <w:szCs w:val="20"/>
                <w:color w:val="auto"/>
              </w:rPr>
            </w:pPr>
            <w:r>
              <w:rPr>
                <w:rFonts w:ascii="Times New Roman" w:cs="Times New Roman" w:eastAsia="Times New Roman" w:hAnsi="Times New Roman"/>
                <w:sz w:val="8"/>
                <w:szCs w:val="8"/>
                <w:color w:val="auto"/>
              </w:rPr>
              <w:t>18.8%</w:t>
            </w:r>
          </w:p>
        </w:tc>
        <w:tc>
          <w:tcPr>
            <w:tcW w:w="600" w:type="dxa"/>
            <w:vAlign w:val="bottom"/>
          </w:tcPr>
          <w:p>
            <w:pPr>
              <w:jc w:val="center"/>
              <w:ind w:left="98"/>
              <w:spacing w:after="0" w:line="89" w:lineRule="exact"/>
              <w:rPr>
                <w:sz w:val="20"/>
                <w:szCs w:val="20"/>
                <w:color w:val="auto"/>
              </w:rPr>
            </w:pPr>
            <w:r>
              <w:rPr>
                <w:rFonts w:ascii="Times New Roman" w:cs="Times New Roman" w:eastAsia="Times New Roman" w:hAnsi="Times New Roman"/>
                <w:sz w:val="8"/>
                <w:szCs w:val="8"/>
                <w:color w:val="auto"/>
              </w:rPr>
              <w:t>1,021,819</w:t>
            </w:r>
          </w:p>
        </w:tc>
        <w:tc>
          <w:tcPr>
            <w:tcW w:w="980" w:type="dxa"/>
            <w:vAlign w:val="bottom"/>
            <w:tcBorders>
              <w:right w:val="single" w:sz="8" w:color="auto"/>
            </w:tcBorders>
          </w:tcPr>
          <w:p>
            <w:pPr>
              <w:jc w:val="center"/>
              <w:ind w:left="98"/>
              <w:spacing w:after="0" w:line="89" w:lineRule="exact"/>
              <w:rPr>
                <w:sz w:val="20"/>
                <w:szCs w:val="20"/>
                <w:color w:val="auto"/>
              </w:rPr>
            </w:pPr>
            <w:r>
              <w:rPr>
                <w:rFonts w:ascii="Times New Roman" w:cs="Times New Roman" w:eastAsia="Times New Roman" w:hAnsi="Times New Roman"/>
                <w:sz w:val="8"/>
                <w:szCs w:val="8"/>
                <w:color w:val="auto"/>
                <w:w w:val="99"/>
              </w:rPr>
              <w:t>11,192,938</w:t>
            </w:r>
          </w:p>
        </w:tc>
        <w:tc>
          <w:tcPr>
            <w:tcW w:w="580" w:type="dxa"/>
            <w:vAlign w:val="bottom"/>
          </w:tcPr>
          <w:p>
            <w:pPr>
              <w:jc w:val="center"/>
              <w:ind w:left="118"/>
              <w:spacing w:after="0" w:line="89" w:lineRule="exact"/>
              <w:rPr>
                <w:sz w:val="20"/>
                <w:szCs w:val="20"/>
                <w:color w:val="auto"/>
              </w:rPr>
            </w:pPr>
            <w:r>
              <w:rPr>
                <w:rFonts w:ascii="Times New Roman" w:cs="Times New Roman" w:eastAsia="Times New Roman" w:hAnsi="Times New Roman"/>
                <w:sz w:val="8"/>
                <w:szCs w:val="8"/>
                <w:color w:val="auto"/>
              </w:rPr>
              <w:t>1.5%</w:t>
            </w:r>
          </w:p>
        </w:tc>
        <w:tc>
          <w:tcPr>
            <w:tcW w:w="980" w:type="dxa"/>
            <w:vAlign w:val="bottom"/>
            <w:tcBorders>
              <w:right w:val="single" w:sz="8" w:color="auto"/>
            </w:tcBorders>
          </w:tcPr>
          <w:p>
            <w:pPr>
              <w:jc w:val="center"/>
              <w:ind w:left="118"/>
              <w:spacing w:after="0" w:line="89" w:lineRule="exact"/>
              <w:rPr>
                <w:sz w:val="20"/>
                <w:szCs w:val="20"/>
                <w:color w:val="auto"/>
              </w:rPr>
            </w:pPr>
            <w:r>
              <w:rPr>
                <w:rFonts w:ascii="Times New Roman" w:cs="Times New Roman" w:eastAsia="Times New Roman" w:hAnsi="Times New Roman"/>
                <w:sz w:val="8"/>
                <w:szCs w:val="8"/>
                <w:color w:val="auto"/>
              </w:rPr>
              <w:t>18.4%</w:t>
            </w:r>
          </w:p>
        </w:tc>
        <w:tc>
          <w:tcPr>
            <w:tcW w:w="0" w:type="dxa"/>
            <w:vAlign w:val="bottom"/>
          </w:tcPr>
          <w:p>
            <w:pPr>
              <w:spacing w:after="0"/>
              <w:rPr>
                <w:sz w:val="1"/>
                <w:szCs w:val="1"/>
                <w:color w:val="auto"/>
              </w:rPr>
            </w:pPr>
          </w:p>
        </w:tc>
      </w:tr>
      <w:tr>
        <w:trPr>
          <w:trHeight w:val="89"/>
        </w:trPr>
        <w:tc>
          <w:tcPr>
            <w:tcW w:w="2620" w:type="dxa"/>
            <w:vAlign w:val="bottom"/>
            <w:tcBorders>
              <w:left w:val="single" w:sz="8" w:color="auto"/>
              <w:right w:val="single" w:sz="8" w:color="auto"/>
            </w:tcBorders>
          </w:tcPr>
          <w:p>
            <w:pPr>
              <w:ind w:left="40"/>
              <w:spacing w:after="0" w:line="89" w:lineRule="exact"/>
              <w:rPr>
                <w:sz w:val="20"/>
                <w:szCs w:val="20"/>
                <w:color w:val="auto"/>
              </w:rPr>
            </w:pPr>
            <w:r>
              <w:rPr>
                <w:rFonts w:ascii="Times New Roman" w:cs="Times New Roman" w:eastAsia="Times New Roman" w:hAnsi="Times New Roman"/>
                <w:sz w:val="8"/>
                <w:szCs w:val="8"/>
                <w:color w:val="auto"/>
              </w:rPr>
              <w:t>Time deposits</w:t>
            </w:r>
          </w:p>
        </w:tc>
        <w:tc>
          <w:tcPr>
            <w:tcW w:w="760" w:type="dxa"/>
            <w:vAlign w:val="bottom"/>
          </w:tcPr>
          <w:p>
            <w:pPr>
              <w:jc w:val="center"/>
              <w:spacing w:after="0" w:line="89" w:lineRule="exact"/>
              <w:rPr>
                <w:sz w:val="20"/>
                <w:szCs w:val="20"/>
                <w:color w:val="auto"/>
              </w:rPr>
            </w:pPr>
            <w:r>
              <w:rPr>
                <w:rFonts w:ascii="Times New Roman" w:cs="Times New Roman" w:eastAsia="Times New Roman" w:hAnsi="Times New Roman"/>
                <w:sz w:val="8"/>
                <w:szCs w:val="8"/>
                <w:color w:val="auto"/>
              </w:rPr>
              <w:t>39,779,546</w:t>
            </w:r>
          </w:p>
        </w:tc>
        <w:tc>
          <w:tcPr>
            <w:tcW w:w="780" w:type="dxa"/>
            <w:vAlign w:val="bottom"/>
          </w:tcPr>
          <w:p>
            <w:pPr>
              <w:jc w:val="center"/>
              <w:spacing w:after="0" w:line="89" w:lineRule="exact"/>
              <w:rPr>
                <w:sz w:val="20"/>
                <w:szCs w:val="20"/>
                <w:color w:val="auto"/>
              </w:rPr>
            </w:pPr>
            <w:r>
              <w:rPr>
                <w:rFonts w:ascii="Times New Roman" w:cs="Times New Roman" w:eastAsia="Times New Roman" w:hAnsi="Times New Roman"/>
                <w:sz w:val="8"/>
                <w:szCs w:val="8"/>
                <w:color w:val="auto"/>
              </w:rPr>
              <w:t>41,344,255</w:t>
            </w:r>
          </w:p>
        </w:tc>
        <w:tc>
          <w:tcPr>
            <w:tcW w:w="820" w:type="dxa"/>
            <w:vAlign w:val="bottom"/>
            <w:tcBorders>
              <w:right w:val="single" w:sz="8" w:color="auto"/>
            </w:tcBorders>
          </w:tcPr>
          <w:p>
            <w:pPr>
              <w:jc w:val="center"/>
              <w:spacing w:after="0" w:line="89" w:lineRule="exact"/>
              <w:rPr>
                <w:sz w:val="20"/>
                <w:szCs w:val="20"/>
                <w:color w:val="auto"/>
              </w:rPr>
            </w:pPr>
            <w:r>
              <w:rPr>
                <w:rFonts w:ascii="Times New Roman" w:cs="Times New Roman" w:eastAsia="Times New Roman" w:hAnsi="Times New Roman"/>
                <w:sz w:val="8"/>
                <w:szCs w:val="8"/>
                <w:color w:val="auto"/>
              </w:rPr>
              <w:t>40,877,361</w:t>
            </w:r>
          </w:p>
        </w:tc>
        <w:tc>
          <w:tcPr>
            <w:tcW w:w="560" w:type="dxa"/>
            <w:vAlign w:val="bottom"/>
          </w:tcPr>
          <w:p>
            <w:pPr>
              <w:jc w:val="center"/>
              <w:ind w:left="138"/>
              <w:spacing w:after="0" w:line="89" w:lineRule="exact"/>
              <w:rPr>
                <w:sz w:val="20"/>
                <w:szCs w:val="20"/>
                <w:color w:val="auto"/>
              </w:rPr>
            </w:pPr>
            <w:r>
              <w:rPr>
                <w:rFonts w:ascii="Times New Roman" w:cs="Times New Roman" w:eastAsia="Times New Roman" w:hAnsi="Times New Roman"/>
                <w:sz w:val="8"/>
                <w:szCs w:val="8"/>
                <w:color w:val="auto"/>
              </w:rPr>
              <w:t>(466,894)</w:t>
            </w:r>
          </w:p>
        </w:tc>
        <w:tc>
          <w:tcPr>
            <w:tcW w:w="1000" w:type="dxa"/>
            <w:vAlign w:val="bottom"/>
            <w:tcBorders>
              <w:right w:val="single" w:sz="8" w:color="auto"/>
            </w:tcBorders>
          </w:tcPr>
          <w:p>
            <w:pPr>
              <w:jc w:val="center"/>
              <w:ind w:left="138"/>
              <w:spacing w:after="0" w:line="89" w:lineRule="exact"/>
              <w:rPr>
                <w:sz w:val="20"/>
                <w:szCs w:val="20"/>
                <w:color w:val="auto"/>
              </w:rPr>
            </w:pPr>
            <w:r>
              <w:rPr>
                <w:rFonts w:ascii="Times New Roman" w:cs="Times New Roman" w:eastAsia="Times New Roman" w:hAnsi="Times New Roman"/>
                <w:sz w:val="8"/>
                <w:szCs w:val="8"/>
                <w:color w:val="auto"/>
              </w:rPr>
              <w:t>1,097,815</w:t>
            </w:r>
          </w:p>
        </w:tc>
        <w:tc>
          <w:tcPr>
            <w:tcW w:w="980" w:type="dxa"/>
            <w:vAlign w:val="bottom"/>
          </w:tcPr>
          <w:p>
            <w:pPr>
              <w:jc w:val="center"/>
              <w:ind w:right="178"/>
              <w:spacing w:after="0" w:line="89" w:lineRule="exact"/>
              <w:rPr>
                <w:sz w:val="20"/>
                <w:szCs w:val="20"/>
                <w:color w:val="auto"/>
              </w:rPr>
            </w:pPr>
            <w:r>
              <w:rPr>
                <w:rFonts w:ascii="Times New Roman" w:cs="Times New Roman" w:eastAsia="Times New Roman" w:hAnsi="Times New Roman"/>
                <w:sz w:val="8"/>
                <w:szCs w:val="8"/>
                <w:color w:val="auto"/>
              </w:rPr>
              <w:t>-1.1%</w:t>
            </w:r>
          </w:p>
        </w:tc>
        <w:tc>
          <w:tcPr>
            <w:tcW w:w="600" w:type="dxa"/>
            <w:vAlign w:val="bottom"/>
            <w:tcBorders>
              <w:right w:val="single" w:sz="8" w:color="auto"/>
            </w:tcBorders>
          </w:tcPr>
          <w:p>
            <w:pPr>
              <w:jc w:val="center"/>
              <w:ind w:right="178"/>
              <w:spacing w:after="0" w:line="89" w:lineRule="exact"/>
              <w:rPr>
                <w:sz w:val="20"/>
                <w:szCs w:val="20"/>
                <w:color w:val="auto"/>
              </w:rPr>
            </w:pPr>
            <w:r>
              <w:rPr>
                <w:rFonts w:ascii="Times New Roman" w:cs="Times New Roman" w:eastAsia="Times New Roman" w:hAnsi="Times New Roman"/>
                <w:sz w:val="8"/>
                <w:szCs w:val="8"/>
                <w:color w:val="auto"/>
              </w:rPr>
              <w:t>2.8%</w:t>
            </w:r>
          </w:p>
        </w:tc>
        <w:tc>
          <w:tcPr>
            <w:tcW w:w="600" w:type="dxa"/>
            <w:vAlign w:val="bottom"/>
          </w:tcPr>
          <w:p>
            <w:pPr>
              <w:jc w:val="center"/>
              <w:ind w:left="118"/>
              <w:spacing w:after="0" w:line="89" w:lineRule="exact"/>
              <w:rPr>
                <w:sz w:val="20"/>
                <w:szCs w:val="20"/>
                <w:color w:val="auto"/>
              </w:rPr>
            </w:pPr>
            <w:r>
              <w:rPr>
                <w:rFonts w:ascii="Times New Roman" w:cs="Times New Roman" w:eastAsia="Times New Roman" w:hAnsi="Times New Roman"/>
                <w:sz w:val="8"/>
                <w:szCs w:val="8"/>
                <w:color w:val="auto"/>
              </w:rPr>
              <w:t>(2,352,834)</w:t>
            </w:r>
          </w:p>
        </w:tc>
        <w:tc>
          <w:tcPr>
            <w:tcW w:w="980" w:type="dxa"/>
            <w:vAlign w:val="bottom"/>
            <w:tcBorders>
              <w:right w:val="single" w:sz="8" w:color="auto"/>
            </w:tcBorders>
          </w:tcPr>
          <w:p>
            <w:pPr>
              <w:jc w:val="center"/>
              <w:ind w:left="98"/>
              <w:spacing w:after="0" w:line="89" w:lineRule="exact"/>
              <w:rPr>
                <w:sz w:val="20"/>
                <w:szCs w:val="20"/>
                <w:color w:val="auto"/>
              </w:rPr>
            </w:pPr>
            <w:r>
              <w:rPr>
                <w:rFonts w:ascii="Times New Roman" w:cs="Times New Roman" w:eastAsia="Times New Roman" w:hAnsi="Times New Roman"/>
                <w:sz w:val="8"/>
                <w:szCs w:val="8"/>
                <w:color w:val="auto"/>
                <w:w w:val="99"/>
              </w:rPr>
              <w:t>2,662,421</w:t>
            </w:r>
          </w:p>
        </w:tc>
        <w:tc>
          <w:tcPr>
            <w:tcW w:w="580" w:type="dxa"/>
            <w:vAlign w:val="bottom"/>
          </w:tcPr>
          <w:p>
            <w:pPr>
              <w:jc w:val="center"/>
              <w:ind w:left="138"/>
              <w:spacing w:after="0" w:line="89" w:lineRule="exact"/>
              <w:rPr>
                <w:sz w:val="20"/>
                <w:szCs w:val="20"/>
                <w:color w:val="auto"/>
              </w:rPr>
            </w:pPr>
            <w:r>
              <w:rPr>
                <w:rFonts w:ascii="Times New Roman" w:cs="Times New Roman" w:eastAsia="Times New Roman" w:hAnsi="Times New Roman"/>
                <w:sz w:val="8"/>
                <w:szCs w:val="8"/>
                <w:color w:val="auto"/>
              </w:rPr>
              <w:t>-5.6%</w:t>
            </w:r>
          </w:p>
        </w:tc>
        <w:tc>
          <w:tcPr>
            <w:tcW w:w="980" w:type="dxa"/>
            <w:vAlign w:val="bottom"/>
            <w:tcBorders>
              <w:right w:val="single" w:sz="8" w:color="auto"/>
            </w:tcBorders>
          </w:tcPr>
          <w:p>
            <w:pPr>
              <w:jc w:val="center"/>
              <w:ind w:left="118"/>
              <w:spacing w:after="0" w:line="89" w:lineRule="exact"/>
              <w:rPr>
                <w:sz w:val="20"/>
                <w:szCs w:val="20"/>
                <w:color w:val="auto"/>
              </w:rPr>
            </w:pPr>
            <w:r>
              <w:rPr>
                <w:rFonts w:ascii="Times New Roman" w:cs="Times New Roman" w:eastAsia="Times New Roman" w:hAnsi="Times New Roman"/>
                <w:sz w:val="8"/>
                <w:szCs w:val="8"/>
                <w:color w:val="auto"/>
              </w:rPr>
              <w:t>6.4%</w:t>
            </w:r>
          </w:p>
        </w:tc>
        <w:tc>
          <w:tcPr>
            <w:tcW w:w="0" w:type="dxa"/>
            <w:vAlign w:val="bottom"/>
          </w:tcPr>
          <w:p>
            <w:pPr>
              <w:spacing w:after="0"/>
              <w:rPr>
                <w:sz w:val="1"/>
                <w:szCs w:val="1"/>
                <w:color w:val="auto"/>
              </w:rPr>
            </w:pPr>
          </w:p>
        </w:tc>
      </w:tr>
      <w:tr>
        <w:trPr>
          <w:trHeight w:val="89"/>
        </w:trPr>
        <w:tc>
          <w:tcPr>
            <w:tcW w:w="2620" w:type="dxa"/>
            <w:vAlign w:val="bottom"/>
            <w:tcBorders>
              <w:left w:val="single" w:sz="8" w:color="auto"/>
              <w:right w:val="single" w:sz="8" w:color="auto"/>
            </w:tcBorders>
          </w:tcPr>
          <w:p>
            <w:pPr>
              <w:ind w:left="40"/>
              <w:spacing w:after="0" w:line="89" w:lineRule="exact"/>
              <w:rPr>
                <w:sz w:val="20"/>
                <w:szCs w:val="20"/>
                <w:color w:val="auto"/>
              </w:rPr>
            </w:pPr>
            <w:r>
              <w:rPr>
                <w:rFonts w:ascii="Times New Roman" w:cs="Times New Roman" w:eastAsia="Times New Roman" w:hAnsi="Times New Roman"/>
                <w:sz w:val="8"/>
                <w:szCs w:val="8"/>
                <w:color w:val="auto"/>
              </w:rPr>
              <w:t>Severance indemnity deposits</w:t>
            </w:r>
          </w:p>
        </w:tc>
        <w:tc>
          <w:tcPr>
            <w:tcW w:w="760" w:type="dxa"/>
            <w:vAlign w:val="bottom"/>
          </w:tcPr>
          <w:p>
            <w:pPr>
              <w:jc w:val="center"/>
              <w:spacing w:after="0" w:line="89" w:lineRule="exact"/>
              <w:rPr>
                <w:sz w:val="20"/>
                <w:szCs w:val="20"/>
                <w:color w:val="auto"/>
              </w:rPr>
            </w:pPr>
            <w:r>
              <w:rPr>
                <w:rFonts w:ascii="Times New Roman" w:cs="Times New Roman" w:eastAsia="Times New Roman" w:hAnsi="Times New Roman"/>
                <w:sz w:val="8"/>
                <w:szCs w:val="8"/>
                <w:color w:val="auto"/>
              </w:rPr>
              <w:t>2,921,196</w:t>
            </w:r>
          </w:p>
        </w:tc>
        <w:tc>
          <w:tcPr>
            <w:tcW w:w="780" w:type="dxa"/>
            <w:vAlign w:val="bottom"/>
          </w:tcPr>
          <w:p>
            <w:pPr>
              <w:jc w:val="center"/>
              <w:spacing w:after="0" w:line="89" w:lineRule="exact"/>
              <w:rPr>
                <w:sz w:val="20"/>
                <w:szCs w:val="20"/>
                <w:color w:val="auto"/>
              </w:rPr>
            </w:pPr>
            <w:r>
              <w:rPr>
                <w:rFonts w:ascii="Times New Roman" w:cs="Times New Roman" w:eastAsia="Times New Roman" w:hAnsi="Times New Roman"/>
                <w:sz w:val="8"/>
                <w:szCs w:val="8"/>
                <w:color w:val="auto"/>
              </w:rPr>
              <w:t>3,192,565</w:t>
            </w:r>
          </w:p>
        </w:tc>
        <w:tc>
          <w:tcPr>
            <w:tcW w:w="820" w:type="dxa"/>
            <w:vAlign w:val="bottom"/>
            <w:tcBorders>
              <w:right w:val="single" w:sz="8" w:color="auto"/>
            </w:tcBorders>
          </w:tcPr>
          <w:p>
            <w:pPr>
              <w:jc w:val="center"/>
              <w:spacing w:after="0" w:line="89" w:lineRule="exact"/>
              <w:rPr>
                <w:sz w:val="20"/>
                <w:szCs w:val="20"/>
                <w:color w:val="auto"/>
              </w:rPr>
            </w:pPr>
            <w:r>
              <w:rPr>
                <w:rFonts w:ascii="Times New Roman" w:cs="Times New Roman" w:eastAsia="Times New Roman" w:hAnsi="Times New Roman"/>
                <w:sz w:val="8"/>
                <w:szCs w:val="8"/>
                <w:color w:val="auto"/>
              </w:rPr>
              <w:t>2,987,508</w:t>
            </w:r>
          </w:p>
        </w:tc>
        <w:tc>
          <w:tcPr>
            <w:tcW w:w="560" w:type="dxa"/>
            <w:vAlign w:val="bottom"/>
          </w:tcPr>
          <w:p>
            <w:pPr>
              <w:jc w:val="center"/>
              <w:ind w:left="138"/>
              <w:spacing w:after="0" w:line="89" w:lineRule="exact"/>
              <w:rPr>
                <w:sz w:val="20"/>
                <w:szCs w:val="20"/>
                <w:color w:val="auto"/>
              </w:rPr>
            </w:pPr>
            <w:r>
              <w:rPr>
                <w:rFonts w:ascii="Times New Roman" w:cs="Times New Roman" w:eastAsia="Times New Roman" w:hAnsi="Times New Roman"/>
                <w:sz w:val="8"/>
                <w:szCs w:val="8"/>
                <w:color w:val="auto"/>
              </w:rPr>
              <w:t>(205,057)</w:t>
            </w:r>
          </w:p>
        </w:tc>
        <w:tc>
          <w:tcPr>
            <w:tcW w:w="1000" w:type="dxa"/>
            <w:vAlign w:val="bottom"/>
            <w:tcBorders>
              <w:right w:val="single" w:sz="8" w:color="auto"/>
            </w:tcBorders>
          </w:tcPr>
          <w:p>
            <w:pPr>
              <w:jc w:val="center"/>
              <w:ind w:left="138"/>
              <w:spacing w:after="0" w:line="89" w:lineRule="exact"/>
              <w:rPr>
                <w:sz w:val="20"/>
                <w:szCs w:val="20"/>
                <w:color w:val="auto"/>
              </w:rPr>
            </w:pPr>
            <w:r>
              <w:rPr>
                <w:rFonts w:ascii="Times New Roman" w:cs="Times New Roman" w:eastAsia="Times New Roman" w:hAnsi="Times New Roman"/>
                <w:sz w:val="8"/>
                <w:szCs w:val="8"/>
                <w:color w:val="auto"/>
                <w:w w:val="99"/>
              </w:rPr>
              <w:t>66,312</w:t>
            </w:r>
          </w:p>
        </w:tc>
        <w:tc>
          <w:tcPr>
            <w:tcW w:w="980" w:type="dxa"/>
            <w:vAlign w:val="bottom"/>
          </w:tcPr>
          <w:p>
            <w:pPr>
              <w:jc w:val="center"/>
              <w:ind w:right="178"/>
              <w:spacing w:after="0" w:line="89" w:lineRule="exact"/>
              <w:rPr>
                <w:sz w:val="20"/>
                <w:szCs w:val="20"/>
                <w:color w:val="auto"/>
              </w:rPr>
            </w:pPr>
            <w:r>
              <w:rPr>
                <w:rFonts w:ascii="Times New Roman" w:cs="Times New Roman" w:eastAsia="Times New Roman" w:hAnsi="Times New Roman"/>
                <w:sz w:val="8"/>
                <w:szCs w:val="8"/>
                <w:color w:val="auto"/>
              </w:rPr>
              <w:t>-6.4%</w:t>
            </w:r>
          </w:p>
        </w:tc>
        <w:tc>
          <w:tcPr>
            <w:tcW w:w="600" w:type="dxa"/>
            <w:vAlign w:val="bottom"/>
            <w:tcBorders>
              <w:right w:val="single" w:sz="8" w:color="auto"/>
            </w:tcBorders>
          </w:tcPr>
          <w:p>
            <w:pPr>
              <w:jc w:val="center"/>
              <w:ind w:right="178"/>
              <w:spacing w:after="0" w:line="89" w:lineRule="exact"/>
              <w:rPr>
                <w:sz w:val="20"/>
                <w:szCs w:val="20"/>
                <w:color w:val="auto"/>
              </w:rPr>
            </w:pPr>
            <w:r>
              <w:rPr>
                <w:rFonts w:ascii="Times New Roman" w:cs="Times New Roman" w:eastAsia="Times New Roman" w:hAnsi="Times New Roman"/>
                <w:sz w:val="8"/>
                <w:szCs w:val="8"/>
                <w:color w:val="auto"/>
              </w:rPr>
              <w:t>2.3%</w:t>
            </w:r>
          </w:p>
        </w:tc>
        <w:tc>
          <w:tcPr>
            <w:tcW w:w="600" w:type="dxa"/>
            <w:vAlign w:val="bottom"/>
          </w:tcPr>
          <w:p>
            <w:pPr>
              <w:jc w:val="center"/>
              <w:ind w:left="118"/>
              <w:spacing w:after="0" w:line="89" w:lineRule="exact"/>
              <w:rPr>
                <w:sz w:val="20"/>
                <w:szCs w:val="20"/>
                <w:color w:val="auto"/>
              </w:rPr>
            </w:pPr>
            <w:r>
              <w:rPr>
                <w:rFonts w:ascii="Times New Roman" w:cs="Times New Roman" w:eastAsia="Times New Roman" w:hAnsi="Times New Roman"/>
                <w:sz w:val="8"/>
                <w:szCs w:val="8"/>
                <w:color w:val="auto"/>
              </w:rPr>
              <w:t>-212,840</w:t>
            </w:r>
          </w:p>
        </w:tc>
        <w:tc>
          <w:tcPr>
            <w:tcW w:w="980" w:type="dxa"/>
            <w:vAlign w:val="bottom"/>
            <w:tcBorders>
              <w:right w:val="single" w:sz="8" w:color="auto"/>
            </w:tcBorders>
          </w:tcPr>
          <w:p>
            <w:pPr>
              <w:jc w:val="center"/>
              <w:ind w:left="98"/>
              <w:spacing w:after="0" w:line="89" w:lineRule="exact"/>
              <w:rPr>
                <w:sz w:val="20"/>
                <w:szCs w:val="20"/>
                <w:color w:val="auto"/>
              </w:rPr>
            </w:pPr>
            <w:r>
              <w:rPr>
                <w:rFonts w:ascii="Times New Roman" w:cs="Times New Roman" w:eastAsia="Times New Roman" w:hAnsi="Times New Roman"/>
                <w:sz w:val="8"/>
                <w:szCs w:val="8"/>
                <w:color w:val="auto"/>
              </w:rPr>
              <w:t>192,723</w:t>
            </w:r>
          </w:p>
        </w:tc>
        <w:tc>
          <w:tcPr>
            <w:tcW w:w="580" w:type="dxa"/>
            <w:vAlign w:val="bottom"/>
          </w:tcPr>
          <w:p>
            <w:pPr>
              <w:jc w:val="center"/>
              <w:ind w:left="138"/>
              <w:spacing w:after="0" w:line="89" w:lineRule="exact"/>
              <w:rPr>
                <w:sz w:val="20"/>
                <w:szCs w:val="20"/>
                <w:color w:val="auto"/>
              </w:rPr>
            </w:pPr>
            <w:r>
              <w:rPr>
                <w:rFonts w:ascii="Times New Roman" w:cs="Times New Roman" w:eastAsia="Times New Roman" w:hAnsi="Times New Roman"/>
                <w:sz w:val="8"/>
                <w:szCs w:val="8"/>
                <w:color w:val="auto"/>
              </w:rPr>
              <w:t>-6.7%</w:t>
            </w:r>
          </w:p>
        </w:tc>
        <w:tc>
          <w:tcPr>
            <w:tcW w:w="980" w:type="dxa"/>
            <w:vAlign w:val="bottom"/>
            <w:tcBorders>
              <w:right w:val="single" w:sz="8" w:color="auto"/>
            </w:tcBorders>
          </w:tcPr>
          <w:p>
            <w:pPr>
              <w:jc w:val="center"/>
              <w:ind w:left="118"/>
              <w:spacing w:after="0" w:line="89" w:lineRule="exact"/>
              <w:rPr>
                <w:sz w:val="20"/>
                <w:szCs w:val="20"/>
                <w:color w:val="auto"/>
              </w:rPr>
            </w:pPr>
            <w:r>
              <w:rPr>
                <w:rFonts w:ascii="Times New Roman" w:cs="Times New Roman" w:eastAsia="Times New Roman" w:hAnsi="Times New Roman"/>
                <w:sz w:val="8"/>
                <w:szCs w:val="8"/>
                <w:color w:val="auto"/>
              </w:rPr>
              <w:t>6.6%</w:t>
            </w:r>
          </w:p>
        </w:tc>
        <w:tc>
          <w:tcPr>
            <w:tcW w:w="0" w:type="dxa"/>
            <w:vAlign w:val="bottom"/>
          </w:tcPr>
          <w:p>
            <w:pPr>
              <w:spacing w:after="0"/>
              <w:rPr>
                <w:sz w:val="1"/>
                <w:szCs w:val="1"/>
                <w:color w:val="auto"/>
              </w:rPr>
            </w:pPr>
          </w:p>
        </w:tc>
      </w:tr>
      <w:tr>
        <w:trPr>
          <w:trHeight w:val="96"/>
        </w:trPr>
        <w:tc>
          <w:tcPr>
            <w:tcW w:w="2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8"/>
                <w:szCs w:val="8"/>
                <w:color w:val="auto"/>
              </w:rPr>
              <w:t>Interest payable</w:t>
            </w: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w w:val="99"/>
              </w:rPr>
              <w:t>956,302</w:t>
            </w: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rPr>
              <w:t>1,000,899</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rPr>
              <w:t>918,183</w:t>
            </w:r>
          </w:p>
        </w:tc>
        <w:tc>
          <w:tcPr>
            <w:tcW w:w="560" w:type="dxa"/>
            <w:vAlign w:val="bottom"/>
            <w:tcBorders>
              <w:bottom w:val="single" w:sz="8" w:color="auto"/>
            </w:tcBorders>
          </w:tcPr>
          <w:p>
            <w:pPr>
              <w:jc w:val="center"/>
              <w:ind w:left="138"/>
              <w:spacing w:after="0"/>
              <w:rPr>
                <w:sz w:val="20"/>
                <w:szCs w:val="20"/>
                <w:color w:val="auto"/>
              </w:rPr>
            </w:pPr>
            <w:r>
              <w:rPr>
                <w:rFonts w:ascii="Times New Roman" w:cs="Times New Roman" w:eastAsia="Times New Roman" w:hAnsi="Times New Roman"/>
                <w:sz w:val="8"/>
                <w:szCs w:val="8"/>
                <w:color w:val="auto"/>
              </w:rPr>
              <w:t>(82,716)</w:t>
            </w:r>
          </w:p>
        </w:tc>
        <w:tc>
          <w:tcPr>
            <w:tcW w:w="1000" w:type="dxa"/>
            <w:vAlign w:val="bottom"/>
            <w:tcBorders>
              <w:bottom w:val="single" w:sz="8" w:color="auto"/>
              <w:right w:val="single" w:sz="8" w:color="auto"/>
            </w:tcBorders>
          </w:tcPr>
          <w:p>
            <w:pPr>
              <w:jc w:val="center"/>
              <w:ind w:left="138"/>
              <w:spacing w:after="0"/>
              <w:rPr>
                <w:sz w:val="20"/>
                <w:szCs w:val="20"/>
                <w:color w:val="auto"/>
              </w:rPr>
            </w:pPr>
            <w:r>
              <w:rPr>
                <w:rFonts w:ascii="Times New Roman" w:cs="Times New Roman" w:eastAsia="Times New Roman" w:hAnsi="Times New Roman"/>
                <w:sz w:val="8"/>
                <w:szCs w:val="8"/>
                <w:color w:val="auto"/>
              </w:rPr>
              <w:t>(38,119)</w:t>
            </w:r>
          </w:p>
        </w:tc>
        <w:tc>
          <w:tcPr>
            <w:tcW w:w="980" w:type="dxa"/>
            <w:vAlign w:val="bottom"/>
            <w:tcBorders>
              <w:bottom w:val="single" w:sz="8" w:color="auto"/>
            </w:tcBorders>
          </w:tcPr>
          <w:p>
            <w:pPr>
              <w:jc w:val="center"/>
              <w:ind w:right="178"/>
              <w:spacing w:after="0"/>
              <w:rPr>
                <w:sz w:val="20"/>
                <w:szCs w:val="20"/>
                <w:color w:val="auto"/>
              </w:rPr>
            </w:pPr>
            <w:r>
              <w:rPr>
                <w:rFonts w:ascii="Times New Roman" w:cs="Times New Roman" w:eastAsia="Times New Roman" w:hAnsi="Times New Roman"/>
                <w:sz w:val="8"/>
                <w:szCs w:val="8"/>
                <w:color w:val="auto"/>
              </w:rPr>
              <w:t>-8.3%</w:t>
            </w:r>
          </w:p>
        </w:tc>
        <w:tc>
          <w:tcPr>
            <w:tcW w:w="600" w:type="dxa"/>
            <w:vAlign w:val="bottom"/>
            <w:tcBorders>
              <w:bottom w:val="single" w:sz="8" w:color="auto"/>
              <w:right w:val="single" w:sz="8" w:color="auto"/>
            </w:tcBorders>
          </w:tcPr>
          <w:p>
            <w:pPr>
              <w:jc w:val="center"/>
              <w:ind w:right="198"/>
              <w:spacing w:after="0"/>
              <w:rPr>
                <w:sz w:val="20"/>
                <w:szCs w:val="20"/>
                <w:color w:val="auto"/>
              </w:rPr>
            </w:pPr>
            <w:r>
              <w:rPr>
                <w:rFonts w:ascii="Times New Roman" w:cs="Times New Roman" w:eastAsia="Times New Roman" w:hAnsi="Times New Roman"/>
                <w:sz w:val="8"/>
                <w:szCs w:val="8"/>
                <w:color w:val="auto"/>
              </w:rPr>
              <w:t>-4.0%</w:t>
            </w:r>
          </w:p>
        </w:tc>
        <w:tc>
          <w:tcPr>
            <w:tcW w:w="600" w:type="dxa"/>
            <w:vAlign w:val="bottom"/>
            <w:tcBorders>
              <w:bottom w:val="single" w:sz="8" w:color="auto"/>
            </w:tcBorders>
          </w:tcPr>
          <w:p>
            <w:pPr>
              <w:jc w:val="center"/>
              <w:ind w:left="118"/>
              <w:spacing w:after="0"/>
              <w:rPr>
                <w:sz w:val="20"/>
                <w:szCs w:val="20"/>
                <w:color w:val="auto"/>
              </w:rPr>
            </w:pPr>
            <w:r>
              <w:rPr>
                <w:rFonts w:ascii="Times New Roman" w:cs="Times New Roman" w:eastAsia="Times New Roman" w:hAnsi="Times New Roman"/>
                <w:sz w:val="8"/>
                <w:szCs w:val="8"/>
                <w:color w:val="auto"/>
              </w:rPr>
              <w:t>(43,886)</w:t>
            </w:r>
          </w:p>
        </w:tc>
        <w:tc>
          <w:tcPr>
            <w:tcW w:w="980" w:type="dxa"/>
            <w:vAlign w:val="bottom"/>
            <w:tcBorders>
              <w:bottom w:val="single" w:sz="8" w:color="auto"/>
              <w:right w:val="single" w:sz="8" w:color="auto"/>
            </w:tcBorders>
          </w:tcPr>
          <w:p>
            <w:pPr>
              <w:jc w:val="center"/>
              <w:ind w:left="98"/>
              <w:spacing w:after="0"/>
              <w:rPr>
                <w:sz w:val="20"/>
                <w:szCs w:val="20"/>
                <w:color w:val="auto"/>
              </w:rPr>
            </w:pPr>
            <w:r>
              <w:rPr>
                <w:rFonts w:ascii="Times New Roman" w:cs="Times New Roman" w:eastAsia="Times New Roman" w:hAnsi="Times New Roman"/>
                <w:sz w:val="8"/>
                <w:szCs w:val="8"/>
                <w:color w:val="auto"/>
              </w:rPr>
              <w:t>8,337</w:t>
            </w:r>
          </w:p>
        </w:tc>
        <w:tc>
          <w:tcPr>
            <w:tcW w:w="580" w:type="dxa"/>
            <w:vAlign w:val="bottom"/>
            <w:tcBorders>
              <w:bottom w:val="single" w:sz="8" w:color="auto"/>
            </w:tcBorders>
          </w:tcPr>
          <w:p>
            <w:pPr>
              <w:jc w:val="center"/>
              <w:ind w:left="138"/>
              <w:spacing w:after="0"/>
              <w:rPr>
                <w:sz w:val="20"/>
                <w:szCs w:val="20"/>
                <w:color w:val="auto"/>
              </w:rPr>
            </w:pPr>
            <w:r>
              <w:rPr>
                <w:rFonts w:ascii="Times New Roman" w:cs="Times New Roman" w:eastAsia="Times New Roman" w:hAnsi="Times New Roman"/>
                <w:sz w:val="8"/>
                <w:szCs w:val="8"/>
                <w:color w:val="auto"/>
              </w:rPr>
              <w:t>-3.8%</w:t>
            </w:r>
          </w:p>
        </w:tc>
        <w:tc>
          <w:tcPr>
            <w:tcW w:w="980" w:type="dxa"/>
            <w:vAlign w:val="bottom"/>
            <w:tcBorders>
              <w:bottom w:val="single" w:sz="8" w:color="auto"/>
              <w:right w:val="single" w:sz="8" w:color="auto"/>
            </w:tcBorders>
          </w:tcPr>
          <w:p>
            <w:pPr>
              <w:jc w:val="center"/>
              <w:ind w:left="118"/>
              <w:spacing w:after="0"/>
              <w:rPr>
                <w:sz w:val="20"/>
                <w:szCs w:val="20"/>
                <w:color w:val="auto"/>
              </w:rPr>
            </w:pPr>
            <w:r>
              <w:rPr>
                <w:rFonts w:ascii="Times New Roman" w:cs="Times New Roman" w:eastAsia="Times New Roman" w:hAnsi="Times New Roman"/>
                <w:sz w:val="8"/>
                <w:szCs w:val="8"/>
                <w:color w:val="auto"/>
              </w:rPr>
              <w:t>0.7%</w:t>
            </w:r>
          </w:p>
        </w:tc>
        <w:tc>
          <w:tcPr>
            <w:tcW w:w="0" w:type="dxa"/>
            <w:vAlign w:val="bottom"/>
          </w:tcPr>
          <w:p>
            <w:pPr>
              <w:spacing w:after="0"/>
              <w:rPr>
                <w:sz w:val="1"/>
                <w:szCs w:val="1"/>
                <w:color w:val="auto"/>
              </w:rPr>
            </w:pPr>
          </w:p>
        </w:tc>
      </w:tr>
      <w:tr>
        <w:trPr>
          <w:trHeight w:val="82"/>
        </w:trPr>
        <w:tc>
          <w:tcPr>
            <w:tcW w:w="2620" w:type="dxa"/>
            <w:vAlign w:val="bottom"/>
            <w:tcBorders>
              <w:left w:val="single" w:sz="8" w:color="auto"/>
              <w:bottom w:val="single" w:sz="8" w:color="auto"/>
              <w:right w:val="single" w:sz="8" w:color="auto"/>
            </w:tcBorders>
          </w:tcPr>
          <w:p>
            <w:pPr>
              <w:ind w:left="40"/>
              <w:spacing w:after="0" w:line="82" w:lineRule="exact"/>
              <w:rPr>
                <w:sz w:val="20"/>
                <w:szCs w:val="20"/>
                <w:color w:val="auto"/>
              </w:rPr>
            </w:pPr>
            <w:r>
              <w:rPr>
                <w:rFonts w:ascii="Times New Roman" w:cs="Times New Roman" w:eastAsia="Times New Roman" w:hAnsi="Times New Roman"/>
                <w:sz w:val="6"/>
                <w:szCs w:val="6"/>
                <w:b w:val="1"/>
                <w:bCs w:val="1"/>
                <w:color w:val="auto"/>
              </w:rPr>
              <w:t xml:space="preserve">Low-cost deposits </w:t>
            </w:r>
            <w:r>
              <w:rPr>
                <w:rFonts w:ascii="Times New Roman" w:cs="Times New Roman" w:eastAsia="Times New Roman" w:hAnsi="Times New Roman"/>
                <w:sz w:val="9"/>
                <w:szCs w:val="9"/>
                <w:b w:val="1"/>
                <w:bCs w:val="1"/>
                <w:color w:val="auto"/>
                <w:vertAlign w:val="superscript"/>
              </w:rPr>
              <w:t>(1)</w:t>
            </w:r>
          </w:p>
        </w:tc>
        <w:tc>
          <w:tcPr>
            <w:tcW w:w="760" w:type="dxa"/>
            <w:vAlign w:val="bottom"/>
            <w:tcBorders>
              <w:bottom w:val="single" w:sz="8" w:color="auto"/>
            </w:tcBorders>
          </w:tcPr>
          <w:p>
            <w:pPr>
              <w:jc w:val="center"/>
              <w:spacing w:after="0" w:line="82" w:lineRule="exact"/>
              <w:rPr>
                <w:sz w:val="20"/>
                <w:szCs w:val="20"/>
                <w:color w:val="auto"/>
              </w:rPr>
            </w:pPr>
            <w:r>
              <w:rPr>
                <w:rFonts w:ascii="Times New Roman" w:cs="Times New Roman" w:eastAsia="Times New Roman" w:hAnsi="Times New Roman"/>
                <w:sz w:val="8"/>
                <w:szCs w:val="8"/>
                <w:b w:val="1"/>
                <w:bCs w:val="1"/>
                <w:color w:val="auto"/>
              </w:rPr>
              <w:t>113,962,038</w:t>
            </w:r>
          </w:p>
        </w:tc>
        <w:tc>
          <w:tcPr>
            <w:tcW w:w="780" w:type="dxa"/>
            <w:vAlign w:val="bottom"/>
            <w:tcBorders>
              <w:bottom w:val="single" w:sz="8" w:color="auto"/>
            </w:tcBorders>
          </w:tcPr>
          <w:p>
            <w:pPr>
              <w:jc w:val="center"/>
              <w:spacing w:after="0" w:line="82" w:lineRule="exact"/>
              <w:rPr>
                <w:sz w:val="20"/>
                <w:szCs w:val="20"/>
                <w:color w:val="auto"/>
              </w:rPr>
            </w:pPr>
            <w:r>
              <w:rPr>
                <w:rFonts w:ascii="Times New Roman" w:cs="Times New Roman" w:eastAsia="Times New Roman" w:hAnsi="Times New Roman"/>
                <w:sz w:val="8"/>
                <w:szCs w:val="8"/>
                <w:b w:val="1"/>
                <w:bCs w:val="1"/>
                <w:color w:val="auto"/>
              </w:rPr>
              <w:t>124,863,914</w:t>
            </w:r>
          </w:p>
        </w:tc>
        <w:tc>
          <w:tcPr>
            <w:tcW w:w="820" w:type="dxa"/>
            <w:vAlign w:val="bottom"/>
            <w:tcBorders>
              <w:bottom w:val="single" w:sz="8" w:color="auto"/>
              <w:right w:val="single" w:sz="8" w:color="auto"/>
            </w:tcBorders>
          </w:tcPr>
          <w:p>
            <w:pPr>
              <w:jc w:val="center"/>
              <w:spacing w:after="0" w:line="82" w:lineRule="exact"/>
              <w:rPr>
                <w:sz w:val="20"/>
                <w:szCs w:val="20"/>
                <w:color w:val="auto"/>
              </w:rPr>
            </w:pPr>
            <w:r>
              <w:rPr>
                <w:rFonts w:ascii="Times New Roman" w:cs="Times New Roman" w:eastAsia="Times New Roman" w:hAnsi="Times New Roman"/>
                <w:sz w:val="8"/>
                <w:szCs w:val="8"/>
                <w:b w:val="1"/>
                <w:bCs w:val="1"/>
                <w:color w:val="auto"/>
              </w:rPr>
              <w:t>133,844,854</w:t>
            </w:r>
          </w:p>
        </w:tc>
        <w:tc>
          <w:tcPr>
            <w:tcW w:w="560" w:type="dxa"/>
            <w:vAlign w:val="bottom"/>
            <w:tcBorders>
              <w:bottom w:val="single" w:sz="8" w:color="auto"/>
            </w:tcBorders>
          </w:tcPr>
          <w:p>
            <w:pPr>
              <w:jc w:val="center"/>
              <w:ind w:left="138"/>
              <w:spacing w:after="0" w:line="82" w:lineRule="exact"/>
              <w:rPr>
                <w:sz w:val="20"/>
                <w:szCs w:val="20"/>
                <w:color w:val="auto"/>
              </w:rPr>
            </w:pPr>
            <w:r>
              <w:rPr>
                <w:rFonts w:ascii="Times New Roman" w:cs="Times New Roman" w:eastAsia="Times New Roman" w:hAnsi="Times New Roman"/>
                <w:sz w:val="8"/>
                <w:szCs w:val="8"/>
                <w:b w:val="1"/>
                <w:bCs w:val="1"/>
                <w:color w:val="auto"/>
              </w:rPr>
              <w:t>8,980,940</w:t>
            </w:r>
          </w:p>
        </w:tc>
        <w:tc>
          <w:tcPr>
            <w:tcW w:w="1000" w:type="dxa"/>
            <w:vAlign w:val="bottom"/>
            <w:tcBorders>
              <w:bottom w:val="single" w:sz="8" w:color="auto"/>
              <w:right w:val="single" w:sz="8" w:color="auto"/>
            </w:tcBorders>
          </w:tcPr>
          <w:p>
            <w:pPr>
              <w:jc w:val="center"/>
              <w:ind w:left="138"/>
              <w:spacing w:after="0" w:line="82" w:lineRule="exact"/>
              <w:rPr>
                <w:sz w:val="20"/>
                <w:szCs w:val="20"/>
                <w:color w:val="auto"/>
              </w:rPr>
            </w:pPr>
            <w:r>
              <w:rPr>
                <w:rFonts w:ascii="Times New Roman" w:cs="Times New Roman" w:eastAsia="Times New Roman" w:hAnsi="Times New Roman"/>
                <w:sz w:val="8"/>
                <w:szCs w:val="8"/>
                <w:b w:val="1"/>
                <w:bCs w:val="1"/>
                <w:color w:val="auto"/>
              </w:rPr>
              <w:t>19,882,816</w:t>
            </w:r>
          </w:p>
        </w:tc>
        <w:tc>
          <w:tcPr>
            <w:tcW w:w="980" w:type="dxa"/>
            <w:vAlign w:val="bottom"/>
            <w:tcBorders>
              <w:bottom w:val="single" w:sz="8" w:color="auto"/>
            </w:tcBorders>
          </w:tcPr>
          <w:p>
            <w:pPr>
              <w:jc w:val="center"/>
              <w:ind w:right="158"/>
              <w:spacing w:after="0" w:line="82" w:lineRule="exact"/>
              <w:rPr>
                <w:sz w:val="20"/>
                <w:szCs w:val="20"/>
                <w:color w:val="auto"/>
              </w:rPr>
            </w:pPr>
            <w:r>
              <w:rPr>
                <w:rFonts w:ascii="Times New Roman" w:cs="Times New Roman" w:eastAsia="Times New Roman" w:hAnsi="Times New Roman"/>
                <w:sz w:val="8"/>
                <w:szCs w:val="8"/>
                <w:b w:val="1"/>
                <w:bCs w:val="1"/>
                <w:color w:val="auto"/>
                <w:w w:val="99"/>
              </w:rPr>
              <w:t>7.2%</w:t>
            </w:r>
          </w:p>
        </w:tc>
        <w:tc>
          <w:tcPr>
            <w:tcW w:w="600" w:type="dxa"/>
            <w:vAlign w:val="bottom"/>
            <w:tcBorders>
              <w:bottom w:val="single" w:sz="8" w:color="auto"/>
              <w:right w:val="single" w:sz="8" w:color="auto"/>
            </w:tcBorders>
          </w:tcPr>
          <w:p>
            <w:pPr>
              <w:jc w:val="center"/>
              <w:ind w:right="198"/>
              <w:spacing w:after="0" w:line="82" w:lineRule="exact"/>
              <w:rPr>
                <w:sz w:val="20"/>
                <w:szCs w:val="20"/>
                <w:color w:val="auto"/>
              </w:rPr>
            </w:pPr>
            <w:r>
              <w:rPr>
                <w:rFonts w:ascii="Times New Roman" w:cs="Times New Roman" w:eastAsia="Times New Roman" w:hAnsi="Times New Roman"/>
                <w:sz w:val="8"/>
                <w:szCs w:val="8"/>
                <w:b w:val="1"/>
                <w:bCs w:val="1"/>
                <w:color w:val="auto"/>
              </w:rPr>
              <w:t>17.4%</w:t>
            </w:r>
          </w:p>
        </w:tc>
        <w:tc>
          <w:tcPr>
            <w:tcW w:w="600" w:type="dxa"/>
            <w:vAlign w:val="bottom"/>
          </w:tcPr>
          <w:p>
            <w:pPr>
              <w:spacing w:after="0"/>
              <w:rPr>
                <w:sz w:val="7"/>
                <w:szCs w:val="7"/>
                <w:color w:val="auto"/>
              </w:rPr>
            </w:pPr>
          </w:p>
        </w:tc>
        <w:tc>
          <w:tcPr>
            <w:tcW w:w="980" w:type="dxa"/>
            <w:vAlign w:val="bottom"/>
          </w:tcPr>
          <w:p>
            <w:pPr>
              <w:spacing w:after="0"/>
              <w:rPr>
                <w:sz w:val="7"/>
                <w:szCs w:val="7"/>
                <w:color w:val="auto"/>
              </w:rPr>
            </w:pPr>
          </w:p>
        </w:tc>
        <w:tc>
          <w:tcPr>
            <w:tcW w:w="58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620" w:type="dxa"/>
            <w:vAlign w:val="bottom"/>
            <w:tcBorders>
              <w:left w:val="single" w:sz="8" w:color="auto"/>
              <w:bottom w:val="single" w:sz="8" w:color="auto"/>
              <w:right w:val="single" w:sz="8" w:color="auto"/>
            </w:tcBorders>
          </w:tcPr>
          <w:p>
            <w:pPr>
              <w:ind w:left="40"/>
              <w:spacing w:after="0" w:line="82" w:lineRule="exact"/>
              <w:rPr>
                <w:sz w:val="20"/>
                <w:szCs w:val="20"/>
                <w:color w:val="auto"/>
              </w:rPr>
            </w:pPr>
            <w:r>
              <w:rPr>
                <w:rFonts w:ascii="Times New Roman" w:cs="Times New Roman" w:eastAsia="Times New Roman" w:hAnsi="Times New Roman"/>
                <w:sz w:val="8"/>
                <w:szCs w:val="8"/>
                <w:b w:val="1"/>
                <w:bCs w:val="1"/>
                <w:color w:val="auto"/>
              </w:rPr>
              <w:t>Total Deposits</w:t>
            </w:r>
          </w:p>
        </w:tc>
        <w:tc>
          <w:tcPr>
            <w:tcW w:w="760" w:type="dxa"/>
            <w:vAlign w:val="bottom"/>
            <w:tcBorders>
              <w:bottom w:val="single" w:sz="8" w:color="auto"/>
            </w:tcBorders>
          </w:tcPr>
          <w:p>
            <w:pPr>
              <w:jc w:val="center"/>
              <w:spacing w:after="0" w:line="82" w:lineRule="exact"/>
              <w:rPr>
                <w:sz w:val="20"/>
                <w:szCs w:val="20"/>
                <w:color w:val="auto"/>
              </w:rPr>
            </w:pPr>
            <w:r>
              <w:rPr>
                <w:rFonts w:ascii="Times New Roman" w:cs="Times New Roman" w:eastAsia="Times New Roman" w:hAnsi="Times New Roman"/>
                <w:sz w:val="8"/>
                <w:szCs w:val="8"/>
                <w:b w:val="1"/>
                <w:bCs w:val="1"/>
                <w:color w:val="auto"/>
              </w:rPr>
              <w:t>157,619,082</w:t>
            </w:r>
          </w:p>
        </w:tc>
        <w:tc>
          <w:tcPr>
            <w:tcW w:w="780" w:type="dxa"/>
            <w:vAlign w:val="bottom"/>
            <w:tcBorders>
              <w:bottom w:val="single" w:sz="8" w:color="auto"/>
            </w:tcBorders>
          </w:tcPr>
          <w:p>
            <w:pPr>
              <w:jc w:val="center"/>
              <w:spacing w:after="0" w:line="82" w:lineRule="exact"/>
              <w:rPr>
                <w:sz w:val="20"/>
                <w:szCs w:val="20"/>
                <w:color w:val="auto"/>
              </w:rPr>
            </w:pPr>
            <w:r>
              <w:rPr>
                <w:rFonts w:ascii="Times New Roman" w:cs="Times New Roman" w:eastAsia="Times New Roman" w:hAnsi="Times New Roman"/>
                <w:sz w:val="8"/>
                <w:szCs w:val="8"/>
                <w:b w:val="1"/>
                <w:bCs w:val="1"/>
                <w:color w:val="auto"/>
              </w:rPr>
              <w:t>170,401,633</w:t>
            </w:r>
          </w:p>
        </w:tc>
        <w:tc>
          <w:tcPr>
            <w:tcW w:w="820" w:type="dxa"/>
            <w:vAlign w:val="bottom"/>
            <w:tcBorders>
              <w:bottom w:val="single" w:sz="8" w:color="auto"/>
              <w:right w:val="single" w:sz="8" w:color="auto"/>
            </w:tcBorders>
          </w:tcPr>
          <w:p>
            <w:pPr>
              <w:jc w:val="center"/>
              <w:spacing w:after="0" w:line="82" w:lineRule="exact"/>
              <w:rPr>
                <w:sz w:val="20"/>
                <w:szCs w:val="20"/>
                <w:color w:val="auto"/>
              </w:rPr>
            </w:pPr>
            <w:r>
              <w:rPr>
                <w:rFonts w:ascii="Times New Roman" w:cs="Times New Roman" w:eastAsia="Times New Roman" w:hAnsi="Times New Roman"/>
                <w:sz w:val="8"/>
                <w:szCs w:val="8"/>
                <w:b w:val="1"/>
                <w:bCs w:val="1"/>
                <w:color w:val="auto"/>
              </w:rPr>
              <w:t>178,627,906</w:t>
            </w:r>
          </w:p>
        </w:tc>
        <w:tc>
          <w:tcPr>
            <w:tcW w:w="560" w:type="dxa"/>
            <w:vAlign w:val="bottom"/>
            <w:tcBorders>
              <w:bottom w:val="single" w:sz="8" w:color="auto"/>
            </w:tcBorders>
          </w:tcPr>
          <w:p>
            <w:pPr>
              <w:jc w:val="center"/>
              <w:ind w:left="138"/>
              <w:spacing w:after="0" w:line="82" w:lineRule="exact"/>
              <w:rPr>
                <w:sz w:val="20"/>
                <w:szCs w:val="20"/>
                <w:color w:val="auto"/>
              </w:rPr>
            </w:pPr>
            <w:r>
              <w:rPr>
                <w:rFonts w:ascii="Times New Roman" w:cs="Times New Roman" w:eastAsia="Times New Roman" w:hAnsi="Times New Roman"/>
                <w:sz w:val="8"/>
                <w:szCs w:val="8"/>
                <w:b w:val="1"/>
                <w:bCs w:val="1"/>
                <w:color w:val="auto"/>
              </w:rPr>
              <w:t>8,226,273</w:t>
            </w:r>
          </w:p>
        </w:tc>
        <w:tc>
          <w:tcPr>
            <w:tcW w:w="1000" w:type="dxa"/>
            <w:vAlign w:val="bottom"/>
            <w:tcBorders>
              <w:bottom w:val="single" w:sz="8" w:color="auto"/>
              <w:right w:val="single" w:sz="8" w:color="auto"/>
            </w:tcBorders>
          </w:tcPr>
          <w:p>
            <w:pPr>
              <w:jc w:val="center"/>
              <w:ind w:left="138"/>
              <w:spacing w:after="0" w:line="82" w:lineRule="exact"/>
              <w:rPr>
                <w:sz w:val="20"/>
                <w:szCs w:val="20"/>
                <w:color w:val="auto"/>
              </w:rPr>
            </w:pPr>
            <w:r>
              <w:rPr>
                <w:rFonts w:ascii="Times New Roman" w:cs="Times New Roman" w:eastAsia="Times New Roman" w:hAnsi="Times New Roman"/>
                <w:sz w:val="8"/>
                <w:szCs w:val="8"/>
                <w:b w:val="1"/>
                <w:bCs w:val="1"/>
                <w:color w:val="auto"/>
              </w:rPr>
              <w:t>21,008,824</w:t>
            </w:r>
          </w:p>
        </w:tc>
        <w:tc>
          <w:tcPr>
            <w:tcW w:w="980" w:type="dxa"/>
            <w:vAlign w:val="bottom"/>
            <w:tcBorders>
              <w:bottom w:val="single" w:sz="8" w:color="auto"/>
            </w:tcBorders>
          </w:tcPr>
          <w:p>
            <w:pPr>
              <w:jc w:val="center"/>
              <w:ind w:right="158"/>
              <w:spacing w:after="0" w:line="82" w:lineRule="exact"/>
              <w:rPr>
                <w:sz w:val="20"/>
                <w:szCs w:val="20"/>
                <w:color w:val="auto"/>
              </w:rPr>
            </w:pPr>
            <w:r>
              <w:rPr>
                <w:rFonts w:ascii="Times New Roman" w:cs="Times New Roman" w:eastAsia="Times New Roman" w:hAnsi="Times New Roman"/>
                <w:sz w:val="8"/>
                <w:szCs w:val="8"/>
                <w:b w:val="1"/>
                <w:bCs w:val="1"/>
                <w:color w:val="auto"/>
                <w:w w:val="99"/>
              </w:rPr>
              <w:t>4.8%</w:t>
            </w:r>
          </w:p>
        </w:tc>
        <w:tc>
          <w:tcPr>
            <w:tcW w:w="600" w:type="dxa"/>
            <w:vAlign w:val="bottom"/>
            <w:tcBorders>
              <w:bottom w:val="single" w:sz="8" w:color="auto"/>
              <w:right w:val="single" w:sz="8" w:color="auto"/>
            </w:tcBorders>
          </w:tcPr>
          <w:p>
            <w:pPr>
              <w:jc w:val="center"/>
              <w:ind w:right="198"/>
              <w:spacing w:after="0" w:line="82" w:lineRule="exact"/>
              <w:rPr>
                <w:sz w:val="20"/>
                <w:szCs w:val="20"/>
                <w:color w:val="auto"/>
              </w:rPr>
            </w:pPr>
            <w:r>
              <w:rPr>
                <w:rFonts w:ascii="Times New Roman" w:cs="Times New Roman" w:eastAsia="Times New Roman" w:hAnsi="Times New Roman"/>
                <w:sz w:val="8"/>
                <w:szCs w:val="8"/>
                <w:b w:val="1"/>
                <w:bCs w:val="1"/>
                <w:color w:val="auto"/>
              </w:rPr>
              <w:t>13.3%</w:t>
            </w:r>
          </w:p>
        </w:tc>
        <w:tc>
          <w:tcPr>
            <w:tcW w:w="600" w:type="dxa"/>
            <w:vAlign w:val="bottom"/>
          </w:tcPr>
          <w:p>
            <w:pPr>
              <w:spacing w:after="0"/>
              <w:rPr>
                <w:sz w:val="7"/>
                <w:szCs w:val="7"/>
                <w:color w:val="auto"/>
              </w:rPr>
            </w:pPr>
          </w:p>
        </w:tc>
        <w:tc>
          <w:tcPr>
            <w:tcW w:w="980" w:type="dxa"/>
            <w:vAlign w:val="bottom"/>
          </w:tcPr>
          <w:p>
            <w:pPr>
              <w:spacing w:after="0"/>
              <w:rPr>
                <w:sz w:val="7"/>
                <w:szCs w:val="7"/>
                <w:color w:val="auto"/>
              </w:rPr>
            </w:pPr>
          </w:p>
        </w:tc>
        <w:tc>
          <w:tcPr>
            <w:tcW w:w="58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0"/>
        </w:trPr>
        <w:tc>
          <w:tcPr>
            <w:tcW w:w="26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8"/>
                <w:szCs w:val="8"/>
                <w:b w:val="1"/>
                <w:bCs w:val="1"/>
                <w:color w:val="auto"/>
              </w:rPr>
              <w:t>Adjusted by Bolivia’s revaluation</w:t>
            </w:r>
          </w:p>
        </w:tc>
        <w:tc>
          <w:tcPr>
            <w:tcW w:w="7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620" w:type="dxa"/>
            <w:vAlign w:val="bottom"/>
            <w:tcBorders>
              <w:bottom w:val="single" w:sz="8" w:color="auto"/>
            </w:tcBorders>
          </w:tcPr>
          <w:p>
            <w:pPr>
              <w:ind w:left="40"/>
              <w:spacing w:after="0" w:line="82" w:lineRule="exact"/>
              <w:rPr>
                <w:sz w:val="20"/>
                <w:szCs w:val="20"/>
                <w:color w:val="auto"/>
              </w:rPr>
            </w:pPr>
            <w:r>
              <w:rPr>
                <w:rFonts w:ascii="Times New Roman" w:cs="Times New Roman" w:eastAsia="Times New Roman" w:hAnsi="Times New Roman"/>
                <w:sz w:val="6"/>
                <w:szCs w:val="6"/>
                <w:b w:val="1"/>
                <w:bCs w:val="1"/>
                <w:color w:val="auto"/>
              </w:rPr>
              <w:t xml:space="preserve">Low-cost deposits </w:t>
            </w:r>
            <w:r>
              <w:rPr>
                <w:rFonts w:ascii="Times New Roman" w:cs="Times New Roman" w:eastAsia="Times New Roman" w:hAnsi="Times New Roman"/>
                <w:sz w:val="9"/>
                <w:szCs w:val="9"/>
                <w:b w:val="1"/>
                <w:bCs w:val="1"/>
                <w:color w:val="auto"/>
                <w:vertAlign w:val="superscript"/>
              </w:rPr>
              <w:t>(1)</w:t>
            </w:r>
          </w:p>
        </w:tc>
        <w:tc>
          <w:tcPr>
            <w:tcW w:w="760" w:type="dxa"/>
            <w:vAlign w:val="bottom"/>
            <w:tcBorders>
              <w:bottom w:val="single" w:sz="8" w:color="auto"/>
            </w:tcBorders>
          </w:tcPr>
          <w:p>
            <w:pPr>
              <w:jc w:val="center"/>
              <w:spacing w:after="0" w:line="82" w:lineRule="exact"/>
              <w:rPr>
                <w:sz w:val="20"/>
                <w:szCs w:val="20"/>
                <w:color w:val="auto"/>
              </w:rPr>
            </w:pPr>
            <w:r>
              <w:rPr>
                <w:rFonts w:ascii="Times New Roman" w:cs="Times New Roman" w:eastAsia="Times New Roman" w:hAnsi="Times New Roman"/>
                <w:sz w:val="8"/>
                <w:szCs w:val="8"/>
                <w:b w:val="1"/>
                <w:bCs w:val="1"/>
                <w:color w:val="auto"/>
              </w:rPr>
              <w:t>116,433,747</w:t>
            </w:r>
          </w:p>
        </w:tc>
        <w:tc>
          <w:tcPr>
            <w:tcW w:w="780" w:type="dxa"/>
            <w:vAlign w:val="bottom"/>
            <w:tcBorders>
              <w:bottom w:val="single" w:sz="8" w:color="auto"/>
            </w:tcBorders>
          </w:tcPr>
          <w:p>
            <w:pPr>
              <w:jc w:val="center"/>
              <w:spacing w:after="0" w:line="82" w:lineRule="exact"/>
              <w:rPr>
                <w:sz w:val="20"/>
                <w:szCs w:val="20"/>
                <w:color w:val="auto"/>
              </w:rPr>
            </w:pPr>
            <w:r>
              <w:rPr>
                <w:rFonts w:ascii="Times New Roman" w:cs="Times New Roman" w:eastAsia="Times New Roman" w:hAnsi="Times New Roman"/>
                <w:sz w:val="8"/>
                <w:szCs w:val="8"/>
                <w:b w:val="1"/>
                <w:bCs w:val="1"/>
                <w:color w:val="auto"/>
              </w:rPr>
              <w:t>126,058,318</w:t>
            </w:r>
          </w:p>
        </w:tc>
        <w:tc>
          <w:tcPr>
            <w:tcW w:w="820" w:type="dxa"/>
            <w:vAlign w:val="bottom"/>
            <w:tcBorders>
              <w:bottom w:val="single" w:sz="8" w:color="auto"/>
            </w:tcBorders>
          </w:tcPr>
          <w:p>
            <w:pPr>
              <w:jc w:val="center"/>
              <w:spacing w:after="0" w:line="82" w:lineRule="exact"/>
              <w:rPr>
                <w:sz w:val="20"/>
                <w:szCs w:val="20"/>
                <w:color w:val="auto"/>
              </w:rPr>
            </w:pPr>
            <w:r>
              <w:rPr>
                <w:rFonts w:ascii="Times New Roman" w:cs="Times New Roman" w:eastAsia="Times New Roman" w:hAnsi="Times New Roman"/>
                <w:sz w:val="8"/>
                <w:szCs w:val="8"/>
                <w:b w:val="1"/>
                <w:bCs w:val="1"/>
                <w:color w:val="auto"/>
              </w:rPr>
              <w:t>135,579,062</w:t>
            </w:r>
          </w:p>
        </w:tc>
        <w:tc>
          <w:tcPr>
            <w:tcW w:w="560" w:type="dxa"/>
            <w:vAlign w:val="bottom"/>
            <w:tcBorders>
              <w:bottom w:val="single" w:sz="8" w:color="auto"/>
            </w:tcBorders>
          </w:tcPr>
          <w:p>
            <w:pPr>
              <w:jc w:val="center"/>
              <w:ind w:left="138"/>
              <w:spacing w:after="0" w:line="82" w:lineRule="exact"/>
              <w:rPr>
                <w:sz w:val="20"/>
                <w:szCs w:val="20"/>
                <w:color w:val="auto"/>
              </w:rPr>
            </w:pPr>
            <w:r>
              <w:rPr>
                <w:rFonts w:ascii="Times New Roman" w:cs="Times New Roman" w:eastAsia="Times New Roman" w:hAnsi="Times New Roman"/>
                <w:sz w:val="8"/>
                <w:szCs w:val="8"/>
                <w:b w:val="1"/>
                <w:bCs w:val="1"/>
                <w:color w:val="auto"/>
              </w:rPr>
              <w:t>9,520,744</w:t>
            </w:r>
          </w:p>
        </w:tc>
        <w:tc>
          <w:tcPr>
            <w:tcW w:w="1000" w:type="dxa"/>
            <w:vAlign w:val="bottom"/>
            <w:tcBorders>
              <w:bottom w:val="single" w:sz="8" w:color="auto"/>
            </w:tcBorders>
          </w:tcPr>
          <w:p>
            <w:pPr>
              <w:jc w:val="center"/>
              <w:ind w:left="138"/>
              <w:spacing w:after="0" w:line="82" w:lineRule="exact"/>
              <w:rPr>
                <w:sz w:val="20"/>
                <w:szCs w:val="20"/>
                <w:color w:val="auto"/>
              </w:rPr>
            </w:pPr>
            <w:r>
              <w:rPr>
                <w:rFonts w:ascii="Times New Roman" w:cs="Times New Roman" w:eastAsia="Times New Roman" w:hAnsi="Times New Roman"/>
                <w:sz w:val="8"/>
                <w:szCs w:val="8"/>
                <w:b w:val="1"/>
                <w:bCs w:val="1"/>
                <w:color w:val="auto"/>
              </w:rPr>
              <w:t>19,145,315</w:t>
            </w:r>
          </w:p>
        </w:tc>
        <w:tc>
          <w:tcPr>
            <w:tcW w:w="980" w:type="dxa"/>
            <w:vAlign w:val="bottom"/>
            <w:tcBorders>
              <w:bottom w:val="single" w:sz="8" w:color="auto"/>
            </w:tcBorders>
          </w:tcPr>
          <w:p>
            <w:pPr>
              <w:jc w:val="center"/>
              <w:ind w:right="158"/>
              <w:spacing w:after="0" w:line="82" w:lineRule="exact"/>
              <w:rPr>
                <w:sz w:val="20"/>
                <w:szCs w:val="20"/>
                <w:color w:val="auto"/>
              </w:rPr>
            </w:pPr>
            <w:r>
              <w:rPr>
                <w:rFonts w:ascii="Times New Roman" w:cs="Times New Roman" w:eastAsia="Times New Roman" w:hAnsi="Times New Roman"/>
                <w:sz w:val="8"/>
                <w:szCs w:val="8"/>
                <w:b w:val="1"/>
                <w:bCs w:val="1"/>
                <w:color w:val="auto"/>
                <w:w w:val="99"/>
              </w:rPr>
              <w:t>7.6%</w:t>
            </w:r>
          </w:p>
        </w:tc>
        <w:tc>
          <w:tcPr>
            <w:tcW w:w="600" w:type="dxa"/>
            <w:vAlign w:val="bottom"/>
            <w:tcBorders>
              <w:bottom w:val="single" w:sz="8" w:color="auto"/>
            </w:tcBorders>
          </w:tcPr>
          <w:p>
            <w:pPr>
              <w:jc w:val="center"/>
              <w:ind w:right="198"/>
              <w:spacing w:after="0" w:line="82" w:lineRule="exact"/>
              <w:rPr>
                <w:sz w:val="20"/>
                <w:szCs w:val="20"/>
                <w:color w:val="auto"/>
              </w:rPr>
            </w:pPr>
            <w:r>
              <w:rPr>
                <w:rFonts w:ascii="Times New Roman" w:cs="Times New Roman" w:eastAsia="Times New Roman" w:hAnsi="Times New Roman"/>
                <w:sz w:val="8"/>
                <w:szCs w:val="8"/>
                <w:b w:val="1"/>
                <w:bCs w:val="1"/>
                <w:color w:val="auto"/>
              </w:rPr>
              <w:t>16.4%</w:t>
            </w:r>
          </w:p>
        </w:tc>
        <w:tc>
          <w:tcPr>
            <w:tcW w:w="600" w:type="dxa"/>
            <w:vAlign w:val="bottom"/>
            <w:tcBorders>
              <w:bottom w:val="single" w:sz="8" w:color="auto"/>
            </w:tcBorders>
          </w:tcPr>
          <w:p>
            <w:pPr>
              <w:jc w:val="center"/>
              <w:ind w:left="98"/>
              <w:spacing w:after="0" w:line="82" w:lineRule="exact"/>
              <w:rPr>
                <w:sz w:val="20"/>
                <w:szCs w:val="20"/>
                <w:color w:val="auto"/>
              </w:rPr>
            </w:pPr>
            <w:r>
              <w:rPr>
                <w:rFonts w:ascii="Times New Roman" w:cs="Times New Roman" w:eastAsia="Times New Roman" w:hAnsi="Times New Roman"/>
                <w:sz w:val="8"/>
                <w:szCs w:val="8"/>
                <w:b w:val="1"/>
                <w:bCs w:val="1"/>
                <w:color w:val="auto"/>
              </w:rPr>
              <w:t>3,994,159</w:t>
            </w:r>
          </w:p>
        </w:tc>
        <w:tc>
          <w:tcPr>
            <w:tcW w:w="980" w:type="dxa"/>
            <w:vAlign w:val="bottom"/>
            <w:tcBorders>
              <w:bottom w:val="single" w:sz="8" w:color="auto"/>
            </w:tcBorders>
          </w:tcPr>
          <w:p>
            <w:pPr>
              <w:jc w:val="center"/>
              <w:ind w:left="78"/>
              <w:spacing w:after="0" w:line="82" w:lineRule="exact"/>
              <w:rPr>
                <w:sz w:val="20"/>
                <w:szCs w:val="20"/>
                <w:color w:val="auto"/>
              </w:rPr>
            </w:pPr>
            <w:r>
              <w:rPr>
                <w:rFonts w:ascii="Times New Roman" w:cs="Times New Roman" w:eastAsia="Times New Roman" w:hAnsi="Times New Roman"/>
                <w:sz w:val="8"/>
                <w:szCs w:val="8"/>
                <w:b w:val="1"/>
                <w:bCs w:val="1"/>
                <w:color w:val="auto"/>
              </w:rPr>
              <w:t>19,427,506</w:t>
            </w:r>
          </w:p>
        </w:tc>
        <w:tc>
          <w:tcPr>
            <w:tcW w:w="580" w:type="dxa"/>
            <w:vAlign w:val="bottom"/>
            <w:tcBorders>
              <w:bottom w:val="single" w:sz="8" w:color="auto"/>
            </w:tcBorders>
          </w:tcPr>
          <w:p>
            <w:pPr>
              <w:jc w:val="center"/>
              <w:ind w:left="118"/>
              <w:spacing w:after="0" w:line="82" w:lineRule="exact"/>
              <w:rPr>
                <w:sz w:val="20"/>
                <w:szCs w:val="20"/>
                <w:color w:val="auto"/>
              </w:rPr>
            </w:pPr>
            <w:r>
              <w:rPr>
                <w:rFonts w:ascii="Times New Roman" w:cs="Times New Roman" w:eastAsia="Times New Roman" w:hAnsi="Times New Roman"/>
                <w:sz w:val="8"/>
                <w:szCs w:val="8"/>
                <w:b w:val="1"/>
                <w:bCs w:val="1"/>
                <w:color w:val="auto"/>
                <w:w w:val="99"/>
              </w:rPr>
              <w:t>3.2%</w:t>
            </w:r>
          </w:p>
        </w:tc>
        <w:tc>
          <w:tcPr>
            <w:tcW w:w="980" w:type="dxa"/>
            <w:vAlign w:val="bottom"/>
            <w:tcBorders>
              <w:bottom w:val="single" w:sz="8" w:color="auto"/>
            </w:tcBorders>
          </w:tcPr>
          <w:p>
            <w:pPr>
              <w:jc w:val="center"/>
              <w:ind w:left="118"/>
              <w:spacing w:after="0" w:line="82" w:lineRule="exact"/>
              <w:rPr>
                <w:sz w:val="20"/>
                <w:szCs w:val="20"/>
                <w:color w:val="auto"/>
              </w:rPr>
            </w:pPr>
            <w:r>
              <w:rPr>
                <w:rFonts w:ascii="Times New Roman" w:cs="Times New Roman" w:eastAsia="Times New Roman" w:hAnsi="Times New Roman"/>
                <w:sz w:val="8"/>
                <w:szCs w:val="8"/>
                <w:b w:val="1"/>
                <w:bCs w:val="1"/>
                <w:color w:val="auto"/>
                <w:w w:val="99"/>
              </w:rPr>
              <w:t>16.7%</w:t>
            </w:r>
          </w:p>
        </w:tc>
        <w:tc>
          <w:tcPr>
            <w:tcW w:w="0" w:type="dxa"/>
            <w:vAlign w:val="bottom"/>
          </w:tcPr>
          <w:p>
            <w:pPr>
              <w:spacing w:after="0"/>
              <w:rPr>
                <w:sz w:val="1"/>
                <w:szCs w:val="1"/>
                <w:color w:val="auto"/>
              </w:rPr>
            </w:pPr>
          </w:p>
        </w:tc>
      </w:tr>
      <w:tr>
        <w:trPr>
          <w:trHeight w:val="90"/>
        </w:trPr>
        <w:tc>
          <w:tcPr>
            <w:tcW w:w="2620" w:type="dxa"/>
            <w:vAlign w:val="bottom"/>
          </w:tcPr>
          <w:p>
            <w:pPr>
              <w:ind w:left="40"/>
              <w:spacing w:after="0" w:line="91" w:lineRule="exact"/>
              <w:rPr>
                <w:sz w:val="20"/>
                <w:szCs w:val="20"/>
                <w:color w:val="auto"/>
              </w:rPr>
            </w:pPr>
            <w:r>
              <w:rPr>
                <w:rFonts w:ascii="Times New Roman" w:cs="Times New Roman" w:eastAsia="Times New Roman" w:hAnsi="Times New Roman"/>
                <w:sz w:val="8"/>
                <w:szCs w:val="8"/>
                <w:b w:val="1"/>
                <w:bCs w:val="1"/>
                <w:color w:val="auto"/>
              </w:rPr>
              <w:t>Total Deposits</w:t>
            </w:r>
          </w:p>
        </w:tc>
        <w:tc>
          <w:tcPr>
            <w:tcW w:w="760" w:type="dxa"/>
            <w:vAlign w:val="bottom"/>
          </w:tcPr>
          <w:p>
            <w:pPr>
              <w:jc w:val="center"/>
              <w:spacing w:after="0" w:line="91" w:lineRule="exact"/>
              <w:rPr>
                <w:sz w:val="20"/>
                <w:szCs w:val="20"/>
                <w:color w:val="auto"/>
              </w:rPr>
            </w:pPr>
            <w:r>
              <w:rPr>
                <w:rFonts w:ascii="Times New Roman" w:cs="Times New Roman" w:eastAsia="Times New Roman" w:hAnsi="Times New Roman"/>
                <w:sz w:val="8"/>
                <w:szCs w:val="8"/>
                <w:b w:val="1"/>
                <w:bCs w:val="1"/>
                <w:color w:val="auto"/>
              </w:rPr>
              <w:t>162,272,979</w:t>
            </w:r>
          </w:p>
        </w:tc>
        <w:tc>
          <w:tcPr>
            <w:tcW w:w="780" w:type="dxa"/>
            <w:vAlign w:val="bottom"/>
          </w:tcPr>
          <w:p>
            <w:pPr>
              <w:jc w:val="center"/>
              <w:spacing w:after="0" w:line="91" w:lineRule="exact"/>
              <w:rPr>
                <w:sz w:val="20"/>
                <w:szCs w:val="20"/>
                <w:color w:val="auto"/>
              </w:rPr>
            </w:pPr>
            <w:r>
              <w:rPr>
                <w:rFonts w:ascii="Times New Roman" w:cs="Times New Roman" w:eastAsia="Times New Roman" w:hAnsi="Times New Roman"/>
                <w:sz w:val="8"/>
                <w:szCs w:val="8"/>
                <w:b w:val="1"/>
                <w:bCs w:val="1"/>
                <w:color w:val="auto"/>
              </w:rPr>
              <w:t>172,605,609</w:t>
            </w:r>
          </w:p>
        </w:tc>
        <w:tc>
          <w:tcPr>
            <w:tcW w:w="820" w:type="dxa"/>
            <w:vAlign w:val="bottom"/>
          </w:tcPr>
          <w:p>
            <w:pPr>
              <w:jc w:val="center"/>
              <w:spacing w:after="0" w:line="91" w:lineRule="exact"/>
              <w:rPr>
                <w:sz w:val="20"/>
                <w:szCs w:val="20"/>
                <w:color w:val="auto"/>
              </w:rPr>
            </w:pPr>
            <w:r>
              <w:rPr>
                <w:rFonts w:ascii="Times New Roman" w:cs="Times New Roman" w:eastAsia="Times New Roman" w:hAnsi="Times New Roman"/>
                <w:sz w:val="8"/>
                <w:szCs w:val="8"/>
                <w:b w:val="1"/>
                <w:bCs w:val="1"/>
                <w:color w:val="auto"/>
              </w:rPr>
              <w:t>181,702,552</w:t>
            </w:r>
          </w:p>
        </w:tc>
        <w:tc>
          <w:tcPr>
            <w:tcW w:w="560" w:type="dxa"/>
            <w:vAlign w:val="bottom"/>
          </w:tcPr>
          <w:p>
            <w:pPr>
              <w:jc w:val="center"/>
              <w:ind w:left="138"/>
              <w:spacing w:after="0" w:line="91" w:lineRule="exact"/>
              <w:rPr>
                <w:sz w:val="20"/>
                <w:szCs w:val="20"/>
                <w:color w:val="auto"/>
              </w:rPr>
            </w:pPr>
            <w:r>
              <w:rPr>
                <w:rFonts w:ascii="Times New Roman" w:cs="Times New Roman" w:eastAsia="Times New Roman" w:hAnsi="Times New Roman"/>
                <w:sz w:val="8"/>
                <w:szCs w:val="8"/>
                <w:b w:val="1"/>
                <w:bCs w:val="1"/>
                <w:color w:val="auto"/>
              </w:rPr>
              <w:t>9,096,943</w:t>
            </w:r>
          </w:p>
        </w:tc>
        <w:tc>
          <w:tcPr>
            <w:tcW w:w="1000" w:type="dxa"/>
            <w:vAlign w:val="bottom"/>
          </w:tcPr>
          <w:p>
            <w:pPr>
              <w:jc w:val="center"/>
              <w:ind w:left="138"/>
              <w:spacing w:after="0" w:line="91" w:lineRule="exact"/>
              <w:rPr>
                <w:sz w:val="20"/>
                <w:szCs w:val="20"/>
                <w:color w:val="auto"/>
              </w:rPr>
            </w:pPr>
            <w:r>
              <w:rPr>
                <w:rFonts w:ascii="Times New Roman" w:cs="Times New Roman" w:eastAsia="Times New Roman" w:hAnsi="Times New Roman"/>
                <w:sz w:val="8"/>
                <w:szCs w:val="8"/>
                <w:b w:val="1"/>
                <w:bCs w:val="1"/>
                <w:color w:val="auto"/>
              </w:rPr>
              <w:t>19,429,573</w:t>
            </w:r>
          </w:p>
        </w:tc>
        <w:tc>
          <w:tcPr>
            <w:tcW w:w="980" w:type="dxa"/>
            <w:vAlign w:val="bottom"/>
          </w:tcPr>
          <w:p>
            <w:pPr>
              <w:jc w:val="center"/>
              <w:ind w:right="158"/>
              <w:spacing w:after="0" w:line="91" w:lineRule="exact"/>
              <w:rPr>
                <w:sz w:val="20"/>
                <w:szCs w:val="20"/>
                <w:color w:val="auto"/>
              </w:rPr>
            </w:pPr>
            <w:r>
              <w:rPr>
                <w:rFonts w:ascii="Times New Roman" w:cs="Times New Roman" w:eastAsia="Times New Roman" w:hAnsi="Times New Roman"/>
                <w:sz w:val="8"/>
                <w:szCs w:val="8"/>
                <w:b w:val="1"/>
                <w:bCs w:val="1"/>
                <w:color w:val="auto"/>
                <w:w w:val="99"/>
              </w:rPr>
              <w:t>5.3%</w:t>
            </w:r>
          </w:p>
        </w:tc>
        <w:tc>
          <w:tcPr>
            <w:tcW w:w="600" w:type="dxa"/>
            <w:vAlign w:val="bottom"/>
          </w:tcPr>
          <w:p>
            <w:pPr>
              <w:jc w:val="center"/>
              <w:ind w:right="198"/>
              <w:spacing w:after="0" w:line="91" w:lineRule="exact"/>
              <w:rPr>
                <w:sz w:val="20"/>
                <w:szCs w:val="20"/>
                <w:color w:val="auto"/>
              </w:rPr>
            </w:pPr>
            <w:r>
              <w:rPr>
                <w:rFonts w:ascii="Times New Roman" w:cs="Times New Roman" w:eastAsia="Times New Roman" w:hAnsi="Times New Roman"/>
                <w:sz w:val="8"/>
                <w:szCs w:val="8"/>
                <w:b w:val="1"/>
                <w:bCs w:val="1"/>
                <w:color w:val="auto"/>
              </w:rPr>
              <w:t>12.0%</w:t>
            </w:r>
          </w:p>
        </w:tc>
        <w:tc>
          <w:tcPr>
            <w:tcW w:w="600" w:type="dxa"/>
            <w:vAlign w:val="bottom"/>
          </w:tcPr>
          <w:p>
            <w:pPr>
              <w:jc w:val="center"/>
              <w:ind w:left="98"/>
              <w:spacing w:after="0" w:line="91" w:lineRule="exact"/>
              <w:rPr>
                <w:sz w:val="20"/>
                <w:szCs w:val="20"/>
                <w:color w:val="auto"/>
              </w:rPr>
            </w:pPr>
            <w:r>
              <w:rPr>
                <w:rFonts w:ascii="Times New Roman" w:cs="Times New Roman" w:eastAsia="Times New Roman" w:hAnsi="Times New Roman"/>
                <w:sz w:val="8"/>
                <w:szCs w:val="8"/>
                <w:b w:val="1"/>
                <w:bCs w:val="1"/>
                <w:color w:val="auto"/>
              </w:rPr>
              <w:t>1,384,598</w:t>
            </w:r>
          </w:p>
        </w:tc>
        <w:tc>
          <w:tcPr>
            <w:tcW w:w="980" w:type="dxa"/>
            <w:vAlign w:val="bottom"/>
          </w:tcPr>
          <w:p>
            <w:pPr>
              <w:jc w:val="center"/>
              <w:ind w:left="78"/>
              <w:spacing w:after="0" w:line="91" w:lineRule="exact"/>
              <w:rPr>
                <w:sz w:val="20"/>
                <w:szCs w:val="20"/>
                <w:color w:val="auto"/>
              </w:rPr>
            </w:pPr>
            <w:r>
              <w:rPr>
                <w:rFonts w:ascii="Times New Roman" w:cs="Times New Roman" w:eastAsia="Times New Roman" w:hAnsi="Times New Roman"/>
                <w:sz w:val="8"/>
                <w:szCs w:val="8"/>
                <w:b w:val="1"/>
                <w:bCs w:val="1"/>
                <w:color w:val="auto"/>
              </w:rPr>
              <w:t>22,290,986</w:t>
            </w:r>
          </w:p>
        </w:tc>
        <w:tc>
          <w:tcPr>
            <w:tcW w:w="580" w:type="dxa"/>
            <w:vAlign w:val="bottom"/>
          </w:tcPr>
          <w:p>
            <w:pPr>
              <w:jc w:val="center"/>
              <w:ind w:left="118"/>
              <w:spacing w:after="0" w:line="91" w:lineRule="exact"/>
              <w:rPr>
                <w:sz w:val="20"/>
                <w:szCs w:val="20"/>
                <w:color w:val="auto"/>
              </w:rPr>
            </w:pPr>
            <w:r>
              <w:rPr>
                <w:rFonts w:ascii="Times New Roman" w:cs="Times New Roman" w:eastAsia="Times New Roman" w:hAnsi="Times New Roman"/>
                <w:sz w:val="8"/>
                <w:szCs w:val="8"/>
                <w:b w:val="1"/>
                <w:bCs w:val="1"/>
                <w:color w:val="auto"/>
                <w:w w:val="99"/>
              </w:rPr>
              <w:t>0.8%</w:t>
            </w:r>
          </w:p>
        </w:tc>
        <w:tc>
          <w:tcPr>
            <w:tcW w:w="980" w:type="dxa"/>
            <w:vAlign w:val="bottom"/>
          </w:tcPr>
          <w:p>
            <w:pPr>
              <w:jc w:val="center"/>
              <w:ind w:left="118"/>
              <w:spacing w:after="0" w:line="91" w:lineRule="exact"/>
              <w:rPr>
                <w:sz w:val="20"/>
                <w:szCs w:val="20"/>
                <w:color w:val="auto"/>
              </w:rPr>
            </w:pPr>
            <w:r>
              <w:rPr>
                <w:rFonts w:ascii="Times New Roman" w:cs="Times New Roman" w:eastAsia="Times New Roman" w:hAnsi="Times New Roman"/>
                <w:sz w:val="8"/>
                <w:szCs w:val="8"/>
                <w:b w:val="1"/>
                <w:bCs w:val="1"/>
                <w:color w:val="auto"/>
                <w:w w:val="99"/>
              </w:rPr>
              <w:t>13.7%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-133985</wp:posOffset>
            </wp:positionV>
            <wp:extent cx="7140575"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0575" cy="137160"/>
                    </a:xfrm>
                    <a:prstGeom prst="rect">
                      <a:avLst/>
                    </a:prstGeom>
                    <a:noFill/>
                  </pic:spPr>
                </pic:pic>
              </a:graphicData>
            </a:graphic>
          </wp:anchor>
        </w:drawing>
      </w:r>
    </w:p>
    <w:p>
      <w:pPr>
        <w:ind w:left="300" w:hanging="298"/>
        <w:spacing w:after="0"/>
        <w:tabs>
          <w:tab w:leader="none" w:pos="30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Demand and Saving Deposits.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QoQ</w:t>
      </w:r>
      <w:r>
        <w:rPr>
          <w:rFonts w:ascii="Times New Roman" w:cs="Times New Roman" w:eastAsia="Times New Roman" w:hAnsi="Times New Roman"/>
          <w:sz w:val="17"/>
          <w:szCs w:val="17"/>
          <w:color w:val="auto"/>
        </w:rPr>
        <w:t>, our balance for</w:t>
      </w:r>
      <w:r>
        <w:rPr>
          <w:rFonts w:ascii="Times New Roman" w:cs="Times New Roman" w:eastAsia="Times New Roman" w:hAnsi="Times New Roman"/>
          <w:sz w:val="17"/>
          <w:szCs w:val="17"/>
          <w:b w:val="1"/>
          <w:bCs w:val="1"/>
          <w:color w:val="auto"/>
        </w:rPr>
        <w:t xml:space="preserve"> Total Deposits </w:t>
      </w:r>
      <w:r>
        <w:rPr>
          <w:rFonts w:ascii="Times New Roman" w:cs="Times New Roman" w:eastAsia="Times New Roman" w:hAnsi="Times New Roman"/>
          <w:sz w:val="17"/>
          <w:szCs w:val="17"/>
          <w:color w:val="auto"/>
        </w:rPr>
        <w:t>rose 0.8%, driven primarily by:</w:t>
      </w:r>
    </w:p>
    <w:p>
      <w:pPr>
        <w:spacing w:after="0" w:line="27" w:lineRule="exact"/>
        <w:rPr>
          <w:sz w:val="20"/>
          <w:szCs w:val="20"/>
          <w:color w:val="auto"/>
        </w:rPr>
      </w:pPr>
    </w:p>
    <w:p>
      <w:pPr>
        <w:jc w:val="both"/>
        <w:ind w:left="760" w:right="380" w:hanging="314"/>
        <w:spacing w:after="0" w:line="205" w:lineRule="auto"/>
        <w:tabs>
          <w:tab w:leader="none" w:pos="7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5.1% increase in the balance of </w:t>
      </w:r>
      <w:r>
        <w:rPr>
          <w:rFonts w:ascii="Times New Roman" w:cs="Times New Roman" w:eastAsia="Times New Roman" w:hAnsi="Times New Roman"/>
          <w:sz w:val="17"/>
          <w:szCs w:val="17"/>
          <w:b w:val="1"/>
          <w:bCs w:val="1"/>
          <w:color w:val="auto"/>
        </w:rPr>
        <w:t>Demand Deposits.</w:t>
      </w:r>
      <w:r>
        <w:rPr>
          <w:rFonts w:ascii="Times New Roman" w:cs="Times New Roman" w:eastAsia="Times New Roman" w:hAnsi="Times New Roman"/>
          <w:sz w:val="17"/>
          <w:szCs w:val="17"/>
          <w:color w:val="auto"/>
        </w:rPr>
        <w:t xml:space="preserve"> This evolution was fueled primarily by growth in LC volumes at BCP Stand-alone, which was in turn primarily attributable to inflows from the 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pension fund withdrawal and, to a lesser extent, to growth in Middle Market Banking, which rose an uptick in movements by institutional clients.</w:t>
      </w:r>
    </w:p>
    <w:p>
      <w:pPr>
        <w:ind w:left="760" w:right="380" w:hanging="314"/>
        <w:spacing w:after="0" w:line="258" w:lineRule="auto"/>
        <w:tabs>
          <w:tab w:leader="none" w:pos="7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1.5% increase in the balance of </w:t>
      </w:r>
      <w:r>
        <w:rPr>
          <w:rFonts w:ascii="Times New Roman" w:cs="Times New Roman" w:eastAsia="Times New Roman" w:hAnsi="Times New Roman"/>
          <w:sz w:val="17"/>
          <w:szCs w:val="17"/>
          <w:b w:val="1"/>
          <w:bCs w:val="1"/>
          <w:color w:val="auto"/>
        </w:rPr>
        <w:t>Savings Deposits</w:t>
      </w:r>
      <w:r>
        <w:rPr>
          <w:rFonts w:ascii="Times New Roman" w:cs="Times New Roman" w:eastAsia="Times New Roman" w:hAnsi="Times New Roman"/>
          <w:sz w:val="17"/>
          <w:szCs w:val="17"/>
          <w:color w:val="auto"/>
        </w:rPr>
        <w:t>, spurred mainly by growth in LC volumes at BCP Stand-alone. This evolution was attributable to inflows from both pension fund withdrawals and deposits by clients who received profit-sharing payments in March.</w:t>
      </w:r>
    </w:p>
    <w:p>
      <w:pPr>
        <w:spacing w:after="0" w:line="169" w:lineRule="exact"/>
        <w:rPr>
          <w:sz w:val="20"/>
          <w:szCs w:val="20"/>
          <w:color w:val="auto"/>
        </w:rPr>
      </w:pPr>
    </w:p>
    <w:p>
      <w:pPr>
        <w:ind w:left="740" w:right="400" w:hanging="294"/>
        <w:spacing w:after="0" w:line="282" w:lineRule="auto"/>
        <w:tabs>
          <w:tab w:leader="none" w:pos="7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5.6% reduction in the balance for </w:t>
      </w:r>
      <w:r>
        <w:rPr>
          <w:rFonts w:ascii="Times New Roman" w:cs="Times New Roman" w:eastAsia="Times New Roman" w:hAnsi="Times New Roman"/>
          <w:sz w:val="17"/>
          <w:szCs w:val="17"/>
          <w:b w:val="1"/>
          <w:bCs w:val="1"/>
          <w:color w:val="auto"/>
        </w:rPr>
        <w:t>Time Deposits.</w:t>
      </w:r>
      <w:r>
        <w:rPr>
          <w:rFonts w:ascii="Times New Roman" w:cs="Times New Roman" w:eastAsia="Times New Roman" w:hAnsi="Times New Roman"/>
          <w:sz w:val="17"/>
          <w:szCs w:val="17"/>
          <w:color w:val="auto"/>
        </w:rPr>
        <w:t xml:space="preserve"> This evolution was driven by a drop in LC volumes at </w:t>
      </w:r>
      <w:r>
        <w:rPr>
          <w:rFonts w:ascii="Times New Roman" w:cs="Times New Roman" w:eastAsia="Times New Roman" w:hAnsi="Times New Roman"/>
          <w:sz w:val="17"/>
          <w:szCs w:val="17"/>
          <w:b w:val="1"/>
          <w:bCs w:val="1"/>
          <w:color w:val="auto"/>
        </w:rPr>
        <w:t>BCP Stand-alone</w:t>
      </w:r>
      <w:r>
        <w:rPr>
          <w:rFonts w:ascii="Times New Roman" w:cs="Times New Roman" w:eastAsia="Times New Roman" w:hAnsi="Times New Roman"/>
          <w:sz w:val="17"/>
          <w:szCs w:val="17"/>
          <w:color w:val="auto"/>
        </w:rPr>
        <w:t>, related to deposits expirations of wholesale clients, in line with the strategic decision to optimize our funding structure.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YoY</w:t>
      </w:r>
      <w:r>
        <w:rPr>
          <w:rFonts w:ascii="Times New Roman" w:cs="Times New Roman" w:eastAsia="Times New Roman" w:hAnsi="Times New Roman"/>
          <w:sz w:val="17"/>
          <w:szCs w:val="17"/>
          <w:color w:val="auto"/>
        </w:rPr>
        <w:t>, our balance for</w:t>
      </w:r>
      <w:r>
        <w:rPr>
          <w:rFonts w:ascii="Times New Roman" w:cs="Times New Roman" w:eastAsia="Times New Roman" w:hAnsi="Times New Roman"/>
          <w:sz w:val="17"/>
          <w:szCs w:val="17"/>
          <w:b w:val="1"/>
          <w:bCs w:val="1"/>
          <w:color w:val="auto"/>
        </w:rPr>
        <w:t xml:space="preserve"> Total Deposits </w:t>
      </w:r>
      <w:r>
        <w:rPr>
          <w:rFonts w:ascii="Times New Roman" w:cs="Times New Roman" w:eastAsia="Times New Roman" w:hAnsi="Times New Roman"/>
          <w:sz w:val="17"/>
          <w:szCs w:val="17"/>
          <w:color w:val="auto"/>
        </w:rPr>
        <w:t>increased 13.7%, driven mainly by:</w:t>
      </w:r>
    </w:p>
    <w:p>
      <w:pPr>
        <w:spacing w:after="0" w:line="27" w:lineRule="exact"/>
        <w:rPr>
          <w:sz w:val="20"/>
          <w:szCs w:val="20"/>
          <w:color w:val="auto"/>
        </w:rPr>
      </w:pPr>
    </w:p>
    <w:p>
      <w:pPr>
        <w:jc w:val="both"/>
        <w:ind w:left="740" w:right="380" w:hanging="294"/>
        <w:spacing w:after="0" w:line="252" w:lineRule="auto"/>
        <w:tabs>
          <w:tab w:leader="none" w:pos="7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Expansion of 14.8% and 18.4% in the balance for Demand Deposits and Savings Deposits, respectively. YoY growth was propelled by the same dynamics seen QoQ and by an uptick in the FC volume at BCP Stand-alone, which rose on the back of an appreciation in the US Dollar’s value against the PEN. Balance expansion for both deposit types was driven by on-going efforts to differentiate our transactional offerings, which has facilitated deposit captures in a context of high liquidity.</w:t>
      </w:r>
    </w:p>
    <w:p>
      <w:pPr>
        <w:spacing w:after="0" w:line="175"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7"/>
          <w:szCs w:val="17"/>
          <w:color w:val="auto"/>
        </w:rPr>
        <w:t xml:space="preserve">Finally, thanks to our investments in digital infrastructure and initiatives to strengthen client relations, our </w:t>
      </w:r>
      <w:r>
        <w:rPr>
          <w:rFonts w:ascii="Times New Roman" w:cs="Times New Roman" w:eastAsia="Times New Roman" w:hAnsi="Times New Roman"/>
          <w:sz w:val="17"/>
          <w:szCs w:val="17"/>
          <w:b w:val="1"/>
          <w:bCs w:val="1"/>
          <w:color w:val="auto"/>
        </w:rPr>
        <w:t>Low-cost Deposits</w:t>
      </w:r>
      <w:r>
        <w:rPr>
          <w:rFonts w:ascii="Times New Roman" w:cs="Times New Roman" w:eastAsia="Times New Roman" w:hAnsi="Times New Roman"/>
          <w:sz w:val="17"/>
          <w:szCs w:val="17"/>
          <w:color w:val="auto"/>
        </w:rPr>
        <w:t xml:space="preserve"> continued to grow and currently represent 74.6% of total deposits, up 286 bps YoY. This growth led our market share of low-cost deposits to situate at 41.2% at quarter-end.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140335</wp:posOffset>
            </wp:positionV>
            <wp:extent cx="142621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426210" cy="8255"/>
                    </a:xfrm>
                    <a:prstGeom prst="rect">
                      <a:avLst/>
                    </a:prstGeom>
                    <a:noFill/>
                  </pic:spPr>
                </pic:pic>
              </a:graphicData>
            </a:graphic>
          </wp:anchor>
        </w:drawing>
      </w:r>
    </w:p>
    <w:p>
      <w:pPr>
        <w:spacing w:after="0" w:line="167" w:lineRule="exact"/>
        <w:rPr>
          <w:sz w:val="20"/>
          <w:szCs w:val="20"/>
          <w:color w:val="auto"/>
        </w:rPr>
      </w:pPr>
    </w:p>
    <w:p>
      <w:pPr>
        <w:ind w:left="80" w:hanging="78"/>
        <w:spacing w:after="0"/>
        <w:tabs>
          <w:tab w:leader="none" w:pos="80"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As in recent quarters, this evolution is impacted by a non-cash accounting adjustment for the revaluation of assets related to the balance sheet of BCP Bolivia.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692150</wp:posOffset>
            </wp:positionV>
            <wp:extent cx="7140575" cy="158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0575" cy="15875"/>
                    </a:xfrm>
                    <a:prstGeom prst="rect">
                      <a:avLst/>
                    </a:prstGeom>
                    <a:noFill/>
                  </pic:spPr>
                </pic:pic>
              </a:graphicData>
            </a:graphic>
          </wp:anchor>
        </w:drawing>
        <w:drawing>
          <wp:anchor simplePos="0" relativeHeight="251657728" behindDoc="1" locked="0" layoutInCell="0" allowOverlap="1">
            <wp:simplePos x="0" y="0"/>
            <wp:positionH relativeFrom="column">
              <wp:posOffset>347345</wp:posOffset>
            </wp:positionH>
            <wp:positionV relativeFrom="paragraph">
              <wp:posOffset>-8890</wp:posOffset>
            </wp:positionV>
            <wp:extent cx="6447155" cy="5886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447155" cy="5886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0" w:name="page21"/>
    <w:bookmarkEnd w:id="20"/>
    <w:p>
      <w:pPr>
        <w:ind w:left="3140"/>
        <w:spacing w:after="0"/>
        <w:tabs>
          <w:tab w:leader="none" w:pos="3320" w:val="left"/>
          <w:tab w:leader="none" w:pos="9060" w:val="left"/>
        </w:tabs>
        <w:rPr>
          <w:sz w:val="20"/>
          <w:szCs w:val="20"/>
          <w:color w:val="auto"/>
        </w:rPr>
      </w:pPr>
      <w:r>
        <w:rPr>
          <w:rFonts w:ascii="Times New Roman" w:cs="Times New Roman" w:eastAsia="Times New Roman" w:hAnsi="Times New Roman"/>
          <w:sz w:val="14"/>
          <w:szCs w:val="14"/>
          <w:color w:val="A6A6A6"/>
        </w:rPr>
        <w:drawing>
          <wp:anchor simplePos="0" relativeHeight="251657728" behindDoc="1" locked="0" layoutInCell="0" allowOverlap="1">
            <wp:simplePos x="0" y="0"/>
            <wp:positionH relativeFrom="page">
              <wp:posOffset>204470</wp:posOffset>
            </wp:positionH>
            <wp:positionV relativeFrom="page">
              <wp:posOffset>88900</wp:posOffset>
            </wp:positionV>
            <wp:extent cx="7140575" cy="6927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0575" cy="692785"/>
                    </a:xfrm>
                    <a:prstGeom prst="rect">
                      <a:avLst/>
                    </a:prstGeom>
                    <a:noFill/>
                  </pic:spPr>
                </pic:pic>
              </a:graphicData>
            </a:graphic>
          </wp:anchor>
        </w:drawing>
        <w:t>|</w:t>
      </w:r>
      <w:r>
        <w:rPr>
          <w:rFonts w:ascii="Times New Roman" w:cs="Times New Roman" w:eastAsia="Times New Roman" w:hAnsi="Times New Roman"/>
          <w:sz w:val="14"/>
          <w:szCs w:val="14"/>
          <w:color w:val="FFFFFF"/>
        </w:rPr>
        <w:tab/>
        <w:t>Earnings Release 1Q / 2026</w:t>
      </w:r>
      <w:r>
        <w:rPr>
          <w:sz w:val="20"/>
          <w:szCs w:val="20"/>
          <w:color w:val="auto"/>
        </w:rPr>
        <w:tab/>
      </w:r>
      <w:r>
        <w:rPr>
          <w:rFonts w:ascii="Times New Roman" w:cs="Times New Roman" w:eastAsia="Times New Roman" w:hAnsi="Times New Roman"/>
          <w:sz w:val="12"/>
          <w:szCs w:val="12"/>
          <w:color w:val="FF00FF"/>
        </w:rPr>
        <w:t>Analysis of 1Q26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7140575" cy="2095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0575" cy="209550"/>
                    </a:xfrm>
                    <a:prstGeom prst="rect">
                      <a:avLst/>
                    </a:prstGeom>
                    <a:noFill/>
                  </pic:spPr>
                </pic:pic>
              </a:graphicData>
            </a:graphic>
          </wp:anchor>
        </w:drawing>
      </w:r>
    </w:p>
    <w:p>
      <w:pPr>
        <w:sectPr>
          <w:pgSz w:w="11900" w:h="16838" w:orient="portrait"/>
          <w:cols w:equalWidth="0" w:num="1">
            <w:col w:w="11240"/>
          </w:cols>
          <w:pgMar w:left="320" w:top="589" w:right="339" w:bottom="1440" w:gutter="0" w:footer="0" w:header="0"/>
        </w:sectPr>
      </w:pP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FFFFFF"/>
        </w:rPr>
        <w:t>02. Deposits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Deposit Dollarization Level</w:t>
      </w:r>
    </w:p>
    <w:p>
      <w:pPr>
        <w:spacing w:after="0" w:line="205"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7"/>
          <w:szCs w:val="17"/>
          <w:b w:val="1"/>
          <w:bCs w:val="1"/>
          <w:color w:val="auto"/>
        </w:rPr>
        <w:t>Deposits by Currency</w:t>
      </w:r>
    </w:p>
    <w:p>
      <w:pPr>
        <w:spacing w:after="0" w:line="21" w:lineRule="exact"/>
        <w:rPr>
          <w:sz w:val="20"/>
          <w:szCs w:val="20"/>
          <w:color w:val="auto"/>
        </w:rPr>
      </w:pPr>
    </w:p>
    <w:p>
      <w:pPr>
        <w:jc w:val="right"/>
        <w:ind w:right="1460"/>
        <w:spacing w:after="0"/>
        <w:rPr>
          <w:sz w:val="20"/>
          <w:szCs w:val="20"/>
          <w:color w:val="auto"/>
        </w:rPr>
      </w:pPr>
      <w:r>
        <w:rPr>
          <w:rFonts w:ascii="Times New Roman" w:cs="Times New Roman" w:eastAsia="Times New Roman" w:hAnsi="Times New Roman"/>
          <w:sz w:val="14"/>
          <w:szCs w:val="14"/>
          <w:color w:val="auto"/>
        </w:rPr>
        <w:t>(Measured at quarter-end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654050</wp:posOffset>
            </wp:positionH>
            <wp:positionV relativeFrom="paragraph">
              <wp:posOffset>119380</wp:posOffset>
            </wp:positionV>
            <wp:extent cx="2087245" cy="14751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087245" cy="14751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 xml:space="preserve">At the end of March 2026, the dollarization level of </w:t>
      </w:r>
      <w:r>
        <w:rPr>
          <w:rFonts w:ascii="Times New Roman" w:cs="Times New Roman" w:eastAsia="Times New Roman" w:hAnsi="Times New Roman"/>
          <w:sz w:val="17"/>
          <w:szCs w:val="17"/>
          <w:b w:val="1"/>
          <w:bCs w:val="1"/>
          <w:color w:val="auto"/>
        </w:rPr>
        <w:t>Total Deposits</w:t>
      </w:r>
      <w:r>
        <w:rPr>
          <w:rFonts w:ascii="Times New Roman" w:cs="Times New Roman" w:eastAsia="Times New Roman" w:hAnsi="Times New Roman"/>
          <w:sz w:val="17"/>
          <w:szCs w:val="17"/>
          <w:color w:val="auto"/>
        </w:rPr>
        <w:t xml:space="preserve"> rose 33 bps QoQ to stand at 42.9%. This level remains below the average for the last 4 years (48.1%). The uptick in dollarization over the period was primarily attributable to an increase in volumes of </w:t>
      </w:r>
      <w:r>
        <w:rPr>
          <w:rFonts w:ascii="Times New Roman" w:cs="Times New Roman" w:eastAsia="Times New Roman" w:hAnsi="Times New Roman"/>
          <w:sz w:val="17"/>
          <w:szCs w:val="17"/>
          <w:b w:val="1"/>
          <w:bCs w:val="1"/>
          <w:color w:val="auto"/>
        </w:rPr>
        <w:t>Savings Deposits and Demand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Deposits </w:t>
      </w:r>
      <w:r>
        <w:rPr>
          <w:rFonts w:ascii="Times New Roman" w:cs="Times New Roman" w:eastAsia="Times New Roman" w:hAnsi="Times New Roman"/>
          <w:sz w:val="17"/>
          <w:szCs w:val="17"/>
          <w:color w:val="auto"/>
        </w:rPr>
        <w:t>in FC, which rose on the back of a depreciation in the PEN’s value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against the US Dollar. Growth in the aforementioned deposit types was partially offset by an increase in Low-cost Deposits in LC, which ticked up through inflows from pension funds withdrawals.</w:t>
      </w:r>
    </w:p>
    <w:p>
      <w:pPr>
        <w:spacing w:after="0" w:line="17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b w:val="1"/>
          <w:bCs w:val="1"/>
          <w:color w:val="auto"/>
        </w:rPr>
        <w:t>YoY</w:t>
      </w:r>
      <w:r>
        <w:rPr>
          <w:rFonts w:ascii="Times New Roman" w:cs="Times New Roman" w:eastAsia="Times New Roman" w:hAnsi="Times New Roman"/>
          <w:sz w:val="17"/>
          <w:szCs w:val="17"/>
          <w:color w:val="auto"/>
        </w:rPr>
        <w:t>, the dollarization level dropped 160 bps. This evolution was driven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mainly by an appreciation in the exchange rate, which impacted our FC balances, and by the same dynamics that drove growth in our LC balances QoQ.</w:t>
      </w:r>
    </w:p>
    <w:p>
      <w:pPr>
        <w:spacing w:after="0" w:line="200" w:lineRule="exact"/>
        <w:rPr>
          <w:sz w:val="20"/>
          <w:szCs w:val="20"/>
          <w:color w:val="auto"/>
        </w:rPr>
      </w:pPr>
    </w:p>
    <w:p>
      <w:pPr>
        <w:sectPr>
          <w:pgSz w:w="11900" w:h="16838" w:orient="portrait"/>
          <w:cols w:equalWidth="0" w:num="2">
            <w:col w:w="5120" w:space="720"/>
            <w:col w:w="5400"/>
          </w:cols>
          <w:pgMar w:left="320" w:top="589" w:right="339" w:bottom="1440" w:gutter="0" w:footer="0" w:header="0"/>
          <w:type w:val="continuous"/>
        </w:sectPr>
      </w:pPr>
    </w:p>
    <w:p>
      <w:pPr>
        <w:spacing w:after="0" w:line="6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b w:val="1"/>
          <w:bCs w:val="1"/>
          <w:color w:val="auto"/>
        </w:rPr>
        <w:t>Deposits by Currency and Type</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(Measured at quarter-end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654050</wp:posOffset>
            </wp:positionH>
            <wp:positionV relativeFrom="paragraph">
              <wp:posOffset>125095</wp:posOffset>
            </wp:positionV>
            <wp:extent cx="5835015" cy="14585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835015" cy="145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Loan / Deposit Ratio (Ratio 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2602865" cy="15557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602865" cy="1555750"/>
                    </a:xfrm>
                    <a:prstGeom prst="rect">
                      <a:avLst/>
                    </a:prstGeom>
                    <a:noFill/>
                  </pic:spPr>
                </pic:pic>
              </a:graphicData>
            </a:graphic>
          </wp:anchor>
        </w:drawing>
      </w:r>
    </w:p>
    <w:p>
      <w:pPr>
        <w:spacing w:after="0" w:line="388" w:lineRule="exact"/>
        <w:rPr>
          <w:sz w:val="20"/>
          <w:szCs w:val="20"/>
          <w:color w:val="auto"/>
        </w:rPr>
      </w:pPr>
    </w:p>
    <w:p>
      <w:pPr>
        <w:jc w:val="both"/>
        <w:ind w:left="5400"/>
        <w:spacing w:after="0" w:line="254" w:lineRule="auto"/>
        <w:rPr>
          <w:sz w:val="20"/>
          <w:szCs w:val="20"/>
          <w:color w:val="auto"/>
        </w:rPr>
      </w:pPr>
      <w:r>
        <w:rPr>
          <w:rFonts w:ascii="Times New Roman" w:cs="Times New Roman" w:eastAsia="Times New Roman" w:hAnsi="Times New Roman"/>
          <w:sz w:val="17"/>
          <w:szCs w:val="17"/>
          <w:b w:val="1"/>
          <w:bCs w:val="1"/>
          <w:color w:val="auto"/>
        </w:rPr>
        <w:t xml:space="preserve">QoQ, </w:t>
      </w:r>
      <w:r>
        <w:rPr>
          <w:rFonts w:ascii="Times New Roman" w:cs="Times New Roman" w:eastAsia="Times New Roman" w:hAnsi="Times New Roman"/>
          <w:sz w:val="17"/>
          <w:szCs w:val="17"/>
          <w:color w:val="auto"/>
        </w:rPr>
        <w:t>the L/D ratio dropped 275 bps at</w:t>
      </w:r>
      <w:r>
        <w:rPr>
          <w:rFonts w:ascii="Times New Roman" w:cs="Times New Roman" w:eastAsia="Times New Roman" w:hAnsi="Times New Roman"/>
          <w:sz w:val="17"/>
          <w:szCs w:val="17"/>
          <w:b w:val="1"/>
          <w:bCs w:val="1"/>
          <w:color w:val="auto"/>
        </w:rPr>
        <w:t xml:space="preserve"> BCP Stand-alone. </w:t>
      </w:r>
      <w:r>
        <w:rPr>
          <w:rFonts w:ascii="Times New Roman" w:cs="Times New Roman" w:eastAsia="Times New Roman" w:hAnsi="Times New Roman"/>
          <w:sz w:val="17"/>
          <w:szCs w:val="17"/>
          <w:color w:val="auto"/>
        </w:rPr>
        <w:t>This evolution was fueled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by an increase in the balance of </w:t>
      </w:r>
      <w:r>
        <w:rPr>
          <w:rFonts w:ascii="Times New Roman" w:cs="Times New Roman" w:eastAsia="Times New Roman" w:hAnsi="Times New Roman"/>
          <w:sz w:val="17"/>
          <w:szCs w:val="17"/>
          <w:b w:val="1"/>
          <w:bCs w:val="1"/>
          <w:color w:val="auto"/>
        </w:rPr>
        <w:t>Low-cost Deposits,</w:t>
      </w:r>
      <w:r>
        <w:rPr>
          <w:rFonts w:ascii="Times New Roman" w:cs="Times New Roman" w:eastAsia="Times New Roman" w:hAnsi="Times New Roman"/>
          <w:sz w:val="17"/>
          <w:szCs w:val="17"/>
          <w:color w:val="auto"/>
        </w:rPr>
        <w:t xml:space="preserve"> which rose on back of inflows from pension fund withdrawals, and offset by loan expansion in the Wholesale Banking segment. At </w:t>
      </w:r>
      <w:r>
        <w:rPr>
          <w:rFonts w:ascii="Times New Roman" w:cs="Times New Roman" w:eastAsia="Times New Roman" w:hAnsi="Times New Roman"/>
          <w:sz w:val="17"/>
          <w:szCs w:val="17"/>
          <w:b w:val="1"/>
          <w:bCs w:val="1"/>
          <w:color w:val="auto"/>
        </w:rPr>
        <w:t>Mibanco</w:t>
      </w:r>
      <w:r>
        <w:rPr>
          <w:rFonts w:ascii="Times New Roman" w:cs="Times New Roman" w:eastAsia="Times New Roman" w:hAnsi="Times New Roman"/>
          <w:sz w:val="17"/>
          <w:szCs w:val="17"/>
          <w:color w:val="auto"/>
        </w:rPr>
        <w:t xml:space="preserve">, the ratio rose 384 bps, driven mainly by loan growth, which has gained traction in a more favorable environment for microfinance. This growth was partially offset by an increase in </w:t>
      </w:r>
      <w:r>
        <w:rPr>
          <w:rFonts w:ascii="Times New Roman" w:cs="Times New Roman" w:eastAsia="Times New Roman" w:hAnsi="Times New Roman"/>
          <w:sz w:val="17"/>
          <w:szCs w:val="17"/>
          <w:b w:val="1"/>
          <w:bCs w:val="1"/>
          <w:color w:val="auto"/>
        </w:rPr>
        <w:t>Savings Deposits,</w:t>
      </w:r>
      <w:r>
        <w:rPr>
          <w:rFonts w:ascii="Times New Roman" w:cs="Times New Roman" w:eastAsia="Times New Roman" w:hAnsi="Times New Roman"/>
          <w:sz w:val="17"/>
          <w:szCs w:val="17"/>
          <w:color w:val="auto"/>
        </w:rPr>
        <w:t xml:space="preserve"> which reflected a system-wide uptick in liquidity.</w:t>
      </w:r>
    </w:p>
    <w:p>
      <w:pPr>
        <w:spacing w:after="0" w:line="176" w:lineRule="exact"/>
        <w:rPr>
          <w:sz w:val="20"/>
          <w:szCs w:val="20"/>
          <w:color w:val="auto"/>
        </w:rPr>
      </w:pPr>
    </w:p>
    <w:p>
      <w:pPr>
        <w:jc w:val="both"/>
        <w:ind w:left="5400"/>
        <w:spacing w:after="0" w:line="255" w:lineRule="auto"/>
        <w:rPr>
          <w:sz w:val="20"/>
          <w:szCs w:val="20"/>
          <w:color w:val="auto"/>
        </w:rPr>
      </w:pPr>
      <w:r>
        <w:rPr>
          <w:rFonts w:ascii="Times New Roman" w:cs="Times New Roman" w:eastAsia="Times New Roman" w:hAnsi="Times New Roman"/>
          <w:sz w:val="17"/>
          <w:szCs w:val="17"/>
          <w:b w:val="1"/>
          <w:bCs w:val="1"/>
          <w:color w:val="auto"/>
        </w:rPr>
        <w:t xml:space="preserve">YoY, </w:t>
      </w:r>
      <w:r>
        <w:rPr>
          <w:rFonts w:ascii="Times New Roman" w:cs="Times New Roman" w:eastAsia="Times New Roman" w:hAnsi="Times New Roman"/>
          <w:sz w:val="17"/>
          <w:szCs w:val="17"/>
          <w:color w:val="auto"/>
        </w:rPr>
        <w:t>the L/D ratio dropped 526 bps at</w:t>
      </w:r>
      <w:r>
        <w:rPr>
          <w:rFonts w:ascii="Times New Roman" w:cs="Times New Roman" w:eastAsia="Times New Roman" w:hAnsi="Times New Roman"/>
          <w:sz w:val="17"/>
          <w:szCs w:val="17"/>
          <w:b w:val="1"/>
          <w:bCs w:val="1"/>
          <w:color w:val="auto"/>
        </w:rPr>
        <w:t xml:space="preserve"> BCP Stand-alone. </w:t>
      </w:r>
      <w:r>
        <w:rPr>
          <w:rFonts w:ascii="Times New Roman" w:cs="Times New Roman" w:eastAsia="Times New Roman" w:hAnsi="Times New Roman"/>
          <w:sz w:val="17"/>
          <w:szCs w:val="17"/>
          <w:color w:val="auto"/>
        </w:rPr>
        <w:t>This evolution was driven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by the same dynamics that drove the QoQ result. At </w:t>
      </w:r>
      <w:r>
        <w:rPr>
          <w:rFonts w:ascii="Times New Roman" w:cs="Times New Roman" w:eastAsia="Times New Roman" w:hAnsi="Times New Roman"/>
          <w:sz w:val="17"/>
          <w:szCs w:val="17"/>
          <w:b w:val="1"/>
          <w:bCs w:val="1"/>
          <w:color w:val="auto"/>
        </w:rPr>
        <w:t>Mibanco,</w:t>
      </w:r>
      <w:r>
        <w:rPr>
          <w:rFonts w:ascii="Times New Roman" w:cs="Times New Roman" w:eastAsia="Times New Roman" w:hAnsi="Times New Roman"/>
          <w:sz w:val="17"/>
          <w:szCs w:val="17"/>
          <w:color w:val="auto"/>
        </w:rPr>
        <w:t xml:space="preserve"> the ratio rose 16pp, driven by loan expansion, which ticked up through the dynamics seen QoQ. The reduction in Total Deposits also drove the uptick in the YoY ratio. The rise in savings</w:t>
      </w:r>
    </w:p>
    <w:p>
      <w:pPr>
        <w:spacing w:after="0" w:line="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deposits, which rose on the back of higher liquidity system-wide, was offset by a larger decrease in Time Deposits, where the downward trajectory was fueled by a drop in interest rates.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this context, the L/D ratio at Credicorp stood at 85.6%.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796925</wp:posOffset>
            </wp:positionV>
            <wp:extent cx="7140575" cy="158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0575" cy="15875"/>
                    </a:xfrm>
                    <a:prstGeom prst="rect">
                      <a:avLst/>
                    </a:prstGeom>
                    <a:noFill/>
                  </pic:spPr>
                </pic:pic>
              </a:graphicData>
            </a:graphic>
          </wp:anchor>
        </w:drawing>
        <w:drawing>
          <wp:anchor simplePos="0" relativeHeight="251657728" behindDoc="1" locked="0" layoutInCell="0" allowOverlap="1">
            <wp:simplePos x="0" y="0"/>
            <wp:positionH relativeFrom="column">
              <wp:posOffset>347345</wp:posOffset>
            </wp:positionH>
            <wp:positionV relativeFrom="paragraph">
              <wp:posOffset>144145</wp:posOffset>
            </wp:positionV>
            <wp:extent cx="6447155" cy="5480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447155" cy="548005"/>
                    </a:xfrm>
                    <a:prstGeom prst="rect">
                      <a:avLst/>
                    </a:prstGeom>
                    <a:noFill/>
                  </pic:spPr>
                </pic:pic>
              </a:graphicData>
            </a:graphic>
          </wp:anchor>
        </w:drawing>
      </w:r>
    </w:p>
    <w:p>
      <w:pPr>
        <w:sectPr>
          <w:pgSz w:w="11900" w:h="16838" w:orient="portrait"/>
          <w:cols w:equalWidth="0" w:num="1">
            <w:col w:w="11240"/>
          </w:cols>
          <w:pgMar w:left="320" w:top="589" w:right="339" w:bottom="1440" w:gutter="0" w:footer="0" w:header="0"/>
          <w:type w:val="continuous"/>
        </w:sectPr>
      </w:pPr>
    </w:p>
    <w:bookmarkStart w:id="21" w:name="page22"/>
    <w:bookmarkEnd w:id="21"/>
    <w:p>
      <w:pPr>
        <w:ind w:left="3140"/>
        <w:spacing w:after="0"/>
        <w:tabs>
          <w:tab w:leader="none" w:pos="3320" w:val="left"/>
          <w:tab w:leader="none" w:pos="9060" w:val="left"/>
        </w:tabs>
        <w:rPr>
          <w:sz w:val="20"/>
          <w:szCs w:val="20"/>
          <w:color w:val="auto"/>
        </w:rPr>
      </w:pPr>
      <w:r>
        <w:rPr>
          <w:rFonts w:ascii="Times New Roman" w:cs="Times New Roman" w:eastAsia="Times New Roman" w:hAnsi="Times New Roman"/>
          <w:sz w:val="14"/>
          <w:szCs w:val="14"/>
          <w:color w:val="A6A6A6"/>
        </w:rPr>
        <w:drawing>
          <wp:anchor simplePos="0" relativeHeight="251657728" behindDoc="1" locked="0" layoutInCell="0" allowOverlap="1">
            <wp:simplePos x="0" y="0"/>
            <wp:positionH relativeFrom="page">
              <wp:posOffset>204470</wp:posOffset>
            </wp:positionH>
            <wp:positionV relativeFrom="page">
              <wp:posOffset>88900</wp:posOffset>
            </wp:positionV>
            <wp:extent cx="7140575" cy="6927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0575" cy="692785"/>
                    </a:xfrm>
                    <a:prstGeom prst="rect">
                      <a:avLst/>
                    </a:prstGeom>
                    <a:noFill/>
                  </pic:spPr>
                </pic:pic>
              </a:graphicData>
            </a:graphic>
          </wp:anchor>
        </w:drawing>
        <w:t>|</w:t>
      </w:r>
      <w:r>
        <w:rPr>
          <w:rFonts w:ascii="Times New Roman" w:cs="Times New Roman" w:eastAsia="Times New Roman" w:hAnsi="Times New Roman"/>
          <w:sz w:val="14"/>
          <w:szCs w:val="14"/>
          <w:color w:val="FFFFFF"/>
        </w:rPr>
        <w:tab/>
        <w:t>Earnings Release 1Q / 2026</w:t>
      </w:r>
      <w:r>
        <w:rPr>
          <w:sz w:val="20"/>
          <w:szCs w:val="20"/>
          <w:color w:val="auto"/>
        </w:rPr>
        <w:tab/>
      </w:r>
      <w:r>
        <w:rPr>
          <w:rFonts w:ascii="Times New Roman" w:cs="Times New Roman" w:eastAsia="Times New Roman" w:hAnsi="Times New Roman"/>
          <w:sz w:val="12"/>
          <w:szCs w:val="12"/>
          <w:color w:val="FF00FF"/>
        </w:rPr>
        <w:t>Analysis of 1Q26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7140575" cy="2095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0575" cy="20955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FFFFFF"/>
        </w:rPr>
        <w:t>02. Deposits</w:t>
      </w:r>
    </w:p>
    <w:p>
      <w:pPr>
        <w:spacing w:after="0" w:line="261" w:lineRule="exact"/>
        <w:rPr>
          <w:sz w:val="20"/>
          <w:szCs w:val="20"/>
          <w:color w:val="auto"/>
        </w:rPr>
      </w:pPr>
    </w:p>
    <w:p>
      <w:pPr>
        <w:ind w:left="1760"/>
        <w:spacing w:after="0"/>
        <w:tabs>
          <w:tab w:leader="none" w:pos="7500" w:val="left"/>
        </w:tabs>
        <w:rPr>
          <w:sz w:val="20"/>
          <w:szCs w:val="20"/>
          <w:color w:val="auto"/>
        </w:rPr>
      </w:pPr>
      <w:r>
        <w:rPr>
          <w:rFonts w:ascii="Times New Roman" w:cs="Times New Roman" w:eastAsia="Times New Roman" w:hAnsi="Times New Roman"/>
          <w:sz w:val="17"/>
          <w:szCs w:val="17"/>
          <w:b w:val="1"/>
          <w:bCs w:val="1"/>
          <w:color w:val="auto"/>
        </w:rPr>
        <w:t>L/D Ratio Local Currency</w:t>
      </w:r>
      <w:r>
        <w:rPr>
          <w:sz w:val="20"/>
          <w:szCs w:val="20"/>
          <w:color w:val="auto"/>
        </w:rPr>
        <w:tab/>
      </w:r>
      <w:r>
        <w:rPr>
          <w:rFonts w:ascii="Times New Roman" w:cs="Times New Roman" w:eastAsia="Times New Roman" w:hAnsi="Times New Roman"/>
          <w:sz w:val="16"/>
          <w:szCs w:val="16"/>
          <w:b w:val="1"/>
          <w:bCs w:val="1"/>
          <w:color w:val="auto"/>
        </w:rPr>
        <w:t>L/D Ratio Foreign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146685</wp:posOffset>
            </wp:positionV>
            <wp:extent cx="6987540" cy="14344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87540" cy="1434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Market Share (MS) of Deposits in the Peruvian Financial System</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Share of the Deposit Market in the Peruvian Financial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146685</wp:posOffset>
            </wp:positionV>
            <wp:extent cx="6447155" cy="240157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447155" cy="2401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 xml:space="preserve">At the end of March 2026, the MS of </w:t>
      </w:r>
      <w:r>
        <w:rPr>
          <w:rFonts w:ascii="Times New Roman" w:cs="Times New Roman" w:eastAsia="Times New Roman" w:hAnsi="Times New Roman"/>
          <w:sz w:val="17"/>
          <w:szCs w:val="17"/>
          <w:b w:val="1"/>
          <w:bCs w:val="1"/>
          <w:color w:val="auto"/>
        </w:rPr>
        <w:t>Total Deposits</w:t>
      </w:r>
      <w:r>
        <w:rPr>
          <w:rFonts w:ascii="Times New Roman" w:cs="Times New Roman" w:eastAsia="Times New Roman" w:hAnsi="Times New Roman"/>
          <w:sz w:val="17"/>
          <w:szCs w:val="17"/>
          <w:color w:val="auto"/>
        </w:rPr>
        <w:t xml:space="preserve"> at BCP and Mibanco in Peru was 33.1% and 2.4% (117 bps and -27 bps vs March 2025, respectively). In this context, BCP continues to lead the market for total deposits.</w:t>
      </w:r>
    </w:p>
    <w:p>
      <w:pPr>
        <w:spacing w:after="0" w:line="15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6"/>
          <w:szCs w:val="16"/>
          <w:b w:val="1"/>
          <w:bCs w:val="1"/>
          <w:color w:val="auto"/>
        </w:rPr>
        <w:t xml:space="preserve">BCP </w:t>
      </w:r>
      <w:r>
        <w:rPr>
          <w:rFonts w:ascii="Times New Roman" w:cs="Times New Roman" w:eastAsia="Times New Roman" w:hAnsi="Times New Roman"/>
          <w:sz w:val="16"/>
          <w:szCs w:val="16"/>
          <w:color w:val="auto"/>
        </w:rPr>
        <w:t>reported growth in</w:t>
      </w:r>
      <w:r>
        <w:rPr>
          <w:rFonts w:ascii="Times New Roman" w:cs="Times New Roman" w:eastAsia="Times New Roman" w:hAnsi="Times New Roman"/>
          <w:sz w:val="16"/>
          <w:szCs w:val="16"/>
          <w:b w:val="1"/>
          <w:bCs w:val="1"/>
          <w:color w:val="auto"/>
        </w:rPr>
        <w:t xml:space="preserve"> Low-cost Deposits </w:t>
      </w:r>
      <w:r>
        <w:rPr>
          <w:rFonts w:ascii="Times New Roman" w:cs="Times New Roman" w:eastAsia="Times New Roman" w:hAnsi="Times New Roman"/>
          <w:sz w:val="16"/>
          <w:szCs w:val="16"/>
          <w:color w:val="auto"/>
        </w:rPr>
        <w:t>(+16.3% YoY); this level stood below the financial system’s print (+16.5% YoY). At quarter-end,</w:t>
      </w:r>
      <w:r>
        <w:rPr>
          <w:rFonts w:ascii="Times New Roman" w:cs="Times New Roman" w:eastAsia="Times New Roman" w:hAnsi="Times New Roman"/>
          <w:sz w:val="16"/>
          <w:szCs w:val="16"/>
          <w:b w:val="1"/>
          <w:bCs w:val="1"/>
          <w:color w:val="auto"/>
        </w:rPr>
        <w:t xml:space="preserve"> BCP </w:t>
      </w:r>
      <w:r>
        <w:rPr>
          <w:rFonts w:ascii="Times New Roman" w:cs="Times New Roman" w:eastAsia="Times New Roman" w:hAnsi="Times New Roman"/>
          <w:sz w:val="16"/>
          <w:szCs w:val="16"/>
          <w:color w:val="auto"/>
        </w:rPr>
        <w:t>continued to lead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the market for Low-cost Deposits with a MS of 40.5% at the end of March 2026 (-9 bps vs Mar25). </w:t>
      </w:r>
      <w:r>
        <w:rPr>
          <w:rFonts w:ascii="Times New Roman" w:cs="Times New Roman" w:eastAsia="Times New Roman" w:hAnsi="Times New Roman"/>
          <w:sz w:val="16"/>
          <w:szCs w:val="16"/>
          <w:b w:val="1"/>
          <w:bCs w:val="1"/>
          <w:color w:val="auto"/>
        </w:rPr>
        <w:t>Time Deposits</w:t>
      </w:r>
      <w:r>
        <w:rPr>
          <w:rFonts w:ascii="Times New Roman" w:cs="Times New Roman" w:eastAsia="Times New Roman" w:hAnsi="Times New Roman"/>
          <w:sz w:val="16"/>
          <w:szCs w:val="16"/>
          <w:color w:val="auto"/>
        </w:rPr>
        <w:t xml:space="preserve">, in turn, registered a downward trajectory across the financial system (-1.4% vs Mar25) but rose 4.6% at </w:t>
      </w:r>
      <w:r>
        <w:rPr>
          <w:rFonts w:ascii="Times New Roman" w:cs="Times New Roman" w:eastAsia="Times New Roman" w:hAnsi="Times New Roman"/>
          <w:sz w:val="16"/>
          <w:szCs w:val="16"/>
          <w:b w:val="1"/>
          <w:bCs w:val="1"/>
          <w:color w:val="auto"/>
        </w:rPr>
        <w:t>BCP.</w:t>
      </w:r>
      <w:r>
        <w:rPr>
          <w:rFonts w:ascii="Times New Roman" w:cs="Times New Roman" w:eastAsia="Times New Roman" w:hAnsi="Times New Roman"/>
          <w:sz w:val="16"/>
          <w:szCs w:val="16"/>
          <w:color w:val="auto"/>
        </w:rPr>
        <w:t xml:space="preserve"> In this context, BCP increased its market share (105 bps vs Mar25) to 18.2% at the end of March 2026.</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Credicorp’s </w:t>
      </w:r>
      <w:r>
        <w:rPr>
          <w:rFonts w:ascii="Times New Roman" w:cs="Times New Roman" w:eastAsia="Times New Roman" w:hAnsi="Times New Roman"/>
          <w:sz w:val="17"/>
          <w:szCs w:val="17"/>
          <w:color w:val="auto"/>
        </w:rPr>
        <w:t>share</w:t>
      </w:r>
      <w:r>
        <w:rPr>
          <w:rFonts w:ascii="Times New Roman" w:cs="Times New Roman" w:eastAsia="Times New Roman" w:hAnsi="Times New Roman"/>
          <w:sz w:val="17"/>
          <w:szCs w:val="17"/>
          <w:b w:val="1"/>
          <w:bCs w:val="1"/>
          <w:color w:val="auto"/>
        </w:rPr>
        <w:t xml:space="preserve"> (BCP + Mibanco) </w:t>
      </w:r>
      <w:r>
        <w:rPr>
          <w:rFonts w:ascii="Times New Roman" w:cs="Times New Roman" w:eastAsia="Times New Roman" w:hAnsi="Times New Roman"/>
          <w:sz w:val="17"/>
          <w:szCs w:val="17"/>
          <w:color w:val="auto"/>
        </w:rPr>
        <w:t>of the</w:t>
      </w:r>
      <w:r>
        <w:rPr>
          <w:rFonts w:ascii="Times New Roman" w:cs="Times New Roman" w:eastAsia="Times New Roman" w:hAnsi="Times New Roman"/>
          <w:sz w:val="17"/>
          <w:szCs w:val="17"/>
          <w:b w:val="1"/>
          <w:bCs w:val="1"/>
          <w:color w:val="auto"/>
        </w:rPr>
        <w:t xml:space="preserve"> Low-cost Deposit </w:t>
      </w:r>
      <w:r>
        <w:rPr>
          <w:rFonts w:ascii="Times New Roman" w:cs="Times New Roman" w:eastAsia="Times New Roman" w:hAnsi="Times New Roman"/>
          <w:sz w:val="17"/>
          <w:szCs w:val="17"/>
          <w:color w:val="auto"/>
        </w:rPr>
        <w:t>market dropped 6 bps versus the print in March 2025 to stand at 41.2% at the end of March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Credicorp’s </w:t>
      </w:r>
      <w:r>
        <w:rPr>
          <w:rFonts w:ascii="Times New Roman" w:cs="Times New Roman" w:eastAsia="Times New Roman" w:hAnsi="Times New Roman"/>
          <w:sz w:val="17"/>
          <w:szCs w:val="17"/>
          <w:color w:val="auto"/>
        </w:rPr>
        <w:t>share of</w:t>
      </w:r>
      <w:r>
        <w:rPr>
          <w:rFonts w:ascii="Times New Roman" w:cs="Times New Roman" w:eastAsia="Times New Roman" w:hAnsi="Times New Roman"/>
          <w:sz w:val="17"/>
          <w:szCs w:val="17"/>
          <w:b w:val="1"/>
          <w:bCs w:val="1"/>
          <w:color w:val="auto"/>
        </w:rPr>
        <w:t xml:space="preserve"> Time Deposits </w:t>
      </w:r>
      <w:r>
        <w:rPr>
          <w:rFonts w:ascii="Times New Roman" w:cs="Times New Roman" w:eastAsia="Times New Roman" w:hAnsi="Times New Roman"/>
          <w:sz w:val="17"/>
          <w:szCs w:val="17"/>
          <w:color w:val="auto"/>
        </w:rPr>
        <w:t>rose 76 bps compared to the figure in March 2025 to situate at 24.0% at the end of March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666115</wp:posOffset>
            </wp:positionV>
            <wp:extent cx="7140575" cy="158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0575" cy="15875"/>
                    </a:xfrm>
                    <a:prstGeom prst="rect">
                      <a:avLst/>
                    </a:prstGeom>
                    <a:noFill/>
                  </pic:spPr>
                </pic:pic>
              </a:graphicData>
            </a:graphic>
          </wp:anchor>
        </w:drawing>
        <w:drawing>
          <wp:anchor simplePos="0" relativeHeight="251657728" behindDoc="1" locked="0" layoutInCell="0" allowOverlap="1">
            <wp:simplePos x="0" y="0"/>
            <wp:positionH relativeFrom="column">
              <wp:posOffset>347345</wp:posOffset>
            </wp:positionH>
            <wp:positionV relativeFrom="paragraph">
              <wp:posOffset>5080</wp:posOffset>
            </wp:positionV>
            <wp:extent cx="6447155" cy="5562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447155" cy="556260"/>
                    </a:xfrm>
                    <a:prstGeom prst="rect">
                      <a:avLst/>
                    </a:prstGeom>
                    <a:noFill/>
                  </pic:spPr>
                </pic:pic>
              </a:graphicData>
            </a:graphic>
          </wp:anchor>
        </w:drawing>
      </w:r>
    </w:p>
    <w:p>
      <w:pPr>
        <w:sectPr>
          <w:pgSz w:w="11900" w:h="16838" w:orient="portrait"/>
          <w:cols w:equalWidth="0" w:num="1">
            <w:col w:w="11240"/>
          </w:cols>
          <w:pgMar w:left="320" w:top="589" w:right="339" w:bottom="1440" w:gutter="0" w:footer="0" w:header="0"/>
        </w:sectPr>
      </w:pPr>
    </w:p>
    <w:bookmarkStart w:id="22" w:name="page23"/>
    <w:bookmarkEnd w:id="22"/>
    <w:p>
      <w:pPr>
        <w:ind w:left="3140"/>
        <w:spacing w:after="0"/>
        <w:tabs>
          <w:tab w:leader="none" w:pos="3320" w:val="left"/>
          <w:tab w:leader="none" w:pos="9060" w:val="left"/>
        </w:tabs>
        <w:rPr>
          <w:sz w:val="20"/>
          <w:szCs w:val="20"/>
          <w:color w:val="auto"/>
        </w:rPr>
      </w:pPr>
      <w:r>
        <w:rPr>
          <w:rFonts w:ascii="Times New Roman" w:cs="Times New Roman" w:eastAsia="Times New Roman" w:hAnsi="Times New Roman"/>
          <w:sz w:val="14"/>
          <w:szCs w:val="14"/>
          <w:color w:val="A6A6A6"/>
        </w:rPr>
        <w:drawing>
          <wp:anchor simplePos="0" relativeHeight="251657728" behindDoc="1" locked="0" layoutInCell="0" allowOverlap="1">
            <wp:simplePos x="0" y="0"/>
            <wp:positionH relativeFrom="page">
              <wp:posOffset>204470</wp:posOffset>
            </wp:positionH>
            <wp:positionV relativeFrom="page">
              <wp:posOffset>88900</wp:posOffset>
            </wp:positionV>
            <wp:extent cx="7140575" cy="6927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0575" cy="692785"/>
                    </a:xfrm>
                    <a:prstGeom prst="rect">
                      <a:avLst/>
                    </a:prstGeom>
                    <a:noFill/>
                  </pic:spPr>
                </pic:pic>
              </a:graphicData>
            </a:graphic>
          </wp:anchor>
        </w:drawing>
        <w:t>|</w:t>
      </w:r>
      <w:r>
        <w:rPr>
          <w:rFonts w:ascii="Times New Roman" w:cs="Times New Roman" w:eastAsia="Times New Roman" w:hAnsi="Times New Roman"/>
          <w:sz w:val="14"/>
          <w:szCs w:val="14"/>
          <w:color w:val="FFFFFF"/>
        </w:rPr>
        <w:tab/>
        <w:t>Earnings Release 1Q / 2026</w:t>
      </w:r>
      <w:r>
        <w:rPr>
          <w:sz w:val="20"/>
          <w:szCs w:val="20"/>
          <w:color w:val="auto"/>
        </w:rPr>
        <w:tab/>
      </w:r>
      <w:r>
        <w:rPr>
          <w:rFonts w:ascii="Times New Roman" w:cs="Times New Roman" w:eastAsia="Times New Roman" w:hAnsi="Times New Roman"/>
          <w:sz w:val="12"/>
          <w:szCs w:val="12"/>
          <w:color w:val="FF00FF"/>
        </w:rPr>
        <w:t>Analysis of 1Q26 Consolidated Results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49"/>
          <w:szCs w:val="49"/>
          <w:b w:val="1"/>
          <w:bCs w:val="1"/>
          <w:color w:val="E93BAC"/>
        </w:rPr>
        <w:t>03</w:t>
      </w:r>
      <w:r>
        <w:rPr>
          <w:sz w:val="20"/>
          <w:szCs w:val="20"/>
          <w:color w:val="auto"/>
        </w:rPr>
        <w:tab/>
      </w:r>
      <w:r>
        <w:rPr>
          <w:rFonts w:ascii="Times New Roman" w:cs="Times New Roman" w:eastAsia="Times New Roman" w:hAnsi="Times New Roman"/>
          <w:sz w:val="30"/>
          <w:szCs w:val="30"/>
          <w:color w:val="E93BAC"/>
        </w:rPr>
        <w:t>Interest-earning Assets (IEA) and Funding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114935</wp:posOffset>
            </wp:positionV>
            <wp:extent cx="7140575" cy="14509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0575" cy="1450975"/>
                    </a:xfrm>
                    <a:prstGeom prst="rect">
                      <a:avLst/>
                    </a:prstGeom>
                    <a:noFill/>
                  </pic:spPr>
                </pic:pic>
              </a:graphicData>
            </a:graphic>
          </wp:anchor>
        </w:drawing>
      </w:r>
    </w:p>
    <w:p>
      <w:pPr>
        <w:spacing w:after="0" w:line="195" w:lineRule="exact"/>
        <w:rPr>
          <w:sz w:val="20"/>
          <w:szCs w:val="20"/>
          <w:color w:val="auto"/>
        </w:rPr>
      </w:pPr>
    </w:p>
    <w:p>
      <w:pPr>
        <w:jc w:val="both"/>
        <w:ind w:left="120" w:right="100"/>
        <w:spacing w:after="0" w:line="277" w:lineRule="auto"/>
        <w:rPr>
          <w:sz w:val="20"/>
          <w:szCs w:val="20"/>
          <w:color w:val="auto"/>
        </w:rPr>
      </w:pPr>
      <w:r>
        <w:rPr>
          <w:rFonts w:ascii="Times New Roman" w:cs="Times New Roman" w:eastAsia="Times New Roman" w:hAnsi="Times New Roman"/>
          <w:sz w:val="17"/>
          <w:szCs w:val="17"/>
          <w:color w:val="FFFFFF"/>
        </w:rPr>
        <w:t>In 1Q26, IEA increased 3.7% QoQ and 8.2% YoY. Funding, in turn, rose 3.0% QoQ and 8.5% YoY. If we exclude the impact generated by an accounting adjustment at BCP Bolivia, and maintain the USD/PEN exchange rate constant, the evolution of IEA and Funding was as follows:</w:t>
      </w:r>
    </w:p>
    <w:p>
      <w:pPr>
        <w:spacing w:after="0" w:line="158" w:lineRule="exact"/>
        <w:rPr>
          <w:sz w:val="20"/>
          <w:szCs w:val="20"/>
          <w:color w:val="auto"/>
        </w:rPr>
      </w:pPr>
    </w:p>
    <w:p>
      <w:pPr>
        <w:jc w:val="both"/>
        <w:ind w:left="120" w:right="100"/>
        <w:spacing w:after="0" w:line="263" w:lineRule="auto"/>
        <w:rPr>
          <w:sz w:val="20"/>
          <w:szCs w:val="20"/>
          <w:color w:val="auto"/>
        </w:rPr>
      </w:pPr>
      <w:r>
        <w:rPr>
          <w:rFonts w:ascii="Times New Roman" w:cs="Times New Roman" w:eastAsia="Times New Roman" w:hAnsi="Times New Roman"/>
          <w:sz w:val="17"/>
          <w:szCs w:val="17"/>
          <w:color w:val="FFFFFF"/>
        </w:rPr>
        <w:t>IEA grew 2.3% QoQ. This evolution was driven by an increase in Total investments, which allowed us to capitalize on surpluses while maintaining ample liquidity in a context of an uptick in loan growth. Funding rose 1.6%, driven primarily by Deposits, which rose on the back of inflows from pension fund withdrawals, and secondarily from company profit-sharing payments.</w:t>
      </w:r>
    </w:p>
    <w:p>
      <w:pPr>
        <w:spacing w:after="0" w:line="170" w:lineRule="exact"/>
        <w:rPr>
          <w:sz w:val="20"/>
          <w:szCs w:val="20"/>
          <w:color w:val="auto"/>
        </w:rPr>
      </w:pPr>
    </w:p>
    <w:p>
      <w:pPr>
        <w:jc w:val="both"/>
        <w:ind w:left="120" w:right="100"/>
        <w:spacing w:after="0" w:line="263" w:lineRule="auto"/>
        <w:rPr>
          <w:sz w:val="20"/>
          <w:szCs w:val="20"/>
          <w:color w:val="auto"/>
        </w:rPr>
      </w:pPr>
      <w:r>
        <w:rPr>
          <w:rFonts w:ascii="Times New Roman" w:cs="Times New Roman" w:eastAsia="Times New Roman" w:hAnsi="Times New Roman"/>
          <w:sz w:val="17"/>
          <w:szCs w:val="17"/>
          <w:color w:val="FFFFFF"/>
        </w:rPr>
        <w:t>YoY, IEA increased 9.9%, fueled mainly by loan growth. The increase in Cash and due from banks, which ticked up due to a context of ample liquidity, acted as a secondary driver, followed by an uptick in Total investments. Growth in deposits was the main engine of growth in funding; this evolution was partially offset by a drop in the balance for BCRP instruments.</w:t>
      </w:r>
    </w:p>
    <w:p>
      <w:pPr>
        <w:spacing w:after="0" w:line="37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In 1Q26, consistent with the treatment applied since 1Q25, Credicorp’s balance sheet reflects the impact of a non-cash accounting adjustment to revalue BCP Bolivia’s balance sheet using exchange rates more closely aligned with market levels. This revaluation resulted in a 1.3% accounting contraction in Credicorp’s total assets as of March 2026.</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analysis of the evolution of IEA and Funding will focus on the business’s underlying dynamics, excluding the impact of this accounting adjustment.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3.1. IEA</w:t>
      </w:r>
    </w:p>
    <w:p>
      <w:pPr>
        <w:spacing w:after="0" w:line="211"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6360" w:type="dxa"/>
            <w:vAlign w:val="bottom"/>
            <w:tcBorders>
              <w:top w:val="single" w:sz="8" w:color="auto"/>
              <w:left w:val="single" w:sz="8" w:color="auto"/>
              <w:right w:val="single" w:sz="8" w:color="auto"/>
            </w:tcBorders>
            <w:shd w:val="clear" w:color="auto" w:fill="2AD2C9"/>
          </w:tcPr>
          <w:p>
            <w:pPr>
              <w:ind w:left="40"/>
              <w:spacing w:after="0"/>
              <w:rPr>
                <w:sz w:val="20"/>
                <w:szCs w:val="20"/>
                <w:color w:val="auto"/>
              </w:rPr>
            </w:pPr>
            <w:r>
              <w:rPr>
                <w:rFonts w:ascii="Times New Roman" w:cs="Times New Roman" w:eastAsia="Times New Roman" w:hAnsi="Times New Roman"/>
                <w:sz w:val="17"/>
                <w:szCs w:val="17"/>
                <w:b w:val="1"/>
                <w:bCs w:val="1"/>
                <w:color w:val="FFFFFF"/>
              </w:rPr>
              <w:t>Interest Earning Assets</w:t>
            </w:r>
          </w:p>
        </w:tc>
        <w:tc>
          <w:tcPr>
            <w:tcW w:w="1200" w:type="dxa"/>
            <w:vAlign w:val="bottom"/>
            <w:tcBorders>
              <w:top w:val="single" w:sz="8" w:color="auto"/>
            </w:tcBorders>
            <w:shd w:val="clear" w:color="auto" w:fill="2AD2C9"/>
          </w:tcPr>
          <w:p>
            <w:pPr>
              <w:spacing w:after="0"/>
              <w:rPr>
                <w:sz w:val="18"/>
                <w:szCs w:val="18"/>
                <w:color w:val="auto"/>
              </w:rPr>
            </w:pPr>
          </w:p>
        </w:tc>
        <w:tc>
          <w:tcPr>
            <w:tcW w:w="1240" w:type="dxa"/>
            <w:vAlign w:val="bottom"/>
            <w:tcBorders>
              <w:top w:val="single" w:sz="8" w:color="auto"/>
            </w:tcBorders>
            <w:shd w:val="clear" w:color="auto" w:fill="2AD2C9"/>
          </w:tcPr>
          <w:p>
            <w:pPr>
              <w:jc w:val="center"/>
              <w:spacing w:after="0"/>
              <w:rPr>
                <w:sz w:val="20"/>
                <w:szCs w:val="20"/>
                <w:color w:val="auto"/>
              </w:rPr>
            </w:pPr>
            <w:r>
              <w:rPr>
                <w:rFonts w:ascii="Times New Roman" w:cs="Times New Roman" w:eastAsia="Times New Roman" w:hAnsi="Times New Roman"/>
                <w:sz w:val="17"/>
                <w:szCs w:val="17"/>
                <w:b w:val="1"/>
                <w:bCs w:val="1"/>
                <w:color w:val="FFFFFF"/>
              </w:rPr>
              <w:t>As of</w:t>
            </w:r>
          </w:p>
        </w:tc>
        <w:tc>
          <w:tcPr>
            <w:tcW w:w="1240" w:type="dxa"/>
            <w:vAlign w:val="bottom"/>
            <w:tcBorders>
              <w:top w:val="single" w:sz="8" w:color="auto"/>
              <w:right w:val="single" w:sz="8" w:color="auto"/>
            </w:tcBorders>
            <w:shd w:val="clear" w:color="auto" w:fill="2AD2C9"/>
          </w:tcPr>
          <w:p>
            <w:pPr>
              <w:spacing w:after="0"/>
              <w:rPr>
                <w:sz w:val="18"/>
                <w:szCs w:val="18"/>
                <w:color w:val="auto"/>
              </w:rPr>
            </w:pPr>
          </w:p>
        </w:tc>
        <w:tc>
          <w:tcPr>
            <w:tcW w:w="1220" w:type="dxa"/>
            <w:vAlign w:val="bottom"/>
            <w:tcBorders>
              <w:top w:val="single" w:sz="8" w:color="auto"/>
              <w:right w:val="single" w:sz="8" w:color="auto"/>
            </w:tcBorders>
            <w:gridSpan w:val="2"/>
            <w:shd w:val="clear" w:color="auto" w:fill="2AD2C9"/>
          </w:tcPr>
          <w:p>
            <w:pPr>
              <w:ind w:left="240"/>
              <w:spacing w:after="0"/>
              <w:rPr>
                <w:sz w:val="20"/>
                <w:szCs w:val="20"/>
                <w:color w:val="auto"/>
              </w:rPr>
            </w:pPr>
            <w:r>
              <w:rPr>
                <w:rFonts w:ascii="Times New Roman" w:cs="Times New Roman" w:eastAsia="Times New Roman" w:hAnsi="Times New Roman"/>
                <w:sz w:val="17"/>
                <w:szCs w:val="17"/>
                <w:b w:val="1"/>
                <w:bCs w:val="1"/>
                <w:color w:val="FFFFFF"/>
              </w:rPr>
              <w:t>% change</w:t>
            </w:r>
          </w:p>
        </w:tc>
      </w:tr>
      <w:tr>
        <w:trPr>
          <w:trHeight w:val="203"/>
        </w:trPr>
        <w:tc>
          <w:tcPr>
            <w:tcW w:w="6360" w:type="dxa"/>
            <w:vAlign w:val="bottom"/>
            <w:tcBorders>
              <w:left w:val="single" w:sz="8" w:color="auto"/>
              <w:bottom w:val="single" w:sz="8" w:color="auto"/>
              <w:right w:val="single" w:sz="8" w:color="auto"/>
            </w:tcBorders>
            <w:shd w:val="clear" w:color="auto" w:fill="2AD2C9"/>
          </w:tcPr>
          <w:p>
            <w:pPr>
              <w:ind w:left="40"/>
              <w:spacing w:after="0"/>
              <w:rPr>
                <w:sz w:val="20"/>
                <w:szCs w:val="20"/>
                <w:color w:val="auto"/>
              </w:rPr>
            </w:pPr>
            <w:r>
              <w:rPr>
                <w:rFonts w:ascii="Times New Roman" w:cs="Times New Roman" w:eastAsia="Times New Roman" w:hAnsi="Times New Roman"/>
                <w:sz w:val="17"/>
                <w:szCs w:val="17"/>
                <w:b w:val="1"/>
                <w:bCs w:val="1"/>
                <w:color w:val="FFFFFF"/>
              </w:rPr>
              <w:t>S/000</w:t>
            </w:r>
          </w:p>
        </w:tc>
        <w:tc>
          <w:tcPr>
            <w:tcW w:w="1200" w:type="dxa"/>
            <w:vAlign w:val="bottom"/>
            <w:tcBorders>
              <w:bottom w:val="single" w:sz="8" w:color="auto"/>
            </w:tcBorders>
            <w:shd w:val="clear" w:color="auto" w:fill="2AD2C9"/>
          </w:tcPr>
          <w:p>
            <w:pPr>
              <w:ind w:left="340"/>
              <w:spacing w:after="0"/>
              <w:rPr>
                <w:sz w:val="20"/>
                <w:szCs w:val="20"/>
                <w:color w:val="auto"/>
              </w:rPr>
            </w:pPr>
            <w:r>
              <w:rPr>
                <w:rFonts w:ascii="Times New Roman" w:cs="Times New Roman" w:eastAsia="Times New Roman" w:hAnsi="Times New Roman"/>
                <w:sz w:val="17"/>
                <w:szCs w:val="17"/>
                <w:b w:val="1"/>
                <w:bCs w:val="1"/>
                <w:color w:val="FFFFFF"/>
              </w:rPr>
              <w:t>Mar 25</w:t>
            </w:r>
          </w:p>
        </w:tc>
        <w:tc>
          <w:tcPr>
            <w:tcW w:w="1240" w:type="dxa"/>
            <w:vAlign w:val="bottom"/>
            <w:tcBorders>
              <w:bottom w:val="single" w:sz="8" w:color="auto"/>
            </w:tcBorders>
            <w:shd w:val="clear" w:color="auto" w:fill="2AD2C9"/>
          </w:tcPr>
          <w:p>
            <w:pPr>
              <w:jc w:val="center"/>
              <w:spacing w:after="0"/>
              <w:rPr>
                <w:sz w:val="20"/>
                <w:szCs w:val="20"/>
                <w:color w:val="auto"/>
              </w:rPr>
            </w:pPr>
            <w:r>
              <w:rPr>
                <w:rFonts w:ascii="Times New Roman" w:cs="Times New Roman" w:eastAsia="Times New Roman" w:hAnsi="Times New Roman"/>
                <w:sz w:val="17"/>
                <w:szCs w:val="17"/>
                <w:b w:val="1"/>
                <w:bCs w:val="1"/>
                <w:color w:val="FFFFFF"/>
                <w:w w:val="98"/>
              </w:rPr>
              <w:t>Dec 26</w:t>
            </w:r>
          </w:p>
        </w:tc>
        <w:tc>
          <w:tcPr>
            <w:tcW w:w="1240" w:type="dxa"/>
            <w:vAlign w:val="bottom"/>
            <w:tcBorders>
              <w:bottom w:val="single" w:sz="8" w:color="auto"/>
              <w:right w:val="single" w:sz="8" w:color="auto"/>
            </w:tcBorders>
            <w:shd w:val="clear" w:color="auto" w:fill="2AD2C9"/>
          </w:tcPr>
          <w:p>
            <w:pPr>
              <w:ind w:left="340"/>
              <w:spacing w:after="0"/>
              <w:rPr>
                <w:sz w:val="20"/>
                <w:szCs w:val="20"/>
                <w:color w:val="auto"/>
              </w:rPr>
            </w:pPr>
            <w:r>
              <w:rPr>
                <w:rFonts w:ascii="Times New Roman" w:cs="Times New Roman" w:eastAsia="Times New Roman" w:hAnsi="Times New Roman"/>
                <w:sz w:val="17"/>
                <w:szCs w:val="17"/>
                <w:b w:val="1"/>
                <w:bCs w:val="1"/>
                <w:color w:val="FFFFFF"/>
              </w:rPr>
              <w:t>Mar 26</w:t>
            </w:r>
          </w:p>
        </w:tc>
        <w:tc>
          <w:tcPr>
            <w:tcW w:w="580" w:type="dxa"/>
            <w:vAlign w:val="bottom"/>
            <w:tcBorders>
              <w:bottom w:val="single" w:sz="8" w:color="auto"/>
            </w:tcBorders>
            <w:shd w:val="clear" w:color="auto" w:fill="2AD2C9"/>
          </w:tcPr>
          <w:p>
            <w:pPr>
              <w:ind w:left="120"/>
              <w:spacing w:after="0"/>
              <w:rPr>
                <w:sz w:val="20"/>
                <w:szCs w:val="20"/>
                <w:color w:val="auto"/>
              </w:rPr>
            </w:pPr>
            <w:r>
              <w:rPr>
                <w:rFonts w:ascii="Times New Roman" w:cs="Times New Roman" w:eastAsia="Times New Roman" w:hAnsi="Times New Roman"/>
                <w:sz w:val="17"/>
                <w:szCs w:val="17"/>
                <w:b w:val="1"/>
                <w:bCs w:val="1"/>
                <w:color w:val="FFFFFF"/>
              </w:rPr>
              <w:t>QoQ</w:t>
            </w:r>
          </w:p>
        </w:tc>
        <w:tc>
          <w:tcPr>
            <w:tcW w:w="640" w:type="dxa"/>
            <w:vAlign w:val="bottom"/>
            <w:tcBorders>
              <w:bottom w:val="single" w:sz="8" w:color="auto"/>
              <w:right w:val="single" w:sz="8" w:color="auto"/>
            </w:tcBorders>
            <w:shd w:val="clear" w:color="auto" w:fill="2AD2C9"/>
          </w:tcPr>
          <w:p>
            <w:pPr>
              <w:ind w:left="140"/>
              <w:spacing w:after="0"/>
              <w:rPr>
                <w:sz w:val="20"/>
                <w:szCs w:val="20"/>
                <w:color w:val="auto"/>
              </w:rPr>
            </w:pPr>
            <w:r>
              <w:rPr>
                <w:rFonts w:ascii="Times New Roman" w:cs="Times New Roman" w:eastAsia="Times New Roman" w:hAnsi="Times New Roman"/>
                <w:sz w:val="17"/>
                <w:szCs w:val="17"/>
                <w:b w:val="1"/>
                <w:bCs w:val="1"/>
                <w:color w:val="FFFFFF"/>
              </w:rPr>
              <w:t>YoY</w:t>
            </w:r>
          </w:p>
        </w:tc>
      </w:tr>
      <w:tr>
        <w:trPr>
          <w:trHeight w:val="179"/>
        </w:trPr>
        <w:tc>
          <w:tcPr>
            <w:tcW w:w="6360" w:type="dxa"/>
            <w:vAlign w:val="bottom"/>
            <w:tcBorders>
              <w:left w:val="single" w:sz="8" w:color="auto"/>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7"/>
                <w:szCs w:val="17"/>
                <w:color w:val="auto"/>
              </w:rPr>
              <w:t>Cash and due from banks</w:t>
            </w:r>
          </w:p>
        </w:tc>
        <w:tc>
          <w:tcPr>
            <w:tcW w:w="120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auto"/>
                <w:w w:val="99"/>
              </w:rPr>
              <w:t>37,521,839</w:t>
            </w:r>
          </w:p>
        </w:tc>
        <w:tc>
          <w:tcPr>
            <w:tcW w:w="124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auto"/>
                <w:w w:val="99"/>
              </w:rPr>
              <w:t>41,394,817</w:t>
            </w:r>
          </w:p>
        </w:tc>
        <w:tc>
          <w:tcPr>
            <w:tcW w:w="1240" w:type="dxa"/>
            <w:vAlign w:val="bottom"/>
            <w:tcBorders>
              <w:right w:val="single" w:sz="8" w:color="auto"/>
            </w:tcBorders>
          </w:tcPr>
          <w:p>
            <w:pPr>
              <w:jc w:val="center"/>
              <w:spacing w:after="0" w:line="180" w:lineRule="exact"/>
              <w:rPr>
                <w:sz w:val="20"/>
                <w:szCs w:val="20"/>
                <w:color w:val="auto"/>
              </w:rPr>
            </w:pPr>
            <w:r>
              <w:rPr>
                <w:rFonts w:ascii="Times New Roman" w:cs="Times New Roman" w:eastAsia="Times New Roman" w:hAnsi="Times New Roman"/>
                <w:sz w:val="17"/>
                <w:szCs w:val="17"/>
                <w:color w:val="auto"/>
                <w:w w:val="99"/>
              </w:rPr>
              <w:t>42,979,690</w:t>
            </w:r>
          </w:p>
        </w:tc>
        <w:tc>
          <w:tcPr>
            <w:tcW w:w="58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auto"/>
                <w:w w:val="95"/>
              </w:rPr>
              <w:t>3.8%</w:t>
            </w:r>
          </w:p>
        </w:tc>
        <w:tc>
          <w:tcPr>
            <w:tcW w:w="640" w:type="dxa"/>
            <w:vAlign w:val="bottom"/>
            <w:tcBorders>
              <w:right w:val="single" w:sz="8" w:color="auto"/>
            </w:tcBorders>
          </w:tcPr>
          <w:p>
            <w:pPr>
              <w:jc w:val="center"/>
              <w:spacing w:after="0" w:line="180" w:lineRule="exact"/>
              <w:rPr>
                <w:sz w:val="20"/>
                <w:szCs w:val="20"/>
                <w:color w:val="auto"/>
              </w:rPr>
            </w:pPr>
            <w:r>
              <w:rPr>
                <w:rFonts w:ascii="Times New Roman" w:cs="Times New Roman" w:eastAsia="Times New Roman" w:hAnsi="Times New Roman"/>
                <w:sz w:val="17"/>
                <w:szCs w:val="17"/>
                <w:color w:val="auto"/>
              </w:rPr>
              <w:t>14.5%</w:t>
            </w:r>
          </w:p>
        </w:tc>
      </w:tr>
      <w:tr>
        <w:trPr>
          <w:trHeight w:val="203"/>
        </w:trPr>
        <w:tc>
          <w:tcPr>
            <w:tcW w:w="63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Total investments</w:t>
            </w:r>
          </w:p>
        </w:tc>
        <w:tc>
          <w:tcPr>
            <w:tcW w:w="12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55,604,610</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52,804,942</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57,505,821</w:t>
            </w:r>
          </w:p>
        </w:tc>
        <w:tc>
          <w:tcPr>
            <w:tcW w:w="5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5"/>
              </w:rPr>
              <w:t>8.9%</w:t>
            </w:r>
          </w:p>
        </w:tc>
        <w:tc>
          <w:tcPr>
            <w:tcW w:w="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3.4%</w:t>
            </w:r>
          </w:p>
        </w:tc>
      </w:tr>
      <w:tr>
        <w:trPr>
          <w:trHeight w:val="203"/>
        </w:trPr>
        <w:tc>
          <w:tcPr>
            <w:tcW w:w="63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Cash collateral, reverse repurchase agreements and securities borrowing</w:t>
            </w:r>
          </w:p>
        </w:tc>
        <w:tc>
          <w:tcPr>
            <w:tcW w:w="12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1,835,893</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2,177,200</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2,211,576</w:t>
            </w:r>
          </w:p>
        </w:tc>
        <w:tc>
          <w:tcPr>
            <w:tcW w:w="5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5"/>
              </w:rPr>
              <w:t>1.6%</w:t>
            </w:r>
          </w:p>
        </w:tc>
        <w:tc>
          <w:tcPr>
            <w:tcW w:w="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20.5%</w:t>
            </w:r>
          </w:p>
        </w:tc>
      </w:tr>
      <w:tr>
        <w:trPr>
          <w:trHeight w:val="219"/>
        </w:trPr>
        <w:tc>
          <w:tcPr>
            <w:tcW w:w="63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Total loans</w:t>
            </w: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141,196,646</w:t>
            </w: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149,984,954</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152,824,685</w:t>
            </w: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5"/>
              </w:rPr>
              <w:t>1.9%</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8.2%</w:t>
            </w:r>
          </w:p>
        </w:tc>
      </w:tr>
      <w:tr>
        <w:trPr>
          <w:trHeight w:val="196"/>
        </w:trPr>
        <w:tc>
          <w:tcPr>
            <w:tcW w:w="63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b w:val="1"/>
                <w:bCs w:val="1"/>
                <w:color w:val="auto"/>
              </w:rPr>
              <w:t>Total interest earning assets</w:t>
            </w: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236,158,988</w:t>
            </w: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246,361,913</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255,521,772</w:t>
            </w: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3.7%</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8.2%</w:t>
            </w:r>
          </w:p>
        </w:tc>
      </w:tr>
      <w:tr>
        <w:trPr>
          <w:trHeight w:val="196"/>
        </w:trPr>
        <w:tc>
          <w:tcPr>
            <w:tcW w:w="63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b w:val="1"/>
                <w:bCs w:val="1"/>
                <w:color w:val="auto"/>
              </w:rPr>
              <w:t>Total interest earning assets (Adjusted for Asset Revaluation)</w:t>
            </w: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240,384,621</w:t>
            </w: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248,477,652</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258,497,432</w:t>
            </w: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4.0%</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7.5%</w:t>
            </w:r>
          </w:p>
        </w:tc>
      </w:tr>
      <w:tr>
        <w:trPr>
          <w:trHeight w:val="196"/>
        </w:trPr>
        <w:tc>
          <w:tcPr>
            <w:tcW w:w="63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7"/>
                <w:szCs w:val="17"/>
                <w:b w:val="1"/>
                <w:bCs w:val="1"/>
                <w:color w:val="auto"/>
              </w:rPr>
              <w:t>Total interest earning assets (Adjusted for Asset Revaluation, FX Neutral USD/PEN)</w:t>
            </w:r>
          </w:p>
        </w:tc>
        <w:tc>
          <w:tcPr>
            <w:tcW w:w="1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spacing w:after="0"/>
              <w:rPr>
                <w:sz w:val="17"/>
                <w:szCs w:val="17"/>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2.3%</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9.9%</w:t>
            </w: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IEA rose 3.7% QoQ and 8.2% YoY. If we exclude the impacts of both the non-cash accounting adjustment at BCP Bolivia and the depreciation of the USD against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PEN, IEA evolved as follows:</w:t>
      </w:r>
    </w:p>
    <w:p>
      <w:pPr>
        <w:spacing w:after="0" w:line="19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b w:val="1"/>
          <w:bCs w:val="1"/>
          <w:color w:val="auto"/>
        </w:rPr>
        <w:t>QoQ</w:t>
      </w:r>
      <w:r>
        <w:rPr>
          <w:rFonts w:ascii="Times New Roman" w:cs="Times New Roman" w:eastAsia="Times New Roman" w:hAnsi="Times New Roman"/>
          <w:sz w:val="17"/>
          <w:szCs w:val="17"/>
          <w:color w:val="auto"/>
        </w:rPr>
        <w:t>, IEA increased 2.3%. This evolution was driven mainly by an increase in the balance of Total investments, which is part of our strategy to capitalize surplus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liquidity. Loan growth, which sustained its momentum through the dynamics explained in chapter 1. </w:t>
      </w:r>
      <w:r>
        <w:rPr>
          <w:rFonts w:ascii="Times New Roman" w:cs="Times New Roman" w:eastAsia="Times New Roman" w:hAnsi="Times New Roman"/>
          <w:sz w:val="17"/>
          <w:szCs w:val="17"/>
          <w:b w:val="1"/>
          <w:bCs w:val="1"/>
          <w:color w:val="auto"/>
        </w:rPr>
        <w:t>Loan Portfolio,</w:t>
      </w:r>
      <w:r>
        <w:rPr>
          <w:rFonts w:ascii="Times New Roman" w:cs="Times New Roman" w:eastAsia="Times New Roman" w:hAnsi="Times New Roman"/>
          <w:sz w:val="17"/>
          <w:szCs w:val="17"/>
          <w:color w:val="auto"/>
        </w:rPr>
        <w:t xml:space="preserve"> was a secondary driver of IEA.</w:t>
      </w:r>
    </w:p>
    <w:p>
      <w:pPr>
        <w:spacing w:after="0" w:line="15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b w:val="1"/>
          <w:bCs w:val="1"/>
          <w:color w:val="auto"/>
        </w:rPr>
        <w:t>YoY</w:t>
      </w:r>
      <w:r>
        <w:rPr>
          <w:rFonts w:ascii="Times New Roman" w:cs="Times New Roman" w:eastAsia="Times New Roman" w:hAnsi="Times New Roman"/>
          <w:sz w:val="17"/>
          <w:szCs w:val="17"/>
          <w:color w:val="auto"/>
        </w:rPr>
        <w:t>, IEA expanded 9.9%. This evolution was fueled, in order of impact, by: i) an increase in the Loan balance, which was led primarily by BCP Stand-alone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(Wholesale Banking in particular), and to a lesser extent by Mibanco; ii) an uptick in Cash and due from banks, which was driven by the cumulative effect of inflows from pension fund withdrawals and higher liquidity at Mibanco; and iii) growth in the balance of Investments, which rose on the back of the same dynamics seen QoQ.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651510</wp:posOffset>
            </wp:positionV>
            <wp:extent cx="7140575" cy="158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0575" cy="15875"/>
                    </a:xfrm>
                    <a:prstGeom prst="rect">
                      <a:avLst/>
                    </a:prstGeom>
                    <a:noFill/>
                  </pic:spPr>
                </pic:pic>
              </a:graphicData>
            </a:graphic>
          </wp:anchor>
        </w:drawing>
        <w:drawing>
          <wp:anchor simplePos="0" relativeHeight="251657728" behindDoc="1" locked="0" layoutInCell="0" allowOverlap="1">
            <wp:simplePos x="0" y="0"/>
            <wp:positionH relativeFrom="column">
              <wp:posOffset>347345</wp:posOffset>
            </wp:positionH>
            <wp:positionV relativeFrom="paragraph">
              <wp:posOffset>-8255</wp:posOffset>
            </wp:positionV>
            <wp:extent cx="6447155" cy="5562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447155" cy="556260"/>
                    </a:xfrm>
                    <a:prstGeom prst="rect">
                      <a:avLst/>
                    </a:prstGeom>
                    <a:noFill/>
                  </pic:spPr>
                </pic:pic>
              </a:graphicData>
            </a:graphic>
          </wp:anchor>
        </w:drawing>
      </w:r>
    </w:p>
    <w:p>
      <w:pPr>
        <w:sectPr>
          <w:pgSz w:w="11900" w:h="16838" w:orient="portrait"/>
          <w:cols w:equalWidth="0" w:num="1">
            <w:col w:w="11240"/>
          </w:cols>
          <w:pgMar w:left="320" w:top="589" w:right="339" w:bottom="1440" w:gutter="0" w:footer="0" w:header="0"/>
        </w:sectPr>
      </w:pPr>
    </w:p>
    <w:bookmarkStart w:id="23" w:name="page24"/>
    <w:bookmarkEnd w:id="23"/>
    <w:p>
      <w:pPr>
        <w:ind w:left="3140"/>
        <w:spacing w:after="0"/>
        <w:tabs>
          <w:tab w:leader="none" w:pos="3320" w:val="left"/>
          <w:tab w:leader="none" w:pos="9060" w:val="left"/>
        </w:tabs>
        <w:rPr>
          <w:sz w:val="20"/>
          <w:szCs w:val="20"/>
          <w:color w:val="auto"/>
        </w:rPr>
      </w:pPr>
      <w:r>
        <w:rPr>
          <w:rFonts w:ascii="Times New Roman" w:cs="Times New Roman" w:eastAsia="Times New Roman" w:hAnsi="Times New Roman"/>
          <w:sz w:val="14"/>
          <w:szCs w:val="14"/>
          <w:color w:val="A6A6A6"/>
        </w:rPr>
        <w:drawing>
          <wp:anchor simplePos="0" relativeHeight="251657728" behindDoc="1" locked="0" layoutInCell="0" allowOverlap="1">
            <wp:simplePos x="0" y="0"/>
            <wp:positionH relativeFrom="page">
              <wp:posOffset>204470</wp:posOffset>
            </wp:positionH>
            <wp:positionV relativeFrom="page">
              <wp:posOffset>88900</wp:posOffset>
            </wp:positionV>
            <wp:extent cx="7140575" cy="6927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0575" cy="692785"/>
                    </a:xfrm>
                    <a:prstGeom prst="rect">
                      <a:avLst/>
                    </a:prstGeom>
                    <a:noFill/>
                  </pic:spPr>
                </pic:pic>
              </a:graphicData>
            </a:graphic>
          </wp:anchor>
        </w:drawing>
        <w:t>|</w:t>
      </w:r>
      <w:r>
        <w:rPr>
          <w:rFonts w:ascii="Times New Roman" w:cs="Times New Roman" w:eastAsia="Times New Roman" w:hAnsi="Times New Roman"/>
          <w:sz w:val="14"/>
          <w:szCs w:val="14"/>
          <w:color w:val="FFFFFF"/>
        </w:rPr>
        <w:tab/>
        <w:t>Earnings Release 1Q / 2026</w:t>
      </w:r>
      <w:r>
        <w:rPr>
          <w:sz w:val="20"/>
          <w:szCs w:val="20"/>
          <w:color w:val="auto"/>
        </w:rPr>
        <w:tab/>
      </w:r>
      <w:r>
        <w:rPr>
          <w:rFonts w:ascii="Times New Roman" w:cs="Times New Roman" w:eastAsia="Times New Roman" w:hAnsi="Times New Roman"/>
          <w:sz w:val="12"/>
          <w:szCs w:val="12"/>
          <w:color w:val="FF00FF"/>
        </w:rPr>
        <w:t>Analysis of 1Q26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7140575" cy="2095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0575" cy="20955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FFFFFF"/>
        </w:rPr>
        <w:t>03. Interest-earning Assets (IEA) and Funding</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3.2. Funding</w:t>
      </w:r>
    </w:p>
    <w:p>
      <w:pPr>
        <w:spacing w:after="0" w:line="211"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6240" w:type="dxa"/>
            <w:vAlign w:val="bottom"/>
            <w:tcBorders>
              <w:top w:val="single" w:sz="8" w:color="auto"/>
              <w:left w:val="single" w:sz="8" w:color="auto"/>
              <w:right w:val="single" w:sz="8" w:color="auto"/>
            </w:tcBorders>
            <w:shd w:val="clear" w:color="auto" w:fill="2AD2C9"/>
          </w:tcPr>
          <w:p>
            <w:pPr>
              <w:ind w:left="40"/>
              <w:spacing w:after="0"/>
              <w:rPr>
                <w:sz w:val="20"/>
                <w:szCs w:val="20"/>
                <w:color w:val="auto"/>
              </w:rPr>
            </w:pPr>
            <w:r>
              <w:rPr>
                <w:rFonts w:ascii="Times New Roman" w:cs="Times New Roman" w:eastAsia="Times New Roman" w:hAnsi="Times New Roman"/>
                <w:sz w:val="17"/>
                <w:szCs w:val="17"/>
                <w:b w:val="1"/>
                <w:bCs w:val="1"/>
                <w:color w:val="FFFFFF"/>
              </w:rPr>
              <w:t>Funding</w:t>
            </w:r>
          </w:p>
        </w:tc>
        <w:tc>
          <w:tcPr>
            <w:tcW w:w="1200" w:type="dxa"/>
            <w:vAlign w:val="bottom"/>
            <w:tcBorders>
              <w:top w:val="single" w:sz="8" w:color="auto"/>
            </w:tcBorders>
            <w:shd w:val="clear" w:color="auto" w:fill="2AD2C9"/>
          </w:tcPr>
          <w:p>
            <w:pPr>
              <w:spacing w:after="0"/>
              <w:rPr>
                <w:sz w:val="18"/>
                <w:szCs w:val="18"/>
                <w:color w:val="auto"/>
              </w:rPr>
            </w:pPr>
          </w:p>
        </w:tc>
        <w:tc>
          <w:tcPr>
            <w:tcW w:w="1200" w:type="dxa"/>
            <w:vAlign w:val="bottom"/>
            <w:tcBorders>
              <w:top w:val="single" w:sz="8" w:color="auto"/>
            </w:tcBorders>
            <w:shd w:val="clear" w:color="auto" w:fill="2AD2C9"/>
          </w:tcPr>
          <w:p>
            <w:pPr>
              <w:jc w:val="center"/>
              <w:spacing w:after="0"/>
              <w:rPr>
                <w:sz w:val="20"/>
                <w:szCs w:val="20"/>
                <w:color w:val="auto"/>
              </w:rPr>
            </w:pPr>
            <w:r>
              <w:rPr>
                <w:rFonts w:ascii="Times New Roman" w:cs="Times New Roman" w:eastAsia="Times New Roman" w:hAnsi="Times New Roman"/>
                <w:sz w:val="17"/>
                <w:szCs w:val="17"/>
                <w:b w:val="1"/>
                <w:bCs w:val="1"/>
                <w:color w:val="FFFFFF"/>
                <w:w w:val="96"/>
              </w:rPr>
              <w:t>As of</w:t>
            </w:r>
          </w:p>
        </w:tc>
        <w:tc>
          <w:tcPr>
            <w:tcW w:w="1240" w:type="dxa"/>
            <w:vAlign w:val="bottom"/>
            <w:tcBorders>
              <w:top w:val="single" w:sz="8" w:color="auto"/>
              <w:right w:val="single" w:sz="8" w:color="auto"/>
            </w:tcBorders>
            <w:shd w:val="clear" w:color="auto" w:fill="2AD2C9"/>
          </w:tcPr>
          <w:p>
            <w:pPr>
              <w:spacing w:after="0"/>
              <w:rPr>
                <w:sz w:val="18"/>
                <w:szCs w:val="18"/>
                <w:color w:val="auto"/>
              </w:rPr>
            </w:pPr>
          </w:p>
        </w:tc>
        <w:tc>
          <w:tcPr>
            <w:tcW w:w="1380" w:type="dxa"/>
            <w:vAlign w:val="bottom"/>
            <w:tcBorders>
              <w:top w:val="single" w:sz="8" w:color="auto"/>
              <w:right w:val="single" w:sz="8" w:color="auto"/>
            </w:tcBorders>
            <w:gridSpan w:val="2"/>
            <w:shd w:val="clear" w:color="auto" w:fill="2AD2C9"/>
          </w:tcPr>
          <w:p>
            <w:pPr>
              <w:ind w:left="300"/>
              <w:spacing w:after="0"/>
              <w:rPr>
                <w:sz w:val="20"/>
                <w:szCs w:val="20"/>
                <w:color w:val="auto"/>
              </w:rPr>
            </w:pPr>
            <w:r>
              <w:rPr>
                <w:rFonts w:ascii="Times New Roman" w:cs="Times New Roman" w:eastAsia="Times New Roman" w:hAnsi="Times New Roman"/>
                <w:sz w:val="17"/>
                <w:szCs w:val="17"/>
                <w:b w:val="1"/>
                <w:bCs w:val="1"/>
                <w:color w:val="FFFFFF"/>
              </w:rPr>
              <w:t>% change</w:t>
            </w:r>
          </w:p>
        </w:tc>
      </w:tr>
      <w:tr>
        <w:trPr>
          <w:trHeight w:val="203"/>
        </w:trPr>
        <w:tc>
          <w:tcPr>
            <w:tcW w:w="6240" w:type="dxa"/>
            <w:vAlign w:val="bottom"/>
            <w:tcBorders>
              <w:left w:val="single" w:sz="8" w:color="auto"/>
              <w:bottom w:val="single" w:sz="8" w:color="auto"/>
              <w:right w:val="single" w:sz="8" w:color="auto"/>
            </w:tcBorders>
            <w:shd w:val="clear" w:color="auto" w:fill="2AD2C9"/>
          </w:tcPr>
          <w:p>
            <w:pPr>
              <w:ind w:left="40"/>
              <w:spacing w:after="0"/>
              <w:rPr>
                <w:sz w:val="20"/>
                <w:szCs w:val="20"/>
                <w:color w:val="auto"/>
              </w:rPr>
            </w:pPr>
            <w:r>
              <w:rPr>
                <w:rFonts w:ascii="Times New Roman" w:cs="Times New Roman" w:eastAsia="Times New Roman" w:hAnsi="Times New Roman"/>
                <w:sz w:val="17"/>
                <w:szCs w:val="17"/>
                <w:b w:val="1"/>
                <w:bCs w:val="1"/>
                <w:color w:val="FFFFFF"/>
              </w:rPr>
              <w:t>S/ 000</w:t>
            </w:r>
          </w:p>
        </w:tc>
        <w:tc>
          <w:tcPr>
            <w:tcW w:w="1200" w:type="dxa"/>
            <w:vAlign w:val="bottom"/>
            <w:tcBorders>
              <w:bottom w:val="single" w:sz="8" w:color="auto"/>
            </w:tcBorders>
            <w:shd w:val="clear" w:color="auto" w:fill="2AD2C9"/>
          </w:tcPr>
          <w:p>
            <w:pPr>
              <w:ind w:left="340"/>
              <w:spacing w:after="0"/>
              <w:rPr>
                <w:sz w:val="20"/>
                <w:szCs w:val="20"/>
                <w:color w:val="auto"/>
              </w:rPr>
            </w:pPr>
            <w:r>
              <w:rPr>
                <w:rFonts w:ascii="Times New Roman" w:cs="Times New Roman" w:eastAsia="Times New Roman" w:hAnsi="Times New Roman"/>
                <w:sz w:val="17"/>
                <w:szCs w:val="17"/>
                <w:b w:val="1"/>
                <w:bCs w:val="1"/>
                <w:color w:val="FFFFFF"/>
              </w:rPr>
              <w:t>Mar 25</w:t>
            </w:r>
          </w:p>
        </w:tc>
        <w:tc>
          <w:tcPr>
            <w:tcW w:w="1200" w:type="dxa"/>
            <w:vAlign w:val="bottom"/>
            <w:tcBorders>
              <w:bottom w:val="single" w:sz="8" w:color="auto"/>
            </w:tcBorders>
            <w:shd w:val="clear" w:color="auto" w:fill="2AD2C9"/>
          </w:tcPr>
          <w:p>
            <w:pPr>
              <w:jc w:val="center"/>
              <w:spacing w:after="0"/>
              <w:rPr>
                <w:sz w:val="20"/>
                <w:szCs w:val="20"/>
                <w:color w:val="auto"/>
              </w:rPr>
            </w:pPr>
            <w:r>
              <w:rPr>
                <w:rFonts w:ascii="Times New Roman" w:cs="Times New Roman" w:eastAsia="Times New Roman" w:hAnsi="Times New Roman"/>
                <w:sz w:val="17"/>
                <w:szCs w:val="17"/>
                <w:b w:val="1"/>
                <w:bCs w:val="1"/>
                <w:color w:val="FFFFFF"/>
                <w:w w:val="98"/>
              </w:rPr>
              <w:t>Dec 25</w:t>
            </w:r>
          </w:p>
        </w:tc>
        <w:tc>
          <w:tcPr>
            <w:tcW w:w="1240" w:type="dxa"/>
            <w:vAlign w:val="bottom"/>
            <w:tcBorders>
              <w:bottom w:val="single" w:sz="8" w:color="auto"/>
              <w:right w:val="single" w:sz="8" w:color="auto"/>
            </w:tcBorders>
            <w:shd w:val="clear" w:color="auto" w:fill="2AD2C9"/>
          </w:tcPr>
          <w:p>
            <w:pPr>
              <w:ind w:left="340"/>
              <w:spacing w:after="0"/>
              <w:rPr>
                <w:sz w:val="20"/>
                <w:szCs w:val="20"/>
                <w:color w:val="auto"/>
              </w:rPr>
            </w:pPr>
            <w:r>
              <w:rPr>
                <w:rFonts w:ascii="Times New Roman" w:cs="Times New Roman" w:eastAsia="Times New Roman" w:hAnsi="Times New Roman"/>
                <w:sz w:val="17"/>
                <w:szCs w:val="17"/>
                <w:b w:val="1"/>
                <w:bCs w:val="1"/>
                <w:color w:val="FFFFFF"/>
              </w:rPr>
              <w:t>Mar 26</w:t>
            </w:r>
          </w:p>
        </w:tc>
        <w:tc>
          <w:tcPr>
            <w:tcW w:w="660" w:type="dxa"/>
            <w:vAlign w:val="bottom"/>
            <w:tcBorders>
              <w:bottom w:val="single" w:sz="8" w:color="auto"/>
            </w:tcBorders>
            <w:shd w:val="clear" w:color="auto" w:fill="2AD2C9"/>
          </w:tcPr>
          <w:p>
            <w:pPr>
              <w:ind w:left="160"/>
              <w:spacing w:after="0"/>
              <w:rPr>
                <w:sz w:val="20"/>
                <w:szCs w:val="20"/>
                <w:color w:val="auto"/>
              </w:rPr>
            </w:pPr>
            <w:r>
              <w:rPr>
                <w:rFonts w:ascii="Times New Roman" w:cs="Times New Roman" w:eastAsia="Times New Roman" w:hAnsi="Times New Roman"/>
                <w:sz w:val="17"/>
                <w:szCs w:val="17"/>
                <w:b w:val="1"/>
                <w:bCs w:val="1"/>
                <w:color w:val="FFFFFF"/>
              </w:rPr>
              <w:t>QoQ</w:t>
            </w:r>
          </w:p>
        </w:tc>
        <w:tc>
          <w:tcPr>
            <w:tcW w:w="720" w:type="dxa"/>
            <w:vAlign w:val="bottom"/>
            <w:tcBorders>
              <w:bottom w:val="single" w:sz="8" w:color="auto"/>
              <w:right w:val="single" w:sz="8" w:color="auto"/>
            </w:tcBorders>
            <w:shd w:val="clear" w:color="auto" w:fill="2AD2C9"/>
          </w:tcPr>
          <w:p>
            <w:pPr>
              <w:ind w:left="200"/>
              <w:spacing w:after="0"/>
              <w:rPr>
                <w:sz w:val="20"/>
                <w:szCs w:val="20"/>
                <w:color w:val="auto"/>
              </w:rPr>
            </w:pPr>
            <w:r>
              <w:rPr>
                <w:rFonts w:ascii="Times New Roman" w:cs="Times New Roman" w:eastAsia="Times New Roman" w:hAnsi="Times New Roman"/>
                <w:sz w:val="17"/>
                <w:szCs w:val="17"/>
                <w:b w:val="1"/>
                <w:bCs w:val="1"/>
                <w:color w:val="FFFFFF"/>
              </w:rPr>
              <w:t>YoY</w:t>
            </w:r>
          </w:p>
        </w:tc>
      </w:tr>
      <w:tr>
        <w:trPr>
          <w:trHeight w:val="179"/>
        </w:trPr>
        <w:tc>
          <w:tcPr>
            <w:tcW w:w="6240" w:type="dxa"/>
            <w:vAlign w:val="bottom"/>
            <w:tcBorders>
              <w:left w:val="single" w:sz="8" w:color="auto"/>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7"/>
                <w:szCs w:val="17"/>
                <w:color w:val="auto"/>
              </w:rPr>
              <w:t>Deposits and obligations</w:t>
            </w:r>
          </w:p>
        </w:tc>
        <w:tc>
          <w:tcPr>
            <w:tcW w:w="120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auto"/>
                <w:w w:val="98"/>
              </w:rPr>
              <w:t>157,619,082</w:t>
            </w:r>
          </w:p>
        </w:tc>
        <w:tc>
          <w:tcPr>
            <w:tcW w:w="120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auto"/>
                <w:w w:val="98"/>
              </w:rPr>
              <w:t>170,401,633</w:t>
            </w:r>
          </w:p>
        </w:tc>
        <w:tc>
          <w:tcPr>
            <w:tcW w:w="1240" w:type="dxa"/>
            <w:vAlign w:val="bottom"/>
            <w:tcBorders>
              <w:right w:val="single" w:sz="8" w:color="auto"/>
            </w:tcBorders>
          </w:tcPr>
          <w:p>
            <w:pPr>
              <w:jc w:val="center"/>
              <w:spacing w:after="0" w:line="180" w:lineRule="exact"/>
              <w:rPr>
                <w:sz w:val="20"/>
                <w:szCs w:val="20"/>
                <w:color w:val="auto"/>
              </w:rPr>
            </w:pPr>
            <w:r>
              <w:rPr>
                <w:rFonts w:ascii="Times New Roman" w:cs="Times New Roman" w:eastAsia="Times New Roman" w:hAnsi="Times New Roman"/>
                <w:sz w:val="17"/>
                <w:szCs w:val="17"/>
                <w:color w:val="auto"/>
              </w:rPr>
              <w:t>178,627,906</w:t>
            </w:r>
          </w:p>
        </w:tc>
        <w:tc>
          <w:tcPr>
            <w:tcW w:w="66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auto"/>
              </w:rPr>
              <w:t>4.8%</w:t>
            </w:r>
          </w:p>
        </w:tc>
        <w:tc>
          <w:tcPr>
            <w:tcW w:w="720" w:type="dxa"/>
            <w:vAlign w:val="bottom"/>
            <w:tcBorders>
              <w:right w:val="single" w:sz="8" w:color="auto"/>
            </w:tcBorders>
          </w:tcPr>
          <w:p>
            <w:pPr>
              <w:jc w:val="center"/>
              <w:spacing w:after="0" w:line="180" w:lineRule="exact"/>
              <w:rPr>
                <w:sz w:val="20"/>
                <w:szCs w:val="20"/>
                <w:color w:val="auto"/>
              </w:rPr>
            </w:pPr>
            <w:r>
              <w:rPr>
                <w:rFonts w:ascii="Times New Roman" w:cs="Times New Roman" w:eastAsia="Times New Roman" w:hAnsi="Times New Roman"/>
                <w:sz w:val="17"/>
                <w:szCs w:val="17"/>
                <w:color w:val="auto"/>
                <w:w w:val="95"/>
              </w:rPr>
              <w:t>13.3%</w:t>
            </w:r>
          </w:p>
        </w:tc>
      </w:tr>
      <w:tr>
        <w:trPr>
          <w:trHeight w:val="203"/>
        </w:trPr>
        <w:tc>
          <w:tcPr>
            <w:tcW w:w="62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Due to banks and correspondents</w:t>
            </w:r>
          </w:p>
        </w:tc>
        <w:tc>
          <w:tcPr>
            <w:tcW w:w="12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10,899,579</w:t>
            </w:r>
          </w:p>
        </w:tc>
        <w:tc>
          <w:tcPr>
            <w:tcW w:w="12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10,675,238</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10,213,175</w:t>
            </w: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-4.3%</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-6.3%</w:t>
            </w:r>
          </w:p>
        </w:tc>
      </w:tr>
      <w:tr>
        <w:trPr>
          <w:trHeight w:val="203"/>
        </w:trPr>
        <w:tc>
          <w:tcPr>
            <w:tcW w:w="62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BCRP instruments</w:t>
            </w:r>
          </w:p>
        </w:tc>
        <w:tc>
          <w:tcPr>
            <w:tcW w:w="12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7,064,476</w:t>
            </w:r>
          </w:p>
        </w:tc>
        <w:tc>
          <w:tcPr>
            <w:tcW w:w="12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4,776,512</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2,338,426</w:t>
            </w: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-51.0%</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-66.9%</w:t>
            </w:r>
          </w:p>
        </w:tc>
      </w:tr>
      <w:tr>
        <w:trPr>
          <w:trHeight w:val="203"/>
        </w:trPr>
        <w:tc>
          <w:tcPr>
            <w:tcW w:w="62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Repurchase agreements with clients and third parties</w:t>
            </w:r>
          </w:p>
        </w:tc>
        <w:tc>
          <w:tcPr>
            <w:tcW w:w="12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3,094,138</w:t>
            </w:r>
          </w:p>
        </w:tc>
        <w:tc>
          <w:tcPr>
            <w:tcW w:w="12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3,467,275</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3,534,049</w:t>
            </w: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1.9%</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5"/>
              </w:rPr>
              <w:t>14.2%</w:t>
            </w:r>
          </w:p>
        </w:tc>
      </w:tr>
      <w:tr>
        <w:trPr>
          <w:trHeight w:val="219"/>
        </w:trPr>
        <w:tc>
          <w:tcPr>
            <w:tcW w:w="62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Bonds and notes issued</w:t>
            </w: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14,391,733</w:t>
            </w: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14,025,535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14,750,710</w:t>
            </w: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5.2%</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5"/>
              </w:rPr>
              <w:t>2.5%</w:t>
            </w:r>
          </w:p>
        </w:tc>
      </w:tr>
      <w:tr>
        <w:trPr>
          <w:trHeight w:val="196"/>
        </w:trPr>
        <w:tc>
          <w:tcPr>
            <w:tcW w:w="62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b w:val="1"/>
                <w:bCs w:val="1"/>
                <w:color w:val="auto"/>
              </w:rPr>
              <w:t>Total funding</w:t>
            </w: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193,069,008</w:t>
            </w: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203,346,193</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209,464,266</w:t>
            </w: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3.0%</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8.5%</w:t>
            </w:r>
          </w:p>
        </w:tc>
      </w:tr>
      <w:tr>
        <w:trPr>
          <w:trHeight w:val="196"/>
        </w:trPr>
        <w:tc>
          <w:tcPr>
            <w:tcW w:w="62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b w:val="1"/>
                <w:bCs w:val="1"/>
                <w:color w:val="auto"/>
              </w:rPr>
              <w:t>Total funding (Adjusted for Asset Revaluation)</w:t>
            </w: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197,948,116</w:t>
            </w: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205,659,047</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212,689,317</w:t>
            </w: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3.4%</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7.4%</w:t>
            </w:r>
          </w:p>
        </w:tc>
      </w:tr>
      <w:tr>
        <w:trPr>
          <w:trHeight w:val="196"/>
        </w:trPr>
        <w:tc>
          <w:tcPr>
            <w:tcW w:w="62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b w:val="1"/>
                <w:bCs w:val="1"/>
                <w:color w:val="auto"/>
              </w:rPr>
              <w:t>Total funding (Adjusted for Asset Revaluation, FX Neutral USD/PEN)</w:t>
            </w:r>
          </w:p>
        </w:tc>
        <w:tc>
          <w:tcPr>
            <w:tcW w:w="1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spacing w:after="0"/>
              <w:rPr>
                <w:sz w:val="17"/>
                <w:szCs w:val="17"/>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1.6%</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10.0%</w:t>
            </w:r>
          </w:p>
        </w:tc>
      </w:tr>
    </w:tbl>
    <w:p>
      <w:pPr>
        <w:spacing w:after="0" w:line="18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Funding grew 3.0% QoQ and 8.5% YoY. Excluding the impact of both a non-cash accounting adjustment at BCP Bolivia and USD’s depreciation against PEN, funding evolved as follows:</w:t>
      </w:r>
    </w:p>
    <w:p>
      <w:pPr>
        <w:spacing w:after="0" w:line="1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b w:val="1"/>
          <w:bCs w:val="1"/>
          <w:color w:val="auto"/>
        </w:rPr>
        <w:t>QoQ</w:t>
      </w:r>
      <w:r>
        <w:rPr>
          <w:rFonts w:ascii="Times New Roman" w:cs="Times New Roman" w:eastAsia="Times New Roman" w:hAnsi="Times New Roman"/>
          <w:sz w:val="17"/>
          <w:szCs w:val="17"/>
          <w:color w:val="auto"/>
        </w:rPr>
        <w:t>, funding increased 1.6%, driven primarily by an increase in Deposits and obligations, which rose on the back of growth in low-cost deposits. The rise in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latter was fueled by inflows from pension fund withdrawals and, to a lesser extent, annual employee profit-sharing payments. These dynamics were partially offset by a drop in the balance for BCRP Instruments, which reflected a decrease in liquidity requirements.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b w:val="1"/>
          <w:bCs w:val="1"/>
          <w:color w:val="auto"/>
        </w:rPr>
        <w:t>YoY</w:t>
      </w:r>
      <w:r>
        <w:rPr>
          <w:rFonts w:ascii="Times New Roman" w:cs="Times New Roman" w:eastAsia="Times New Roman" w:hAnsi="Times New Roman"/>
          <w:sz w:val="17"/>
          <w:szCs w:val="17"/>
          <w:color w:val="auto"/>
        </w:rPr>
        <w:t>, funding rose 10.0%, driven mainly by an increase in Deposits and Obligations, which was driven by the same dynamics seen QoQ. The increase in funding was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partially offset by a reduction in the balance for BCRP instruments, which reflects the regulatory entity’s decision to reduce repo offerings in a high liquidity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647700</wp:posOffset>
            </wp:positionV>
            <wp:extent cx="7140575" cy="158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0575" cy="15875"/>
                    </a:xfrm>
                    <a:prstGeom prst="rect">
                      <a:avLst/>
                    </a:prstGeom>
                    <a:noFill/>
                  </pic:spPr>
                </pic:pic>
              </a:graphicData>
            </a:graphic>
          </wp:anchor>
        </w:drawing>
        <w:drawing>
          <wp:anchor simplePos="0" relativeHeight="251657728" behindDoc="1" locked="0" layoutInCell="0" allowOverlap="1">
            <wp:simplePos x="0" y="0"/>
            <wp:positionH relativeFrom="column">
              <wp:posOffset>347345</wp:posOffset>
            </wp:positionH>
            <wp:positionV relativeFrom="paragraph">
              <wp:posOffset>-12065</wp:posOffset>
            </wp:positionV>
            <wp:extent cx="6447155" cy="5562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447155" cy="556260"/>
                    </a:xfrm>
                    <a:prstGeom prst="rect">
                      <a:avLst/>
                    </a:prstGeom>
                    <a:noFill/>
                  </pic:spPr>
                </pic:pic>
              </a:graphicData>
            </a:graphic>
          </wp:anchor>
        </w:drawing>
      </w:r>
    </w:p>
    <w:p>
      <w:pPr>
        <w:sectPr>
          <w:pgSz w:w="11900" w:h="16838" w:orient="portrait"/>
          <w:cols w:equalWidth="0" w:num="1">
            <w:col w:w="11240"/>
          </w:cols>
          <w:pgMar w:left="320" w:top="589" w:right="339" w:bottom="1440" w:gutter="0" w:footer="0" w:header="0"/>
        </w:sectPr>
      </w:pPr>
    </w:p>
    <w:bookmarkStart w:id="24" w:name="page25"/>
    <w:bookmarkEnd w:id="24"/>
    <w:p>
      <w:pPr>
        <w:ind w:left="3140"/>
        <w:spacing w:after="0"/>
        <w:tabs>
          <w:tab w:leader="none" w:pos="3320" w:val="left"/>
          <w:tab w:leader="none" w:pos="9060" w:val="left"/>
        </w:tabs>
        <w:rPr>
          <w:sz w:val="20"/>
          <w:szCs w:val="20"/>
          <w:color w:val="auto"/>
        </w:rPr>
      </w:pPr>
      <w:r>
        <w:rPr>
          <w:rFonts w:ascii="Times New Roman" w:cs="Times New Roman" w:eastAsia="Times New Roman" w:hAnsi="Times New Roman"/>
          <w:sz w:val="14"/>
          <w:szCs w:val="14"/>
          <w:color w:val="A6A6A6"/>
        </w:rPr>
        <w:drawing>
          <wp:anchor simplePos="0" relativeHeight="251657728" behindDoc="1" locked="0" layoutInCell="0" allowOverlap="1">
            <wp:simplePos x="0" y="0"/>
            <wp:positionH relativeFrom="page">
              <wp:posOffset>204470</wp:posOffset>
            </wp:positionH>
            <wp:positionV relativeFrom="page">
              <wp:posOffset>88900</wp:posOffset>
            </wp:positionV>
            <wp:extent cx="7140575" cy="6927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0575" cy="692785"/>
                    </a:xfrm>
                    <a:prstGeom prst="rect">
                      <a:avLst/>
                    </a:prstGeom>
                    <a:noFill/>
                  </pic:spPr>
                </pic:pic>
              </a:graphicData>
            </a:graphic>
          </wp:anchor>
        </w:drawing>
        <w:t>|</w:t>
      </w:r>
      <w:r>
        <w:rPr>
          <w:rFonts w:ascii="Times New Roman" w:cs="Times New Roman" w:eastAsia="Times New Roman" w:hAnsi="Times New Roman"/>
          <w:sz w:val="14"/>
          <w:szCs w:val="14"/>
          <w:color w:val="FFFFFF"/>
        </w:rPr>
        <w:tab/>
        <w:t>Earnings Release 1Q / 2026</w:t>
      </w:r>
      <w:r>
        <w:rPr>
          <w:sz w:val="20"/>
          <w:szCs w:val="20"/>
          <w:color w:val="auto"/>
        </w:rPr>
        <w:tab/>
      </w:r>
      <w:r>
        <w:rPr>
          <w:rFonts w:ascii="Times New Roman" w:cs="Times New Roman" w:eastAsia="Times New Roman" w:hAnsi="Times New Roman"/>
          <w:sz w:val="12"/>
          <w:szCs w:val="12"/>
          <w:color w:val="FF00FF"/>
        </w:rPr>
        <w:t>Analysis of 1Q26 Consolidated Results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49"/>
          <w:szCs w:val="49"/>
          <w:b w:val="1"/>
          <w:bCs w:val="1"/>
          <w:color w:val="E93BAC"/>
        </w:rPr>
        <w:t>04</w:t>
      </w:r>
      <w:r>
        <w:rPr>
          <w:sz w:val="20"/>
          <w:szCs w:val="20"/>
          <w:color w:val="auto"/>
        </w:rPr>
        <w:tab/>
      </w:r>
      <w:r>
        <w:rPr>
          <w:rFonts w:ascii="Times New Roman" w:cs="Times New Roman" w:eastAsia="Times New Roman" w:hAnsi="Times New Roman"/>
          <w:sz w:val="30"/>
          <w:szCs w:val="30"/>
          <w:color w:val="E93BAC"/>
        </w:rPr>
        <w:t>Net Interest Income (NII)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243840</wp:posOffset>
            </wp:positionV>
            <wp:extent cx="7140575" cy="11925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0575" cy="1192530"/>
                    </a:xfrm>
                    <a:prstGeom prst="rect">
                      <a:avLst/>
                    </a:prstGeom>
                    <a:noFill/>
                  </pic:spPr>
                </pic:pic>
              </a:graphicData>
            </a:graphic>
          </wp:anchor>
        </w:drawing>
      </w:r>
    </w:p>
    <w:p>
      <w:pPr>
        <w:spacing w:after="0" w:line="398" w:lineRule="exact"/>
        <w:rPr>
          <w:sz w:val="20"/>
          <w:szCs w:val="20"/>
          <w:color w:val="auto"/>
        </w:rPr>
      </w:pPr>
    </w:p>
    <w:p>
      <w:pPr>
        <w:ind w:left="120" w:right="100"/>
        <w:spacing w:after="0" w:line="277" w:lineRule="auto"/>
        <w:rPr>
          <w:sz w:val="20"/>
          <w:szCs w:val="20"/>
          <w:color w:val="auto"/>
        </w:rPr>
      </w:pPr>
      <w:r>
        <w:rPr>
          <w:rFonts w:ascii="Times New Roman" w:cs="Times New Roman" w:eastAsia="Times New Roman" w:hAnsi="Times New Roman"/>
          <w:sz w:val="17"/>
          <w:szCs w:val="17"/>
          <w:color w:val="FFFFFF"/>
        </w:rPr>
        <w:t>NII rose 3.2% QoQ, driven primarily by an uptick in interest income from securities and loan growth. A reduction in Interest and Similar Expenses, which was fueled by a drop in expenses for deposits and a decrease in funding through other instruments, was a secondary driver of NII’s evolution.</w:t>
      </w:r>
    </w:p>
    <w:p>
      <w:pPr>
        <w:spacing w:after="0" w:line="158" w:lineRule="exact"/>
        <w:rPr>
          <w:sz w:val="20"/>
          <w:szCs w:val="20"/>
          <w:color w:val="auto"/>
        </w:rPr>
      </w:pPr>
    </w:p>
    <w:p>
      <w:pPr>
        <w:ind w:left="120" w:right="100"/>
        <w:spacing w:after="0" w:line="277" w:lineRule="auto"/>
        <w:rPr>
          <w:sz w:val="20"/>
          <w:szCs w:val="20"/>
          <w:color w:val="auto"/>
        </w:rPr>
      </w:pPr>
      <w:r>
        <w:rPr>
          <w:rFonts w:ascii="Times New Roman" w:cs="Times New Roman" w:eastAsia="Times New Roman" w:hAnsi="Times New Roman"/>
          <w:sz w:val="17"/>
          <w:szCs w:val="17"/>
          <w:color w:val="FFFFFF"/>
        </w:rPr>
        <w:t>YoY, NII increased 10.9%. This result was mainly fueled by an increase in Similar Income and Yields, which rose on the back of loan growth. The decrease in Similar Interest and Expenses, which were impacted by a drop in interest rates and an uptick in market liquidity, also contributed to growth in NII.</w:t>
      </w:r>
    </w:p>
    <w:p>
      <w:pPr>
        <w:spacing w:after="0" w:line="158" w:lineRule="exact"/>
        <w:rPr>
          <w:sz w:val="20"/>
          <w:szCs w:val="20"/>
          <w:color w:val="auto"/>
        </w:rPr>
      </w:pPr>
    </w:p>
    <w:p>
      <w:pPr>
        <w:ind w:left="120" w:right="100"/>
        <w:spacing w:after="0" w:line="274" w:lineRule="auto"/>
        <w:rPr>
          <w:sz w:val="20"/>
          <w:szCs w:val="20"/>
          <w:color w:val="auto"/>
        </w:rPr>
      </w:pPr>
      <w:r>
        <w:rPr>
          <w:rFonts w:ascii="Times New Roman" w:cs="Times New Roman" w:eastAsia="Times New Roman" w:hAnsi="Times New Roman"/>
          <w:sz w:val="17"/>
          <w:szCs w:val="17"/>
          <w:color w:val="FFFFFF"/>
        </w:rPr>
        <w:t>NIM expanded 36 bps YoY to stand at 6.58%, driven primarily by a drop in the funding costs and secondarily by an increase in the yield on IEA. Risk-adjusted NIM hit a new high</w:t>
      </w:r>
      <w:r>
        <w:rPr>
          <w:rFonts w:ascii="Times New Roman" w:cs="Times New Roman" w:eastAsia="Times New Roman" w:hAnsi="Times New Roman"/>
          <w:sz w:val="28"/>
          <w:szCs w:val="28"/>
          <w:color w:val="FFFFFF"/>
          <w:vertAlign w:val="superscript"/>
        </w:rPr>
        <w:t>1</w:t>
      </w:r>
      <w:r>
        <w:rPr>
          <w:rFonts w:ascii="Times New Roman" w:cs="Times New Roman" w:eastAsia="Times New Roman" w:hAnsi="Times New Roman"/>
          <w:sz w:val="17"/>
          <w:szCs w:val="17"/>
          <w:color w:val="FFFFFF"/>
        </w:rPr>
        <w:t xml:space="preserve"> of 5.81% (+57 bps) on the back of an improvement in payment performance, as reflected in the decrease seen in the cost of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151130</wp:posOffset>
            </wp:positionV>
            <wp:extent cx="7140575" cy="23450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0575" cy="2345055"/>
                    </a:xfrm>
                    <a:prstGeom prst="rect">
                      <a:avLst/>
                    </a:prstGeom>
                    <a:noFill/>
                  </pic:spPr>
                </pic:pic>
              </a:graphicData>
            </a:graphic>
          </wp:anchor>
        </w:drawing>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40" w:type="dxa"/>
            <w:vAlign w:val="bottom"/>
            <w:shd w:val="clear" w:color="auto" w:fill="2AD2C9"/>
          </w:tcPr>
          <w:p>
            <w:pPr>
              <w:ind w:left="40"/>
              <w:spacing w:after="0"/>
              <w:rPr>
                <w:sz w:val="20"/>
                <w:szCs w:val="20"/>
                <w:color w:val="auto"/>
              </w:rPr>
            </w:pPr>
            <w:r>
              <w:rPr>
                <w:rFonts w:ascii="Times New Roman" w:cs="Times New Roman" w:eastAsia="Times New Roman" w:hAnsi="Times New Roman"/>
                <w:sz w:val="15"/>
                <w:szCs w:val="15"/>
                <w:b w:val="1"/>
                <w:bCs w:val="1"/>
                <w:color w:val="FFFFFF"/>
              </w:rPr>
              <w:t>Net interest income</w:t>
            </w:r>
          </w:p>
        </w:tc>
        <w:tc>
          <w:tcPr>
            <w:tcW w:w="1140" w:type="dxa"/>
            <w:vAlign w:val="bottom"/>
            <w:shd w:val="clear" w:color="auto" w:fill="2AD2C9"/>
          </w:tcPr>
          <w:p>
            <w:pPr>
              <w:spacing w:after="0"/>
              <w:rPr>
                <w:sz w:val="17"/>
                <w:szCs w:val="17"/>
                <w:color w:val="auto"/>
              </w:rPr>
            </w:pPr>
          </w:p>
        </w:tc>
        <w:tc>
          <w:tcPr>
            <w:tcW w:w="1120" w:type="dxa"/>
            <w:vAlign w:val="bottom"/>
            <w:shd w:val="clear" w:color="auto" w:fill="2AD2C9"/>
          </w:tcPr>
          <w:p>
            <w:pPr>
              <w:ind w:left="280"/>
              <w:spacing w:after="0"/>
              <w:rPr>
                <w:sz w:val="20"/>
                <w:szCs w:val="20"/>
                <w:color w:val="auto"/>
              </w:rPr>
            </w:pPr>
            <w:r>
              <w:rPr>
                <w:rFonts w:ascii="Times New Roman" w:cs="Times New Roman" w:eastAsia="Times New Roman" w:hAnsi="Times New Roman"/>
                <w:sz w:val="15"/>
                <w:szCs w:val="15"/>
                <w:b w:val="1"/>
                <w:bCs w:val="1"/>
                <w:color w:val="FFFFFF"/>
              </w:rPr>
              <w:t>Quarter</w:t>
            </w:r>
          </w:p>
        </w:tc>
        <w:tc>
          <w:tcPr>
            <w:tcW w:w="1160" w:type="dxa"/>
            <w:vAlign w:val="bottom"/>
            <w:shd w:val="clear" w:color="auto" w:fill="2AD2C9"/>
          </w:tcPr>
          <w:p>
            <w:pPr>
              <w:spacing w:after="0"/>
              <w:rPr>
                <w:sz w:val="17"/>
                <w:szCs w:val="17"/>
                <w:color w:val="auto"/>
              </w:rPr>
            </w:pPr>
          </w:p>
        </w:tc>
        <w:tc>
          <w:tcPr>
            <w:tcW w:w="700" w:type="dxa"/>
            <w:vAlign w:val="bottom"/>
            <w:shd w:val="clear" w:color="auto" w:fill="2AD2C9"/>
          </w:tcPr>
          <w:p>
            <w:pPr>
              <w:spacing w:after="0"/>
              <w:rPr>
                <w:sz w:val="17"/>
                <w:szCs w:val="17"/>
                <w:color w:val="auto"/>
              </w:rPr>
            </w:pPr>
          </w:p>
        </w:tc>
        <w:tc>
          <w:tcPr>
            <w:tcW w:w="1380" w:type="dxa"/>
            <w:vAlign w:val="bottom"/>
            <w:shd w:val="clear" w:color="auto" w:fill="2AD2C9"/>
          </w:tcPr>
          <w:p>
            <w:pPr>
              <w:spacing w:after="0"/>
              <w:rPr>
                <w:sz w:val="20"/>
                <w:szCs w:val="20"/>
                <w:color w:val="auto"/>
              </w:rPr>
            </w:pPr>
            <w:r>
              <w:rPr>
                <w:rFonts w:ascii="Times New Roman" w:cs="Times New Roman" w:eastAsia="Times New Roman" w:hAnsi="Times New Roman"/>
                <w:sz w:val="15"/>
                <w:szCs w:val="15"/>
                <w:b w:val="1"/>
                <w:bCs w:val="1"/>
                <w:color w:val="FFFFFF"/>
              </w:rPr>
              <w:t>% change</w:t>
            </w:r>
          </w:p>
        </w:tc>
      </w:tr>
      <w:tr>
        <w:trPr>
          <w:trHeight w:val="190"/>
        </w:trPr>
        <w:tc>
          <w:tcPr>
            <w:tcW w:w="5740" w:type="dxa"/>
            <w:vAlign w:val="bottom"/>
            <w:tcBorders>
              <w:bottom w:val="single" w:sz="8" w:color="auto"/>
            </w:tcBorders>
            <w:shd w:val="clear" w:color="auto" w:fill="2AD2C9"/>
          </w:tcPr>
          <w:p>
            <w:pPr>
              <w:ind w:left="40"/>
              <w:spacing w:after="0"/>
              <w:rPr>
                <w:sz w:val="20"/>
                <w:szCs w:val="20"/>
                <w:color w:val="auto"/>
              </w:rPr>
            </w:pPr>
            <w:r>
              <w:rPr>
                <w:rFonts w:ascii="Times New Roman" w:cs="Times New Roman" w:eastAsia="Times New Roman" w:hAnsi="Times New Roman"/>
                <w:sz w:val="15"/>
                <w:szCs w:val="15"/>
                <w:b w:val="1"/>
                <w:bCs w:val="1"/>
                <w:color w:val="FFFFFF"/>
              </w:rPr>
              <w:t>S/000</w:t>
            </w:r>
          </w:p>
        </w:tc>
        <w:tc>
          <w:tcPr>
            <w:tcW w:w="1140" w:type="dxa"/>
            <w:vAlign w:val="bottom"/>
            <w:tcBorders>
              <w:bottom w:val="single" w:sz="8" w:color="auto"/>
            </w:tcBorders>
            <w:shd w:val="clear" w:color="auto" w:fill="2AD2C9"/>
          </w:tcPr>
          <w:p>
            <w:pPr>
              <w:jc w:val="center"/>
              <w:spacing w:after="0"/>
              <w:rPr>
                <w:sz w:val="20"/>
                <w:szCs w:val="20"/>
                <w:color w:val="auto"/>
              </w:rPr>
            </w:pPr>
            <w:r>
              <w:rPr>
                <w:rFonts w:ascii="Times New Roman" w:cs="Times New Roman" w:eastAsia="Times New Roman" w:hAnsi="Times New Roman"/>
                <w:sz w:val="15"/>
                <w:szCs w:val="15"/>
                <w:b w:val="1"/>
                <w:bCs w:val="1"/>
                <w:color w:val="FFFFFF"/>
                <w:w w:val="99"/>
              </w:rPr>
              <w:t>1Q25</w:t>
            </w:r>
          </w:p>
        </w:tc>
        <w:tc>
          <w:tcPr>
            <w:tcW w:w="1120" w:type="dxa"/>
            <w:vAlign w:val="bottom"/>
            <w:tcBorders>
              <w:bottom w:val="single" w:sz="8" w:color="auto"/>
            </w:tcBorders>
            <w:shd w:val="clear" w:color="auto" w:fill="2AD2C9"/>
          </w:tcPr>
          <w:p>
            <w:pPr>
              <w:jc w:val="center"/>
              <w:spacing w:after="0"/>
              <w:rPr>
                <w:sz w:val="20"/>
                <w:szCs w:val="20"/>
                <w:color w:val="auto"/>
              </w:rPr>
            </w:pPr>
            <w:r>
              <w:rPr>
                <w:rFonts w:ascii="Times New Roman" w:cs="Times New Roman" w:eastAsia="Times New Roman" w:hAnsi="Times New Roman"/>
                <w:sz w:val="15"/>
                <w:szCs w:val="15"/>
                <w:b w:val="1"/>
                <w:bCs w:val="1"/>
                <w:color w:val="FFFFFF"/>
                <w:w w:val="99"/>
              </w:rPr>
              <w:t>4Q25</w:t>
            </w:r>
          </w:p>
        </w:tc>
        <w:tc>
          <w:tcPr>
            <w:tcW w:w="1160" w:type="dxa"/>
            <w:vAlign w:val="bottom"/>
            <w:tcBorders>
              <w:bottom w:val="single" w:sz="8" w:color="auto"/>
            </w:tcBorders>
            <w:shd w:val="clear" w:color="auto" w:fill="2AD2C9"/>
          </w:tcPr>
          <w:p>
            <w:pPr>
              <w:jc w:val="center"/>
              <w:spacing w:after="0"/>
              <w:rPr>
                <w:sz w:val="20"/>
                <w:szCs w:val="20"/>
                <w:color w:val="auto"/>
              </w:rPr>
            </w:pPr>
            <w:r>
              <w:rPr>
                <w:rFonts w:ascii="Times New Roman" w:cs="Times New Roman" w:eastAsia="Times New Roman" w:hAnsi="Times New Roman"/>
                <w:sz w:val="15"/>
                <w:szCs w:val="15"/>
                <w:b w:val="1"/>
                <w:bCs w:val="1"/>
                <w:color w:val="FFFFFF"/>
                <w:w w:val="99"/>
              </w:rPr>
              <w:t>1Q26</w:t>
            </w:r>
          </w:p>
        </w:tc>
        <w:tc>
          <w:tcPr>
            <w:tcW w:w="700" w:type="dxa"/>
            <w:vAlign w:val="bottom"/>
            <w:tcBorders>
              <w:bottom w:val="single" w:sz="8" w:color="auto"/>
            </w:tcBorders>
            <w:shd w:val="clear" w:color="auto" w:fill="2AD2C9"/>
          </w:tcPr>
          <w:p>
            <w:pPr>
              <w:jc w:val="center"/>
              <w:ind w:left="144"/>
              <w:spacing w:after="0"/>
              <w:rPr>
                <w:sz w:val="20"/>
                <w:szCs w:val="20"/>
                <w:color w:val="auto"/>
              </w:rPr>
            </w:pPr>
            <w:r>
              <w:rPr>
                <w:rFonts w:ascii="Times New Roman" w:cs="Times New Roman" w:eastAsia="Times New Roman" w:hAnsi="Times New Roman"/>
                <w:sz w:val="15"/>
                <w:szCs w:val="15"/>
                <w:b w:val="1"/>
                <w:bCs w:val="1"/>
                <w:color w:val="FFFFFF"/>
              </w:rPr>
              <w:t>QoQ</w:t>
            </w:r>
          </w:p>
        </w:tc>
        <w:tc>
          <w:tcPr>
            <w:tcW w:w="1380" w:type="dxa"/>
            <w:vAlign w:val="bottom"/>
            <w:tcBorders>
              <w:bottom w:val="single" w:sz="8" w:color="auto"/>
            </w:tcBorders>
            <w:shd w:val="clear" w:color="auto" w:fill="2AD2C9"/>
          </w:tcPr>
          <w:p>
            <w:pPr>
              <w:jc w:val="center"/>
              <w:ind w:left="184"/>
              <w:spacing w:after="0"/>
              <w:rPr>
                <w:sz w:val="20"/>
                <w:szCs w:val="20"/>
                <w:color w:val="auto"/>
              </w:rPr>
            </w:pPr>
            <w:r>
              <w:rPr>
                <w:rFonts w:ascii="Times New Roman" w:cs="Times New Roman" w:eastAsia="Times New Roman" w:hAnsi="Times New Roman"/>
                <w:sz w:val="15"/>
                <w:szCs w:val="15"/>
                <w:b w:val="1"/>
                <w:bCs w:val="1"/>
                <w:color w:val="FFFFFF"/>
                <w:w w:val="95"/>
              </w:rPr>
              <w:t>YoY</w:t>
            </w:r>
          </w:p>
        </w:tc>
      </w:tr>
      <w:tr>
        <w:trPr>
          <w:trHeight w:val="171"/>
        </w:trPr>
        <w:tc>
          <w:tcPr>
            <w:tcW w:w="5740" w:type="dxa"/>
            <w:vAlign w:val="bottom"/>
          </w:tcPr>
          <w:p>
            <w:pPr>
              <w:ind w:left="280"/>
              <w:spacing w:after="0" w:line="171" w:lineRule="exact"/>
              <w:rPr>
                <w:sz w:val="20"/>
                <w:szCs w:val="20"/>
                <w:color w:val="auto"/>
              </w:rPr>
            </w:pPr>
            <w:r>
              <w:rPr>
                <w:rFonts w:ascii="Times New Roman" w:cs="Times New Roman" w:eastAsia="Times New Roman" w:hAnsi="Times New Roman"/>
                <w:sz w:val="15"/>
                <w:szCs w:val="15"/>
                <w:color w:val="auto"/>
              </w:rPr>
              <w:t>Interest and Similar Income</w:t>
            </w:r>
          </w:p>
        </w:tc>
        <w:tc>
          <w:tcPr>
            <w:tcW w:w="1140" w:type="dxa"/>
            <w:vAlign w:val="bottom"/>
          </w:tcPr>
          <w:p>
            <w:pPr>
              <w:jc w:val="center"/>
              <w:spacing w:after="0" w:line="171" w:lineRule="exact"/>
              <w:rPr>
                <w:sz w:val="20"/>
                <w:szCs w:val="20"/>
                <w:color w:val="auto"/>
              </w:rPr>
            </w:pPr>
            <w:r>
              <w:rPr>
                <w:rFonts w:ascii="Times New Roman" w:cs="Times New Roman" w:eastAsia="Times New Roman" w:hAnsi="Times New Roman"/>
                <w:sz w:val="15"/>
                <w:szCs w:val="15"/>
                <w:b w:val="1"/>
                <w:bCs w:val="1"/>
                <w:color w:val="auto"/>
              </w:rPr>
              <w:t>4,894,790</w:t>
            </w:r>
          </w:p>
        </w:tc>
        <w:tc>
          <w:tcPr>
            <w:tcW w:w="1120" w:type="dxa"/>
            <w:vAlign w:val="bottom"/>
          </w:tcPr>
          <w:p>
            <w:pPr>
              <w:jc w:val="center"/>
              <w:spacing w:after="0" w:line="171" w:lineRule="exact"/>
              <w:rPr>
                <w:sz w:val="20"/>
                <w:szCs w:val="20"/>
                <w:color w:val="auto"/>
              </w:rPr>
            </w:pPr>
            <w:r>
              <w:rPr>
                <w:rFonts w:ascii="Times New Roman" w:cs="Times New Roman" w:eastAsia="Times New Roman" w:hAnsi="Times New Roman"/>
                <w:sz w:val="15"/>
                <w:szCs w:val="15"/>
                <w:b w:val="1"/>
                <w:bCs w:val="1"/>
                <w:color w:val="auto"/>
              </w:rPr>
              <w:t>5,125,394</w:t>
            </w:r>
          </w:p>
        </w:tc>
        <w:tc>
          <w:tcPr>
            <w:tcW w:w="1160" w:type="dxa"/>
            <w:vAlign w:val="bottom"/>
          </w:tcPr>
          <w:p>
            <w:pPr>
              <w:jc w:val="center"/>
              <w:spacing w:after="0" w:line="171" w:lineRule="exact"/>
              <w:rPr>
                <w:sz w:val="20"/>
                <w:szCs w:val="20"/>
                <w:color w:val="auto"/>
              </w:rPr>
            </w:pPr>
            <w:r>
              <w:rPr>
                <w:rFonts w:ascii="Times New Roman" w:cs="Times New Roman" w:eastAsia="Times New Roman" w:hAnsi="Times New Roman"/>
                <w:sz w:val="15"/>
                <w:szCs w:val="15"/>
                <w:b w:val="1"/>
                <w:bCs w:val="1"/>
                <w:color w:val="auto"/>
                <w:w w:val="99"/>
              </w:rPr>
              <w:t>5,212,412</w:t>
            </w:r>
          </w:p>
        </w:tc>
        <w:tc>
          <w:tcPr>
            <w:tcW w:w="700" w:type="dxa"/>
            <w:vAlign w:val="bottom"/>
          </w:tcPr>
          <w:p>
            <w:pPr>
              <w:jc w:val="center"/>
              <w:ind w:left="164"/>
              <w:spacing w:after="0" w:line="171" w:lineRule="exact"/>
              <w:rPr>
                <w:sz w:val="20"/>
                <w:szCs w:val="20"/>
                <w:color w:val="auto"/>
              </w:rPr>
            </w:pPr>
            <w:r>
              <w:rPr>
                <w:rFonts w:ascii="Times New Roman" w:cs="Times New Roman" w:eastAsia="Times New Roman" w:hAnsi="Times New Roman"/>
                <w:sz w:val="15"/>
                <w:szCs w:val="15"/>
                <w:b w:val="1"/>
                <w:bCs w:val="1"/>
                <w:color w:val="auto"/>
              </w:rPr>
              <w:t>1.7%</w:t>
            </w:r>
          </w:p>
        </w:tc>
        <w:tc>
          <w:tcPr>
            <w:tcW w:w="1380" w:type="dxa"/>
            <w:vAlign w:val="bottom"/>
          </w:tcPr>
          <w:p>
            <w:pPr>
              <w:jc w:val="center"/>
              <w:ind w:left="164"/>
              <w:spacing w:after="0" w:line="171" w:lineRule="exact"/>
              <w:rPr>
                <w:sz w:val="20"/>
                <w:szCs w:val="20"/>
                <w:color w:val="auto"/>
              </w:rPr>
            </w:pPr>
            <w:r>
              <w:rPr>
                <w:rFonts w:ascii="Times New Roman" w:cs="Times New Roman" w:eastAsia="Times New Roman" w:hAnsi="Times New Roman"/>
                <w:sz w:val="15"/>
                <w:szCs w:val="15"/>
                <w:b w:val="1"/>
                <w:bCs w:val="1"/>
                <w:color w:val="auto"/>
              </w:rPr>
              <w:t>6.5%</w:t>
            </w:r>
          </w:p>
        </w:tc>
      </w:tr>
      <w:tr>
        <w:trPr>
          <w:trHeight w:val="190"/>
        </w:trPr>
        <w:tc>
          <w:tcPr>
            <w:tcW w:w="574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Interest and Similar Expenses</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(1,322,778)</w:t>
            </w: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(1,284,127)</w:t>
            </w:r>
          </w:p>
        </w:tc>
        <w:tc>
          <w:tcPr>
            <w:tcW w:w="11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(1,249,685)</w:t>
            </w:r>
          </w:p>
        </w:tc>
        <w:tc>
          <w:tcPr>
            <w:tcW w:w="700" w:type="dxa"/>
            <w:vAlign w:val="bottom"/>
          </w:tcPr>
          <w:p>
            <w:pPr>
              <w:jc w:val="center"/>
              <w:ind w:left="144"/>
              <w:spacing w:after="0"/>
              <w:rPr>
                <w:sz w:val="20"/>
                <w:szCs w:val="20"/>
                <w:color w:val="auto"/>
              </w:rPr>
            </w:pPr>
            <w:r>
              <w:rPr>
                <w:rFonts w:ascii="Times New Roman" w:cs="Times New Roman" w:eastAsia="Times New Roman" w:hAnsi="Times New Roman"/>
                <w:sz w:val="15"/>
                <w:szCs w:val="15"/>
                <w:color w:val="auto"/>
                <w:w w:val="99"/>
              </w:rPr>
              <w:t>-2.7%</w:t>
            </w:r>
          </w:p>
        </w:tc>
        <w:tc>
          <w:tcPr>
            <w:tcW w:w="1380" w:type="dxa"/>
            <w:vAlign w:val="bottom"/>
          </w:tcPr>
          <w:p>
            <w:pPr>
              <w:jc w:val="center"/>
              <w:ind w:left="184"/>
              <w:spacing w:after="0"/>
              <w:rPr>
                <w:sz w:val="20"/>
                <w:szCs w:val="20"/>
                <w:color w:val="auto"/>
              </w:rPr>
            </w:pPr>
            <w:r>
              <w:rPr>
                <w:rFonts w:ascii="Times New Roman" w:cs="Times New Roman" w:eastAsia="Times New Roman" w:hAnsi="Times New Roman"/>
                <w:sz w:val="15"/>
                <w:szCs w:val="15"/>
                <w:color w:val="auto"/>
                <w:w w:val="99"/>
              </w:rPr>
              <w:t>-5.5%</w:t>
            </w:r>
          </w:p>
        </w:tc>
      </w:tr>
      <w:tr>
        <w:trPr>
          <w:trHeight w:val="190"/>
        </w:trPr>
        <w:tc>
          <w:tcPr>
            <w:tcW w:w="574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Interest Expense (excluding Net Insurance Financial Expenses)</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(1,187,156)</w:t>
            </w: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(1,140,166)</w:t>
            </w:r>
          </w:p>
        </w:tc>
        <w:tc>
          <w:tcPr>
            <w:tcW w:w="11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(1,086,768)</w:t>
            </w:r>
          </w:p>
        </w:tc>
        <w:tc>
          <w:tcPr>
            <w:tcW w:w="700" w:type="dxa"/>
            <w:vAlign w:val="bottom"/>
          </w:tcPr>
          <w:p>
            <w:pPr>
              <w:jc w:val="center"/>
              <w:ind w:left="144"/>
              <w:spacing w:after="0"/>
              <w:rPr>
                <w:sz w:val="20"/>
                <w:szCs w:val="20"/>
                <w:color w:val="auto"/>
              </w:rPr>
            </w:pPr>
            <w:r>
              <w:rPr>
                <w:rFonts w:ascii="Times New Roman" w:cs="Times New Roman" w:eastAsia="Times New Roman" w:hAnsi="Times New Roman"/>
                <w:sz w:val="15"/>
                <w:szCs w:val="15"/>
                <w:color w:val="auto"/>
                <w:w w:val="99"/>
              </w:rPr>
              <w:t>-4.7%</w:t>
            </w:r>
          </w:p>
        </w:tc>
        <w:tc>
          <w:tcPr>
            <w:tcW w:w="1380" w:type="dxa"/>
            <w:vAlign w:val="bottom"/>
          </w:tcPr>
          <w:p>
            <w:pPr>
              <w:jc w:val="center"/>
              <w:ind w:left="184"/>
              <w:spacing w:after="0"/>
              <w:rPr>
                <w:sz w:val="20"/>
                <w:szCs w:val="20"/>
                <w:color w:val="auto"/>
              </w:rPr>
            </w:pPr>
            <w:r>
              <w:rPr>
                <w:rFonts w:ascii="Times New Roman" w:cs="Times New Roman" w:eastAsia="Times New Roman" w:hAnsi="Times New Roman"/>
                <w:sz w:val="15"/>
                <w:szCs w:val="15"/>
                <w:color w:val="auto"/>
                <w:w w:val="99"/>
              </w:rPr>
              <w:t>-8.5%</w:t>
            </w:r>
          </w:p>
        </w:tc>
      </w:tr>
      <w:tr>
        <w:trPr>
          <w:trHeight w:val="200"/>
        </w:trPr>
        <w:tc>
          <w:tcPr>
            <w:tcW w:w="57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5"/>
                <w:szCs w:val="15"/>
                <w:color w:val="auto"/>
              </w:rPr>
              <w:t>Net Insurance Financial Expenses</w:t>
            </w: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(135,622)</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(143,961)</w:t>
            </w: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(162,917)</w:t>
            </w:r>
          </w:p>
        </w:tc>
        <w:tc>
          <w:tcPr>
            <w:tcW w:w="700" w:type="dxa"/>
            <w:vAlign w:val="bottom"/>
            <w:tcBorders>
              <w:bottom w:val="single" w:sz="8" w:color="auto"/>
            </w:tcBorders>
          </w:tcPr>
          <w:p>
            <w:pPr>
              <w:jc w:val="center"/>
              <w:ind w:left="144"/>
              <w:spacing w:after="0"/>
              <w:rPr>
                <w:sz w:val="20"/>
                <w:szCs w:val="20"/>
                <w:color w:val="auto"/>
              </w:rPr>
            </w:pPr>
            <w:r>
              <w:rPr>
                <w:rFonts w:ascii="Times New Roman" w:cs="Times New Roman" w:eastAsia="Times New Roman" w:hAnsi="Times New Roman"/>
                <w:sz w:val="15"/>
                <w:szCs w:val="15"/>
                <w:color w:val="auto"/>
              </w:rPr>
              <w:t>13.2%</w:t>
            </w:r>
          </w:p>
        </w:tc>
        <w:tc>
          <w:tcPr>
            <w:tcW w:w="1380" w:type="dxa"/>
            <w:vAlign w:val="bottom"/>
            <w:tcBorders>
              <w:bottom w:val="single" w:sz="8" w:color="auto"/>
            </w:tcBorders>
          </w:tcPr>
          <w:p>
            <w:pPr>
              <w:jc w:val="center"/>
              <w:ind w:left="184"/>
              <w:spacing w:after="0"/>
              <w:rPr>
                <w:sz w:val="20"/>
                <w:szCs w:val="20"/>
                <w:color w:val="auto"/>
              </w:rPr>
            </w:pPr>
            <w:r>
              <w:rPr>
                <w:rFonts w:ascii="Times New Roman" w:cs="Times New Roman" w:eastAsia="Times New Roman" w:hAnsi="Times New Roman"/>
                <w:sz w:val="15"/>
                <w:szCs w:val="15"/>
                <w:color w:val="auto"/>
              </w:rPr>
              <w:t>20.1%</w:t>
            </w:r>
          </w:p>
        </w:tc>
      </w:tr>
      <w:tr>
        <w:trPr>
          <w:trHeight w:val="197"/>
        </w:trPr>
        <w:tc>
          <w:tcPr>
            <w:tcW w:w="5740" w:type="dxa"/>
            <w:vAlign w:val="bottom"/>
          </w:tcPr>
          <w:p>
            <w:pPr>
              <w:ind w:left="280"/>
              <w:spacing w:after="0"/>
              <w:rPr>
                <w:sz w:val="20"/>
                <w:szCs w:val="20"/>
                <w:color w:val="auto"/>
              </w:rPr>
            </w:pPr>
            <w:r>
              <w:rPr>
                <w:rFonts w:ascii="Times New Roman" w:cs="Times New Roman" w:eastAsia="Times New Roman" w:hAnsi="Times New Roman"/>
                <w:sz w:val="15"/>
                <w:szCs w:val="15"/>
                <w:b w:val="1"/>
                <w:bCs w:val="1"/>
                <w:color w:val="auto"/>
              </w:rPr>
              <w:t>Net Interest, similar income and expenses</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3,572,012</w:t>
            </w: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3,841,267</w:t>
            </w:r>
          </w:p>
        </w:tc>
        <w:tc>
          <w:tcPr>
            <w:tcW w:w="11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3,962,727</w:t>
            </w:r>
          </w:p>
        </w:tc>
        <w:tc>
          <w:tcPr>
            <w:tcW w:w="700" w:type="dxa"/>
            <w:vAlign w:val="bottom"/>
          </w:tcPr>
          <w:p>
            <w:pPr>
              <w:jc w:val="center"/>
              <w:ind w:left="164"/>
              <w:spacing w:after="0"/>
              <w:rPr>
                <w:sz w:val="20"/>
                <w:szCs w:val="20"/>
                <w:color w:val="auto"/>
              </w:rPr>
            </w:pPr>
            <w:r>
              <w:rPr>
                <w:rFonts w:ascii="Times New Roman" w:cs="Times New Roman" w:eastAsia="Times New Roman" w:hAnsi="Times New Roman"/>
                <w:sz w:val="15"/>
                <w:szCs w:val="15"/>
                <w:b w:val="1"/>
                <w:bCs w:val="1"/>
                <w:color w:val="auto"/>
              </w:rPr>
              <w:t>3.2%</w:t>
            </w:r>
          </w:p>
        </w:tc>
        <w:tc>
          <w:tcPr>
            <w:tcW w:w="1380" w:type="dxa"/>
            <w:vAlign w:val="bottom"/>
          </w:tcPr>
          <w:p>
            <w:pPr>
              <w:jc w:val="center"/>
              <w:ind w:left="164"/>
              <w:spacing w:after="0"/>
              <w:rPr>
                <w:sz w:val="20"/>
                <w:szCs w:val="20"/>
                <w:color w:val="auto"/>
              </w:rPr>
            </w:pPr>
            <w:r>
              <w:rPr>
                <w:rFonts w:ascii="Times New Roman" w:cs="Times New Roman" w:eastAsia="Times New Roman" w:hAnsi="Times New Roman"/>
                <w:sz w:val="15"/>
                <w:szCs w:val="15"/>
                <w:b w:val="1"/>
                <w:bCs w:val="1"/>
                <w:color w:val="auto"/>
              </w:rPr>
              <w:t>10.9%</w:t>
            </w:r>
          </w:p>
        </w:tc>
      </w:tr>
      <w:tr>
        <w:trPr>
          <w:trHeight w:val="179"/>
        </w:trPr>
        <w:tc>
          <w:tcPr>
            <w:tcW w:w="57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r>
      <w:tr>
        <w:trPr>
          <w:trHeight w:val="171"/>
        </w:trPr>
        <w:tc>
          <w:tcPr>
            <w:tcW w:w="5740" w:type="dxa"/>
            <w:vAlign w:val="bottom"/>
          </w:tcPr>
          <w:p>
            <w:pPr>
              <w:ind w:left="40"/>
              <w:spacing w:after="0" w:line="171" w:lineRule="exact"/>
              <w:rPr>
                <w:sz w:val="20"/>
                <w:szCs w:val="20"/>
                <w:color w:val="auto"/>
              </w:rPr>
            </w:pPr>
            <w:r>
              <w:rPr>
                <w:rFonts w:ascii="Times New Roman" w:cs="Times New Roman" w:eastAsia="Times New Roman" w:hAnsi="Times New Roman"/>
                <w:sz w:val="15"/>
                <w:szCs w:val="15"/>
                <w:b w:val="1"/>
                <w:bCs w:val="1"/>
                <w:color w:val="auto"/>
              </w:rPr>
              <w:t>Balances</w:t>
            </w: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90"/>
        </w:trPr>
        <w:tc>
          <w:tcPr>
            <w:tcW w:w="574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Average Interest Earning Assets (IEA)</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238,435,117</w:t>
            </w: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240,783,785</w:t>
            </w:r>
          </w:p>
        </w:tc>
        <w:tc>
          <w:tcPr>
            <w:tcW w:w="11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250,941,843</w:t>
            </w:r>
          </w:p>
        </w:tc>
        <w:tc>
          <w:tcPr>
            <w:tcW w:w="700" w:type="dxa"/>
            <w:vAlign w:val="bottom"/>
          </w:tcPr>
          <w:p>
            <w:pPr>
              <w:jc w:val="center"/>
              <w:ind w:left="144"/>
              <w:spacing w:after="0"/>
              <w:rPr>
                <w:sz w:val="20"/>
                <w:szCs w:val="20"/>
                <w:color w:val="auto"/>
              </w:rPr>
            </w:pPr>
            <w:r>
              <w:rPr>
                <w:rFonts w:ascii="Times New Roman" w:cs="Times New Roman" w:eastAsia="Times New Roman" w:hAnsi="Times New Roman"/>
                <w:sz w:val="15"/>
                <w:szCs w:val="15"/>
                <w:color w:val="auto"/>
              </w:rPr>
              <w:t>4.2%</w:t>
            </w:r>
          </w:p>
        </w:tc>
        <w:tc>
          <w:tcPr>
            <w:tcW w:w="1380" w:type="dxa"/>
            <w:vAlign w:val="bottom"/>
          </w:tcPr>
          <w:p>
            <w:pPr>
              <w:jc w:val="center"/>
              <w:ind w:left="184"/>
              <w:spacing w:after="0"/>
              <w:rPr>
                <w:sz w:val="20"/>
                <w:szCs w:val="20"/>
                <w:color w:val="auto"/>
              </w:rPr>
            </w:pPr>
            <w:r>
              <w:rPr>
                <w:rFonts w:ascii="Times New Roman" w:cs="Times New Roman" w:eastAsia="Times New Roman" w:hAnsi="Times New Roman"/>
                <w:sz w:val="15"/>
                <w:szCs w:val="15"/>
                <w:color w:val="auto"/>
              </w:rPr>
              <w:t>5.2%</w:t>
            </w:r>
          </w:p>
        </w:tc>
      </w:tr>
      <w:tr>
        <w:trPr>
          <w:trHeight w:val="198"/>
        </w:trPr>
        <w:tc>
          <w:tcPr>
            <w:tcW w:w="574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Average Funding</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195,997,306</w:t>
            </w: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197,704,312</w:t>
            </w:r>
          </w:p>
        </w:tc>
        <w:tc>
          <w:tcPr>
            <w:tcW w:w="11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206,405,230</w:t>
            </w:r>
          </w:p>
        </w:tc>
        <w:tc>
          <w:tcPr>
            <w:tcW w:w="700" w:type="dxa"/>
            <w:vAlign w:val="bottom"/>
          </w:tcPr>
          <w:p>
            <w:pPr>
              <w:jc w:val="center"/>
              <w:ind w:left="144"/>
              <w:spacing w:after="0"/>
              <w:rPr>
                <w:sz w:val="20"/>
                <w:szCs w:val="20"/>
                <w:color w:val="auto"/>
              </w:rPr>
            </w:pPr>
            <w:r>
              <w:rPr>
                <w:rFonts w:ascii="Times New Roman" w:cs="Times New Roman" w:eastAsia="Times New Roman" w:hAnsi="Times New Roman"/>
                <w:sz w:val="15"/>
                <w:szCs w:val="15"/>
                <w:color w:val="auto"/>
              </w:rPr>
              <w:t>4.4%</w:t>
            </w:r>
          </w:p>
        </w:tc>
        <w:tc>
          <w:tcPr>
            <w:tcW w:w="1380" w:type="dxa"/>
            <w:vAlign w:val="bottom"/>
          </w:tcPr>
          <w:p>
            <w:pPr>
              <w:jc w:val="center"/>
              <w:ind w:left="184"/>
              <w:spacing w:after="0"/>
              <w:rPr>
                <w:sz w:val="20"/>
                <w:szCs w:val="20"/>
                <w:color w:val="auto"/>
              </w:rPr>
            </w:pPr>
            <w:r>
              <w:rPr>
                <w:rFonts w:ascii="Times New Roman" w:cs="Times New Roman" w:eastAsia="Times New Roman" w:hAnsi="Times New Roman"/>
                <w:sz w:val="15"/>
                <w:szCs w:val="15"/>
                <w:color w:val="auto"/>
              </w:rPr>
              <w:t>5.3%</w:t>
            </w:r>
          </w:p>
        </w:tc>
      </w:tr>
      <w:tr>
        <w:trPr>
          <w:trHeight w:val="373"/>
        </w:trPr>
        <w:tc>
          <w:tcPr>
            <w:tcW w:w="5740" w:type="dxa"/>
            <w:vAlign w:val="bottom"/>
          </w:tcPr>
          <w:p>
            <w:pPr>
              <w:ind w:left="40"/>
              <w:spacing w:after="0"/>
              <w:rPr>
                <w:sz w:val="20"/>
                <w:szCs w:val="20"/>
                <w:color w:val="auto"/>
              </w:rPr>
            </w:pPr>
            <w:r>
              <w:rPr>
                <w:rFonts w:ascii="Times New Roman" w:cs="Times New Roman" w:eastAsia="Times New Roman" w:hAnsi="Times New Roman"/>
                <w:sz w:val="15"/>
                <w:szCs w:val="15"/>
                <w:b w:val="1"/>
                <w:bCs w:val="1"/>
                <w:color w:val="auto"/>
              </w:rPr>
              <w:t>Yields</w:t>
            </w: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7"/>
        </w:trPr>
        <w:tc>
          <w:tcPr>
            <w:tcW w:w="574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Yield on IEAs</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8.21%</w:t>
            </w: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8.51%</w:t>
            </w:r>
          </w:p>
        </w:tc>
        <w:tc>
          <w:tcPr>
            <w:tcW w:w="11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8.31%</w:t>
            </w:r>
          </w:p>
        </w:tc>
        <w:tc>
          <w:tcPr>
            <w:tcW w:w="700" w:type="dxa"/>
            <w:vAlign w:val="bottom"/>
          </w:tcPr>
          <w:p>
            <w:pPr>
              <w:jc w:val="center"/>
              <w:ind w:left="144"/>
              <w:spacing w:after="0"/>
              <w:rPr>
                <w:sz w:val="20"/>
                <w:szCs w:val="20"/>
                <w:color w:val="auto"/>
              </w:rPr>
            </w:pPr>
            <w:r>
              <w:rPr>
                <w:rFonts w:ascii="Times New Roman" w:cs="Times New Roman" w:eastAsia="Times New Roman" w:hAnsi="Times New Roman"/>
                <w:sz w:val="15"/>
                <w:szCs w:val="15"/>
                <w:color w:val="auto"/>
                <w:w w:val="98"/>
              </w:rPr>
              <w:t>-20 bps</w:t>
            </w:r>
          </w:p>
        </w:tc>
        <w:tc>
          <w:tcPr>
            <w:tcW w:w="1380" w:type="dxa"/>
            <w:vAlign w:val="bottom"/>
          </w:tcPr>
          <w:p>
            <w:pPr>
              <w:jc w:val="center"/>
              <w:ind w:left="184"/>
              <w:spacing w:after="0"/>
              <w:rPr>
                <w:sz w:val="20"/>
                <w:szCs w:val="20"/>
                <w:color w:val="auto"/>
              </w:rPr>
            </w:pPr>
            <w:r>
              <w:rPr>
                <w:rFonts w:ascii="Times New Roman" w:cs="Times New Roman" w:eastAsia="Times New Roman" w:hAnsi="Times New Roman"/>
                <w:sz w:val="15"/>
                <w:szCs w:val="15"/>
                <w:color w:val="auto"/>
              </w:rPr>
              <w:t>10 bps</w:t>
            </w:r>
          </w:p>
        </w:tc>
      </w:tr>
      <w:tr>
        <w:trPr>
          <w:trHeight w:val="188"/>
        </w:trPr>
        <w:tc>
          <w:tcPr>
            <w:tcW w:w="5740" w:type="dxa"/>
            <w:vAlign w:val="bottom"/>
          </w:tcPr>
          <w:p>
            <w:pPr>
              <w:ind w:left="280"/>
              <w:spacing w:after="0" w:line="189" w:lineRule="exact"/>
              <w:rPr>
                <w:sz w:val="20"/>
                <w:szCs w:val="20"/>
                <w:color w:val="auto"/>
              </w:rPr>
            </w:pPr>
            <w:r>
              <w:rPr>
                <w:rFonts w:ascii="Times New Roman" w:cs="Times New Roman" w:eastAsia="Times New Roman" w:hAnsi="Times New Roman"/>
                <w:sz w:val="13"/>
                <w:szCs w:val="13"/>
                <w:color w:val="auto"/>
              </w:rPr>
              <w:t>Cost of Funds</w:t>
            </w:r>
            <w:r>
              <w:rPr>
                <w:rFonts w:ascii="Times New Roman" w:cs="Times New Roman" w:eastAsia="Times New Roman" w:hAnsi="Times New Roman"/>
                <w:sz w:val="21"/>
                <w:szCs w:val="21"/>
                <w:color w:val="auto"/>
                <w:vertAlign w:val="superscript"/>
              </w:rPr>
              <w:t>(1)</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2.42%</w:t>
            </w: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2.31%</w:t>
            </w:r>
          </w:p>
        </w:tc>
        <w:tc>
          <w:tcPr>
            <w:tcW w:w="11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2.11%</w:t>
            </w:r>
          </w:p>
        </w:tc>
        <w:tc>
          <w:tcPr>
            <w:tcW w:w="700" w:type="dxa"/>
            <w:vAlign w:val="bottom"/>
          </w:tcPr>
          <w:p>
            <w:pPr>
              <w:jc w:val="center"/>
              <w:ind w:left="144"/>
              <w:spacing w:after="0"/>
              <w:rPr>
                <w:sz w:val="20"/>
                <w:szCs w:val="20"/>
                <w:color w:val="auto"/>
              </w:rPr>
            </w:pPr>
            <w:r>
              <w:rPr>
                <w:rFonts w:ascii="Times New Roman" w:cs="Times New Roman" w:eastAsia="Times New Roman" w:hAnsi="Times New Roman"/>
                <w:sz w:val="15"/>
                <w:szCs w:val="15"/>
                <w:color w:val="auto"/>
                <w:w w:val="98"/>
              </w:rPr>
              <w:t>-20 bps</w:t>
            </w:r>
          </w:p>
        </w:tc>
        <w:tc>
          <w:tcPr>
            <w:tcW w:w="1380" w:type="dxa"/>
            <w:vAlign w:val="bottom"/>
          </w:tcPr>
          <w:p>
            <w:pPr>
              <w:jc w:val="center"/>
              <w:ind w:left="164"/>
              <w:spacing w:after="0"/>
              <w:rPr>
                <w:sz w:val="20"/>
                <w:szCs w:val="20"/>
                <w:color w:val="auto"/>
              </w:rPr>
            </w:pPr>
            <w:r>
              <w:rPr>
                <w:rFonts w:ascii="Times New Roman" w:cs="Times New Roman" w:eastAsia="Times New Roman" w:hAnsi="Times New Roman"/>
                <w:sz w:val="15"/>
                <w:szCs w:val="15"/>
                <w:color w:val="auto"/>
              </w:rPr>
              <w:t>-31 bps</w:t>
            </w:r>
          </w:p>
        </w:tc>
      </w:tr>
      <w:tr>
        <w:trPr>
          <w:trHeight w:val="190"/>
        </w:trPr>
        <w:tc>
          <w:tcPr>
            <w:tcW w:w="5740" w:type="dxa"/>
            <w:vAlign w:val="bottom"/>
          </w:tcPr>
          <w:p>
            <w:pPr>
              <w:ind w:left="280"/>
              <w:spacing w:after="0" w:line="190" w:lineRule="exact"/>
              <w:rPr>
                <w:sz w:val="20"/>
                <w:szCs w:val="20"/>
                <w:color w:val="auto"/>
              </w:rPr>
            </w:pPr>
            <w:r>
              <w:rPr>
                <w:rFonts w:ascii="Times New Roman" w:cs="Times New Roman" w:eastAsia="Times New Roman" w:hAnsi="Times New Roman"/>
                <w:sz w:val="14"/>
                <w:szCs w:val="14"/>
                <w:b w:val="1"/>
                <w:bCs w:val="1"/>
                <w:color w:val="auto"/>
              </w:rPr>
              <w:t>Net Interest Margin (NIM)</w:t>
            </w:r>
            <w:r>
              <w:rPr>
                <w:rFonts w:ascii="Times New Roman" w:cs="Times New Roman" w:eastAsia="Times New Roman" w:hAnsi="Times New Roman"/>
                <w:sz w:val="22"/>
                <w:szCs w:val="22"/>
                <w:b w:val="1"/>
                <w:bCs w:val="1"/>
                <w:color w:val="auto"/>
                <w:vertAlign w:val="superscript"/>
              </w:rPr>
              <w:t>(1)</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6.22%</w:t>
            </w: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6.62%</w:t>
            </w:r>
          </w:p>
        </w:tc>
        <w:tc>
          <w:tcPr>
            <w:tcW w:w="11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6.58%</w:t>
            </w:r>
          </w:p>
        </w:tc>
        <w:tc>
          <w:tcPr>
            <w:tcW w:w="700" w:type="dxa"/>
            <w:vAlign w:val="bottom"/>
          </w:tcPr>
          <w:p>
            <w:pPr>
              <w:jc w:val="center"/>
              <w:ind w:left="144"/>
              <w:spacing w:after="0"/>
              <w:rPr>
                <w:sz w:val="20"/>
                <w:szCs w:val="20"/>
                <w:color w:val="auto"/>
              </w:rPr>
            </w:pPr>
            <w:r>
              <w:rPr>
                <w:rFonts w:ascii="Times New Roman" w:cs="Times New Roman" w:eastAsia="Times New Roman" w:hAnsi="Times New Roman"/>
                <w:sz w:val="15"/>
                <w:szCs w:val="15"/>
                <w:b w:val="1"/>
                <w:bCs w:val="1"/>
                <w:color w:val="auto"/>
              </w:rPr>
              <w:t>-4 bps</w:t>
            </w:r>
          </w:p>
        </w:tc>
        <w:tc>
          <w:tcPr>
            <w:tcW w:w="1380" w:type="dxa"/>
            <w:vAlign w:val="bottom"/>
          </w:tcPr>
          <w:p>
            <w:pPr>
              <w:jc w:val="center"/>
              <w:ind w:left="164"/>
              <w:spacing w:after="0"/>
              <w:rPr>
                <w:sz w:val="20"/>
                <w:szCs w:val="20"/>
                <w:color w:val="auto"/>
              </w:rPr>
            </w:pPr>
            <w:r>
              <w:rPr>
                <w:rFonts w:ascii="Times New Roman" w:cs="Times New Roman" w:eastAsia="Times New Roman" w:hAnsi="Times New Roman"/>
                <w:sz w:val="15"/>
                <w:szCs w:val="15"/>
                <w:b w:val="1"/>
                <w:bCs w:val="1"/>
                <w:color w:val="auto"/>
              </w:rPr>
              <w:t>36 bps</w:t>
            </w:r>
          </w:p>
        </w:tc>
      </w:tr>
      <w:tr>
        <w:trPr>
          <w:trHeight w:val="218"/>
        </w:trPr>
        <w:tc>
          <w:tcPr>
            <w:tcW w:w="5740" w:type="dxa"/>
            <w:vAlign w:val="bottom"/>
            <w:tcBorders>
              <w:bottom w:val="single" w:sz="8" w:color="auto"/>
            </w:tcBorders>
          </w:tcPr>
          <w:p>
            <w:pPr>
              <w:ind w:left="280"/>
              <w:spacing w:after="0" w:line="217" w:lineRule="exact"/>
              <w:rPr>
                <w:sz w:val="20"/>
                <w:szCs w:val="20"/>
                <w:color w:val="auto"/>
              </w:rPr>
            </w:pPr>
            <w:r>
              <w:rPr>
                <w:rFonts w:ascii="Times New Roman" w:cs="Times New Roman" w:eastAsia="Times New Roman" w:hAnsi="Times New Roman"/>
                <w:sz w:val="15"/>
                <w:szCs w:val="15"/>
                <w:b w:val="1"/>
                <w:bCs w:val="1"/>
                <w:color w:val="auto"/>
              </w:rPr>
              <w:t>Risk-Adjusted Net Interest Margin</w:t>
            </w:r>
            <w:r>
              <w:rPr>
                <w:rFonts w:ascii="Times New Roman" w:cs="Times New Roman" w:eastAsia="Times New Roman" w:hAnsi="Times New Roman"/>
                <w:sz w:val="25"/>
                <w:szCs w:val="25"/>
                <w:b w:val="1"/>
                <w:bCs w:val="1"/>
                <w:color w:val="auto"/>
                <w:vertAlign w:val="superscript"/>
              </w:rPr>
              <w:t>(1)</w:t>
            </w: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5.24%</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5.55%</w:t>
            </w: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5.81%</w:t>
            </w:r>
          </w:p>
        </w:tc>
        <w:tc>
          <w:tcPr>
            <w:tcW w:w="700" w:type="dxa"/>
            <w:vAlign w:val="bottom"/>
            <w:tcBorders>
              <w:bottom w:val="single" w:sz="8" w:color="auto"/>
            </w:tcBorders>
          </w:tcPr>
          <w:p>
            <w:pPr>
              <w:jc w:val="center"/>
              <w:ind w:left="164"/>
              <w:spacing w:after="0"/>
              <w:rPr>
                <w:sz w:val="20"/>
                <w:szCs w:val="20"/>
                <w:color w:val="auto"/>
              </w:rPr>
            </w:pPr>
            <w:r>
              <w:rPr>
                <w:rFonts w:ascii="Times New Roman" w:cs="Times New Roman" w:eastAsia="Times New Roman" w:hAnsi="Times New Roman"/>
                <w:sz w:val="15"/>
                <w:szCs w:val="15"/>
                <w:b w:val="1"/>
                <w:bCs w:val="1"/>
                <w:color w:val="auto"/>
              </w:rPr>
              <w:t>26 bps</w:t>
            </w:r>
          </w:p>
        </w:tc>
        <w:tc>
          <w:tcPr>
            <w:tcW w:w="1380" w:type="dxa"/>
            <w:vAlign w:val="bottom"/>
            <w:tcBorders>
              <w:bottom w:val="single" w:sz="8" w:color="auto"/>
            </w:tcBorders>
          </w:tcPr>
          <w:p>
            <w:pPr>
              <w:jc w:val="center"/>
              <w:ind w:left="164"/>
              <w:spacing w:after="0"/>
              <w:rPr>
                <w:sz w:val="20"/>
                <w:szCs w:val="20"/>
                <w:color w:val="auto"/>
              </w:rPr>
            </w:pPr>
            <w:r>
              <w:rPr>
                <w:rFonts w:ascii="Times New Roman" w:cs="Times New Roman" w:eastAsia="Times New Roman" w:hAnsi="Times New Roman"/>
                <w:sz w:val="15"/>
                <w:szCs w:val="15"/>
                <w:b w:val="1"/>
                <w:bCs w:val="1"/>
                <w:color w:val="auto"/>
              </w:rPr>
              <w:t>57 bps</w:t>
            </w:r>
          </w:p>
        </w:tc>
      </w:tr>
      <w:tr>
        <w:trPr>
          <w:trHeight w:val="167"/>
        </w:trPr>
        <w:tc>
          <w:tcPr>
            <w:tcW w:w="5740" w:type="dxa"/>
            <w:vAlign w:val="bottom"/>
          </w:tcPr>
          <w:p>
            <w:pPr>
              <w:ind w:left="280"/>
              <w:spacing w:after="0" w:line="167" w:lineRule="exact"/>
              <w:rPr>
                <w:sz w:val="20"/>
                <w:szCs w:val="20"/>
                <w:color w:val="auto"/>
              </w:rPr>
            </w:pPr>
            <w:r>
              <w:rPr>
                <w:rFonts w:ascii="Times New Roman" w:cs="Times New Roman" w:eastAsia="Times New Roman" w:hAnsi="Times New Roman"/>
                <w:sz w:val="15"/>
                <w:szCs w:val="15"/>
                <w:b w:val="1"/>
                <w:bCs w:val="1"/>
                <w:color w:val="auto"/>
              </w:rPr>
              <w:t>Peru’s Reference Rate</w:t>
            </w:r>
          </w:p>
        </w:tc>
        <w:tc>
          <w:tcPr>
            <w:tcW w:w="1140" w:type="dxa"/>
            <w:vAlign w:val="bottom"/>
          </w:tcPr>
          <w:p>
            <w:pPr>
              <w:jc w:val="center"/>
              <w:spacing w:after="0" w:line="167" w:lineRule="exact"/>
              <w:rPr>
                <w:sz w:val="20"/>
                <w:szCs w:val="20"/>
                <w:color w:val="auto"/>
              </w:rPr>
            </w:pPr>
            <w:r>
              <w:rPr>
                <w:rFonts w:ascii="Times New Roman" w:cs="Times New Roman" w:eastAsia="Times New Roman" w:hAnsi="Times New Roman"/>
                <w:sz w:val="15"/>
                <w:szCs w:val="15"/>
                <w:b w:val="1"/>
                <w:bCs w:val="1"/>
                <w:color w:val="auto"/>
              </w:rPr>
              <w:t>4.75%</w:t>
            </w:r>
          </w:p>
        </w:tc>
        <w:tc>
          <w:tcPr>
            <w:tcW w:w="1120" w:type="dxa"/>
            <w:vAlign w:val="bottom"/>
          </w:tcPr>
          <w:p>
            <w:pPr>
              <w:jc w:val="center"/>
              <w:spacing w:after="0" w:line="167" w:lineRule="exact"/>
              <w:rPr>
                <w:sz w:val="20"/>
                <w:szCs w:val="20"/>
                <w:color w:val="auto"/>
              </w:rPr>
            </w:pPr>
            <w:r>
              <w:rPr>
                <w:rFonts w:ascii="Times New Roman" w:cs="Times New Roman" w:eastAsia="Times New Roman" w:hAnsi="Times New Roman"/>
                <w:sz w:val="15"/>
                <w:szCs w:val="15"/>
                <w:b w:val="1"/>
                <w:bCs w:val="1"/>
                <w:color w:val="auto"/>
              </w:rPr>
              <w:t>4.25%</w:t>
            </w:r>
          </w:p>
        </w:tc>
        <w:tc>
          <w:tcPr>
            <w:tcW w:w="1160" w:type="dxa"/>
            <w:vAlign w:val="bottom"/>
          </w:tcPr>
          <w:p>
            <w:pPr>
              <w:jc w:val="center"/>
              <w:spacing w:after="0" w:line="167" w:lineRule="exact"/>
              <w:rPr>
                <w:sz w:val="20"/>
                <w:szCs w:val="20"/>
                <w:color w:val="auto"/>
              </w:rPr>
            </w:pPr>
            <w:r>
              <w:rPr>
                <w:rFonts w:ascii="Times New Roman" w:cs="Times New Roman" w:eastAsia="Times New Roman" w:hAnsi="Times New Roman"/>
                <w:sz w:val="15"/>
                <w:szCs w:val="15"/>
                <w:b w:val="1"/>
                <w:bCs w:val="1"/>
                <w:color w:val="auto"/>
              </w:rPr>
              <w:t>4.25%</w:t>
            </w:r>
          </w:p>
        </w:tc>
        <w:tc>
          <w:tcPr>
            <w:tcW w:w="700" w:type="dxa"/>
            <w:vAlign w:val="bottom"/>
          </w:tcPr>
          <w:p>
            <w:pPr>
              <w:jc w:val="center"/>
              <w:ind w:left="164"/>
              <w:spacing w:after="0" w:line="167" w:lineRule="exact"/>
              <w:rPr>
                <w:sz w:val="20"/>
                <w:szCs w:val="20"/>
                <w:color w:val="auto"/>
              </w:rPr>
            </w:pPr>
            <w:r>
              <w:rPr>
                <w:rFonts w:ascii="Times New Roman" w:cs="Times New Roman" w:eastAsia="Times New Roman" w:hAnsi="Times New Roman"/>
                <w:sz w:val="15"/>
                <w:szCs w:val="15"/>
                <w:b w:val="1"/>
                <w:bCs w:val="1"/>
                <w:color w:val="auto"/>
              </w:rPr>
              <w:t>0 bps</w:t>
            </w:r>
          </w:p>
        </w:tc>
        <w:tc>
          <w:tcPr>
            <w:tcW w:w="1380" w:type="dxa"/>
            <w:vAlign w:val="bottom"/>
          </w:tcPr>
          <w:p>
            <w:pPr>
              <w:jc w:val="center"/>
              <w:ind w:left="184"/>
              <w:spacing w:after="0" w:line="167" w:lineRule="exact"/>
              <w:rPr>
                <w:sz w:val="20"/>
                <w:szCs w:val="20"/>
                <w:color w:val="auto"/>
              </w:rPr>
            </w:pPr>
            <w:r>
              <w:rPr>
                <w:rFonts w:ascii="Times New Roman" w:cs="Times New Roman" w:eastAsia="Times New Roman" w:hAnsi="Times New Roman"/>
                <w:sz w:val="15"/>
                <w:szCs w:val="15"/>
                <w:b w:val="1"/>
                <w:bCs w:val="1"/>
                <w:color w:val="auto"/>
              </w:rPr>
              <w:t>-50 bps</w:t>
            </w:r>
          </w:p>
        </w:tc>
      </w:tr>
      <w:tr>
        <w:trPr>
          <w:trHeight w:val="202"/>
        </w:trPr>
        <w:tc>
          <w:tcPr>
            <w:tcW w:w="5740" w:type="dxa"/>
            <w:vAlign w:val="bottom"/>
          </w:tcPr>
          <w:p>
            <w:pPr>
              <w:ind w:left="280"/>
              <w:spacing w:after="0"/>
              <w:rPr>
                <w:sz w:val="20"/>
                <w:szCs w:val="20"/>
                <w:color w:val="auto"/>
              </w:rPr>
            </w:pPr>
            <w:r>
              <w:rPr>
                <w:rFonts w:ascii="Times New Roman" w:cs="Times New Roman" w:eastAsia="Times New Roman" w:hAnsi="Times New Roman"/>
                <w:sz w:val="15"/>
                <w:szCs w:val="15"/>
                <w:b w:val="1"/>
                <w:bCs w:val="1"/>
                <w:color w:val="auto"/>
              </w:rPr>
              <w:t>FED funds rate</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4.50%</w:t>
            </w: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3.75%</w:t>
            </w:r>
          </w:p>
        </w:tc>
        <w:tc>
          <w:tcPr>
            <w:tcW w:w="11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3.75%</w:t>
            </w:r>
          </w:p>
        </w:tc>
        <w:tc>
          <w:tcPr>
            <w:tcW w:w="700" w:type="dxa"/>
            <w:vAlign w:val="bottom"/>
          </w:tcPr>
          <w:p>
            <w:pPr>
              <w:jc w:val="center"/>
              <w:ind w:left="164"/>
              <w:spacing w:after="0"/>
              <w:rPr>
                <w:sz w:val="20"/>
                <w:szCs w:val="20"/>
                <w:color w:val="auto"/>
              </w:rPr>
            </w:pPr>
            <w:r>
              <w:rPr>
                <w:rFonts w:ascii="Times New Roman" w:cs="Times New Roman" w:eastAsia="Times New Roman" w:hAnsi="Times New Roman"/>
                <w:sz w:val="15"/>
                <w:szCs w:val="15"/>
                <w:b w:val="1"/>
                <w:bCs w:val="1"/>
                <w:color w:val="auto"/>
              </w:rPr>
              <w:t>0 bps</w:t>
            </w:r>
          </w:p>
        </w:tc>
        <w:tc>
          <w:tcPr>
            <w:tcW w:w="1380" w:type="dxa"/>
            <w:vAlign w:val="bottom"/>
          </w:tcPr>
          <w:p>
            <w:pPr>
              <w:jc w:val="center"/>
              <w:ind w:left="184"/>
              <w:spacing w:after="0"/>
              <w:rPr>
                <w:sz w:val="20"/>
                <w:szCs w:val="20"/>
                <w:color w:val="auto"/>
              </w:rPr>
            </w:pPr>
            <w:r>
              <w:rPr>
                <w:rFonts w:ascii="Times New Roman" w:cs="Times New Roman" w:eastAsia="Times New Roman" w:hAnsi="Times New Roman"/>
                <w:sz w:val="15"/>
                <w:szCs w:val="15"/>
                <w:b w:val="1"/>
                <w:bCs w:val="1"/>
                <w:color w:val="auto"/>
              </w:rPr>
              <w:t>-75 bps</w:t>
            </w:r>
          </w:p>
        </w:tc>
      </w:tr>
    </w:tbl>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 For further detail on the NIM and Cost of Funds calculation, please refer to Annex 12.8.</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b w:val="1"/>
          <w:bCs w:val="1"/>
          <w:color w:val="auto"/>
        </w:rPr>
        <w:t>QoQ</w:t>
      </w:r>
      <w:r>
        <w:rPr>
          <w:rFonts w:ascii="Times New Roman" w:cs="Times New Roman" w:eastAsia="Times New Roman" w:hAnsi="Times New Roman"/>
          <w:sz w:val="17"/>
          <w:szCs w:val="17"/>
          <w:color w:val="auto"/>
        </w:rPr>
        <w:t>, Net Interest Income (NII) rose 3.2%. This result was primarily attributable to an increase in Interest and Similar Income, which rose on the back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following factors (in order of magnitude): i) an increase in interest from securities, which ticked up through a strategy to capitalize surplus liquidity, and ii) higher interest from Loans, which increased alongside growth in volumes at BCP and Mibanco. Interest and Similar Expenses were a secondary driver in NII’s advance this quarter, after Interest on deposits and Interest on due to Banks and correspondents fell by similar measure. Interest expenses for deposits dropped, fueled by an increase in low-cost deposits’ share of the mix and a decrease in time deposits’ participation. Interest on due to Banks and correspondents fell after some contracts expired and were not renewed due to high levels of liquidity.</w:t>
      </w:r>
    </w:p>
    <w:p>
      <w:pPr>
        <w:spacing w:after="0" w:line="17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b w:val="1"/>
          <w:bCs w:val="1"/>
          <w:color w:val="auto"/>
        </w:rPr>
        <w:t>YoY</w:t>
      </w:r>
      <w:r>
        <w:rPr>
          <w:rFonts w:ascii="Times New Roman" w:cs="Times New Roman" w:eastAsia="Times New Roman" w:hAnsi="Times New Roman"/>
          <w:sz w:val="17"/>
          <w:szCs w:val="17"/>
          <w:color w:val="auto"/>
        </w:rPr>
        <w:t>, NII rose 10.9%. This evolution was driven mainly by an increase in Interest and Similar Income and secondarily by a decrease in Interest and Similar Expenses.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Growth in Interest and Similar Income was fueled primarily by an increase in interest from loans, which rose alongside an uptick in the loan volume at BCP and Mibanco. Interest on securities also drove the rise in NII, albeit to a lesser extent. Similar Interest and Expenses, in turn, dropped over the period due to the following dynamics (in order of magnitude): i) a drop in Interest on deposits and obligations, which were impacted by a decrease in interest rates and an increase in liquidity across the financial system; and ii) a reduction in Interest on due to banks and correspondents, which was driven by the same factors in play QoQ.</w:t>
      </w:r>
    </w:p>
    <w:p>
      <w:pPr>
        <w:spacing w:after="0" w:line="172" w:lineRule="exact"/>
        <w:rPr>
          <w:sz w:val="20"/>
          <w:szCs w:val="20"/>
          <w:color w:val="auto"/>
        </w:rPr>
      </w:pPr>
    </w:p>
    <w:p>
      <w:pPr>
        <w:ind w:left="300" w:hanging="298"/>
        <w:spacing w:after="0"/>
        <w:tabs>
          <w:tab w:leader="none" w:pos="3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Since the implementation of IFRS 9 in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700405</wp:posOffset>
            </wp:positionV>
            <wp:extent cx="7140575" cy="158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0575" cy="15875"/>
                    </a:xfrm>
                    <a:prstGeom prst="rect">
                      <a:avLst/>
                    </a:prstGeom>
                    <a:noFill/>
                  </pic:spPr>
                </pic:pic>
              </a:graphicData>
            </a:graphic>
          </wp:anchor>
        </w:drawing>
        <w:drawing>
          <wp:anchor simplePos="0" relativeHeight="251657728" behindDoc="1" locked="0" layoutInCell="0" allowOverlap="1">
            <wp:simplePos x="0" y="0"/>
            <wp:positionH relativeFrom="column">
              <wp:posOffset>347345</wp:posOffset>
            </wp:positionH>
            <wp:positionV relativeFrom="paragraph">
              <wp:posOffset>0</wp:posOffset>
            </wp:positionV>
            <wp:extent cx="6447155" cy="5962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447155" cy="596265"/>
                    </a:xfrm>
                    <a:prstGeom prst="rect">
                      <a:avLst/>
                    </a:prstGeom>
                    <a:noFill/>
                  </pic:spPr>
                </pic:pic>
              </a:graphicData>
            </a:graphic>
          </wp:anchor>
        </w:drawing>
      </w:r>
    </w:p>
    <w:p>
      <w:pPr>
        <w:sectPr>
          <w:pgSz w:w="11900" w:h="16838" w:orient="portrait"/>
          <w:cols w:equalWidth="0" w:num="1">
            <w:col w:w="11240"/>
          </w:cols>
          <w:pgMar w:left="320" w:top="589" w:right="339" w:bottom="1440" w:gutter="0" w:footer="0" w:header="0"/>
        </w:sectPr>
      </w:pPr>
    </w:p>
    <w:bookmarkStart w:id="25" w:name="page26"/>
    <w:bookmarkEnd w:id="25"/>
    <w:p>
      <w:pPr>
        <w:ind w:left="3140"/>
        <w:spacing w:after="0"/>
        <w:tabs>
          <w:tab w:leader="none" w:pos="3320" w:val="left"/>
          <w:tab w:leader="none" w:pos="9060" w:val="left"/>
        </w:tabs>
        <w:rPr>
          <w:sz w:val="20"/>
          <w:szCs w:val="20"/>
          <w:color w:val="auto"/>
        </w:rPr>
      </w:pPr>
      <w:r>
        <w:rPr>
          <w:rFonts w:ascii="Times New Roman" w:cs="Times New Roman" w:eastAsia="Times New Roman" w:hAnsi="Times New Roman"/>
          <w:sz w:val="14"/>
          <w:szCs w:val="14"/>
          <w:color w:val="A6A6A6"/>
        </w:rPr>
        <w:drawing>
          <wp:anchor simplePos="0" relativeHeight="251657728" behindDoc="1" locked="0" layoutInCell="0" allowOverlap="1">
            <wp:simplePos x="0" y="0"/>
            <wp:positionH relativeFrom="page">
              <wp:posOffset>204470</wp:posOffset>
            </wp:positionH>
            <wp:positionV relativeFrom="page">
              <wp:posOffset>88900</wp:posOffset>
            </wp:positionV>
            <wp:extent cx="7140575" cy="6927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0575" cy="692785"/>
                    </a:xfrm>
                    <a:prstGeom prst="rect">
                      <a:avLst/>
                    </a:prstGeom>
                    <a:noFill/>
                  </pic:spPr>
                </pic:pic>
              </a:graphicData>
            </a:graphic>
          </wp:anchor>
        </w:drawing>
        <w:t>|</w:t>
      </w:r>
      <w:r>
        <w:rPr>
          <w:rFonts w:ascii="Times New Roman" w:cs="Times New Roman" w:eastAsia="Times New Roman" w:hAnsi="Times New Roman"/>
          <w:sz w:val="14"/>
          <w:szCs w:val="14"/>
          <w:color w:val="FFFFFF"/>
        </w:rPr>
        <w:tab/>
        <w:t>Earnings Release 1Q / 2026</w:t>
      </w:r>
      <w:r>
        <w:rPr>
          <w:sz w:val="20"/>
          <w:szCs w:val="20"/>
          <w:color w:val="auto"/>
        </w:rPr>
        <w:tab/>
      </w:r>
      <w:r>
        <w:rPr>
          <w:rFonts w:ascii="Times New Roman" w:cs="Times New Roman" w:eastAsia="Times New Roman" w:hAnsi="Times New Roman"/>
          <w:sz w:val="12"/>
          <w:szCs w:val="12"/>
          <w:color w:val="FF00FF"/>
        </w:rPr>
        <w:t>Analysis of 1Q26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7140575" cy="2095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0575" cy="20955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FFFFFF"/>
        </w:rPr>
        <w:t>04. Net Interest Income (NII)</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Interest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3885565</wp:posOffset>
            </wp:positionH>
            <wp:positionV relativeFrom="paragraph">
              <wp:posOffset>-110490</wp:posOffset>
            </wp:positionV>
            <wp:extent cx="3062605" cy="17487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062605" cy="1748790"/>
                    </a:xfrm>
                    <a:prstGeom prst="rect">
                      <a:avLst/>
                    </a:prstGeom>
                    <a:noFill/>
                  </pic:spPr>
                </pic:pic>
              </a:graphicData>
            </a:graphic>
          </wp:anchor>
        </w:drawing>
      </w:r>
    </w:p>
    <w:p>
      <w:pPr>
        <w:spacing w:after="0" w:line="191" w:lineRule="exact"/>
        <w:rPr>
          <w:sz w:val="20"/>
          <w:szCs w:val="20"/>
          <w:color w:val="auto"/>
        </w:rPr>
      </w:pPr>
    </w:p>
    <w:p>
      <w:pPr>
        <w:jc w:val="both"/>
        <w:ind w:right="5840"/>
        <w:spacing w:after="0" w:line="253" w:lineRule="auto"/>
        <w:rPr>
          <w:sz w:val="20"/>
          <w:szCs w:val="20"/>
          <w:color w:val="auto"/>
        </w:rPr>
      </w:pPr>
      <w:r>
        <w:rPr>
          <w:rFonts w:ascii="Times New Roman" w:cs="Times New Roman" w:eastAsia="Times New Roman" w:hAnsi="Times New Roman"/>
          <w:sz w:val="17"/>
          <w:szCs w:val="17"/>
          <w:b w:val="1"/>
          <w:bCs w:val="1"/>
          <w:color w:val="auto"/>
        </w:rPr>
        <w:t xml:space="preserve">NIM </w:t>
      </w:r>
      <w:r>
        <w:rPr>
          <w:rFonts w:ascii="Times New Roman" w:cs="Times New Roman" w:eastAsia="Times New Roman" w:hAnsi="Times New Roman"/>
          <w:sz w:val="17"/>
          <w:szCs w:val="17"/>
          <w:color w:val="auto"/>
        </w:rPr>
        <w:t>rose 36 bps YoY to stand at 6.58% at the end of 1Q26. This expansion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was mainly driven by a 31-bps reduction in the cost of funding, which was positively impacted by a downward trend in interest rates and a shift in the funding mix toward a larger share of low-cost deposits. The IEA yield rose 10 bps YoY, as loans’ share of the IEA mix rose ticked up faster than the increase reported for Cash and equivalents. </w:t>
      </w:r>
      <w:r>
        <w:rPr>
          <w:rFonts w:ascii="Times New Roman" w:cs="Times New Roman" w:eastAsia="Times New Roman" w:hAnsi="Times New Roman"/>
          <w:sz w:val="17"/>
          <w:szCs w:val="17"/>
          <w:b w:val="1"/>
          <w:bCs w:val="1"/>
          <w:color w:val="auto"/>
        </w:rPr>
        <w:t>Risk-adjusted NIM</w:t>
      </w:r>
      <w:r>
        <w:rPr>
          <w:rFonts w:ascii="Times New Roman" w:cs="Times New Roman" w:eastAsia="Times New Roman" w:hAnsi="Times New Roman"/>
          <w:sz w:val="17"/>
          <w:szCs w:val="17"/>
          <w:color w:val="auto"/>
        </w:rPr>
        <w:t xml:space="preserve"> hit a new high of 5.81% at the end of 1Q26 (+57 bps). This result was primarily attributable to an improvement in client payment performance at BCP, as reflected in the decrease in the cost of risk.</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Dynamics of the Net Interest Margin by Currency</w:t>
      </w:r>
    </w:p>
    <w:p>
      <w:pPr>
        <w:spacing w:after="0" w:line="211"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2160" w:type="dxa"/>
            <w:vAlign w:val="bottom"/>
            <w:tcBorders>
              <w:top w:val="single" w:sz="8" w:color="auto"/>
              <w:left w:val="single" w:sz="8" w:color="auto"/>
              <w:right w:val="single" w:sz="8" w:color="auto"/>
            </w:tcBorders>
            <w:vMerge w:val="restart"/>
            <w:shd w:val="clear" w:color="auto" w:fill="2AD2C9"/>
          </w:tcPr>
          <w:p>
            <w:pPr>
              <w:ind w:left="40"/>
              <w:spacing w:after="0"/>
              <w:rPr>
                <w:sz w:val="20"/>
                <w:szCs w:val="20"/>
                <w:color w:val="auto"/>
              </w:rPr>
            </w:pPr>
            <w:r>
              <w:rPr>
                <w:rFonts w:ascii="Times New Roman" w:cs="Times New Roman" w:eastAsia="Times New Roman" w:hAnsi="Times New Roman"/>
                <w:sz w:val="15"/>
                <w:szCs w:val="15"/>
                <w:b w:val="1"/>
                <w:bCs w:val="1"/>
                <w:color w:val="FFFFFF"/>
              </w:rPr>
              <w:t>Interest Income / IEA</w:t>
            </w:r>
          </w:p>
        </w:tc>
        <w:tc>
          <w:tcPr>
            <w:tcW w:w="1000" w:type="dxa"/>
            <w:vAlign w:val="bottom"/>
            <w:tcBorders>
              <w:top w:val="single" w:sz="8" w:color="auto"/>
            </w:tcBorders>
            <w:vMerge w:val="restart"/>
            <w:shd w:val="clear" w:color="auto" w:fill="2AD2C9"/>
          </w:tcPr>
          <w:p>
            <w:pPr>
              <w:ind w:left="240"/>
              <w:spacing w:after="0"/>
              <w:rPr>
                <w:sz w:val="20"/>
                <w:szCs w:val="20"/>
                <w:color w:val="auto"/>
              </w:rPr>
            </w:pPr>
            <w:r>
              <w:rPr>
                <w:rFonts w:ascii="Times New Roman" w:cs="Times New Roman" w:eastAsia="Times New Roman" w:hAnsi="Times New Roman"/>
                <w:sz w:val="15"/>
                <w:szCs w:val="15"/>
                <w:b w:val="1"/>
                <w:bCs w:val="1"/>
                <w:color w:val="FFFFFF"/>
              </w:rPr>
              <w:t>Average</w:t>
            </w:r>
          </w:p>
        </w:tc>
        <w:tc>
          <w:tcPr>
            <w:tcW w:w="1060" w:type="dxa"/>
            <w:vAlign w:val="bottom"/>
            <w:tcBorders>
              <w:top w:val="single" w:sz="8" w:color="auto"/>
            </w:tcBorders>
            <w:shd w:val="clear" w:color="auto" w:fill="2AD2C9"/>
          </w:tcPr>
          <w:p>
            <w:pPr>
              <w:jc w:val="center"/>
              <w:spacing w:after="0"/>
              <w:rPr>
                <w:sz w:val="20"/>
                <w:szCs w:val="20"/>
                <w:color w:val="auto"/>
              </w:rPr>
            </w:pPr>
            <w:r>
              <w:rPr>
                <w:rFonts w:ascii="Times New Roman" w:cs="Times New Roman" w:eastAsia="Times New Roman" w:hAnsi="Times New Roman"/>
                <w:sz w:val="15"/>
                <w:szCs w:val="15"/>
                <w:b w:val="1"/>
                <w:bCs w:val="1"/>
                <w:color w:val="FFFFFF"/>
                <w:w w:val="99"/>
              </w:rPr>
              <w:t>1Q25</w:t>
            </w:r>
          </w:p>
        </w:tc>
        <w:tc>
          <w:tcPr>
            <w:tcW w:w="1000" w:type="dxa"/>
            <w:vAlign w:val="bottom"/>
            <w:tcBorders>
              <w:top w:val="single" w:sz="8" w:color="auto"/>
              <w:right w:val="single" w:sz="8" w:color="auto"/>
            </w:tcBorders>
            <w:shd w:val="clear" w:color="auto" w:fill="2AD2C9"/>
          </w:tcPr>
          <w:p>
            <w:pPr>
              <w:spacing w:after="0"/>
              <w:rPr>
                <w:sz w:val="18"/>
                <w:szCs w:val="18"/>
                <w:color w:val="auto"/>
              </w:rPr>
            </w:pPr>
          </w:p>
        </w:tc>
        <w:tc>
          <w:tcPr>
            <w:tcW w:w="980" w:type="dxa"/>
            <w:vAlign w:val="bottom"/>
            <w:tcBorders>
              <w:top w:val="single" w:sz="8" w:color="auto"/>
            </w:tcBorders>
            <w:vMerge w:val="restart"/>
            <w:shd w:val="clear" w:color="auto" w:fill="2AD2C9"/>
          </w:tcPr>
          <w:p>
            <w:pPr>
              <w:ind w:left="220"/>
              <w:spacing w:after="0"/>
              <w:rPr>
                <w:sz w:val="20"/>
                <w:szCs w:val="20"/>
                <w:color w:val="auto"/>
              </w:rPr>
            </w:pPr>
            <w:r>
              <w:rPr>
                <w:rFonts w:ascii="Times New Roman" w:cs="Times New Roman" w:eastAsia="Times New Roman" w:hAnsi="Times New Roman"/>
                <w:sz w:val="15"/>
                <w:szCs w:val="15"/>
                <w:b w:val="1"/>
                <w:bCs w:val="1"/>
                <w:color w:val="FFFFFF"/>
              </w:rPr>
              <w:t>Average</w:t>
            </w:r>
          </w:p>
        </w:tc>
        <w:tc>
          <w:tcPr>
            <w:tcW w:w="1060" w:type="dxa"/>
            <w:vAlign w:val="bottom"/>
            <w:tcBorders>
              <w:top w:val="single" w:sz="8" w:color="auto"/>
            </w:tcBorders>
            <w:shd w:val="clear" w:color="auto" w:fill="2AD2C9"/>
          </w:tcPr>
          <w:p>
            <w:pPr>
              <w:jc w:val="center"/>
              <w:spacing w:after="0"/>
              <w:rPr>
                <w:sz w:val="20"/>
                <w:szCs w:val="20"/>
                <w:color w:val="auto"/>
              </w:rPr>
            </w:pPr>
            <w:r>
              <w:rPr>
                <w:rFonts w:ascii="Times New Roman" w:cs="Times New Roman" w:eastAsia="Times New Roman" w:hAnsi="Times New Roman"/>
                <w:sz w:val="15"/>
                <w:szCs w:val="15"/>
                <w:b w:val="1"/>
                <w:bCs w:val="1"/>
                <w:color w:val="FFFFFF"/>
                <w:w w:val="99"/>
              </w:rPr>
              <w:t>4Q25</w:t>
            </w:r>
          </w:p>
        </w:tc>
        <w:tc>
          <w:tcPr>
            <w:tcW w:w="980" w:type="dxa"/>
            <w:vAlign w:val="bottom"/>
            <w:tcBorders>
              <w:top w:val="single" w:sz="8" w:color="auto"/>
              <w:right w:val="single" w:sz="8" w:color="auto"/>
            </w:tcBorders>
            <w:shd w:val="clear" w:color="auto" w:fill="2AD2C9"/>
          </w:tcPr>
          <w:p>
            <w:pPr>
              <w:spacing w:after="0"/>
              <w:rPr>
                <w:sz w:val="18"/>
                <w:szCs w:val="18"/>
                <w:color w:val="auto"/>
              </w:rPr>
            </w:pPr>
          </w:p>
        </w:tc>
        <w:tc>
          <w:tcPr>
            <w:tcW w:w="980" w:type="dxa"/>
            <w:vAlign w:val="bottom"/>
            <w:tcBorders>
              <w:top w:val="single" w:sz="8" w:color="auto"/>
            </w:tcBorders>
            <w:vMerge w:val="restart"/>
            <w:shd w:val="clear" w:color="auto" w:fill="2AD2C9"/>
          </w:tcPr>
          <w:p>
            <w:pPr>
              <w:ind w:left="220"/>
              <w:spacing w:after="0"/>
              <w:rPr>
                <w:sz w:val="20"/>
                <w:szCs w:val="20"/>
                <w:color w:val="auto"/>
              </w:rPr>
            </w:pPr>
            <w:r>
              <w:rPr>
                <w:rFonts w:ascii="Times New Roman" w:cs="Times New Roman" w:eastAsia="Times New Roman" w:hAnsi="Times New Roman"/>
                <w:sz w:val="15"/>
                <w:szCs w:val="15"/>
                <w:b w:val="1"/>
                <w:bCs w:val="1"/>
                <w:color w:val="FFFFFF"/>
              </w:rPr>
              <w:t>Average</w:t>
            </w:r>
          </w:p>
        </w:tc>
        <w:tc>
          <w:tcPr>
            <w:tcW w:w="1040" w:type="dxa"/>
            <w:vAlign w:val="bottom"/>
            <w:tcBorders>
              <w:top w:val="single" w:sz="8" w:color="auto"/>
            </w:tcBorders>
            <w:shd w:val="clear" w:color="auto" w:fill="2AD2C9"/>
          </w:tcPr>
          <w:p>
            <w:pPr>
              <w:jc w:val="center"/>
              <w:spacing w:after="0"/>
              <w:rPr>
                <w:sz w:val="20"/>
                <w:szCs w:val="20"/>
                <w:color w:val="auto"/>
              </w:rPr>
            </w:pPr>
            <w:r>
              <w:rPr>
                <w:rFonts w:ascii="Times New Roman" w:cs="Times New Roman" w:eastAsia="Times New Roman" w:hAnsi="Times New Roman"/>
                <w:sz w:val="15"/>
                <w:szCs w:val="15"/>
                <w:b w:val="1"/>
                <w:bCs w:val="1"/>
                <w:color w:val="FFFFFF"/>
                <w:w w:val="99"/>
              </w:rPr>
              <w:t>1Q26</w:t>
            </w:r>
          </w:p>
        </w:tc>
        <w:tc>
          <w:tcPr>
            <w:tcW w:w="1000" w:type="dxa"/>
            <w:vAlign w:val="bottom"/>
            <w:tcBorders>
              <w:top w:val="single" w:sz="8" w:color="auto"/>
              <w:right w:val="single" w:sz="8" w:color="auto"/>
            </w:tcBorders>
            <w:shd w:val="clear" w:color="auto" w:fill="2AD2C9"/>
          </w:tcPr>
          <w:p>
            <w:pPr>
              <w:spacing w:after="0"/>
              <w:rPr>
                <w:sz w:val="18"/>
                <w:szCs w:val="18"/>
                <w:color w:val="auto"/>
              </w:rPr>
            </w:pPr>
          </w:p>
        </w:tc>
        <w:tc>
          <w:tcPr>
            <w:tcW w:w="0" w:type="dxa"/>
            <w:vAlign w:val="bottom"/>
          </w:tcPr>
          <w:p>
            <w:pPr>
              <w:spacing w:after="0"/>
              <w:rPr>
                <w:sz w:val="1"/>
                <w:szCs w:val="1"/>
                <w:color w:val="auto"/>
              </w:rPr>
            </w:pPr>
          </w:p>
        </w:tc>
      </w:tr>
      <w:tr>
        <w:trPr>
          <w:trHeight w:val="73"/>
        </w:trPr>
        <w:tc>
          <w:tcPr>
            <w:tcW w:w="2160" w:type="dxa"/>
            <w:vAlign w:val="bottom"/>
            <w:tcBorders>
              <w:left w:val="single" w:sz="8" w:color="auto"/>
              <w:right w:val="single" w:sz="8" w:color="auto"/>
            </w:tcBorders>
            <w:vMerge w:val="continue"/>
            <w:shd w:val="clear" w:color="auto" w:fill="2AD2C9"/>
          </w:tcPr>
          <w:p>
            <w:pPr>
              <w:spacing w:after="0"/>
              <w:rPr>
                <w:sz w:val="6"/>
                <w:szCs w:val="6"/>
                <w:color w:val="auto"/>
              </w:rPr>
            </w:pPr>
          </w:p>
        </w:tc>
        <w:tc>
          <w:tcPr>
            <w:tcW w:w="1000" w:type="dxa"/>
            <w:vAlign w:val="bottom"/>
            <w:vMerge w:val="continue"/>
            <w:shd w:val="clear" w:color="auto" w:fill="2AD2C9"/>
          </w:tcPr>
          <w:p>
            <w:pPr>
              <w:spacing w:after="0"/>
              <w:rPr>
                <w:sz w:val="6"/>
                <w:szCs w:val="6"/>
                <w:color w:val="auto"/>
              </w:rPr>
            </w:pPr>
          </w:p>
        </w:tc>
        <w:tc>
          <w:tcPr>
            <w:tcW w:w="1060" w:type="dxa"/>
            <w:vAlign w:val="bottom"/>
            <w:vMerge w:val="restart"/>
            <w:shd w:val="clear" w:color="auto" w:fill="2AD2C9"/>
          </w:tcPr>
          <w:p>
            <w:pPr>
              <w:jc w:val="center"/>
              <w:spacing w:after="0"/>
              <w:rPr>
                <w:sz w:val="20"/>
                <w:szCs w:val="20"/>
                <w:color w:val="auto"/>
              </w:rPr>
            </w:pPr>
            <w:r>
              <w:rPr>
                <w:rFonts w:ascii="Times New Roman" w:cs="Times New Roman" w:eastAsia="Times New Roman" w:hAnsi="Times New Roman"/>
                <w:sz w:val="15"/>
                <w:szCs w:val="15"/>
                <w:b w:val="1"/>
                <w:bCs w:val="1"/>
                <w:color w:val="FFFFFF"/>
              </w:rPr>
              <w:t>Income</w:t>
            </w:r>
          </w:p>
        </w:tc>
        <w:tc>
          <w:tcPr>
            <w:tcW w:w="1000" w:type="dxa"/>
            <w:vAlign w:val="bottom"/>
            <w:tcBorders>
              <w:right w:val="single" w:sz="8" w:color="auto"/>
            </w:tcBorders>
            <w:vMerge w:val="restart"/>
            <w:shd w:val="clear" w:color="auto" w:fill="2AD2C9"/>
          </w:tcPr>
          <w:p>
            <w:pPr>
              <w:ind w:left="260"/>
              <w:spacing w:after="0"/>
              <w:rPr>
                <w:sz w:val="20"/>
                <w:szCs w:val="20"/>
                <w:color w:val="auto"/>
              </w:rPr>
            </w:pPr>
            <w:r>
              <w:rPr>
                <w:rFonts w:ascii="Times New Roman" w:cs="Times New Roman" w:eastAsia="Times New Roman" w:hAnsi="Times New Roman"/>
                <w:sz w:val="15"/>
                <w:szCs w:val="15"/>
                <w:b w:val="1"/>
                <w:bCs w:val="1"/>
                <w:color w:val="FFFFFF"/>
              </w:rPr>
              <w:t>Yields</w:t>
            </w:r>
          </w:p>
        </w:tc>
        <w:tc>
          <w:tcPr>
            <w:tcW w:w="980" w:type="dxa"/>
            <w:vAlign w:val="bottom"/>
            <w:vMerge w:val="continue"/>
            <w:shd w:val="clear" w:color="auto" w:fill="2AD2C9"/>
          </w:tcPr>
          <w:p>
            <w:pPr>
              <w:spacing w:after="0"/>
              <w:rPr>
                <w:sz w:val="6"/>
                <w:szCs w:val="6"/>
                <w:color w:val="auto"/>
              </w:rPr>
            </w:pPr>
          </w:p>
        </w:tc>
        <w:tc>
          <w:tcPr>
            <w:tcW w:w="1060" w:type="dxa"/>
            <w:vAlign w:val="bottom"/>
            <w:vMerge w:val="restart"/>
            <w:shd w:val="clear" w:color="auto" w:fill="2AD2C9"/>
          </w:tcPr>
          <w:p>
            <w:pPr>
              <w:jc w:val="center"/>
              <w:spacing w:after="0"/>
              <w:rPr>
                <w:sz w:val="20"/>
                <w:szCs w:val="20"/>
                <w:color w:val="auto"/>
              </w:rPr>
            </w:pPr>
            <w:r>
              <w:rPr>
                <w:rFonts w:ascii="Times New Roman" w:cs="Times New Roman" w:eastAsia="Times New Roman" w:hAnsi="Times New Roman"/>
                <w:sz w:val="15"/>
                <w:szCs w:val="15"/>
                <w:b w:val="1"/>
                <w:bCs w:val="1"/>
                <w:color w:val="FFFFFF"/>
              </w:rPr>
              <w:t>Income</w:t>
            </w:r>
          </w:p>
        </w:tc>
        <w:tc>
          <w:tcPr>
            <w:tcW w:w="980" w:type="dxa"/>
            <w:vAlign w:val="bottom"/>
            <w:tcBorders>
              <w:right w:val="single" w:sz="8" w:color="auto"/>
            </w:tcBorders>
            <w:vMerge w:val="restart"/>
            <w:shd w:val="clear" w:color="auto" w:fill="2AD2C9"/>
          </w:tcPr>
          <w:p>
            <w:pPr>
              <w:ind w:left="260"/>
              <w:spacing w:after="0"/>
              <w:rPr>
                <w:sz w:val="20"/>
                <w:szCs w:val="20"/>
                <w:color w:val="auto"/>
              </w:rPr>
            </w:pPr>
            <w:r>
              <w:rPr>
                <w:rFonts w:ascii="Times New Roman" w:cs="Times New Roman" w:eastAsia="Times New Roman" w:hAnsi="Times New Roman"/>
                <w:sz w:val="15"/>
                <w:szCs w:val="15"/>
                <w:b w:val="1"/>
                <w:bCs w:val="1"/>
                <w:color w:val="FFFFFF"/>
              </w:rPr>
              <w:t>Yields</w:t>
            </w:r>
          </w:p>
        </w:tc>
        <w:tc>
          <w:tcPr>
            <w:tcW w:w="980" w:type="dxa"/>
            <w:vAlign w:val="bottom"/>
            <w:vMerge w:val="continue"/>
            <w:shd w:val="clear" w:color="auto" w:fill="2AD2C9"/>
          </w:tcPr>
          <w:p>
            <w:pPr>
              <w:spacing w:after="0"/>
              <w:rPr>
                <w:sz w:val="6"/>
                <w:szCs w:val="6"/>
                <w:color w:val="auto"/>
              </w:rPr>
            </w:pPr>
          </w:p>
        </w:tc>
        <w:tc>
          <w:tcPr>
            <w:tcW w:w="1040" w:type="dxa"/>
            <w:vAlign w:val="bottom"/>
            <w:vMerge w:val="restart"/>
            <w:shd w:val="clear" w:color="auto" w:fill="2AD2C9"/>
          </w:tcPr>
          <w:p>
            <w:pPr>
              <w:jc w:val="center"/>
              <w:spacing w:after="0"/>
              <w:rPr>
                <w:sz w:val="20"/>
                <w:szCs w:val="20"/>
                <w:color w:val="auto"/>
              </w:rPr>
            </w:pPr>
            <w:r>
              <w:rPr>
                <w:rFonts w:ascii="Times New Roman" w:cs="Times New Roman" w:eastAsia="Times New Roman" w:hAnsi="Times New Roman"/>
                <w:sz w:val="15"/>
                <w:szCs w:val="15"/>
                <w:b w:val="1"/>
                <w:bCs w:val="1"/>
                <w:color w:val="FFFFFF"/>
              </w:rPr>
              <w:t>Income</w:t>
            </w:r>
          </w:p>
        </w:tc>
        <w:tc>
          <w:tcPr>
            <w:tcW w:w="1000" w:type="dxa"/>
            <w:vAlign w:val="bottom"/>
            <w:tcBorders>
              <w:right w:val="single" w:sz="8" w:color="auto"/>
            </w:tcBorders>
            <w:vMerge w:val="restart"/>
            <w:shd w:val="clear" w:color="auto" w:fill="2AD2C9"/>
          </w:tcPr>
          <w:p>
            <w:pPr>
              <w:ind w:left="280"/>
              <w:spacing w:after="0"/>
              <w:rPr>
                <w:sz w:val="20"/>
                <w:szCs w:val="20"/>
                <w:color w:val="auto"/>
              </w:rPr>
            </w:pPr>
            <w:r>
              <w:rPr>
                <w:rFonts w:ascii="Times New Roman" w:cs="Times New Roman" w:eastAsia="Times New Roman" w:hAnsi="Times New Roman"/>
                <w:sz w:val="15"/>
                <w:szCs w:val="15"/>
                <w:b w:val="1"/>
                <w:bCs w:val="1"/>
                <w:color w:val="FFFFFF"/>
              </w:rPr>
              <w:t>Yields</w:t>
            </w:r>
          </w:p>
        </w:tc>
        <w:tc>
          <w:tcPr>
            <w:tcW w:w="0" w:type="dxa"/>
            <w:vAlign w:val="bottom"/>
          </w:tcPr>
          <w:p>
            <w:pPr>
              <w:spacing w:after="0"/>
              <w:rPr>
                <w:sz w:val="1"/>
                <w:szCs w:val="1"/>
                <w:color w:val="auto"/>
              </w:rPr>
            </w:pPr>
          </w:p>
        </w:tc>
      </w:tr>
      <w:tr>
        <w:trPr>
          <w:trHeight w:val="90"/>
        </w:trPr>
        <w:tc>
          <w:tcPr>
            <w:tcW w:w="2160" w:type="dxa"/>
            <w:vAlign w:val="bottom"/>
            <w:tcBorders>
              <w:left w:val="single" w:sz="8" w:color="auto"/>
              <w:right w:val="single" w:sz="8" w:color="auto"/>
            </w:tcBorders>
            <w:shd w:val="clear" w:color="auto" w:fill="2AD2C9"/>
          </w:tcPr>
          <w:p>
            <w:pPr>
              <w:spacing w:after="0"/>
              <w:rPr>
                <w:sz w:val="7"/>
                <w:szCs w:val="7"/>
                <w:color w:val="auto"/>
              </w:rPr>
            </w:pPr>
          </w:p>
        </w:tc>
        <w:tc>
          <w:tcPr>
            <w:tcW w:w="1000" w:type="dxa"/>
            <w:vAlign w:val="bottom"/>
            <w:vMerge w:val="continue"/>
            <w:shd w:val="clear" w:color="auto" w:fill="2AD2C9"/>
          </w:tcPr>
          <w:p>
            <w:pPr>
              <w:spacing w:after="0"/>
              <w:rPr>
                <w:sz w:val="7"/>
                <w:szCs w:val="7"/>
                <w:color w:val="auto"/>
              </w:rPr>
            </w:pPr>
          </w:p>
        </w:tc>
        <w:tc>
          <w:tcPr>
            <w:tcW w:w="1060" w:type="dxa"/>
            <w:vAlign w:val="bottom"/>
            <w:vMerge w:val="continue"/>
            <w:shd w:val="clear" w:color="auto" w:fill="2AD2C9"/>
          </w:tcPr>
          <w:p>
            <w:pPr>
              <w:spacing w:after="0"/>
              <w:rPr>
                <w:sz w:val="7"/>
                <w:szCs w:val="7"/>
                <w:color w:val="auto"/>
              </w:rPr>
            </w:pPr>
          </w:p>
        </w:tc>
        <w:tc>
          <w:tcPr>
            <w:tcW w:w="1000" w:type="dxa"/>
            <w:vAlign w:val="bottom"/>
            <w:tcBorders>
              <w:right w:val="single" w:sz="8" w:color="auto"/>
            </w:tcBorders>
            <w:vMerge w:val="continue"/>
            <w:shd w:val="clear" w:color="auto" w:fill="2AD2C9"/>
          </w:tcPr>
          <w:p>
            <w:pPr>
              <w:spacing w:after="0"/>
              <w:rPr>
                <w:sz w:val="7"/>
                <w:szCs w:val="7"/>
                <w:color w:val="auto"/>
              </w:rPr>
            </w:pPr>
          </w:p>
        </w:tc>
        <w:tc>
          <w:tcPr>
            <w:tcW w:w="980" w:type="dxa"/>
            <w:vAlign w:val="bottom"/>
            <w:vMerge w:val="continue"/>
            <w:shd w:val="clear" w:color="auto" w:fill="2AD2C9"/>
          </w:tcPr>
          <w:p>
            <w:pPr>
              <w:spacing w:after="0"/>
              <w:rPr>
                <w:sz w:val="7"/>
                <w:szCs w:val="7"/>
                <w:color w:val="auto"/>
              </w:rPr>
            </w:pPr>
          </w:p>
        </w:tc>
        <w:tc>
          <w:tcPr>
            <w:tcW w:w="1060" w:type="dxa"/>
            <w:vAlign w:val="bottom"/>
            <w:vMerge w:val="continue"/>
            <w:shd w:val="clear" w:color="auto" w:fill="2AD2C9"/>
          </w:tcPr>
          <w:p>
            <w:pPr>
              <w:spacing w:after="0"/>
              <w:rPr>
                <w:sz w:val="7"/>
                <w:szCs w:val="7"/>
                <w:color w:val="auto"/>
              </w:rPr>
            </w:pPr>
          </w:p>
        </w:tc>
        <w:tc>
          <w:tcPr>
            <w:tcW w:w="980" w:type="dxa"/>
            <w:vAlign w:val="bottom"/>
            <w:tcBorders>
              <w:right w:val="single" w:sz="8" w:color="auto"/>
            </w:tcBorders>
            <w:vMerge w:val="continue"/>
            <w:shd w:val="clear" w:color="auto" w:fill="2AD2C9"/>
          </w:tcPr>
          <w:p>
            <w:pPr>
              <w:spacing w:after="0"/>
              <w:rPr>
                <w:sz w:val="7"/>
                <w:szCs w:val="7"/>
                <w:color w:val="auto"/>
              </w:rPr>
            </w:pPr>
          </w:p>
        </w:tc>
        <w:tc>
          <w:tcPr>
            <w:tcW w:w="980" w:type="dxa"/>
            <w:vAlign w:val="bottom"/>
            <w:vMerge w:val="continue"/>
            <w:shd w:val="clear" w:color="auto" w:fill="2AD2C9"/>
          </w:tcPr>
          <w:p>
            <w:pPr>
              <w:spacing w:after="0"/>
              <w:rPr>
                <w:sz w:val="7"/>
                <w:szCs w:val="7"/>
                <w:color w:val="auto"/>
              </w:rPr>
            </w:pPr>
          </w:p>
        </w:tc>
        <w:tc>
          <w:tcPr>
            <w:tcW w:w="1040" w:type="dxa"/>
            <w:vAlign w:val="bottom"/>
            <w:vMerge w:val="continue"/>
            <w:shd w:val="clear" w:color="auto" w:fill="2AD2C9"/>
          </w:tcPr>
          <w:p>
            <w:pPr>
              <w:spacing w:after="0"/>
              <w:rPr>
                <w:sz w:val="7"/>
                <w:szCs w:val="7"/>
                <w:color w:val="auto"/>
              </w:rPr>
            </w:pPr>
          </w:p>
        </w:tc>
        <w:tc>
          <w:tcPr>
            <w:tcW w:w="1000" w:type="dxa"/>
            <w:vAlign w:val="bottom"/>
            <w:tcBorders>
              <w:right w:val="single" w:sz="8" w:color="auto"/>
            </w:tcBorders>
            <w:vMerge w:val="continue"/>
            <w:shd w:val="clear" w:color="auto" w:fill="2AD2C9"/>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2160" w:type="dxa"/>
            <w:vAlign w:val="bottom"/>
            <w:tcBorders>
              <w:left w:val="single" w:sz="8" w:color="auto"/>
              <w:right w:val="single" w:sz="8" w:color="auto"/>
            </w:tcBorders>
            <w:vMerge w:val="restart"/>
            <w:shd w:val="clear" w:color="auto" w:fill="2AD2C9"/>
          </w:tcPr>
          <w:p>
            <w:pPr>
              <w:ind w:left="40"/>
              <w:spacing w:after="0"/>
              <w:rPr>
                <w:sz w:val="20"/>
                <w:szCs w:val="20"/>
                <w:color w:val="auto"/>
              </w:rPr>
            </w:pPr>
            <w:r>
              <w:rPr>
                <w:rFonts w:ascii="Times New Roman" w:cs="Times New Roman" w:eastAsia="Times New Roman" w:hAnsi="Times New Roman"/>
                <w:sz w:val="15"/>
                <w:szCs w:val="15"/>
                <w:b w:val="1"/>
                <w:bCs w:val="1"/>
                <w:color w:val="FFFFFF"/>
              </w:rPr>
              <w:t>S/ millions</w:t>
            </w:r>
          </w:p>
        </w:tc>
        <w:tc>
          <w:tcPr>
            <w:tcW w:w="1000" w:type="dxa"/>
            <w:vAlign w:val="bottom"/>
            <w:vMerge w:val="restart"/>
            <w:shd w:val="clear" w:color="auto" w:fill="2AD2C9"/>
          </w:tcPr>
          <w:p>
            <w:pPr>
              <w:ind w:left="240"/>
              <w:spacing w:after="0"/>
              <w:rPr>
                <w:sz w:val="20"/>
                <w:szCs w:val="20"/>
                <w:color w:val="auto"/>
              </w:rPr>
            </w:pPr>
            <w:r>
              <w:rPr>
                <w:rFonts w:ascii="Times New Roman" w:cs="Times New Roman" w:eastAsia="Times New Roman" w:hAnsi="Times New Roman"/>
                <w:sz w:val="15"/>
                <w:szCs w:val="15"/>
                <w:b w:val="1"/>
                <w:bCs w:val="1"/>
                <w:color w:val="FFFFFF"/>
              </w:rPr>
              <w:t>Balance</w:t>
            </w:r>
          </w:p>
        </w:tc>
        <w:tc>
          <w:tcPr>
            <w:tcW w:w="1060" w:type="dxa"/>
            <w:vAlign w:val="bottom"/>
            <w:vMerge w:val="continue"/>
            <w:shd w:val="clear" w:color="auto" w:fill="2AD2C9"/>
          </w:tcPr>
          <w:p>
            <w:pPr>
              <w:spacing w:after="0"/>
              <w:rPr>
                <w:sz w:val="8"/>
                <w:szCs w:val="8"/>
                <w:color w:val="auto"/>
              </w:rPr>
            </w:pPr>
          </w:p>
        </w:tc>
        <w:tc>
          <w:tcPr>
            <w:tcW w:w="1000" w:type="dxa"/>
            <w:vAlign w:val="bottom"/>
            <w:tcBorders>
              <w:right w:val="single" w:sz="8" w:color="auto"/>
            </w:tcBorders>
            <w:vMerge w:val="continue"/>
            <w:shd w:val="clear" w:color="auto" w:fill="2AD2C9"/>
          </w:tcPr>
          <w:p>
            <w:pPr>
              <w:spacing w:after="0"/>
              <w:rPr>
                <w:sz w:val="8"/>
                <w:szCs w:val="8"/>
                <w:color w:val="auto"/>
              </w:rPr>
            </w:pPr>
          </w:p>
        </w:tc>
        <w:tc>
          <w:tcPr>
            <w:tcW w:w="980" w:type="dxa"/>
            <w:vAlign w:val="bottom"/>
            <w:vMerge w:val="restart"/>
            <w:shd w:val="clear" w:color="auto" w:fill="2AD2C9"/>
          </w:tcPr>
          <w:p>
            <w:pPr>
              <w:ind w:left="220"/>
              <w:spacing w:after="0"/>
              <w:rPr>
                <w:sz w:val="20"/>
                <w:szCs w:val="20"/>
                <w:color w:val="auto"/>
              </w:rPr>
            </w:pPr>
            <w:r>
              <w:rPr>
                <w:rFonts w:ascii="Times New Roman" w:cs="Times New Roman" w:eastAsia="Times New Roman" w:hAnsi="Times New Roman"/>
                <w:sz w:val="15"/>
                <w:szCs w:val="15"/>
                <w:b w:val="1"/>
                <w:bCs w:val="1"/>
                <w:color w:val="FFFFFF"/>
              </w:rPr>
              <w:t>Balance</w:t>
            </w:r>
          </w:p>
        </w:tc>
        <w:tc>
          <w:tcPr>
            <w:tcW w:w="1060" w:type="dxa"/>
            <w:vAlign w:val="bottom"/>
            <w:vMerge w:val="continue"/>
            <w:shd w:val="clear" w:color="auto" w:fill="2AD2C9"/>
          </w:tcPr>
          <w:p>
            <w:pPr>
              <w:spacing w:after="0"/>
              <w:rPr>
                <w:sz w:val="8"/>
                <w:szCs w:val="8"/>
                <w:color w:val="auto"/>
              </w:rPr>
            </w:pPr>
          </w:p>
        </w:tc>
        <w:tc>
          <w:tcPr>
            <w:tcW w:w="980" w:type="dxa"/>
            <w:vAlign w:val="bottom"/>
            <w:tcBorders>
              <w:right w:val="single" w:sz="8" w:color="auto"/>
            </w:tcBorders>
            <w:vMerge w:val="continue"/>
            <w:shd w:val="clear" w:color="auto" w:fill="2AD2C9"/>
          </w:tcPr>
          <w:p>
            <w:pPr>
              <w:spacing w:after="0"/>
              <w:rPr>
                <w:sz w:val="8"/>
                <w:szCs w:val="8"/>
                <w:color w:val="auto"/>
              </w:rPr>
            </w:pPr>
          </w:p>
        </w:tc>
        <w:tc>
          <w:tcPr>
            <w:tcW w:w="980" w:type="dxa"/>
            <w:vAlign w:val="bottom"/>
            <w:vMerge w:val="restart"/>
            <w:shd w:val="clear" w:color="auto" w:fill="2AD2C9"/>
          </w:tcPr>
          <w:p>
            <w:pPr>
              <w:ind w:left="240"/>
              <w:spacing w:after="0"/>
              <w:rPr>
                <w:sz w:val="20"/>
                <w:szCs w:val="20"/>
                <w:color w:val="auto"/>
              </w:rPr>
            </w:pPr>
            <w:r>
              <w:rPr>
                <w:rFonts w:ascii="Times New Roman" w:cs="Times New Roman" w:eastAsia="Times New Roman" w:hAnsi="Times New Roman"/>
                <w:sz w:val="15"/>
                <w:szCs w:val="15"/>
                <w:b w:val="1"/>
                <w:bCs w:val="1"/>
                <w:color w:val="FFFFFF"/>
              </w:rPr>
              <w:t>Balance</w:t>
            </w:r>
          </w:p>
        </w:tc>
        <w:tc>
          <w:tcPr>
            <w:tcW w:w="1040" w:type="dxa"/>
            <w:vAlign w:val="bottom"/>
            <w:vMerge w:val="continue"/>
            <w:shd w:val="clear" w:color="auto" w:fill="2AD2C9"/>
          </w:tcPr>
          <w:p>
            <w:pPr>
              <w:spacing w:after="0"/>
              <w:rPr>
                <w:sz w:val="8"/>
                <w:szCs w:val="8"/>
                <w:color w:val="auto"/>
              </w:rPr>
            </w:pPr>
          </w:p>
        </w:tc>
        <w:tc>
          <w:tcPr>
            <w:tcW w:w="1000" w:type="dxa"/>
            <w:vAlign w:val="bottom"/>
            <w:tcBorders>
              <w:right w:val="single" w:sz="8" w:color="auto"/>
            </w:tcBorders>
            <w:vMerge w:val="continue"/>
            <w:shd w:val="clear" w:color="auto" w:fill="2AD2C9"/>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2160" w:type="dxa"/>
            <w:vAlign w:val="bottom"/>
            <w:tcBorders>
              <w:left w:val="single" w:sz="8" w:color="auto"/>
              <w:bottom w:val="single" w:sz="8" w:color="auto"/>
              <w:right w:val="single" w:sz="8" w:color="auto"/>
            </w:tcBorders>
            <w:vMerge w:val="continue"/>
            <w:shd w:val="clear" w:color="auto" w:fill="2AD2C9"/>
          </w:tcPr>
          <w:p>
            <w:pPr>
              <w:spacing w:after="0"/>
              <w:rPr>
                <w:sz w:val="9"/>
                <w:szCs w:val="9"/>
                <w:color w:val="auto"/>
              </w:rPr>
            </w:pPr>
          </w:p>
        </w:tc>
        <w:tc>
          <w:tcPr>
            <w:tcW w:w="1000" w:type="dxa"/>
            <w:vAlign w:val="bottom"/>
            <w:tcBorders>
              <w:bottom w:val="single" w:sz="8" w:color="auto"/>
            </w:tcBorders>
            <w:vMerge w:val="continue"/>
            <w:shd w:val="clear" w:color="auto" w:fill="2AD2C9"/>
          </w:tcPr>
          <w:p>
            <w:pPr>
              <w:spacing w:after="0"/>
              <w:rPr>
                <w:sz w:val="9"/>
                <w:szCs w:val="9"/>
                <w:color w:val="auto"/>
              </w:rPr>
            </w:pPr>
          </w:p>
        </w:tc>
        <w:tc>
          <w:tcPr>
            <w:tcW w:w="1060" w:type="dxa"/>
            <w:vAlign w:val="bottom"/>
            <w:tcBorders>
              <w:bottom w:val="single" w:sz="8" w:color="auto"/>
            </w:tcBorders>
            <w:shd w:val="clear" w:color="auto" w:fill="2AD2C9"/>
          </w:tcPr>
          <w:p>
            <w:pPr>
              <w:spacing w:after="0"/>
              <w:rPr>
                <w:sz w:val="9"/>
                <w:szCs w:val="9"/>
                <w:color w:val="auto"/>
              </w:rPr>
            </w:pPr>
          </w:p>
        </w:tc>
        <w:tc>
          <w:tcPr>
            <w:tcW w:w="1000" w:type="dxa"/>
            <w:vAlign w:val="bottom"/>
            <w:tcBorders>
              <w:bottom w:val="single" w:sz="8" w:color="auto"/>
              <w:right w:val="single" w:sz="8" w:color="auto"/>
            </w:tcBorders>
            <w:shd w:val="clear" w:color="auto" w:fill="2AD2C9"/>
          </w:tcPr>
          <w:p>
            <w:pPr>
              <w:spacing w:after="0"/>
              <w:rPr>
                <w:sz w:val="9"/>
                <w:szCs w:val="9"/>
                <w:color w:val="auto"/>
              </w:rPr>
            </w:pPr>
          </w:p>
        </w:tc>
        <w:tc>
          <w:tcPr>
            <w:tcW w:w="980" w:type="dxa"/>
            <w:vAlign w:val="bottom"/>
            <w:tcBorders>
              <w:bottom w:val="single" w:sz="8" w:color="auto"/>
            </w:tcBorders>
            <w:vMerge w:val="continue"/>
            <w:shd w:val="clear" w:color="auto" w:fill="2AD2C9"/>
          </w:tcPr>
          <w:p>
            <w:pPr>
              <w:spacing w:after="0"/>
              <w:rPr>
                <w:sz w:val="9"/>
                <w:szCs w:val="9"/>
                <w:color w:val="auto"/>
              </w:rPr>
            </w:pPr>
          </w:p>
        </w:tc>
        <w:tc>
          <w:tcPr>
            <w:tcW w:w="1060" w:type="dxa"/>
            <w:vAlign w:val="bottom"/>
            <w:tcBorders>
              <w:bottom w:val="single" w:sz="8" w:color="auto"/>
            </w:tcBorders>
            <w:shd w:val="clear" w:color="auto" w:fill="2AD2C9"/>
          </w:tcPr>
          <w:p>
            <w:pPr>
              <w:spacing w:after="0"/>
              <w:rPr>
                <w:sz w:val="9"/>
                <w:szCs w:val="9"/>
                <w:color w:val="auto"/>
              </w:rPr>
            </w:pPr>
          </w:p>
        </w:tc>
        <w:tc>
          <w:tcPr>
            <w:tcW w:w="980" w:type="dxa"/>
            <w:vAlign w:val="bottom"/>
            <w:tcBorders>
              <w:bottom w:val="single" w:sz="8" w:color="auto"/>
              <w:right w:val="single" w:sz="8" w:color="auto"/>
            </w:tcBorders>
            <w:shd w:val="clear" w:color="auto" w:fill="2AD2C9"/>
          </w:tcPr>
          <w:p>
            <w:pPr>
              <w:spacing w:after="0"/>
              <w:rPr>
                <w:sz w:val="9"/>
                <w:szCs w:val="9"/>
                <w:color w:val="auto"/>
              </w:rPr>
            </w:pPr>
          </w:p>
        </w:tc>
        <w:tc>
          <w:tcPr>
            <w:tcW w:w="980" w:type="dxa"/>
            <w:vAlign w:val="bottom"/>
            <w:tcBorders>
              <w:bottom w:val="single" w:sz="8" w:color="auto"/>
            </w:tcBorders>
            <w:vMerge w:val="continue"/>
            <w:shd w:val="clear" w:color="auto" w:fill="2AD2C9"/>
          </w:tcPr>
          <w:p>
            <w:pPr>
              <w:spacing w:after="0"/>
              <w:rPr>
                <w:sz w:val="9"/>
                <w:szCs w:val="9"/>
                <w:color w:val="auto"/>
              </w:rPr>
            </w:pPr>
          </w:p>
        </w:tc>
        <w:tc>
          <w:tcPr>
            <w:tcW w:w="1040" w:type="dxa"/>
            <w:vAlign w:val="bottom"/>
            <w:tcBorders>
              <w:bottom w:val="single" w:sz="8" w:color="auto"/>
            </w:tcBorders>
            <w:shd w:val="clear" w:color="auto" w:fill="2AD2C9"/>
          </w:tcPr>
          <w:p>
            <w:pPr>
              <w:spacing w:after="0"/>
              <w:rPr>
                <w:sz w:val="9"/>
                <w:szCs w:val="9"/>
                <w:color w:val="auto"/>
              </w:rPr>
            </w:pPr>
          </w:p>
        </w:tc>
        <w:tc>
          <w:tcPr>
            <w:tcW w:w="1000" w:type="dxa"/>
            <w:vAlign w:val="bottom"/>
            <w:tcBorders>
              <w:bottom w:val="single" w:sz="8" w:color="auto"/>
              <w:right w:val="single" w:sz="8" w:color="auto"/>
            </w:tcBorders>
            <w:shd w:val="clear" w:color="auto" w:fill="2AD2C9"/>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21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b w:val="1"/>
                <w:bCs w:val="1"/>
                <w:color w:val="auto"/>
              </w:rPr>
              <w:t>Total (LC + FC)</w:t>
            </w:r>
          </w:p>
        </w:tc>
        <w:tc>
          <w:tcPr>
            <w:tcW w:w="1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9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9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1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Cash and equivalents</w:t>
            </w: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6"/>
              </w:rPr>
              <w:t>38,821</w:t>
            </w:r>
          </w:p>
        </w:tc>
        <w:tc>
          <w:tcPr>
            <w:tcW w:w="10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345</w:t>
            </w:r>
          </w:p>
        </w:tc>
        <w:tc>
          <w:tcPr>
            <w:tcW w:w="1000" w:type="dxa"/>
            <w:vAlign w:val="bottom"/>
            <w:tcBorders>
              <w:right w:val="single" w:sz="8" w:color="auto"/>
            </w:tcBorders>
          </w:tcPr>
          <w:p>
            <w:pPr>
              <w:jc w:val="center"/>
              <w:ind w:right="4"/>
              <w:spacing w:after="0"/>
              <w:rPr>
                <w:sz w:val="20"/>
                <w:szCs w:val="20"/>
                <w:color w:val="auto"/>
              </w:rPr>
            </w:pPr>
            <w:r>
              <w:rPr>
                <w:rFonts w:ascii="Times New Roman" w:cs="Times New Roman" w:eastAsia="Times New Roman" w:hAnsi="Times New Roman"/>
                <w:sz w:val="15"/>
                <w:szCs w:val="15"/>
                <w:color w:val="auto"/>
              </w:rPr>
              <w:t>3.6%</w:t>
            </w:r>
          </w:p>
        </w:tc>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38,628</w:t>
            </w:r>
          </w:p>
        </w:tc>
        <w:tc>
          <w:tcPr>
            <w:tcW w:w="10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366</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3.8%</w:t>
            </w:r>
          </w:p>
        </w:tc>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42,187</w:t>
            </w:r>
          </w:p>
        </w:tc>
        <w:tc>
          <w:tcPr>
            <w:tcW w:w="10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322</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3.1%</w:t>
            </w:r>
          </w:p>
        </w:tc>
        <w:tc>
          <w:tcPr>
            <w:tcW w:w="0" w:type="dxa"/>
            <w:vAlign w:val="bottom"/>
          </w:tcPr>
          <w:p>
            <w:pPr>
              <w:spacing w:after="0"/>
              <w:rPr>
                <w:sz w:val="1"/>
                <w:szCs w:val="1"/>
                <w:color w:val="auto"/>
              </w:rPr>
            </w:pPr>
          </w:p>
        </w:tc>
      </w:tr>
      <w:tr>
        <w:trPr>
          <w:trHeight w:val="190"/>
        </w:trPr>
        <w:tc>
          <w:tcPr>
            <w:tcW w:w="21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Other IEA</w:t>
            </w: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1,434</w:t>
            </w:r>
          </w:p>
        </w:tc>
        <w:tc>
          <w:tcPr>
            <w:tcW w:w="10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19</w:t>
            </w:r>
          </w:p>
        </w:tc>
        <w:tc>
          <w:tcPr>
            <w:tcW w:w="1000" w:type="dxa"/>
            <w:vAlign w:val="bottom"/>
            <w:tcBorders>
              <w:right w:val="single" w:sz="8" w:color="auto"/>
            </w:tcBorders>
          </w:tcPr>
          <w:p>
            <w:pPr>
              <w:jc w:val="center"/>
              <w:ind w:right="4"/>
              <w:spacing w:after="0"/>
              <w:rPr>
                <w:sz w:val="20"/>
                <w:szCs w:val="20"/>
                <w:color w:val="auto"/>
              </w:rPr>
            </w:pPr>
            <w:r>
              <w:rPr>
                <w:rFonts w:ascii="Times New Roman" w:cs="Times New Roman" w:eastAsia="Times New Roman" w:hAnsi="Times New Roman"/>
                <w:sz w:val="15"/>
                <w:szCs w:val="15"/>
                <w:color w:val="auto"/>
              </w:rPr>
              <w:t>5.3%</w:t>
            </w:r>
          </w:p>
        </w:tc>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2,791</w:t>
            </w:r>
          </w:p>
        </w:tc>
        <w:tc>
          <w:tcPr>
            <w:tcW w:w="10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26</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3.7%</w:t>
            </w:r>
          </w:p>
        </w:tc>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2,194</w:t>
            </w:r>
          </w:p>
        </w:tc>
        <w:tc>
          <w:tcPr>
            <w:tcW w:w="10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22</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4.0%</w:t>
            </w:r>
          </w:p>
        </w:tc>
        <w:tc>
          <w:tcPr>
            <w:tcW w:w="0" w:type="dxa"/>
            <w:vAlign w:val="bottom"/>
          </w:tcPr>
          <w:p>
            <w:pPr>
              <w:spacing w:after="0"/>
              <w:rPr>
                <w:sz w:val="1"/>
                <w:szCs w:val="1"/>
                <w:color w:val="auto"/>
              </w:rPr>
            </w:pPr>
          </w:p>
        </w:tc>
      </w:tr>
      <w:tr>
        <w:trPr>
          <w:trHeight w:val="190"/>
        </w:trPr>
        <w:tc>
          <w:tcPr>
            <w:tcW w:w="21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Investments</w:t>
            </w: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6"/>
              </w:rPr>
              <w:t>54,716</w:t>
            </w:r>
          </w:p>
        </w:tc>
        <w:tc>
          <w:tcPr>
            <w:tcW w:w="10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683</w:t>
            </w:r>
          </w:p>
        </w:tc>
        <w:tc>
          <w:tcPr>
            <w:tcW w:w="1000" w:type="dxa"/>
            <w:vAlign w:val="bottom"/>
            <w:tcBorders>
              <w:right w:val="single" w:sz="8" w:color="auto"/>
            </w:tcBorders>
          </w:tcPr>
          <w:p>
            <w:pPr>
              <w:jc w:val="center"/>
              <w:ind w:right="4"/>
              <w:spacing w:after="0"/>
              <w:rPr>
                <w:sz w:val="20"/>
                <w:szCs w:val="20"/>
                <w:color w:val="auto"/>
              </w:rPr>
            </w:pPr>
            <w:r>
              <w:rPr>
                <w:rFonts w:ascii="Times New Roman" w:cs="Times New Roman" w:eastAsia="Times New Roman" w:hAnsi="Times New Roman"/>
                <w:sz w:val="15"/>
                <w:szCs w:val="15"/>
                <w:color w:val="auto"/>
              </w:rPr>
              <w:t>5.0%</w:t>
            </w:r>
          </w:p>
        </w:tc>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51,996</w:t>
            </w:r>
          </w:p>
        </w:tc>
        <w:tc>
          <w:tcPr>
            <w:tcW w:w="10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639</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4.9%</w:t>
            </w:r>
          </w:p>
        </w:tc>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55,156</w:t>
            </w:r>
          </w:p>
        </w:tc>
        <w:tc>
          <w:tcPr>
            <w:tcW w:w="10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727</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5.3%</w:t>
            </w:r>
          </w:p>
        </w:tc>
        <w:tc>
          <w:tcPr>
            <w:tcW w:w="0" w:type="dxa"/>
            <w:vAlign w:val="bottom"/>
          </w:tcPr>
          <w:p>
            <w:pPr>
              <w:spacing w:after="0"/>
              <w:rPr>
                <w:sz w:val="1"/>
                <w:szCs w:val="1"/>
                <w:color w:val="auto"/>
              </w:rPr>
            </w:pPr>
          </w:p>
        </w:tc>
      </w:tr>
      <w:tr>
        <w:trPr>
          <w:trHeight w:val="200"/>
        </w:trPr>
        <w:tc>
          <w:tcPr>
            <w:tcW w:w="2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Loans</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143,465</w:t>
            </w: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3,848</w:t>
            </w:r>
          </w:p>
        </w:tc>
        <w:tc>
          <w:tcPr>
            <w:tcW w:w="1000" w:type="dxa"/>
            <w:vAlign w:val="bottom"/>
            <w:tcBorders>
              <w:bottom w:val="single" w:sz="8" w:color="auto"/>
              <w:right w:val="single" w:sz="8" w:color="auto"/>
            </w:tcBorders>
          </w:tcPr>
          <w:p>
            <w:pPr>
              <w:jc w:val="center"/>
              <w:ind w:right="4"/>
              <w:spacing w:after="0"/>
              <w:rPr>
                <w:sz w:val="20"/>
                <w:szCs w:val="20"/>
                <w:color w:val="auto"/>
              </w:rPr>
            </w:pPr>
            <w:r>
              <w:rPr>
                <w:rFonts w:ascii="Times New Roman" w:cs="Times New Roman" w:eastAsia="Times New Roman" w:hAnsi="Times New Roman"/>
                <w:sz w:val="15"/>
                <w:szCs w:val="15"/>
                <w:color w:val="auto"/>
              </w:rPr>
              <w:t>10.7%</w:t>
            </w: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147,369</w:t>
            </w: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4,094</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11.1%</w:t>
            </w: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151,405</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4,143</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10.9%</w:t>
            </w:r>
          </w:p>
        </w:tc>
        <w:tc>
          <w:tcPr>
            <w:tcW w:w="0" w:type="dxa"/>
            <w:vAlign w:val="bottom"/>
          </w:tcPr>
          <w:p>
            <w:pPr>
              <w:spacing w:after="0"/>
              <w:rPr>
                <w:sz w:val="1"/>
                <w:szCs w:val="1"/>
                <w:color w:val="auto"/>
              </w:rPr>
            </w:pPr>
          </w:p>
        </w:tc>
      </w:tr>
      <w:tr>
        <w:trPr>
          <w:trHeight w:val="185"/>
        </w:trPr>
        <w:tc>
          <w:tcPr>
            <w:tcW w:w="2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b w:val="1"/>
                <w:bCs w:val="1"/>
                <w:color w:val="auto"/>
              </w:rPr>
              <w:t>Total IEA</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238,436</w:t>
            </w: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4,895</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8.2%</w:t>
            </w: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240,784</w:t>
            </w: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5,125</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8.5%</w:t>
            </w: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250,942</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5,214</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8.3%</w:t>
            </w:r>
          </w:p>
        </w:tc>
        <w:tc>
          <w:tcPr>
            <w:tcW w:w="0" w:type="dxa"/>
            <w:vAlign w:val="bottom"/>
          </w:tcPr>
          <w:p>
            <w:pPr>
              <w:spacing w:after="0"/>
              <w:rPr>
                <w:sz w:val="1"/>
                <w:szCs w:val="1"/>
                <w:color w:val="auto"/>
              </w:rPr>
            </w:pPr>
          </w:p>
        </w:tc>
      </w:tr>
      <w:tr>
        <w:trPr>
          <w:trHeight w:val="183"/>
        </w:trPr>
        <w:tc>
          <w:tcPr>
            <w:tcW w:w="2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IEA (LC)</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55.6%</w:t>
            </w: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70.5%</w:t>
            </w:r>
          </w:p>
        </w:tc>
        <w:tc>
          <w:tcPr>
            <w:tcW w:w="1000" w:type="dxa"/>
            <w:vAlign w:val="bottom"/>
            <w:tcBorders>
              <w:bottom w:val="single" w:sz="8" w:color="auto"/>
              <w:right w:val="single" w:sz="8" w:color="auto"/>
            </w:tcBorders>
          </w:tcPr>
          <w:p>
            <w:pPr>
              <w:jc w:val="center"/>
              <w:ind w:right="4"/>
              <w:spacing w:after="0"/>
              <w:rPr>
                <w:sz w:val="20"/>
                <w:szCs w:val="20"/>
                <w:color w:val="auto"/>
              </w:rPr>
            </w:pPr>
            <w:r>
              <w:rPr>
                <w:rFonts w:ascii="Times New Roman" w:cs="Times New Roman" w:eastAsia="Times New Roman" w:hAnsi="Times New Roman"/>
                <w:sz w:val="15"/>
                <w:szCs w:val="15"/>
                <w:color w:val="auto"/>
              </w:rPr>
              <w:t>10.4%</w:t>
            </w: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56.6%</w:t>
            </w: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71.2%</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10.7%</w:t>
            </w: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56.4%</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72.5%</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10.7%</w:t>
            </w:r>
          </w:p>
        </w:tc>
        <w:tc>
          <w:tcPr>
            <w:tcW w:w="0" w:type="dxa"/>
            <w:vAlign w:val="bottom"/>
          </w:tcPr>
          <w:p>
            <w:pPr>
              <w:spacing w:after="0"/>
              <w:rPr>
                <w:sz w:val="1"/>
                <w:szCs w:val="1"/>
                <w:color w:val="auto"/>
              </w:rPr>
            </w:pPr>
          </w:p>
        </w:tc>
      </w:tr>
      <w:tr>
        <w:trPr>
          <w:trHeight w:val="183"/>
        </w:trPr>
        <w:tc>
          <w:tcPr>
            <w:tcW w:w="2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IEA (FC)</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44.4%</w:t>
            </w: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29.5%</w:t>
            </w:r>
          </w:p>
        </w:tc>
        <w:tc>
          <w:tcPr>
            <w:tcW w:w="1000" w:type="dxa"/>
            <w:vAlign w:val="bottom"/>
            <w:tcBorders>
              <w:bottom w:val="single" w:sz="8" w:color="auto"/>
              <w:right w:val="single" w:sz="8" w:color="auto"/>
            </w:tcBorders>
          </w:tcPr>
          <w:p>
            <w:pPr>
              <w:jc w:val="center"/>
              <w:ind w:right="4"/>
              <w:spacing w:after="0"/>
              <w:rPr>
                <w:sz w:val="20"/>
                <w:szCs w:val="20"/>
                <w:color w:val="auto"/>
              </w:rPr>
            </w:pPr>
            <w:r>
              <w:rPr>
                <w:rFonts w:ascii="Times New Roman" w:cs="Times New Roman" w:eastAsia="Times New Roman" w:hAnsi="Times New Roman"/>
                <w:sz w:val="15"/>
                <w:szCs w:val="15"/>
                <w:color w:val="auto"/>
              </w:rPr>
              <w:t>5.5%</w:t>
            </w: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43.4%</w:t>
            </w: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28.8%</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5.6%</w:t>
            </w: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43.6%</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27.5%</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5.2%</w:t>
            </w:r>
          </w:p>
        </w:tc>
        <w:tc>
          <w:tcPr>
            <w:tcW w:w="0" w:type="dxa"/>
            <w:vAlign w:val="bottom"/>
          </w:tcPr>
          <w:p>
            <w:pPr>
              <w:spacing w:after="0"/>
              <w:rPr>
                <w:sz w:val="1"/>
                <w:szCs w:val="1"/>
                <w:color w:val="auto"/>
              </w:rPr>
            </w:pPr>
          </w:p>
        </w:tc>
      </w:tr>
      <w:tr>
        <w:trPr>
          <w:trHeight w:val="183"/>
        </w:trPr>
        <w:tc>
          <w:tcPr>
            <w:tcW w:w="2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160" w:type="dxa"/>
            <w:vAlign w:val="bottom"/>
            <w:tcBorders>
              <w:left w:val="single" w:sz="8" w:color="auto"/>
              <w:right w:val="single" w:sz="8" w:color="auto"/>
            </w:tcBorders>
            <w:vMerge w:val="restart"/>
            <w:shd w:val="clear" w:color="auto" w:fill="2AD2C9"/>
          </w:tcPr>
          <w:p>
            <w:pPr>
              <w:ind w:left="40"/>
              <w:spacing w:after="0"/>
              <w:rPr>
                <w:sz w:val="20"/>
                <w:szCs w:val="20"/>
                <w:color w:val="auto"/>
              </w:rPr>
            </w:pPr>
            <w:r>
              <w:rPr>
                <w:rFonts w:ascii="Times New Roman" w:cs="Times New Roman" w:eastAsia="Times New Roman" w:hAnsi="Times New Roman"/>
                <w:sz w:val="15"/>
                <w:szCs w:val="15"/>
                <w:b w:val="1"/>
                <w:bCs w:val="1"/>
                <w:color w:val="FFFFFF"/>
              </w:rPr>
              <w:t>Interest Income / Funding</w:t>
            </w:r>
          </w:p>
        </w:tc>
        <w:tc>
          <w:tcPr>
            <w:tcW w:w="1000" w:type="dxa"/>
            <w:vAlign w:val="bottom"/>
            <w:vMerge w:val="restart"/>
            <w:shd w:val="clear" w:color="auto" w:fill="2AD2C9"/>
          </w:tcPr>
          <w:p>
            <w:pPr>
              <w:ind w:left="240"/>
              <w:spacing w:after="0"/>
              <w:rPr>
                <w:sz w:val="20"/>
                <w:szCs w:val="20"/>
                <w:color w:val="auto"/>
              </w:rPr>
            </w:pPr>
            <w:r>
              <w:rPr>
                <w:rFonts w:ascii="Times New Roman" w:cs="Times New Roman" w:eastAsia="Times New Roman" w:hAnsi="Times New Roman"/>
                <w:sz w:val="15"/>
                <w:szCs w:val="15"/>
                <w:b w:val="1"/>
                <w:bCs w:val="1"/>
                <w:color w:val="FFFFFF"/>
              </w:rPr>
              <w:t>Average</w:t>
            </w:r>
          </w:p>
        </w:tc>
        <w:tc>
          <w:tcPr>
            <w:tcW w:w="1060" w:type="dxa"/>
            <w:vAlign w:val="bottom"/>
            <w:shd w:val="clear" w:color="auto" w:fill="2AD2C9"/>
          </w:tcPr>
          <w:p>
            <w:pPr>
              <w:jc w:val="center"/>
              <w:spacing w:after="0"/>
              <w:rPr>
                <w:sz w:val="20"/>
                <w:szCs w:val="20"/>
                <w:color w:val="auto"/>
              </w:rPr>
            </w:pPr>
            <w:r>
              <w:rPr>
                <w:rFonts w:ascii="Times New Roman" w:cs="Times New Roman" w:eastAsia="Times New Roman" w:hAnsi="Times New Roman"/>
                <w:sz w:val="15"/>
                <w:szCs w:val="15"/>
                <w:b w:val="1"/>
                <w:bCs w:val="1"/>
                <w:color w:val="FFFFFF"/>
                <w:w w:val="99"/>
              </w:rPr>
              <w:t>1Q25</w:t>
            </w:r>
          </w:p>
        </w:tc>
        <w:tc>
          <w:tcPr>
            <w:tcW w:w="1000" w:type="dxa"/>
            <w:vAlign w:val="bottom"/>
            <w:tcBorders>
              <w:right w:val="single" w:sz="8" w:color="auto"/>
            </w:tcBorders>
            <w:shd w:val="clear" w:color="auto" w:fill="2AD2C9"/>
          </w:tcPr>
          <w:p>
            <w:pPr>
              <w:spacing w:after="0"/>
              <w:rPr>
                <w:sz w:val="16"/>
                <w:szCs w:val="16"/>
                <w:color w:val="auto"/>
              </w:rPr>
            </w:pPr>
          </w:p>
        </w:tc>
        <w:tc>
          <w:tcPr>
            <w:tcW w:w="980" w:type="dxa"/>
            <w:vAlign w:val="bottom"/>
            <w:vMerge w:val="restart"/>
            <w:shd w:val="clear" w:color="auto" w:fill="2AD2C9"/>
          </w:tcPr>
          <w:p>
            <w:pPr>
              <w:ind w:left="220"/>
              <w:spacing w:after="0"/>
              <w:rPr>
                <w:sz w:val="20"/>
                <w:szCs w:val="20"/>
                <w:color w:val="auto"/>
              </w:rPr>
            </w:pPr>
            <w:r>
              <w:rPr>
                <w:rFonts w:ascii="Times New Roman" w:cs="Times New Roman" w:eastAsia="Times New Roman" w:hAnsi="Times New Roman"/>
                <w:sz w:val="15"/>
                <w:szCs w:val="15"/>
                <w:b w:val="1"/>
                <w:bCs w:val="1"/>
                <w:color w:val="FFFFFF"/>
              </w:rPr>
              <w:t>Average</w:t>
            </w:r>
          </w:p>
        </w:tc>
        <w:tc>
          <w:tcPr>
            <w:tcW w:w="1060" w:type="dxa"/>
            <w:vAlign w:val="bottom"/>
            <w:shd w:val="clear" w:color="auto" w:fill="2AD2C9"/>
          </w:tcPr>
          <w:p>
            <w:pPr>
              <w:jc w:val="center"/>
              <w:spacing w:after="0"/>
              <w:rPr>
                <w:sz w:val="20"/>
                <w:szCs w:val="20"/>
                <w:color w:val="auto"/>
              </w:rPr>
            </w:pPr>
            <w:r>
              <w:rPr>
                <w:rFonts w:ascii="Times New Roman" w:cs="Times New Roman" w:eastAsia="Times New Roman" w:hAnsi="Times New Roman"/>
                <w:sz w:val="15"/>
                <w:szCs w:val="15"/>
                <w:b w:val="1"/>
                <w:bCs w:val="1"/>
                <w:color w:val="FFFFFF"/>
                <w:w w:val="99"/>
              </w:rPr>
              <w:t>4Q25</w:t>
            </w:r>
          </w:p>
        </w:tc>
        <w:tc>
          <w:tcPr>
            <w:tcW w:w="980" w:type="dxa"/>
            <w:vAlign w:val="bottom"/>
            <w:tcBorders>
              <w:right w:val="single" w:sz="8" w:color="auto"/>
            </w:tcBorders>
            <w:shd w:val="clear" w:color="auto" w:fill="2AD2C9"/>
          </w:tcPr>
          <w:p>
            <w:pPr>
              <w:spacing w:after="0"/>
              <w:rPr>
                <w:sz w:val="16"/>
                <w:szCs w:val="16"/>
                <w:color w:val="auto"/>
              </w:rPr>
            </w:pPr>
          </w:p>
        </w:tc>
        <w:tc>
          <w:tcPr>
            <w:tcW w:w="980" w:type="dxa"/>
            <w:vAlign w:val="bottom"/>
            <w:vMerge w:val="restart"/>
            <w:shd w:val="clear" w:color="auto" w:fill="2AD2C9"/>
          </w:tcPr>
          <w:p>
            <w:pPr>
              <w:ind w:left="220"/>
              <w:spacing w:after="0"/>
              <w:rPr>
                <w:sz w:val="20"/>
                <w:szCs w:val="20"/>
                <w:color w:val="auto"/>
              </w:rPr>
            </w:pPr>
            <w:r>
              <w:rPr>
                <w:rFonts w:ascii="Times New Roman" w:cs="Times New Roman" w:eastAsia="Times New Roman" w:hAnsi="Times New Roman"/>
                <w:sz w:val="15"/>
                <w:szCs w:val="15"/>
                <w:b w:val="1"/>
                <w:bCs w:val="1"/>
                <w:color w:val="FFFFFF"/>
              </w:rPr>
              <w:t>Average</w:t>
            </w:r>
          </w:p>
        </w:tc>
        <w:tc>
          <w:tcPr>
            <w:tcW w:w="1040" w:type="dxa"/>
            <w:vAlign w:val="bottom"/>
            <w:shd w:val="clear" w:color="auto" w:fill="2AD2C9"/>
          </w:tcPr>
          <w:p>
            <w:pPr>
              <w:jc w:val="center"/>
              <w:spacing w:after="0"/>
              <w:rPr>
                <w:sz w:val="20"/>
                <w:szCs w:val="20"/>
                <w:color w:val="auto"/>
              </w:rPr>
            </w:pPr>
            <w:r>
              <w:rPr>
                <w:rFonts w:ascii="Times New Roman" w:cs="Times New Roman" w:eastAsia="Times New Roman" w:hAnsi="Times New Roman"/>
                <w:sz w:val="15"/>
                <w:szCs w:val="15"/>
                <w:b w:val="1"/>
                <w:bCs w:val="1"/>
                <w:color w:val="FFFFFF"/>
                <w:w w:val="99"/>
              </w:rPr>
              <w:t>1Q26</w:t>
            </w:r>
          </w:p>
        </w:tc>
        <w:tc>
          <w:tcPr>
            <w:tcW w:w="1000" w:type="dxa"/>
            <w:vAlign w:val="bottom"/>
            <w:tcBorders>
              <w:right w:val="single" w:sz="8" w:color="auto"/>
            </w:tcBorders>
            <w:shd w:val="clear" w:color="auto" w:fill="2AD2C9"/>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2160" w:type="dxa"/>
            <w:vAlign w:val="bottom"/>
            <w:tcBorders>
              <w:left w:val="single" w:sz="8" w:color="auto"/>
              <w:right w:val="single" w:sz="8" w:color="auto"/>
            </w:tcBorders>
            <w:vMerge w:val="continue"/>
            <w:shd w:val="clear" w:color="auto" w:fill="2AD2C9"/>
          </w:tcPr>
          <w:p>
            <w:pPr>
              <w:spacing w:after="0"/>
              <w:rPr>
                <w:sz w:val="6"/>
                <w:szCs w:val="6"/>
                <w:color w:val="auto"/>
              </w:rPr>
            </w:pPr>
          </w:p>
        </w:tc>
        <w:tc>
          <w:tcPr>
            <w:tcW w:w="1000" w:type="dxa"/>
            <w:vAlign w:val="bottom"/>
            <w:vMerge w:val="continue"/>
            <w:shd w:val="clear" w:color="auto" w:fill="2AD2C9"/>
          </w:tcPr>
          <w:p>
            <w:pPr>
              <w:spacing w:after="0"/>
              <w:rPr>
                <w:sz w:val="6"/>
                <w:szCs w:val="6"/>
                <w:color w:val="auto"/>
              </w:rPr>
            </w:pPr>
          </w:p>
        </w:tc>
        <w:tc>
          <w:tcPr>
            <w:tcW w:w="1060" w:type="dxa"/>
            <w:vAlign w:val="bottom"/>
            <w:vMerge w:val="restart"/>
            <w:shd w:val="clear" w:color="auto" w:fill="2AD2C9"/>
          </w:tcPr>
          <w:p>
            <w:pPr>
              <w:jc w:val="center"/>
              <w:spacing w:after="0"/>
              <w:rPr>
                <w:sz w:val="20"/>
                <w:szCs w:val="20"/>
                <w:color w:val="auto"/>
              </w:rPr>
            </w:pPr>
            <w:r>
              <w:rPr>
                <w:rFonts w:ascii="Times New Roman" w:cs="Times New Roman" w:eastAsia="Times New Roman" w:hAnsi="Times New Roman"/>
                <w:sz w:val="15"/>
                <w:szCs w:val="15"/>
                <w:b w:val="1"/>
                <w:bCs w:val="1"/>
                <w:color w:val="FFFFFF"/>
              </w:rPr>
              <w:t>Expense</w:t>
            </w:r>
          </w:p>
        </w:tc>
        <w:tc>
          <w:tcPr>
            <w:tcW w:w="1000" w:type="dxa"/>
            <w:vAlign w:val="bottom"/>
            <w:tcBorders>
              <w:right w:val="single" w:sz="8" w:color="auto"/>
            </w:tcBorders>
            <w:vMerge w:val="restart"/>
            <w:shd w:val="clear" w:color="auto" w:fill="2AD2C9"/>
          </w:tcPr>
          <w:p>
            <w:pPr>
              <w:ind w:left="260"/>
              <w:spacing w:after="0"/>
              <w:rPr>
                <w:sz w:val="20"/>
                <w:szCs w:val="20"/>
                <w:color w:val="auto"/>
              </w:rPr>
            </w:pPr>
            <w:r>
              <w:rPr>
                <w:rFonts w:ascii="Times New Roman" w:cs="Times New Roman" w:eastAsia="Times New Roman" w:hAnsi="Times New Roman"/>
                <w:sz w:val="15"/>
                <w:szCs w:val="15"/>
                <w:b w:val="1"/>
                <w:bCs w:val="1"/>
                <w:color w:val="FFFFFF"/>
              </w:rPr>
              <w:t>Yields</w:t>
            </w:r>
          </w:p>
        </w:tc>
        <w:tc>
          <w:tcPr>
            <w:tcW w:w="980" w:type="dxa"/>
            <w:vAlign w:val="bottom"/>
            <w:vMerge w:val="continue"/>
            <w:shd w:val="clear" w:color="auto" w:fill="2AD2C9"/>
          </w:tcPr>
          <w:p>
            <w:pPr>
              <w:spacing w:after="0"/>
              <w:rPr>
                <w:sz w:val="6"/>
                <w:szCs w:val="6"/>
                <w:color w:val="auto"/>
              </w:rPr>
            </w:pPr>
          </w:p>
        </w:tc>
        <w:tc>
          <w:tcPr>
            <w:tcW w:w="1060" w:type="dxa"/>
            <w:vAlign w:val="bottom"/>
            <w:vMerge w:val="restart"/>
            <w:shd w:val="clear" w:color="auto" w:fill="2AD2C9"/>
          </w:tcPr>
          <w:p>
            <w:pPr>
              <w:jc w:val="center"/>
              <w:spacing w:after="0"/>
              <w:rPr>
                <w:sz w:val="20"/>
                <w:szCs w:val="20"/>
                <w:color w:val="auto"/>
              </w:rPr>
            </w:pPr>
            <w:r>
              <w:rPr>
                <w:rFonts w:ascii="Times New Roman" w:cs="Times New Roman" w:eastAsia="Times New Roman" w:hAnsi="Times New Roman"/>
                <w:sz w:val="15"/>
                <w:szCs w:val="15"/>
                <w:b w:val="1"/>
                <w:bCs w:val="1"/>
                <w:color w:val="FFFFFF"/>
              </w:rPr>
              <w:t>Expense</w:t>
            </w:r>
          </w:p>
        </w:tc>
        <w:tc>
          <w:tcPr>
            <w:tcW w:w="980" w:type="dxa"/>
            <w:vAlign w:val="bottom"/>
            <w:tcBorders>
              <w:right w:val="single" w:sz="8" w:color="auto"/>
            </w:tcBorders>
            <w:vMerge w:val="restart"/>
            <w:shd w:val="clear" w:color="auto" w:fill="2AD2C9"/>
          </w:tcPr>
          <w:p>
            <w:pPr>
              <w:ind w:left="260"/>
              <w:spacing w:after="0"/>
              <w:rPr>
                <w:sz w:val="20"/>
                <w:szCs w:val="20"/>
                <w:color w:val="auto"/>
              </w:rPr>
            </w:pPr>
            <w:r>
              <w:rPr>
                <w:rFonts w:ascii="Times New Roman" w:cs="Times New Roman" w:eastAsia="Times New Roman" w:hAnsi="Times New Roman"/>
                <w:sz w:val="15"/>
                <w:szCs w:val="15"/>
                <w:b w:val="1"/>
                <w:bCs w:val="1"/>
                <w:color w:val="FFFFFF"/>
              </w:rPr>
              <w:t>Yields</w:t>
            </w:r>
          </w:p>
        </w:tc>
        <w:tc>
          <w:tcPr>
            <w:tcW w:w="980" w:type="dxa"/>
            <w:vAlign w:val="bottom"/>
            <w:vMerge w:val="continue"/>
            <w:shd w:val="clear" w:color="auto" w:fill="2AD2C9"/>
          </w:tcPr>
          <w:p>
            <w:pPr>
              <w:spacing w:after="0"/>
              <w:rPr>
                <w:sz w:val="6"/>
                <w:szCs w:val="6"/>
                <w:color w:val="auto"/>
              </w:rPr>
            </w:pPr>
          </w:p>
        </w:tc>
        <w:tc>
          <w:tcPr>
            <w:tcW w:w="1040" w:type="dxa"/>
            <w:vAlign w:val="bottom"/>
            <w:vMerge w:val="restart"/>
            <w:shd w:val="clear" w:color="auto" w:fill="2AD2C9"/>
          </w:tcPr>
          <w:p>
            <w:pPr>
              <w:jc w:val="center"/>
              <w:spacing w:after="0"/>
              <w:rPr>
                <w:sz w:val="20"/>
                <w:szCs w:val="20"/>
                <w:color w:val="auto"/>
              </w:rPr>
            </w:pPr>
            <w:r>
              <w:rPr>
                <w:rFonts w:ascii="Times New Roman" w:cs="Times New Roman" w:eastAsia="Times New Roman" w:hAnsi="Times New Roman"/>
                <w:sz w:val="15"/>
                <w:szCs w:val="15"/>
                <w:b w:val="1"/>
                <w:bCs w:val="1"/>
                <w:color w:val="FFFFFF"/>
              </w:rPr>
              <w:t>Expense</w:t>
            </w:r>
          </w:p>
        </w:tc>
        <w:tc>
          <w:tcPr>
            <w:tcW w:w="1000" w:type="dxa"/>
            <w:vAlign w:val="bottom"/>
            <w:tcBorders>
              <w:right w:val="single" w:sz="8" w:color="auto"/>
            </w:tcBorders>
            <w:vMerge w:val="restart"/>
            <w:shd w:val="clear" w:color="auto" w:fill="2AD2C9"/>
          </w:tcPr>
          <w:p>
            <w:pPr>
              <w:ind w:left="280"/>
              <w:spacing w:after="0"/>
              <w:rPr>
                <w:sz w:val="20"/>
                <w:szCs w:val="20"/>
                <w:color w:val="auto"/>
              </w:rPr>
            </w:pPr>
            <w:r>
              <w:rPr>
                <w:rFonts w:ascii="Times New Roman" w:cs="Times New Roman" w:eastAsia="Times New Roman" w:hAnsi="Times New Roman"/>
                <w:sz w:val="15"/>
                <w:szCs w:val="15"/>
                <w:b w:val="1"/>
                <w:bCs w:val="1"/>
                <w:color w:val="FFFFFF"/>
              </w:rPr>
              <w:t>Yields</w:t>
            </w:r>
          </w:p>
        </w:tc>
        <w:tc>
          <w:tcPr>
            <w:tcW w:w="0" w:type="dxa"/>
            <w:vAlign w:val="bottom"/>
          </w:tcPr>
          <w:p>
            <w:pPr>
              <w:spacing w:after="0"/>
              <w:rPr>
                <w:sz w:val="1"/>
                <w:szCs w:val="1"/>
                <w:color w:val="auto"/>
              </w:rPr>
            </w:pPr>
          </w:p>
        </w:tc>
      </w:tr>
      <w:tr>
        <w:trPr>
          <w:trHeight w:val="90"/>
        </w:trPr>
        <w:tc>
          <w:tcPr>
            <w:tcW w:w="2160" w:type="dxa"/>
            <w:vAlign w:val="bottom"/>
            <w:tcBorders>
              <w:left w:val="single" w:sz="8" w:color="auto"/>
              <w:right w:val="single" w:sz="8" w:color="auto"/>
            </w:tcBorders>
            <w:shd w:val="clear" w:color="auto" w:fill="2AD2C9"/>
          </w:tcPr>
          <w:p>
            <w:pPr>
              <w:spacing w:after="0"/>
              <w:rPr>
                <w:sz w:val="7"/>
                <w:szCs w:val="7"/>
                <w:color w:val="auto"/>
              </w:rPr>
            </w:pPr>
          </w:p>
        </w:tc>
        <w:tc>
          <w:tcPr>
            <w:tcW w:w="1000" w:type="dxa"/>
            <w:vAlign w:val="bottom"/>
            <w:vMerge w:val="continue"/>
            <w:shd w:val="clear" w:color="auto" w:fill="2AD2C9"/>
          </w:tcPr>
          <w:p>
            <w:pPr>
              <w:spacing w:after="0"/>
              <w:rPr>
                <w:sz w:val="7"/>
                <w:szCs w:val="7"/>
                <w:color w:val="auto"/>
              </w:rPr>
            </w:pPr>
          </w:p>
        </w:tc>
        <w:tc>
          <w:tcPr>
            <w:tcW w:w="1060" w:type="dxa"/>
            <w:vAlign w:val="bottom"/>
            <w:vMerge w:val="continue"/>
            <w:shd w:val="clear" w:color="auto" w:fill="2AD2C9"/>
          </w:tcPr>
          <w:p>
            <w:pPr>
              <w:spacing w:after="0"/>
              <w:rPr>
                <w:sz w:val="7"/>
                <w:szCs w:val="7"/>
                <w:color w:val="auto"/>
              </w:rPr>
            </w:pPr>
          </w:p>
        </w:tc>
        <w:tc>
          <w:tcPr>
            <w:tcW w:w="1000" w:type="dxa"/>
            <w:vAlign w:val="bottom"/>
            <w:tcBorders>
              <w:right w:val="single" w:sz="8" w:color="auto"/>
            </w:tcBorders>
            <w:vMerge w:val="continue"/>
            <w:shd w:val="clear" w:color="auto" w:fill="2AD2C9"/>
          </w:tcPr>
          <w:p>
            <w:pPr>
              <w:spacing w:after="0"/>
              <w:rPr>
                <w:sz w:val="7"/>
                <w:szCs w:val="7"/>
                <w:color w:val="auto"/>
              </w:rPr>
            </w:pPr>
          </w:p>
        </w:tc>
        <w:tc>
          <w:tcPr>
            <w:tcW w:w="980" w:type="dxa"/>
            <w:vAlign w:val="bottom"/>
            <w:vMerge w:val="continue"/>
            <w:shd w:val="clear" w:color="auto" w:fill="2AD2C9"/>
          </w:tcPr>
          <w:p>
            <w:pPr>
              <w:spacing w:after="0"/>
              <w:rPr>
                <w:sz w:val="7"/>
                <w:szCs w:val="7"/>
                <w:color w:val="auto"/>
              </w:rPr>
            </w:pPr>
          </w:p>
        </w:tc>
        <w:tc>
          <w:tcPr>
            <w:tcW w:w="1060" w:type="dxa"/>
            <w:vAlign w:val="bottom"/>
            <w:vMerge w:val="continue"/>
            <w:shd w:val="clear" w:color="auto" w:fill="2AD2C9"/>
          </w:tcPr>
          <w:p>
            <w:pPr>
              <w:spacing w:after="0"/>
              <w:rPr>
                <w:sz w:val="7"/>
                <w:szCs w:val="7"/>
                <w:color w:val="auto"/>
              </w:rPr>
            </w:pPr>
          </w:p>
        </w:tc>
        <w:tc>
          <w:tcPr>
            <w:tcW w:w="980" w:type="dxa"/>
            <w:vAlign w:val="bottom"/>
            <w:tcBorders>
              <w:right w:val="single" w:sz="8" w:color="auto"/>
            </w:tcBorders>
            <w:vMerge w:val="continue"/>
            <w:shd w:val="clear" w:color="auto" w:fill="2AD2C9"/>
          </w:tcPr>
          <w:p>
            <w:pPr>
              <w:spacing w:after="0"/>
              <w:rPr>
                <w:sz w:val="7"/>
                <w:szCs w:val="7"/>
                <w:color w:val="auto"/>
              </w:rPr>
            </w:pPr>
          </w:p>
        </w:tc>
        <w:tc>
          <w:tcPr>
            <w:tcW w:w="980" w:type="dxa"/>
            <w:vAlign w:val="bottom"/>
            <w:vMerge w:val="continue"/>
            <w:shd w:val="clear" w:color="auto" w:fill="2AD2C9"/>
          </w:tcPr>
          <w:p>
            <w:pPr>
              <w:spacing w:after="0"/>
              <w:rPr>
                <w:sz w:val="7"/>
                <w:szCs w:val="7"/>
                <w:color w:val="auto"/>
              </w:rPr>
            </w:pPr>
          </w:p>
        </w:tc>
        <w:tc>
          <w:tcPr>
            <w:tcW w:w="1040" w:type="dxa"/>
            <w:vAlign w:val="bottom"/>
            <w:vMerge w:val="continue"/>
            <w:shd w:val="clear" w:color="auto" w:fill="2AD2C9"/>
          </w:tcPr>
          <w:p>
            <w:pPr>
              <w:spacing w:after="0"/>
              <w:rPr>
                <w:sz w:val="7"/>
                <w:szCs w:val="7"/>
                <w:color w:val="auto"/>
              </w:rPr>
            </w:pPr>
          </w:p>
        </w:tc>
        <w:tc>
          <w:tcPr>
            <w:tcW w:w="1000" w:type="dxa"/>
            <w:vAlign w:val="bottom"/>
            <w:tcBorders>
              <w:right w:val="single" w:sz="8" w:color="auto"/>
            </w:tcBorders>
            <w:vMerge w:val="continue"/>
            <w:shd w:val="clear" w:color="auto" w:fill="2AD2C9"/>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2160" w:type="dxa"/>
            <w:vAlign w:val="bottom"/>
            <w:tcBorders>
              <w:left w:val="single" w:sz="8" w:color="auto"/>
              <w:right w:val="single" w:sz="8" w:color="auto"/>
            </w:tcBorders>
            <w:vMerge w:val="restart"/>
            <w:shd w:val="clear" w:color="auto" w:fill="2AD2C9"/>
          </w:tcPr>
          <w:p>
            <w:pPr>
              <w:ind w:left="40"/>
              <w:spacing w:after="0"/>
              <w:rPr>
                <w:sz w:val="20"/>
                <w:szCs w:val="20"/>
                <w:color w:val="auto"/>
              </w:rPr>
            </w:pPr>
            <w:r>
              <w:rPr>
                <w:rFonts w:ascii="Times New Roman" w:cs="Times New Roman" w:eastAsia="Times New Roman" w:hAnsi="Times New Roman"/>
                <w:sz w:val="15"/>
                <w:szCs w:val="15"/>
                <w:b w:val="1"/>
                <w:bCs w:val="1"/>
                <w:color w:val="FFFFFF"/>
              </w:rPr>
              <w:t>S/ millions</w:t>
            </w:r>
          </w:p>
        </w:tc>
        <w:tc>
          <w:tcPr>
            <w:tcW w:w="1000" w:type="dxa"/>
            <w:vAlign w:val="bottom"/>
            <w:vMerge w:val="restart"/>
            <w:shd w:val="clear" w:color="auto" w:fill="2AD2C9"/>
          </w:tcPr>
          <w:p>
            <w:pPr>
              <w:ind w:left="240"/>
              <w:spacing w:after="0"/>
              <w:rPr>
                <w:sz w:val="20"/>
                <w:szCs w:val="20"/>
                <w:color w:val="auto"/>
              </w:rPr>
            </w:pPr>
            <w:r>
              <w:rPr>
                <w:rFonts w:ascii="Times New Roman" w:cs="Times New Roman" w:eastAsia="Times New Roman" w:hAnsi="Times New Roman"/>
                <w:sz w:val="15"/>
                <w:szCs w:val="15"/>
                <w:b w:val="1"/>
                <w:bCs w:val="1"/>
                <w:color w:val="FFFFFF"/>
              </w:rPr>
              <w:t>Balance</w:t>
            </w:r>
          </w:p>
        </w:tc>
        <w:tc>
          <w:tcPr>
            <w:tcW w:w="1060" w:type="dxa"/>
            <w:vAlign w:val="bottom"/>
            <w:vMerge w:val="continue"/>
            <w:shd w:val="clear" w:color="auto" w:fill="2AD2C9"/>
          </w:tcPr>
          <w:p>
            <w:pPr>
              <w:spacing w:after="0"/>
              <w:rPr>
                <w:sz w:val="8"/>
                <w:szCs w:val="8"/>
                <w:color w:val="auto"/>
              </w:rPr>
            </w:pPr>
          </w:p>
        </w:tc>
        <w:tc>
          <w:tcPr>
            <w:tcW w:w="1000" w:type="dxa"/>
            <w:vAlign w:val="bottom"/>
            <w:tcBorders>
              <w:right w:val="single" w:sz="8" w:color="auto"/>
            </w:tcBorders>
            <w:vMerge w:val="continue"/>
            <w:shd w:val="clear" w:color="auto" w:fill="2AD2C9"/>
          </w:tcPr>
          <w:p>
            <w:pPr>
              <w:spacing w:after="0"/>
              <w:rPr>
                <w:sz w:val="8"/>
                <w:szCs w:val="8"/>
                <w:color w:val="auto"/>
              </w:rPr>
            </w:pPr>
          </w:p>
        </w:tc>
        <w:tc>
          <w:tcPr>
            <w:tcW w:w="980" w:type="dxa"/>
            <w:vAlign w:val="bottom"/>
            <w:vMerge w:val="restart"/>
            <w:shd w:val="clear" w:color="auto" w:fill="2AD2C9"/>
          </w:tcPr>
          <w:p>
            <w:pPr>
              <w:ind w:left="220"/>
              <w:spacing w:after="0"/>
              <w:rPr>
                <w:sz w:val="20"/>
                <w:szCs w:val="20"/>
                <w:color w:val="auto"/>
              </w:rPr>
            </w:pPr>
            <w:r>
              <w:rPr>
                <w:rFonts w:ascii="Times New Roman" w:cs="Times New Roman" w:eastAsia="Times New Roman" w:hAnsi="Times New Roman"/>
                <w:sz w:val="15"/>
                <w:szCs w:val="15"/>
                <w:b w:val="1"/>
                <w:bCs w:val="1"/>
                <w:color w:val="FFFFFF"/>
              </w:rPr>
              <w:t>Balance</w:t>
            </w:r>
          </w:p>
        </w:tc>
        <w:tc>
          <w:tcPr>
            <w:tcW w:w="1060" w:type="dxa"/>
            <w:vAlign w:val="bottom"/>
            <w:vMerge w:val="continue"/>
            <w:shd w:val="clear" w:color="auto" w:fill="2AD2C9"/>
          </w:tcPr>
          <w:p>
            <w:pPr>
              <w:spacing w:after="0"/>
              <w:rPr>
                <w:sz w:val="8"/>
                <w:szCs w:val="8"/>
                <w:color w:val="auto"/>
              </w:rPr>
            </w:pPr>
          </w:p>
        </w:tc>
        <w:tc>
          <w:tcPr>
            <w:tcW w:w="980" w:type="dxa"/>
            <w:vAlign w:val="bottom"/>
            <w:tcBorders>
              <w:right w:val="single" w:sz="8" w:color="auto"/>
            </w:tcBorders>
            <w:vMerge w:val="continue"/>
            <w:shd w:val="clear" w:color="auto" w:fill="2AD2C9"/>
          </w:tcPr>
          <w:p>
            <w:pPr>
              <w:spacing w:after="0"/>
              <w:rPr>
                <w:sz w:val="8"/>
                <w:szCs w:val="8"/>
                <w:color w:val="auto"/>
              </w:rPr>
            </w:pPr>
          </w:p>
        </w:tc>
        <w:tc>
          <w:tcPr>
            <w:tcW w:w="980" w:type="dxa"/>
            <w:vAlign w:val="bottom"/>
            <w:vMerge w:val="restart"/>
            <w:shd w:val="clear" w:color="auto" w:fill="2AD2C9"/>
          </w:tcPr>
          <w:p>
            <w:pPr>
              <w:ind w:left="240"/>
              <w:spacing w:after="0"/>
              <w:rPr>
                <w:sz w:val="20"/>
                <w:szCs w:val="20"/>
                <w:color w:val="auto"/>
              </w:rPr>
            </w:pPr>
            <w:r>
              <w:rPr>
                <w:rFonts w:ascii="Times New Roman" w:cs="Times New Roman" w:eastAsia="Times New Roman" w:hAnsi="Times New Roman"/>
                <w:sz w:val="15"/>
                <w:szCs w:val="15"/>
                <w:b w:val="1"/>
                <w:bCs w:val="1"/>
                <w:color w:val="FFFFFF"/>
              </w:rPr>
              <w:t>Balance</w:t>
            </w:r>
          </w:p>
        </w:tc>
        <w:tc>
          <w:tcPr>
            <w:tcW w:w="1040" w:type="dxa"/>
            <w:vAlign w:val="bottom"/>
            <w:vMerge w:val="continue"/>
            <w:shd w:val="clear" w:color="auto" w:fill="2AD2C9"/>
          </w:tcPr>
          <w:p>
            <w:pPr>
              <w:spacing w:after="0"/>
              <w:rPr>
                <w:sz w:val="8"/>
                <w:szCs w:val="8"/>
                <w:color w:val="auto"/>
              </w:rPr>
            </w:pPr>
          </w:p>
        </w:tc>
        <w:tc>
          <w:tcPr>
            <w:tcW w:w="1000" w:type="dxa"/>
            <w:vAlign w:val="bottom"/>
            <w:tcBorders>
              <w:right w:val="single" w:sz="8" w:color="auto"/>
            </w:tcBorders>
            <w:vMerge w:val="continue"/>
            <w:shd w:val="clear" w:color="auto" w:fill="2AD2C9"/>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2160" w:type="dxa"/>
            <w:vAlign w:val="bottom"/>
            <w:tcBorders>
              <w:left w:val="single" w:sz="8" w:color="auto"/>
              <w:bottom w:val="single" w:sz="8" w:color="auto"/>
              <w:right w:val="single" w:sz="8" w:color="auto"/>
            </w:tcBorders>
            <w:vMerge w:val="continue"/>
            <w:shd w:val="clear" w:color="auto" w:fill="2AD2C9"/>
          </w:tcPr>
          <w:p>
            <w:pPr>
              <w:spacing w:after="0"/>
              <w:rPr>
                <w:sz w:val="9"/>
                <w:szCs w:val="9"/>
                <w:color w:val="auto"/>
              </w:rPr>
            </w:pPr>
          </w:p>
        </w:tc>
        <w:tc>
          <w:tcPr>
            <w:tcW w:w="1000" w:type="dxa"/>
            <w:vAlign w:val="bottom"/>
            <w:tcBorders>
              <w:bottom w:val="single" w:sz="8" w:color="auto"/>
            </w:tcBorders>
            <w:vMerge w:val="continue"/>
            <w:shd w:val="clear" w:color="auto" w:fill="2AD2C9"/>
          </w:tcPr>
          <w:p>
            <w:pPr>
              <w:spacing w:after="0"/>
              <w:rPr>
                <w:sz w:val="9"/>
                <w:szCs w:val="9"/>
                <w:color w:val="auto"/>
              </w:rPr>
            </w:pPr>
          </w:p>
        </w:tc>
        <w:tc>
          <w:tcPr>
            <w:tcW w:w="1060" w:type="dxa"/>
            <w:vAlign w:val="bottom"/>
            <w:tcBorders>
              <w:bottom w:val="single" w:sz="8" w:color="auto"/>
            </w:tcBorders>
            <w:shd w:val="clear" w:color="auto" w:fill="2AD2C9"/>
          </w:tcPr>
          <w:p>
            <w:pPr>
              <w:spacing w:after="0"/>
              <w:rPr>
                <w:sz w:val="9"/>
                <w:szCs w:val="9"/>
                <w:color w:val="auto"/>
              </w:rPr>
            </w:pPr>
          </w:p>
        </w:tc>
        <w:tc>
          <w:tcPr>
            <w:tcW w:w="1000" w:type="dxa"/>
            <w:vAlign w:val="bottom"/>
            <w:tcBorders>
              <w:bottom w:val="single" w:sz="8" w:color="auto"/>
              <w:right w:val="single" w:sz="8" w:color="auto"/>
            </w:tcBorders>
            <w:shd w:val="clear" w:color="auto" w:fill="2AD2C9"/>
          </w:tcPr>
          <w:p>
            <w:pPr>
              <w:spacing w:after="0"/>
              <w:rPr>
                <w:sz w:val="9"/>
                <w:szCs w:val="9"/>
                <w:color w:val="auto"/>
              </w:rPr>
            </w:pPr>
          </w:p>
        </w:tc>
        <w:tc>
          <w:tcPr>
            <w:tcW w:w="980" w:type="dxa"/>
            <w:vAlign w:val="bottom"/>
            <w:tcBorders>
              <w:bottom w:val="single" w:sz="8" w:color="auto"/>
            </w:tcBorders>
            <w:vMerge w:val="continue"/>
            <w:shd w:val="clear" w:color="auto" w:fill="2AD2C9"/>
          </w:tcPr>
          <w:p>
            <w:pPr>
              <w:spacing w:after="0"/>
              <w:rPr>
                <w:sz w:val="9"/>
                <w:szCs w:val="9"/>
                <w:color w:val="auto"/>
              </w:rPr>
            </w:pPr>
          </w:p>
        </w:tc>
        <w:tc>
          <w:tcPr>
            <w:tcW w:w="1060" w:type="dxa"/>
            <w:vAlign w:val="bottom"/>
            <w:tcBorders>
              <w:bottom w:val="single" w:sz="8" w:color="auto"/>
            </w:tcBorders>
            <w:shd w:val="clear" w:color="auto" w:fill="2AD2C9"/>
          </w:tcPr>
          <w:p>
            <w:pPr>
              <w:spacing w:after="0"/>
              <w:rPr>
                <w:sz w:val="9"/>
                <w:szCs w:val="9"/>
                <w:color w:val="auto"/>
              </w:rPr>
            </w:pPr>
          </w:p>
        </w:tc>
        <w:tc>
          <w:tcPr>
            <w:tcW w:w="980" w:type="dxa"/>
            <w:vAlign w:val="bottom"/>
            <w:tcBorders>
              <w:bottom w:val="single" w:sz="8" w:color="auto"/>
              <w:right w:val="single" w:sz="8" w:color="auto"/>
            </w:tcBorders>
            <w:shd w:val="clear" w:color="auto" w:fill="2AD2C9"/>
          </w:tcPr>
          <w:p>
            <w:pPr>
              <w:spacing w:after="0"/>
              <w:rPr>
                <w:sz w:val="9"/>
                <w:szCs w:val="9"/>
                <w:color w:val="auto"/>
              </w:rPr>
            </w:pPr>
          </w:p>
        </w:tc>
        <w:tc>
          <w:tcPr>
            <w:tcW w:w="980" w:type="dxa"/>
            <w:vAlign w:val="bottom"/>
            <w:tcBorders>
              <w:bottom w:val="single" w:sz="8" w:color="auto"/>
            </w:tcBorders>
            <w:vMerge w:val="continue"/>
            <w:shd w:val="clear" w:color="auto" w:fill="2AD2C9"/>
          </w:tcPr>
          <w:p>
            <w:pPr>
              <w:spacing w:after="0"/>
              <w:rPr>
                <w:sz w:val="9"/>
                <w:szCs w:val="9"/>
                <w:color w:val="auto"/>
              </w:rPr>
            </w:pPr>
          </w:p>
        </w:tc>
        <w:tc>
          <w:tcPr>
            <w:tcW w:w="1040" w:type="dxa"/>
            <w:vAlign w:val="bottom"/>
            <w:tcBorders>
              <w:bottom w:val="single" w:sz="8" w:color="auto"/>
            </w:tcBorders>
            <w:shd w:val="clear" w:color="auto" w:fill="2AD2C9"/>
          </w:tcPr>
          <w:p>
            <w:pPr>
              <w:spacing w:after="0"/>
              <w:rPr>
                <w:sz w:val="9"/>
                <w:szCs w:val="9"/>
                <w:color w:val="auto"/>
              </w:rPr>
            </w:pPr>
          </w:p>
        </w:tc>
        <w:tc>
          <w:tcPr>
            <w:tcW w:w="1000" w:type="dxa"/>
            <w:vAlign w:val="bottom"/>
            <w:tcBorders>
              <w:bottom w:val="single" w:sz="8" w:color="auto"/>
              <w:right w:val="single" w:sz="8" w:color="auto"/>
            </w:tcBorders>
            <w:shd w:val="clear" w:color="auto" w:fill="2AD2C9"/>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21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b w:val="1"/>
                <w:bCs w:val="1"/>
                <w:color w:val="auto"/>
              </w:rPr>
              <w:t>Total (LC + FC)</w:t>
            </w:r>
          </w:p>
        </w:tc>
        <w:tc>
          <w:tcPr>
            <w:tcW w:w="1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9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9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1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Deposits</w:t>
            </w: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159,731</w:t>
            </w:r>
          </w:p>
        </w:tc>
        <w:tc>
          <w:tcPr>
            <w:tcW w:w="10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620</w:t>
            </w:r>
          </w:p>
        </w:tc>
        <w:tc>
          <w:tcPr>
            <w:tcW w:w="1000" w:type="dxa"/>
            <w:vAlign w:val="bottom"/>
            <w:tcBorders>
              <w:right w:val="single" w:sz="8" w:color="auto"/>
            </w:tcBorders>
          </w:tcPr>
          <w:p>
            <w:pPr>
              <w:jc w:val="center"/>
              <w:ind w:right="4"/>
              <w:spacing w:after="0"/>
              <w:rPr>
                <w:sz w:val="20"/>
                <w:szCs w:val="20"/>
                <w:color w:val="auto"/>
              </w:rPr>
            </w:pPr>
            <w:r>
              <w:rPr>
                <w:rFonts w:ascii="Times New Roman" w:cs="Times New Roman" w:eastAsia="Times New Roman" w:hAnsi="Times New Roman"/>
                <w:sz w:val="15"/>
                <w:szCs w:val="15"/>
                <w:color w:val="auto"/>
              </w:rPr>
              <w:t>1.6%</w:t>
            </w:r>
          </w:p>
        </w:tc>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164,416</w:t>
            </w:r>
          </w:p>
        </w:tc>
        <w:tc>
          <w:tcPr>
            <w:tcW w:w="10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578</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1.4%</w:t>
            </w:r>
          </w:p>
        </w:tc>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174,515</w:t>
            </w:r>
          </w:p>
        </w:tc>
        <w:tc>
          <w:tcPr>
            <w:tcW w:w="10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539</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1.2%</w:t>
            </w:r>
          </w:p>
        </w:tc>
        <w:tc>
          <w:tcPr>
            <w:tcW w:w="0" w:type="dxa"/>
            <w:vAlign w:val="bottom"/>
          </w:tcPr>
          <w:p>
            <w:pPr>
              <w:spacing w:after="0"/>
              <w:rPr>
                <w:sz w:val="1"/>
                <w:szCs w:val="1"/>
                <w:color w:val="auto"/>
              </w:rPr>
            </w:pPr>
          </w:p>
        </w:tc>
      </w:tr>
      <w:tr>
        <w:trPr>
          <w:trHeight w:val="190"/>
        </w:trPr>
        <w:tc>
          <w:tcPr>
            <w:tcW w:w="21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BCRP + Due to Banks</w:t>
            </w: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6"/>
              </w:rPr>
              <w:t>17,683</w:t>
            </w:r>
          </w:p>
        </w:tc>
        <w:tc>
          <w:tcPr>
            <w:tcW w:w="10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266</w:t>
            </w:r>
          </w:p>
        </w:tc>
        <w:tc>
          <w:tcPr>
            <w:tcW w:w="1000" w:type="dxa"/>
            <w:vAlign w:val="bottom"/>
            <w:tcBorders>
              <w:right w:val="single" w:sz="8" w:color="auto"/>
            </w:tcBorders>
          </w:tcPr>
          <w:p>
            <w:pPr>
              <w:jc w:val="center"/>
              <w:ind w:right="4"/>
              <w:spacing w:after="0"/>
              <w:rPr>
                <w:sz w:val="20"/>
                <w:szCs w:val="20"/>
                <w:color w:val="auto"/>
              </w:rPr>
            </w:pPr>
            <w:r>
              <w:rPr>
                <w:rFonts w:ascii="Times New Roman" w:cs="Times New Roman" w:eastAsia="Times New Roman" w:hAnsi="Times New Roman"/>
                <w:sz w:val="15"/>
                <w:szCs w:val="15"/>
                <w:color w:val="auto"/>
              </w:rPr>
              <w:t>6.0%</w:t>
            </w:r>
          </w:p>
        </w:tc>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16,669</w:t>
            </w:r>
          </w:p>
        </w:tc>
        <w:tc>
          <w:tcPr>
            <w:tcW w:w="10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245</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5.9%</w:t>
            </w:r>
          </w:p>
        </w:tc>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14,001</w:t>
            </w:r>
          </w:p>
        </w:tc>
        <w:tc>
          <w:tcPr>
            <w:tcW w:w="10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211</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6.0%</w:t>
            </w:r>
          </w:p>
        </w:tc>
        <w:tc>
          <w:tcPr>
            <w:tcW w:w="0" w:type="dxa"/>
            <w:vAlign w:val="bottom"/>
          </w:tcPr>
          <w:p>
            <w:pPr>
              <w:spacing w:after="0"/>
              <w:rPr>
                <w:sz w:val="1"/>
                <w:szCs w:val="1"/>
                <w:color w:val="auto"/>
              </w:rPr>
            </w:pPr>
          </w:p>
        </w:tc>
      </w:tr>
      <w:tr>
        <w:trPr>
          <w:trHeight w:val="190"/>
        </w:trPr>
        <w:tc>
          <w:tcPr>
            <w:tcW w:w="21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Bonds and Notes</w:t>
            </w: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6"/>
              </w:rPr>
              <w:t>15,830</w:t>
            </w:r>
          </w:p>
        </w:tc>
        <w:tc>
          <w:tcPr>
            <w:tcW w:w="10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168</w:t>
            </w:r>
          </w:p>
        </w:tc>
        <w:tc>
          <w:tcPr>
            <w:tcW w:w="1000" w:type="dxa"/>
            <w:vAlign w:val="bottom"/>
            <w:tcBorders>
              <w:right w:val="single" w:sz="8" w:color="auto"/>
            </w:tcBorders>
          </w:tcPr>
          <w:p>
            <w:pPr>
              <w:jc w:val="center"/>
              <w:ind w:right="4"/>
              <w:spacing w:after="0"/>
              <w:rPr>
                <w:sz w:val="20"/>
                <w:szCs w:val="20"/>
                <w:color w:val="auto"/>
              </w:rPr>
            </w:pPr>
            <w:r>
              <w:rPr>
                <w:rFonts w:ascii="Times New Roman" w:cs="Times New Roman" w:eastAsia="Times New Roman" w:hAnsi="Times New Roman"/>
                <w:sz w:val="15"/>
                <w:szCs w:val="15"/>
                <w:color w:val="auto"/>
              </w:rPr>
              <w:t>4.2%</w:t>
            </w:r>
          </w:p>
        </w:tc>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13,117</w:t>
            </w:r>
          </w:p>
        </w:tc>
        <w:tc>
          <w:tcPr>
            <w:tcW w:w="10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185</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5.6%</w:t>
            </w:r>
          </w:p>
        </w:tc>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14,389</w:t>
            </w:r>
          </w:p>
        </w:tc>
        <w:tc>
          <w:tcPr>
            <w:tcW w:w="10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188</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5.2%</w:t>
            </w:r>
          </w:p>
        </w:tc>
        <w:tc>
          <w:tcPr>
            <w:tcW w:w="0" w:type="dxa"/>
            <w:vAlign w:val="bottom"/>
          </w:tcPr>
          <w:p>
            <w:pPr>
              <w:spacing w:after="0"/>
              <w:rPr>
                <w:sz w:val="1"/>
                <w:szCs w:val="1"/>
                <w:color w:val="auto"/>
              </w:rPr>
            </w:pPr>
          </w:p>
        </w:tc>
      </w:tr>
      <w:tr>
        <w:trPr>
          <w:trHeight w:val="200"/>
        </w:trPr>
        <w:tc>
          <w:tcPr>
            <w:tcW w:w="2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Others</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2,754</w:t>
            </w: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269</w:t>
            </w:r>
          </w:p>
        </w:tc>
        <w:tc>
          <w:tcPr>
            <w:tcW w:w="1000" w:type="dxa"/>
            <w:vAlign w:val="bottom"/>
            <w:tcBorders>
              <w:bottom w:val="single" w:sz="8" w:color="auto"/>
              <w:right w:val="single" w:sz="8" w:color="auto"/>
            </w:tcBorders>
          </w:tcPr>
          <w:p>
            <w:pPr>
              <w:jc w:val="center"/>
              <w:ind w:right="4"/>
              <w:spacing w:after="0"/>
              <w:rPr>
                <w:sz w:val="20"/>
                <w:szCs w:val="20"/>
                <w:color w:val="auto"/>
              </w:rPr>
            </w:pPr>
            <w:r>
              <w:rPr>
                <w:rFonts w:ascii="Times New Roman" w:cs="Times New Roman" w:eastAsia="Times New Roman" w:hAnsi="Times New Roman"/>
                <w:sz w:val="15"/>
                <w:szCs w:val="15"/>
                <w:color w:val="auto"/>
              </w:rPr>
              <w:t>39.1%</w:t>
            </w: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3,502</w:t>
            </w: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276</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31.5%</w:t>
            </w: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3,501</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311</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35.5%</w:t>
            </w:r>
          </w:p>
        </w:tc>
        <w:tc>
          <w:tcPr>
            <w:tcW w:w="0" w:type="dxa"/>
            <w:vAlign w:val="bottom"/>
          </w:tcPr>
          <w:p>
            <w:pPr>
              <w:spacing w:after="0"/>
              <w:rPr>
                <w:sz w:val="1"/>
                <w:szCs w:val="1"/>
                <w:color w:val="auto"/>
              </w:rPr>
            </w:pPr>
          </w:p>
        </w:tc>
      </w:tr>
      <w:tr>
        <w:trPr>
          <w:trHeight w:val="185"/>
        </w:trPr>
        <w:tc>
          <w:tcPr>
            <w:tcW w:w="2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b w:val="1"/>
                <w:bCs w:val="1"/>
                <w:color w:val="auto"/>
              </w:rPr>
              <w:t>Total Funding</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195,998</w:t>
            </w: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1,323</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2.7%</w:t>
            </w: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197,704</w:t>
            </w: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1,284</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2.6%</w:t>
            </w: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206,406</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1,249</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2.4%</w:t>
            </w:r>
          </w:p>
        </w:tc>
        <w:tc>
          <w:tcPr>
            <w:tcW w:w="0" w:type="dxa"/>
            <w:vAlign w:val="bottom"/>
          </w:tcPr>
          <w:p>
            <w:pPr>
              <w:spacing w:after="0"/>
              <w:rPr>
                <w:sz w:val="1"/>
                <w:szCs w:val="1"/>
                <w:color w:val="auto"/>
              </w:rPr>
            </w:pPr>
          </w:p>
        </w:tc>
      </w:tr>
      <w:tr>
        <w:trPr>
          <w:trHeight w:val="183"/>
        </w:trPr>
        <w:tc>
          <w:tcPr>
            <w:tcW w:w="2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Funding (LC)</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51.7%</w:t>
            </w: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53.4%</w:t>
            </w:r>
          </w:p>
        </w:tc>
        <w:tc>
          <w:tcPr>
            <w:tcW w:w="1000" w:type="dxa"/>
            <w:vAlign w:val="bottom"/>
            <w:tcBorders>
              <w:bottom w:val="single" w:sz="8" w:color="auto"/>
              <w:right w:val="single" w:sz="8" w:color="auto"/>
            </w:tcBorders>
          </w:tcPr>
          <w:p>
            <w:pPr>
              <w:jc w:val="center"/>
              <w:ind w:right="4"/>
              <w:spacing w:after="0"/>
              <w:rPr>
                <w:sz w:val="20"/>
                <w:szCs w:val="20"/>
                <w:color w:val="auto"/>
              </w:rPr>
            </w:pPr>
            <w:r>
              <w:rPr>
                <w:rFonts w:ascii="Times New Roman" w:cs="Times New Roman" w:eastAsia="Times New Roman" w:hAnsi="Times New Roman"/>
                <w:sz w:val="15"/>
                <w:szCs w:val="15"/>
                <w:color w:val="auto"/>
              </w:rPr>
              <w:t>2.8%</w:t>
            </w: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54.1%</w:t>
            </w: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54.0%</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2.6%</w:t>
            </w: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54.2%</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53.2%</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2.4%</w:t>
            </w:r>
          </w:p>
        </w:tc>
        <w:tc>
          <w:tcPr>
            <w:tcW w:w="0" w:type="dxa"/>
            <w:vAlign w:val="bottom"/>
          </w:tcPr>
          <w:p>
            <w:pPr>
              <w:spacing w:after="0"/>
              <w:rPr>
                <w:sz w:val="1"/>
                <w:szCs w:val="1"/>
                <w:color w:val="auto"/>
              </w:rPr>
            </w:pPr>
          </w:p>
        </w:tc>
      </w:tr>
      <w:tr>
        <w:trPr>
          <w:trHeight w:val="183"/>
        </w:trPr>
        <w:tc>
          <w:tcPr>
            <w:tcW w:w="2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Funding (FC)</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48.3%</w:t>
            </w: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46.6%</w:t>
            </w:r>
          </w:p>
        </w:tc>
        <w:tc>
          <w:tcPr>
            <w:tcW w:w="1000" w:type="dxa"/>
            <w:vAlign w:val="bottom"/>
            <w:tcBorders>
              <w:bottom w:val="single" w:sz="8" w:color="auto"/>
              <w:right w:val="single" w:sz="8" w:color="auto"/>
            </w:tcBorders>
          </w:tcPr>
          <w:p>
            <w:pPr>
              <w:jc w:val="center"/>
              <w:ind w:right="4"/>
              <w:spacing w:after="0"/>
              <w:rPr>
                <w:sz w:val="20"/>
                <w:szCs w:val="20"/>
                <w:color w:val="auto"/>
              </w:rPr>
            </w:pPr>
            <w:r>
              <w:rPr>
                <w:rFonts w:ascii="Times New Roman" w:cs="Times New Roman" w:eastAsia="Times New Roman" w:hAnsi="Times New Roman"/>
                <w:sz w:val="15"/>
                <w:szCs w:val="15"/>
                <w:color w:val="auto"/>
              </w:rPr>
              <w:t>2.6%</w:t>
            </w: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45.9%</w:t>
            </w: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46.0%</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2.6%</w:t>
            </w: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45.8%</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46.8%</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2.5%</w:t>
            </w:r>
          </w:p>
        </w:tc>
        <w:tc>
          <w:tcPr>
            <w:tcW w:w="0" w:type="dxa"/>
            <w:vAlign w:val="bottom"/>
          </w:tcPr>
          <w:p>
            <w:pPr>
              <w:spacing w:after="0"/>
              <w:rPr>
                <w:sz w:val="1"/>
                <w:szCs w:val="1"/>
                <w:color w:val="auto"/>
              </w:rPr>
            </w:pPr>
          </w:p>
        </w:tc>
      </w:tr>
      <w:tr>
        <w:trPr>
          <w:trHeight w:val="183"/>
        </w:trPr>
        <w:tc>
          <w:tcPr>
            <w:tcW w:w="2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160" w:type="dxa"/>
            <w:vAlign w:val="bottom"/>
            <w:tcBorders>
              <w:bottom w:val="single" w:sz="8" w:color="auto"/>
            </w:tcBorders>
          </w:tcPr>
          <w:p>
            <w:pPr>
              <w:ind w:left="40"/>
              <w:spacing w:after="0" w:line="183" w:lineRule="exact"/>
              <w:rPr>
                <w:sz w:val="20"/>
                <w:szCs w:val="20"/>
                <w:color w:val="auto"/>
              </w:rPr>
            </w:pPr>
            <w:r>
              <w:rPr>
                <w:rFonts w:ascii="Times New Roman" w:cs="Times New Roman" w:eastAsia="Times New Roman" w:hAnsi="Times New Roman"/>
                <w:sz w:val="13"/>
                <w:szCs w:val="13"/>
                <w:b w:val="1"/>
                <w:bCs w:val="1"/>
                <w:color w:val="auto"/>
              </w:rPr>
              <w:t>NIM</w:t>
            </w:r>
            <w:r>
              <w:rPr>
                <w:rFonts w:ascii="Times New Roman" w:cs="Times New Roman" w:eastAsia="Times New Roman" w:hAnsi="Times New Roman"/>
                <w:sz w:val="21"/>
                <w:szCs w:val="21"/>
                <w:b w:val="1"/>
                <w:bCs w:val="1"/>
                <w:color w:val="auto"/>
                <w:vertAlign w:val="superscript"/>
              </w:rPr>
              <w:t>(1)</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238,436</w:t>
            </w: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3,572</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6.0%</w:t>
            </w: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240,784</w:t>
            </w: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3,841</w:t>
            </w: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6.4%</w:t>
            </w: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250,942</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3,965</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6.3%</w:t>
            </w:r>
          </w:p>
        </w:tc>
        <w:tc>
          <w:tcPr>
            <w:tcW w:w="0" w:type="dxa"/>
            <w:vAlign w:val="bottom"/>
          </w:tcPr>
          <w:p>
            <w:pPr>
              <w:spacing w:after="0"/>
              <w:rPr>
                <w:sz w:val="1"/>
                <w:szCs w:val="1"/>
                <w:color w:val="auto"/>
              </w:rPr>
            </w:pPr>
          </w:p>
        </w:tc>
      </w:tr>
      <w:tr>
        <w:trPr>
          <w:trHeight w:val="183"/>
        </w:trPr>
        <w:tc>
          <w:tcPr>
            <w:tcW w:w="2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5"/>
                <w:szCs w:val="15"/>
                <w:b w:val="1"/>
                <w:bCs w:val="1"/>
                <w:color w:val="auto"/>
              </w:rPr>
              <w:t>NIM (LC)</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55.6%</w:t>
            </w: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76.8%</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8.3%</w:t>
            </w: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56.6%</w:t>
            </w: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77.0%</w:t>
            </w: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8.7%</w:t>
            </w: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56.4%</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78.6%</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8.8%</w:t>
            </w:r>
          </w:p>
        </w:tc>
        <w:tc>
          <w:tcPr>
            <w:tcW w:w="0" w:type="dxa"/>
            <w:vAlign w:val="bottom"/>
          </w:tcPr>
          <w:p>
            <w:pPr>
              <w:spacing w:after="0"/>
              <w:rPr>
                <w:sz w:val="1"/>
                <w:szCs w:val="1"/>
                <w:color w:val="auto"/>
              </w:rPr>
            </w:pPr>
          </w:p>
        </w:tc>
      </w:tr>
      <w:tr>
        <w:trPr>
          <w:trHeight w:val="192"/>
        </w:trPr>
        <w:tc>
          <w:tcPr>
            <w:tcW w:w="2160" w:type="dxa"/>
            <w:vAlign w:val="bottom"/>
          </w:tcPr>
          <w:p>
            <w:pPr>
              <w:ind w:left="40"/>
              <w:spacing w:after="0"/>
              <w:rPr>
                <w:sz w:val="20"/>
                <w:szCs w:val="20"/>
                <w:color w:val="auto"/>
              </w:rPr>
            </w:pPr>
            <w:r>
              <w:rPr>
                <w:rFonts w:ascii="Times New Roman" w:cs="Times New Roman" w:eastAsia="Times New Roman" w:hAnsi="Times New Roman"/>
                <w:sz w:val="15"/>
                <w:szCs w:val="15"/>
                <w:b w:val="1"/>
                <w:bCs w:val="1"/>
                <w:color w:val="auto"/>
              </w:rPr>
              <w:t>NIM (FC)</w:t>
            </w: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44.4%</w:t>
            </w:r>
          </w:p>
        </w:tc>
        <w:tc>
          <w:tcPr>
            <w:tcW w:w="10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23.2%</w:t>
            </w: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3.1%</w:t>
            </w:r>
          </w:p>
        </w:tc>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43.4%</w:t>
            </w:r>
          </w:p>
        </w:tc>
        <w:tc>
          <w:tcPr>
            <w:tcW w:w="10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23.0%</w:t>
            </w:r>
          </w:p>
        </w:tc>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3.4%</w:t>
            </w:r>
          </w:p>
        </w:tc>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43.6%</w:t>
            </w:r>
          </w:p>
        </w:tc>
        <w:tc>
          <w:tcPr>
            <w:tcW w:w="10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21.4%</w:t>
            </w: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-391795</wp:posOffset>
            </wp:positionV>
            <wp:extent cx="7140575" cy="39497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0575" cy="39497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(1) Unlike the NIM figure calculated according to the formula in Appendix 12.8, the NIM presented in this table includes “Financial Expense associated with the insurance and reinsurance activity, net”.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QoQ Analysis</w:t>
      </w:r>
    </w:p>
    <w:p>
      <w:pPr>
        <w:spacing w:after="0" w:line="2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 xml:space="preserve">QoQ, </w:t>
      </w:r>
      <w:r>
        <w:rPr>
          <w:rFonts w:ascii="Times New Roman" w:cs="Times New Roman" w:eastAsia="Times New Roman" w:hAnsi="Times New Roman"/>
          <w:sz w:val="17"/>
          <w:szCs w:val="17"/>
          <w:b w:val="1"/>
          <w:bCs w:val="1"/>
          <w:color w:val="auto"/>
        </w:rPr>
        <w:t>Net Interest Income (NII)</w:t>
      </w:r>
      <w:r>
        <w:rPr>
          <w:rFonts w:ascii="Times New Roman" w:cs="Times New Roman" w:eastAsia="Times New Roman" w:hAnsi="Times New Roman"/>
          <w:sz w:val="17"/>
          <w:szCs w:val="17"/>
          <w:color w:val="auto"/>
        </w:rPr>
        <w:t xml:space="preserve"> rose 3.2% in the aggregate, with NII rising in LC but falling in FC. IEA in LC represented 56.4% of total IEA at the end of 1Q26 and accounted for 72.5% of interest income generated over the quarter.</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Dynamics in Local Currency (LC)</w:t>
      </w:r>
    </w:p>
    <w:p>
      <w:pPr>
        <w:spacing w:after="0" w:line="21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b w:val="1"/>
          <w:bCs w:val="1"/>
          <w:color w:val="auto"/>
        </w:rPr>
        <w:t xml:space="preserve">NII </w:t>
      </w:r>
      <w:r>
        <w:rPr>
          <w:rFonts w:ascii="Times New Roman" w:cs="Times New Roman" w:eastAsia="Times New Roman" w:hAnsi="Times New Roman"/>
          <w:sz w:val="17"/>
          <w:szCs w:val="17"/>
          <w:color w:val="auto"/>
        </w:rPr>
        <w:t>in</w:t>
      </w:r>
      <w:r>
        <w:rPr>
          <w:rFonts w:ascii="Times New Roman" w:cs="Times New Roman" w:eastAsia="Times New Roman" w:hAnsi="Times New Roman"/>
          <w:sz w:val="17"/>
          <w:szCs w:val="17"/>
          <w:b w:val="1"/>
          <w:bCs w:val="1"/>
          <w:color w:val="auto"/>
        </w:rPr>
        <w:t xml:space="preserve"> LC </w:t>
      </w:r>
      <w:r>
        <w:rPr>
          <w:rFonts w:ascii="Times New Roman" w:cs="Times New Roman" w:eastAsia="Times New Roman" w:hAnsi="Times New Roman"/>
          <w:sz w:val="17"/>
          <w:szCs w:val="17"/>
          <w:color w:val="auto"/>
        </w:rPr>
        <w:t>rose 5.3%, driven by growth in interest income. This evolution was fueled by both an uptick in the investment volume and a strategy to take advantage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market opportunities. A secondary driver in the rise in NII in LC was the increase in interest on Loans, which rose on the back of growth in loan volumes at BCP and Mibanco. Interest expenses fell over the period, spurred by a reduction in expenses for BCRP and Banks, which primarily reflected a decrease in repos positions with BCRP and secondarily, a drop in expenses for deposits, as low-cost deposits’ share of the funding mix ticked 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675640</wp:posOffset>
            </wp:positionV>
            <wp:extent cx="7140575" cy="158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0575" cy="15875"/>
                    </a:xfrm>
                    <a:prstGeom prst="rect">
                      <a:avLst/>
                    </a:prstGeom>
                    <a:noFill/>
                  </pic:spPr>
                </pic:pic>
              </a:graphicData>
            </a:graphic>
          </wp:anchor>
        </w:drawing>
        <w:drawing>
          <wp:anchor simplePos="0" relativeHeight="251657728" behindDoc="1" locked="0" layoutInCell="0" allowOverlap="1">
            <wp:simplePos x="0" y="0"/>
            <wp:positionH relativeFrom="column">
              <wp:posOffset>347345</wp:posOffset>
            </wp:positionH>
            <wp:positionV relativeFrom="paragraph">
              <wp:posOffset>-8255</wp:posOffset>
            </wp:positionV>
            <wp:extent cx="6447155" cy="5803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447155" cy="580390"/>
                    </a:xfrm>
                    <a:prstGeom prst="rect">
                      <a:avLst/>
                    </a:prstGeom>
                    <a:noFill/>
                  </pic:spPr>
                </pic:pic>
              </a:graphicData>
            </a:graphic>
          </wp:anchor>
        </w:drawing>
      </w:r>
    </w:p>
    <w:p>
      <w:pPr>
        <w:sectPr>
          <w:pgSz w:w="11900" w:h="16838" w:orient="portrait"/>
          <w:cols w:equalWidth="0" w:num="1">
            <w:col w:w="11240"/>
          </w:cols>
          <w:pgMar w:left="320" w:top="589" w:right="339" w:bottom="1440" w:gutter="0" w:footer="0" w:header="0"/>
        </w:sectPr>
      </w:pPr>
    </w:p>
    <w:bookmarkStart w:id="26" w:name="page27"/>
    <w:bookmarkEnd w:id="26"/>
    <w:p>
      <w:pPr>
        <w:ind w:left="3140"/>
        <w:spacing w:after="0"/>
        <w:tabs>
          <w:tab w:leader="none" w:pos="3320" w:val="left"/>
          <w:tab w:leader="none" w:pos="9060" w:val="left"/>
        </w:tabs>
        <w:rPr>
          <w:sz w:val="20"/>
          <w:szCs w:val="20"/>
          <w:color w:val="auto"/>
        </w:rPr>
      </w:pPr>
      <w:r>
        <w:rPr>
          <w:rFonts w:ascii="Times New Roman" w:cs="Times New Roman" w:eastAsia="Times New Roman" w:hAnsi="Times New Roman"/>
          <w:sz w:val="14"/>
          <w:szCs w:val="14"/>
          <w:color w:val="A6A6A6"/>
        </w:rPr>
        <w:drawing>
          <wp:anchor simplePos="0" relativeHeight="251657728" behindDoc="1" locked="0" layoutInCell="0" allowOverlap="1">
            <wp:simplePos x="0" y="0"/>
            <wp:positionH relativeFrom="page">
              <wp:posOffset>204470</wp:posOffset>
            </wp:positionH>
            <wp:positionV relativeFrom="page">
              <wp:posOffset>88900</wp:posOffset>
            </wp:positionV>
            <wp:extent cx="7140575" cy="6927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0575" cy="692785"/>
                    </a:xfrm>
                    <a:prstGeom prst="rect">
                      <a:avLst/>
                    </a:prstGeom>
                    <a:noFill/>
                  </pic:spPr>
                </pic:pic>
              </a:graphicData>
            </a:graphic>
          </wp:anchor>
        </w:drawing>
        <w:t>|</w:t>
      </w:r>
      <w:r>
        <w:rPr>
          <w:rFonts w:ascii="Times New Roman" w:cs="Times New Roman" w:eastAsia="Times New Roman" w:hAnsi="Times New Roman"/>
          <w:sz w:val="14"/>
          <w:szCs w:val="14"/>
          <w:color w:val="FFFFFF"/>
        </w:rPr>
        <w:tab/>
        <w:t>Earnings Release 1Q / 2026</w:t>
      </w:r>
      <w:r>
        <w:rPr>
          <w:sz w:val="20"/>
          <w:szCs w:val="20"/>
          <w:color w:val="auto"/>
        </w:rPr>
        <w:tab/>
      </w:r>
      <w:r>
        <w:rPr>
          <w:rFonts w:ascii="Times New Roman" w:cs="Times New Roman" w:eastAsia="Times New Roman" w:hAnsi="Times New Roman"/>
          <w:sz w:val="12"/>
          <w:szCs w:val="12"/>
          <w:color w:val="FF00FF"/>
        </w:rPr>
        <w:t>Analysis of 1Q26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7140575" cy="2095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0575" cy="20955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FFFFFF"/>
        </w:rPr>
        <w:t>04. Net Interest Income (NII)</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Foreign Currency Dynamics (FC)</w:t>
      </w:r>
    </w:p>
    <w:p>
      <w:pPr>
        <w:spacing w:after="0" w:line="21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b w:val="1"/>
          <w:bCs w:val="1"/>
          <w:color w:val="auto"/>
        </w:rPr>
        <w:t xml:space="preserve">NII </w:t>
      </w:r>
      <w:r>
        <w:rPr>
          <w:rFonts w:ascii="Times New Roman" w:cs="Times New Roman" w:eastAsia="Times New Roman" w:hAnsi="Times New Roman"/>
          <w:sz w:val="17"/>
          <w:szCs w:val="17"/>
          <w:color w:val="auto"/>
        </w:rPr>
        <w:t>in</w:t>
      </w:r>
      <w:r>
        <w:rPr>
          <w:rFonts w:ascii="Times New Roman" w:cs="Times New Roman" w:eastAsia="Times New Roman" w:hAnsi="Times New Roman"/>
          <w:sz w:val="17"/>
          <w:szCs w:val="17"/>
          <w:b w:val="1"/>
          <w:bCs w:val="1"/>
          <w:color w:val="auto"/>
        </w:rPr>
        <w:t xml:space="preserve"> FC </w:t>
      </w:r>
      <w:r>
        <w:rPr>
          <w:rFonts w:ascii="Times New Roman" w:cs="Times New Roman" w:eastAsia="Times New Roman" w:hAnsi="Times New Roman"/>
          <w:sz w:val="17"/>
          <w:szCs w:val="17"/>
          <w:color w:val="auto"/>
        </w:rPr>
        <w:t>fell 3.7% QoQ. This evolution was driven primarily by a drop in income from Cash and equivalents, which reflected lower average rates, following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Fed’s rate cut in December 2025. This dynamic was partially offset by growth in interest on Loans, which rose on the back of loan growth, particularly in Wholesale Banking at BCP. Interest expenses fell, fueled primarily by a drop in expenses for deposits, which fell alongside an increase in low-cost deposits’ participation in the funding mix.</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YoY Analysis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YoY, </w:t>
      </w:r>
      <w:r>
        <w:rPr>
          <w:rFonts w:ascii="Times New Roman" w:cs="Times New Roman" w:eastAsia="Times New Roman" w:hAnsi="Times New Roman"/>
          <w:sz w:val="17"/>
          <w:szCs w:val="17"/>
          <w:b w:val="1"/>
          <w:bCs w:val="1"/>
          <w:color w:val="auto"/>
        </w:rPr>
        <w:t>NII</w:t>
      </w:r>
      <w:r>
        <w:rPr>
          <w:rFonts w:ascii="Times New Roman" w:cs="Times New Roman" w:eastAsia="Times New Roman" w:hAnsi="Times New Roman"/>
          <w:sz w:val="17"/>
          <w:szCs w:val="17"/>
          <w:color w:val="auto"/>
        </w:rPr>
        <w:t xml:space="preserve"> rose 11.0%, driven by an increase in NII in LC and FC.</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Dynamics in Local Currency (LC)</w:t>
      </w:r>
    </w:p>
    <w:p>
      <w:pPr>
        <w:spacing w:after="0" w:line="21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7"/>
          <w:szCs w:val="17"/>
          <w:b w:val="1"/>
          <w:bCs w:val="1"/>
          <w:color w:val="auto"/>
        </w:rPr>
        <w:t xml:space="preserve">NII </w:t>
      </w:r>
      <w:r>
        <w:rPr>
          <w:rFonts w:ascii="Times New Roman" w:cs="Times New Roman" w:eastAsia="Times New Roman" w:hAnsi="Times New Roman"/>
          <w:sz w:val="17"/>
          <w:szCs w:val="17"/>
          <w:color w:val="auto"/>
        </w:rPr>
        <w:t>in</w:t>
      </w:r>
      <w:r>
        <w:rPr>
          <w:rFonts w:ascii="Times New Roman" w:cs="Times New Roman" w:eastAsia="Times New Roman" w:hAnsi="Times New Roman"/>
          <w:sz w:val="17"/>
          <w:szCs w:val="17"/>
          <w:b w:val="1"/>
          <w:bCs w:val="1"/>
          <w:color w:val="auto"/>
        </w:rPr>
        <w:t xml:space="preserve"> FC </w:t>
      </w:r>
      <w:r>
        <w:rPr>
          <w:rFonts w:ascii="Times New Roman" w:cs="Times New Roman" w:eastAsia="Times New Roman" w:hAnsi="Times New Roman"/>
          <w:sz w:val="17"/>
          <w:szCs w:val="17"/>
          <w:color w:val="auto"/>
        </w:rPr>
        <w:t>increased 13.5% YoY, fueled mainly by an increase in interest income and secondarily, by a drop in interest expenses. These results were driven by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following dynamics:</w:t>
      </w:r>
    </w:p>
    <w:p>
      <w:pPr>
        <w:spacing w:after="0" w:line="15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Interest income on Loans rose, driven by: i) growth in total loan volumes at BCP Mibanco Perú and Mibanco Colombia; and ii) an increase in Investment income, which followed the same dynamics seen in the QoQ analysis. In this context, the yield on IEA in LC increased 26 bps to 10.7%.</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Interest expenses fell over the period, pressured downward by decreasing interest rates and an uptick in the low-cost deposits’ share of the funding mix, which was bolstered by inflows from pension fund withdrawals. It is important to note that in the current context of elevated liquidity in the financial system, our balance of BCRP and Banks fell, reflecting both a reduction in BCRP’s offering of repos and a decrease in funding through other instruments. In this context, the funding cost in LC dropped 42 bps to stand at 2.4%.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Foreign Currency Dynamics (FC)</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NII </w:t>
      </w:r>
      <w:r>
        <w:rPr>
          <w:rFonts w:ascii="Times New Roman" w:cs="Times New Roman" w:eastAsia="Times New Roman" w:hAnsi="Times New Roman"/>
          <w:sz w:val="17"/>
          <w:szCs w:val="17"/>
          <w:color w:val="auto"/>
        </w:rPr>
        <w:t>in</w:t>
      </w:r>
      <w:r>
        <w:rPr>
          <w:rFonts w:ascii="Times New Roman" w:cs="Times New Roman" w:eastAsia="Times New Roman" w:hAnsi="Times New Roman"/>
          <w:sz w:val="17"/>
          <w:szCs w:val="17"/>
          <w:b w:val="1"/>
          <w:bCs w:val="1"/>
          <w:color w:val="auto"/>
        </w:rPr>
        <w:t xml:space="preserve"> FC </w:t>
      </w:r>
      <w:r>
        <w:rPr>
          <w:rFonts w:ascii="Times New Roman" w:cs="Times New Roman" w:eastAsia="Times New Roman" w:hAnsi="Times New Roman"/>
          <w:sz w:val="17"/>
          <w:szCs w:val="17"/>
          <w:color w:val="auto"/>
        </w:rPr>
        <w:t>rose 2.8% YoY, driven by the following dynamics:</w:t>
      </w:r>
    </w:p>
    <w:p>
      <w:pPr>
        <w:spacing w:after="0" w:line="21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Interest expenses in FC dropped. This dynamic was fueled by: i) a drop in interest expenses on Deposits, which fell on the back of a downward trend in interest rates, and ii) a decrease in balances for BCRP and Banks, which reflects expirations of debt obligations that were not renewed because marginal funding needs are lower. In this context, the cost of funding in FC dropped 13 bps to stand at 2.5%.</w:t>
      </w:r>
    </w:p>
    <w:p>
      <w:pPr>
        <w:spacing w:after="0" w:line="17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Interest income fell over the period, driven primarily by a drop in interest on Cash and Equivalents, which fell alongside declining market rates. The reduction in the investment balance acted as a secondary catalyst in the reduction in interest income. In this context, IEA in FC dropped 21 bps to stand at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666750</wp:posOffset>
            </wp:positionV>
            <wp:extent cx="7140575" cy="158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0575" cy="15875"/>
                    </a:xfrm>
                    <a:prstGeom prst="rect">
                      <a:avLst/>
                    </a:prstGeom>
                    <a:noFill/>
                  </pic:spPr>
                </pic:pic>
              </a:graphicData>
            </a:graphic>
          </wp:anchor>
        </w:drawing>
        <w:drawing>
          <wp:anchor simplePos="0" relativeHeight="251657728" behindDoc="1" locked="0" layoutInCell="0" allowOverlap="1">
            <wp:simplePos x="0" y="0"/>
            <wp:positionH relativeFrom="column">
              <wp:posOffset>347345</wp:posOffset>
            </wp:positionH>
            <wp:positionV relativeFrom="paragraph">
              <wp:posOffset>-17780</wp:posOffset>
            </wp:positionV>
            <wp:extent cx="6447155" cy="5803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447155" cy="580390"/>
                    </a:xfrm>
                    <a:prstGeom prst="rect">
                      <a:avLst/>
                    </a:prstGeom>
                    <a:noFill/>
                  </pic:spPr>
                </pic:pic>
              </a:graphicData>
            </a:graphic>
          </wp:anchor>
        </w:drawing>
      </w:r>
    </w:p>
    <w:p>
      <w:pPr>
        <w:sectPr>
          <w:pgSz w:w="11900" w:h="16838" w:orient="portrait"/>
          <w:cols w:equalWidth="0" w:num="1">
            <w:col w:w="11240"/>
          </w:cols>
          <w:pgMar w:left="320" w:top="589" w:right="339" w:bottom="1440" w:gutter="0" w:footer="0" w:header="0"/>
        </w:sectPr>
      </w:pPr>
    </w:p>
    <w:bookmarkStart w:id="27" w:name="page28"/>
    <w:bookmarkEnd w:id="27"/>
    <w:p>
      <w:pPr>
        <w:ind w:left="3200"/>
        <w:spacing w:after="0"/>
        <w:tabs>
          <w:tab w:leader="none" w:pos="3380" w:val="left"/>
          <w:tab w:leader="none" w:pos="9060" w:val="left"/>
        </w:tabs>
        <w:rPr>
          <w:sz w:val="20"/>
          <w:szCs w:val="20"/>
          <w:color w:val="auto"/>
        </w:rPr>
      </w:pPr>
      <w:r>
        <w:rPr>
          <w:rFonts w:ascii="Times New Roman" w:cs="Times New Roman" w:eastAsia="Times New Roman" w:hAnsi="Times New Roman"/>
          <w:sz w:val="17"/>
          <w:szCs w:val="17"/>
          <w:color w:val="A6A6A6"/>
        </w:rPr>
        <w:drawing>
          <wp:anchor simplePos="0" relativeHeight="251657728" behindDoc="1" locked="0" layoutInCell="0" allowOverlap="1">
            <wp:simplePos x="0" y="0"/>
            <wp:positionH relativeFrom="page">
              <wp:posOffset>204470</wp:posOffset>
            </wp:positionH>
            <wp:positionV relativeFrom="page">
              <wp:posOffset>217805</wp:posOffset>
            </wp:positionV>
            <wp:extent cx="7140575" cy="6927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0575" cy="692785"/>
                    </a:xfrm>
                    <a:prstGeom prst="rect">
                      <a:avLst/>
                    </a:prstGeom>
                    <a:noFill/>
                  </pic:spPr>
                </pic:pic>
              </a:graphicData>
            </a:graphic>
          </wp:anchor>
        </w:drawing>
        <w:t>|</w:t>
      </w:r>
      <w:r>
        <w:rPr>
          <w:sz w:val="20"/>
          <w:szCs w:val="20"/>
          <w:color w:val="auto"/>
        </w:rPr>
        <w:tab/>
      </w:r>
      <w:r>
        <w:rPr>
          <w:rFonts w:ascii="Times New Roman" w:cs="Times New Roman" w:eastAsia="Times New Roman" w:hAnsi="Times New Roman"/>
          <w:sz w:val="14"/>
          <w:szCs w:val="14"/>
          <w:color w:val="FFFFFF"/>
        </w:rPr>
        <w:t>Earnings Release 1Q / 2026</w:t>
      </w:r>
      <w:r>
        <w:rPr>
          <w:sz w:val="20"/>
          <w:szCs w:val="20"/>
          <w:color w:val="auto"/>
        </w:rPr>
        <w:tab/>
      </w:r>
      <w:r>
        <w:rPr>
          <w:rFonts w:ascii="Times New Roman" w:cs="Times New Roman" w:eastAsia="Times New Roman" w:hAnsi="Times New Roman"/>
          <w:sz w:val="12"/>
          <w:szCs w:val="12"/>
          <w:color w:val="FF00FF"/>
        </w:rPr>
        <w:t>Analysis of 1Q26 Consolidated Results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49"/>
          <w:szCs w:val="49"/>
          <w:b w:val="1"/>
          <w:bCs w:val="1"/>
          <w:color w:val="E93BAC"/>
        </w:rPr>
        <w:t>05</w:t>
      </w:r>
      <w:r>
        <w:rPr>
          <w:sz w:val="20"/>
          <w:szCs w:val="20"/>
          <w:color w:val="auto"/>
        </w:rPr>
        <w:tab/>
      </w:r>
      <w:r>
        <w:rPr>
          <w:rFonts w:ascii="Times New Roman" w:cs="Times New Roman" w:eastAsia="Times New Roman" w:hAnsi="Times New Roman"/>
          <w:sz w:val="30"/>
          <w:szCs w:val="30"/>
          <w:color w:val="E93BAC"/>
        </w:rPr>
        <w:t>Portfolio Quality and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243840</wp:posOffset>
            </wp:positionV>
            <wp:extent cx="7140575" cy="166052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0575" cy="166052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jc w:val="both"/>
        <w:ind w:left="100" w:right="100"/>
        <w:spacing w:after="0" w:line="277" w:lineRule="auto"/>
        <w:rPr>
          <w:sz w:val="20"/>
          <w:szCs w:val="20"/>
          <w:color w:val="auto"/>
        </w:rPr>
      </w:pPr>
      <w:r>
        <w:rPr>
          <w:rFonts w:ascii="Times New Roman" w:cs="Times New Roman" w:eastAsia="Times New Roman" w:hAnsi="Times New Roman"/>
          <w:sz w:val="17"/>
          <w:szCs w:val="17"/>
          <w:color w:val="FFFFFF"/>
        </w:rPr>
        <w:t>Our portfolio quality indicators continued to strengthen thanks to a favorable economic backdrop, adequate risk management measures, and an additional impulse this quarter from inflows from pension (AFP) fund withdrawals.</w:t>
      </w:r>
    </w:p>
    <w:p>
      <w:pPr>
        <w:spacing w:after="0" w:line="158" w:lineRule="exact"/>
        <w:rPr>
          <w:sz w:val="20"/>
          <w:szCs w:val="20"/>
          <w:color w:val="auto"/>
        </w:rPr>
      </w:pPr>
    </w:p>
    <w:p>
      <w:pPr>
        <w:jc w:val="both"/>
        <w:ind w:left="100" w:right="80"/>
        <w:spacing w:after="0" w:line="258" w:lineRule="auto"/>
        <w:rPr>
          <w:sz w:val="20"/>
          <w:szCs w:val="20"/>
          <w:color w:val="auto"/>
        </w:rPr>
      </w:pPr>
      <w:r>
        <w:rPr>
          <w:rFonts w:ascii="Times New Roman" w:cs="Times New Roman" w:eastAsia="Times New Roman" w:hAnsi="Times New Roman"/>
          <w:sz w:val="17"/>
          <w:szCs w:val="17"/>
          <w:color w:val="FFFFFF"/>
        </w:rPr>
        <w:t>QoQ basis, the reduction in BCP stand-alone NPLs was driven mainly by debt repayments in the SME-Pyme and Individuals segments. YoY, the improvement was supported by the same trends, alongside corporate amortizations in Wholesale Banking and lower overdue loans at Mibanco, reflecting improved origination and collections. In this context, the NPL ratio decreased 28 bps and 83 bps QoQ and YoY, respectively, to stand at 4.3%— below the levels reported prior to the economic recession in 2023.</w:t>
      </w:r>
    </w:p>
    <w:p>
      <w:pPr>
        <w:spacing w:after="0" w:line="175" w:lineRule="exact"/>
        <w:rPr>
          <w:sz w:val="20"/>
          <w:szCs w:val="20"/>
          <w:color w:val="auto"/>
        </w:rPr>
      </w:pPr>
    </w:p>
    <w:p>
      <w:pPr>
        <w:jc w:val="both"/>
        <w:ind w:left="100" w:right="80"/>
        <w:spacing w:after="0" w:line="258" w:lineRule="auto"/>
        <w:rPr>
          <w:sz w:val="20"/>
          <w:szCs w:val="20"/>
          <w:color w:val="auto"/>
        </w:rPr>
      </w:pPr>
      <w:r>
        <w:rPr>
          <w:rFonts w:ascii="Times New Roman" w:cs="Times New Roman" w:eastAsia="Times New Roman" w:hAnsi="Times New Roman"/>
          <w:sz w:val="17"/>
          <w:szCs w:val="17"/>
          <w:color w:val="FFFFFF"/>
        </w:rPr>
        <w:t>QoQ, the decline in provisions was mainly driven by BCP stand-alone, reflecting a base effect in Wholesale Banking and, to a lesser extent, a higher mix of lower-risk vintages across SME-Pyme, Consumer, and Credit Card portfolios, supported by a more favorable macroeconomic environment. YoY, the decrease was driven by stronger Retail Banking payment performance and provision reversals in Wholesale Banking. This evolution was partially offset by an increase in provisions at Mibanco, which was driven by loan growth. In this context, the cost of risk dropped 48 bps QoQ and 35 bps YoY to stand at 1.3% at quarter-end.</w:t>
      </w:r>
    </w:p>
    <w:p>
      <w:pPr>
        <w:spacing w:after="0" w:line="264"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7"/>
          <w:szCs w:val="17"/>
          <w:color w:val="auto"/>
        </w:rPr>
        <w:t>Portfolio quality indicators continued to follow a positive trajectory in all segments, driven by a favorable economic environment; fortified risk management; and an uptick in debt amortizations, which was fueled by pension fund withdrawals.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5.1 Portfolio Quality</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Total Portfolio Quality (in Quarter-end balances)</w:t>
      </w:r>
    </w:p>
    <w:p>
      <w:pPr>
        <w:spacing w:after="0" w:line="211"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4520" w:type="dxa"/>
            <w:vAlign w:val="bottom"/>
            <w:tcBorders>
              <w:top w:val="single" w:sz="8" w:color="auto"/>
              <w:left w:val="single" w:sz="8" w:color="auto"/>
              <w:right w:val="single" w:sz="8" w:color="auto"/>
            </w:tcBorders>
            <w:shd w:val="clear" w:color="auto" w:fill="2AD2C9"/>
          </w:tcPr>
          <w:p>
            <w:pPr>
              <w:ind w:left="60"/>
              <w:spacing w:after="0"/>
              <w:rPr>
                <w:sz w:val="20"/>
                <w:szCs w:val="20"/>
                <w:color w:val="auto"/>
              </w:rPr>
            </w:pPr>
            <w:r>
              <w:rPr>
                <w:rFonts w:ascii="Times New Roman" w:cs="Times New Roman" w:eastAsia="Times New Roman" w:hAnsi="Times New Roman"/>
                <w:sz w:val="15"/>
                <w:szCs w:val="15"/>
                <w:b w:val="1"/>
                <w:bCs w:val="1"/>
                <w:color w:val="FFFFFF"/>
              </w:rPr>
              <w:t>Loan Portfolio quality and Delinquency ratios</w:t>
            </w:r>
          </w:p>
        </w:tc>
        <w:tc>
          <w:tcPr>
            <w:tcW w:w="1340" w:type="dxa"/>
            <w:vAlign w:val="bottom"/>
            <w:tcBorders>
              <w:top w:val="single" w:sz="8" w:color="auto"/>
            </w:tcBorders>
            <w:shd w:val="clear" w:color="auto" w:fill="2AD2C9"/>
          </w:tcPr>
          <w:p>
            <w:pPr>
              <w:spacing w:after="0"/>
              <w:rPr>
                <w:sz w:val="17"/>
                <w:szCs w:val="17"/>
                <w:color w:val="auto"/>
              </w:rPr>
            </w:pPr>
          </w:p>
        </w:tc>
        <w:tc>
          <w:tcPr>
            <w:tcW w:w="1340" w:type="dxa"/>
            <w:vAlign w:val="bottom"/>
            <w:tcBorders>
              <w:top w:val="single" w:sz="8" w:color="auto"/>
            </w:tcBorders>
            <w:shd w:val="clear" w:color="auto" w:fill="2AD2C9"/>
          </w:tcPr>
          <w:p>
            <w:pPr>
              <w:jc w:val="center"/>
              <w:spacing w:after="0"/>
              <w:rPr>
                <w:sz w:val="20"/>
                <w:szCs w:val="20"/>
                <w:color w:val="auto"/>
              </w:rPr>
            </w:pPr>
            <w:r>
              <w:rPr>
                <w:rFonts w:ascii="Times New Roman" w:cs="Times New Roman" w:eastAsia="Times New Roman" w:hAnsi="Times New Roman"/>
                <w:sz w:val="15"/>
                <w:szCs w:val="15"/>
                <w:b w:val="1"/>
                <w:bCs w:val="1"/>
                <w:color w:val="FFFFFF"/>
              </w:rPr>
              <w:t>As of</w:t>
            </w:r>
          </w:p>
        </w:tc>
        <w:tc>
          <w:tcPr>
            <w:tcW w:w="1360" w:type="dxa"/>
            <w:vAlign w:val="bottom"/>
            <w:tcBorders>
              <w:top w:val="single" w:sz="8" w:color="auto"/>
              <w:right w:val="single" w:sz="8" w:color="auto"/>
            </w:tcBorders>
            <w:shd w:val="clear" w:color="auto" w:fill="2AD2C9"/>
          </w:tcPr>
          <w:p>
            <w:pPr>
              <w:spacing w:after="0"/>
              <w:rPr>
                <w:sz w:val="17"/>
                <w:szCs w:val="17"/>
                <w:color w:val="auto"/>
              </w:rPr>
            </w:pPr>
          </w:p>
        </w:tc>
        <w:tc>
          <w:tcPr>
            <w:tcW w:w="960" w:type="dxa"/>
            <w:vAlign w:val="bottom"/>
            <w:tcBorders>
              <w:top w:val="single" w:sz="8" w:color="auto"/>
            </w:tcBorders>
            <w:shd w:val="clear" w:color="auto" w:fill="2AD2C9"/>
          </w:tcPr>
          <w:p>
            <w:pPr>
              <w:spacing w:after="0"/>
              <w:rPr>
                <w:sz w:val="17"/>
                <w:szCs w:val="17"/>
                <w:color w:val="auto"/>
              </w:rPr>
            </w:pPr>
          </w:p>
        </w:tc>
        <w:tc>
          <w:tcPr>
            <w:tcW w:w="1740" w:type="dxa"/>
            <w:vAlign w:val="bottom"/>
            <w:tcBorders>
              <w:top w:val="single" w:sz="8" w:color="auto"/>
              <w:right w:val="single" w:sz="8" w:color="auto"/>
            </w:tcBorders>
            <w:shd w:val="clear" w:color="auto" w:fill="2AD2C9"/>
          </w:tcPr>
          <w:p>
            <w:pPr>
              <w:ind w:left="60"/>
              <w:spacing w:after="0"/>
              <w:rPr>
                <w:sz w:val="20"/>
                <w:szCs w:val="20"/>
                <w:color w:val="auto"/>
              </w:rPr>
            </w:pPr>
            <w:r>
              <w:rPr>
                <w:rFonts w:ascii="Times New Roman" w:cs="Times New Roman" w:eastAsia="Times New Roman" w:hAnsi="Times New Roman"/>
                <w:sz w:val="15"/>
                <w:szCs w:val="15"/>
                <w:b w:val="1"/>
                <w:bCs w:val="1"/>
                <w:color w:val="FFFFFF"/>
              </w:rPr>
              <w:t>% change</w:t>
            </w:r>
          </w:p>
        </w:tc>
      </w:tr>
      <w:tr>
        <w:trPr>
          <w:trHeight w:val="190"/>
        </w:trPr>
        <w:tc>
          <w:tcPr>
            <w:tcW w:w="4520" w:type="dxa"/>
            <w:vAlign w:val="bottom"/>
            <w:tcBorders>
              <w:left w:val="single" w:sz="8" w:color="auto"/>
              <w:bottom w:val="single" w:sz="8" w:color="auto"/>
              <w:right w:val="single" w:sz="8" w:color="auto"/>
            </w:tcBorders>
            <w:shd w:val="clear" w:color="auto" w:fill="2AD2C9"/>
          </w:tcPr>
          <w:p>
            <w:pPr>
              <w:ind w:left="60"/>
              <w:spacing w:after="0"/>
              <w:rPr>
                <w:sz w:val="20"/>
                <w:szCs w:val="20"/>
                <w:color w:val="auto"/>
              </w:rPr>
            </w:pPr>
            <w:r>
              <w:rPr>
                <w:rFonts w:ascii="Times New Roman" w:cs="Times New Roman" w:eastAsia="Times New Roman" w:hAnsi="Times New Roman"/>
                <w:sz w:val="15"/>
                <w:szCs w:val="15"/>
                <w:b w:val="1"/>
                <w:bCs w:val="1"/>
                <w:color w:val="FFFFFF"/>
              </w:rPr>
              <w:t>S/000</w:t>
            </w:r>
          </w:p>
        </w:tc>
        <w:tc>
          <w:tcPr>
            <w:tcW w:w="1340" w:type="dxa"/>
            <w:vAlign w:val="bottom"/>
            <w:tcBorders>
              <w:bottom w:val="single" w:sz="8" w:color="auto"/>
            </w:tcBorders>
            <w:shd w:val="clear" w:color="auto" w:fill="2AD2C9"/>
          </w:tcPr>
          <w:p>
            <w:pPr>
              <w:ind w:left="420"/>
              <w:spacing w:after="0"/>
              <w:rPr>
                <w:sz w:val="20"/>
                <w:szCs w:val="20"/>
                <w:color w:val="auto"/>
              </w:rPr>
            </w:pPr>
            <w:r>
              <w:rPr>
                <w:rFonts w:ascii="Times New Roman" w:cs="Times New Roman" w:eastAsia="Times New Roman" w:hAnsi="Times New Roman"/>
                <w:sz w:val="15"/>
                <w:szCs w:val="15"/>
                <w:b w:val="1"/>
                <w:bCs w:val="1"/>
                <w:color w:val="FFFFFF"/>
              </w:rPr>
              <w:t>Mar 25</w:t>
            </w:r>
          </w:p>
        </w:tc>
        <w:tc>
          <w:tcPr>
            <w:tcW w:w="1340" w:type="dxa"/>
            <w:vAlign w:val="bottom"/>
            <w:tcBorders>
              <w:bottom w:val="single" w:sz="8" w:color="auto"/>
            </w:tcBorders>
            <w:shd w:val="clear" w:color="auto" w:fill="2AD2C9"/>
          </w:tcPr>
          <w:p>
            <w:pPr>
              <w:jc w:val="center"/>
              <w:spacing w:after="0"/>
              <w:rPr>
                <w:sz w:val="20"/>
                <w:szCs w:val="20"/>
                <w:color w:val="auto"/>
              </w:rPr>
            </w:pPr>
            <w:r>
              <w:rPr>
                <w:rFonts w:ascii="Times New Roman" w:cs="Times New Roman" w:eastAsia="Times New Roman" w:hAnsi="Times New Roman"/>
                <w:sz w:val="15"/>
                <w:szCs w:val="15"/>
                <w:b w:val="1"/>
                <w:bCs w:val="1"/>
                <w:color w:val="FFFFFF"/>
              </w:rPr>
              <w:t>Dec 25</w:t>
            </w:r>
          </w:p>
        </w:tc>
        <w:tc>
          <w:tcPr>
            <w:tcW w:w="1360" w:type="dxa"/>
            <w:vAlign w:val="bottom"/>
            <w:tcBorders>
              <w:bottom w:val="single" w:sz="8" w:color="auto"/>
              <w:right w:val="single" w:sz="8" w:color="auto"/>
            </w:tcBorders>
            <w:shd w:val="clear" w:color="auto" w:fill="2AD2C9"/>
          </w:tcPr>
          <w:p>
            <w:pPr>
              <w:ind w:left="440"/>
              <w:spacing w:after="0"/>
              <w:rPr>
                <w:sz w:val="20"/>
                <w:szCs w:val="20"/>
                <w:color w:val="auto"/>
              </w:rPr>
            </w:pPr>
            <w:r>
              <w:rPr>
                <w:rFonts w:ascii="Times New Roman" w:cs="Times New Roman" w:eastAsia="Times New Roman" w:hAnsi="Times New Roman"/>
                <w:sz w:val="15"/>
                <w:szCs w:val="15"/>
                <w:b w:val="1"/>
                <w:bCs w:val="1"/>
                <w:color w:val="FFFFFF"/>
              </w:rPr>
              <w:t>Mar 26</w:t>
            </w:r>
          </w:p>
        </w:tc>
        <w:tc>
          <w:tcPr>
            <w:tcW w:w="960" w:type="dxa"/>
            <w:vAlign w:val="bottom"/>
            <w:tcBorders>
              <w:bottom w:val="single" w:sz="8" w:color="auto"/>
            </w:tcBorders>
            <w:shd w:val="clear" w:color="auto" w:fill="2AD2C9"/>
          </w:tcPr>
          <w:p>
            <w:pPr>
              <w:jc w:val="center"/>
              <w:ind w:left="284"/>
              <w:spacing w:after="0"/>
              <w:rPr>
                <w:sz w:val="20"/>
                <w:szCs w:val="20"/>
                <w:color w:val="auto"/>
              </w:rPr>
            </w:pPr>
            <w:r>
              <w:rPr>
                <w:rFonts w:ascii="Times New Roman" w:cs="Times New Roman" w:eastAsia="Times New Roman" w:hAnsi="Times New Roman"/>
                <w:sz w:val="15"/>
                <w:szCs w:val="15"/>
                <w:b w:val="1"/>
                <w:bCs w:val="1"/>
                <w:color w:val="FFFFFF"/>
              </w:rPr>
              <w:t>QoQ</w:t>
            </w:r>
          </w:p>
        </w:tc>
        <w:tc>
          <w:tcPr>
            <w:tcW w:w="1740" w:type="dxa"/>
            <w:vAlign w:val="bottom"/>
            <w:tcBorders>
              <w:bottom w:val="single" w:sz="8" w:color="auto"/>
              <w:right w:val="single" w:sz="8" w:color="auto"/>
            </w:tcBorders>
            <w:shd w:val="clear" w:color="auto" w:fill="2AD2C9"/>
          </w:tcPr>
          <w:p>
            <w:pPr>
              <w:jc w:val="center"/>
              <w:ind w:left="264"/>
              <w:spacing w:after="0"/>
              <w:rPr>
                <w:sz w:val="20"/>
                <w:szCs w:val="20"/>
                <w:color w:val="auto"/>
              </w:rPr>
            </w:pPr>
            <w:r>
              <w:rPr>
                <w:rFonts w:ascii="Times New Roman" w:cs="Times New Roman" w:eastAsia="Times New Roman" w:hAnsi="Times New Roman"/>
                <w:sz w:val="15"/>
                <w:szCs w:val="15"/>
                <w:b w:val="1"/>
                <w:bCs w:val="1"/>
                <w:color w:val="FFFFFF"/>
                <w:w w:val="95"/>
              </w:rPr>
              <w:t>YoY</w:t>
            </w:r>
          </w:p>
        </w:tc>
      </w:tr>
      <w:tr>
        <w:trPr>
          <w:trHeight w:val="183"/>
        </w:trPr>
        <w:tc>
          <w:tcPr>
            <w:tcW w:w="45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b w:val="1"/>
                <w:bCs w:val="1"/>
                <w:color w:val="auto"/>
              </w:rPr>
              <w:t>Total loans (Quarter-end balance)</w:t>
            </w: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141,196,646</w:t>
            </w: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149,984,954</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152,824,685</w:t>
            </w:r>
          </w:p>
        </w:tc>
        <w:tc>
          <w:tcPr>
            <w:tcW w:w="960" w:type="dxa"/>
            <w:vAlign w:val="bottom"/>
            <w:tcBorders>
              <w:bottom w:val="single" w:sz="8" w:color="auto"/>
            </w:tcBorders>
          </w:tcPr>
          <w:p>
            <w:pPr>
              <w:jc w:val="center"/>
              <w:ind w:left="304"/>
              <w:spacing w:after="0"/>
              <w:rPr>
                <w:sz w:val="20"/>
                <w:szCs w:val="20"/>
                <w:color w:val="auto"/>
              </w:rPr>
            </w:pPr>
            <w:r>
              <w:rPr>
                <w:rFonts w:ascii="Times New Roman" w:cs="Times New Roman" w:eastAsia="Times New Roman" w:hAnsi="Times New Roman"/>
                <w:sz w:val="15"/>
                <w:szCs w:val="15"/>
                <w:b w:val="1"/>
                <w:bCs w:val="1"/>
                <w:color w:val="auto"/>
              </w:rPr>
              <w:t>1.9%</w:t>
            </w:r>
          </w:p>
        </w:tc>
        <w:tc>
          <w:tcPr>
            <w:tcW w:w="1740" w:type="dxa"/>
            <w:vAlign w:val="bottom"/>
            <w:tcBorders>
              <w:bottom w:val="single" w:sz="8" w:color="auto"/>
              <w:right w:val="single" w:sz="8" w:color="auto"/>
            </w:tcBorders>
          </w:tcPr>
          <w:p>
            <w:pPr>
              <w:jc w:val="center"/>
              <w:ind w:left="264"/>
              <w:spacing w:after="0"/>
              <w:rPr>
                <w:sz w:val="20"/>
                <w:szCs w:val="20"/>
                <w:color w:val="auto"/>
              </w:rPr>
            </w:pPr>
            <w:r>
              <w:rPr>
                <w:rFonts w:ascii="Times New Roman" w:cs="Times New Roman" w:eastAsia="Times New Roman" w:hAnsi="Times New Roman"/>
                <w:sz w:val="15"/>
                <w:szCs w:val="15"/>
                <w:b w:val="1"/>
                <w:bCs w:val="1"/>
                <w:color w:val="auto"/>
              </w:rPr>
              <w:t>8.2%</w:t>
            </w:r>
          </w:p>
        </w:tc>
      </w:tr>
      <w:tr>
        <w:trPr>
          <w:trHeight w:val="183"/>
        </w:trPr>
        <w:tc>
          <w:tcPr>
            <w:tcW w:w="45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Write-offs</w:t>
            </w: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716,585</w:t>
            </w: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656,331</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852,041</w:t>
            </w:r>
          </w:p>
        </w:tc>
        <w:tc>
          <w:tcPr>
            <w:tcW w:w="960" w:type="dxa"/>
            <w:vAlign w:val="bottom"/>
            <w:tcBorders>
              <w:bottom w:val="single" w:sz="8" w:color="auto"/>
            </w:tcBorders>
          </w:tcPr>
          <w:p>
            <w:pPr>
              <w:jc w:val="center"/>
              <w:ind w:left="284"/>
              <w:spacing w:after="0"/>
              <w:rPr>
                <w:sz w:val="20"/>
                <w:szCs w:val="20"/>
                <w:color w:val="auto"/>
              </w:rPr>
            </w:pPr>
            <w:r>
              <w:rPr>
                <w:rFonts w:ascii="Times New Roman" w:cs="Times New Roman" w:eastAsia="Times New Roman" w:hAnsi="Times New Roman"/>
                <w:sz w:val="15"/>
                <w:szCs w:val="15"/>
                <w:color w:val="auto"/>
              </w:rPr>
              <w:t>29.8%</w:t>
            </w:r>
          </w:p>
        </w:tc>
        <w:tc>
          <w:tcPr>
            <w:tcW w:w="1740" w:type="dxa"/>
            <w:vAlign w:val="bottom"/>
            <w:tcBorders>
              <w:bottom w:val="single" w:sz="8" w:color="auto"/>
              <w:right w:val="single" w:sz="8" w:color="auto"/>
            </w:tcBorders>
          </w:tcPr>
          <w:p>
            <w:pPr>
              <w:jc w:val="center"/>
              <w:ind w:left="264"/>
              <w:spacing w:after="0"/>
              <w:rPr>
                <w:sz w:val="20"/>
                <w:szCs w:val="20"/>
                <w:color w:val="auto"/>
              </w:rPr>
            </w:pPr>
            <w:r>
              <w:rPr>
                <w:rFonts w:ascii="Times New Roman" w:cs="Times New Roman" w:eastAsia="Times New Roman" w:hAnsi="Times New Roman"/>
                <w:sz w:val="15"/>
                <w:szCs w:val="15"/>
                <w:color w:val="auto"/>
              </w:rPr>
              <w:t>18.9%</w:t>
            </w:r>
          </w:p>
        </w:tc>
      </w:tr>
      <w:tr>
        <w:trPr>
          <w:trHeight w:val="171"/>
        </w:trPr>
        <w:tc>
          <w:tcPr>
            <w:tcW w:w="4520" w:type="dxa"/>
            <w:vAlign w:val="bottom"/>
            <w:tcBorders>
              <w:left w:val="single" w:sz="8" w:color="auto"/>
              <w:right w:val="single" w:sz="8" w:color="auto"/>
            </w:tcBorders>
          </w:tcPr>
          <w:p>
            <w:pPr>
              <w:ind w:left="60"/>
              <w:spacing w:after="0" w:line="171" w:lineRule="exact"/>
              <w:rPr>
                <w:sz w:val="20"/>
                <w:szCs w:val="20"/>
                <w:color w:val="auto"/>
              </w:rPr>
            </w:pPr>
            <w:r>
              <w:rPr>
                <w:rFonts w:ascii="Times New Roman" w:cs="Times New Roman" w:eastAsia="Times New Roman" w:hAnsi="Times New Roman"/>
                <w:sz w:val="15"/>
                <w:szCs w:val="15"/>
                <w:color w:val="auto"/>
              </w:rPr>
              <w:t>Internal overdue loans (IOLs)</w:t>
            </w:r>
          </w:p>
        </w:tc>
        <w:tc>
          <w:tcPr>
            <w:tcW w:w="1340" w:type="dxa"/>
            <w:vAlign w:val="bottom"/>
          </w:tcPr>
          <w:p>
            <w:pPr>
              <w:jc w:val="center"/>
              <w:spacing w:after="0" w:line="171" w:lineRule="exact"/>
              <w:rPr>
                <w:sz w:val="20"/>
                <w:szCs w:val="20"/>
                <w:color w:val="auto"/>
              </w:rPr>
            </w:pPr>
            <w:r>
              <w:rPr>
                <w:rFonts w:ascii="Times New Roman" w:cs="Times New Roman" w:eastAsia="Times New Roman" w:hAnsi="Times New Roman"/>
                <w:sz w:val="15"/>
                <w:szCs w:val="15"/>
                <w:color w:val="auto"/>
              </w:rPr>
              <w:t>5,206,395</w:t>
            </w:r>
          </w:p>
        </w:tc>
        <w:tc>
          <w:tcPr>
            <w:tcW w:w="1340" w:type="dxa"/>
            <w:vAlign w:val="bottom"/>
          </w:tcPr>
          <w:p>
            <w:pPr>
              <w:jc w:val="center"/>
              <w:spacing w:after="0" w:line="171" w:lineRule="exact"/>
              <w:rPr>
                <w:sz w:val="20"/>
                <w:szCs w:val="20"/>
                <w:color w:val="auto"/>
              </w:rPr>
            </w:pPr>
            <w:r>
              <w:rPr>
                <w:rFonts w:ascii="Times New Roman" w:cs="Times New Roman" w:eastAsia="Times New Roman" w:hAnsi="Times New Roman"/>
                <w:sz w:val="15"/>
                <w:szCs w:val="15"/>
                <w:color w:val="auto"/>
                <w:w w:val="99"/>
              </w:rPr>
              <w:t>4,813,536</w:t>
            </w:r>
          </w:p>
        </w:tc>
        <w:tc>
          <w:tcPr>
            <w:tcW w:w="1360" w:type="dxa"/>
            <w:vAlign w:val="bottom"/>
            <w:tcBorders>
              <w:right w:val="single" w:sz="8" w:color="auto"/>
            </w:tcBorders>
          </w:tcPr>
          <w:p>
            <w:pPr>
              <w:jc w:val="center"/>
              <w:spacing w:after="0" w:line="171" w:lineRule="exact"/>
              <w:rPr>
                <w:sz w:val="20"/>
                <w:szCs w:val="20"/>
                <w:color w:val="auto"/>
              </w:rPr>
            </w:pPr>
            <w:r>
              <w:rPr>
                <w:rFonts w:ascii="Times New Roman" w:cs="Times New Roman" w:eastAsia="Times New Roman" w:hAnsi="Times New Roman"/>
                <w:sz w:val="15"/>
                <w:szCs w:val="15"/>
                <w:color w:val="auto"/>
              </w:rPr>
              <w:t>4,475,120</w:t>
            </w:r>
          </w:p>
        </w:tc>
        <w:tc>
          <w:tcPr>
            <w:tcW w:w="960" w:type="dxa"/>
            <w:vAlign w:val="bottom"/>
          </w:tcPr>
          <w:p>
            <w:pPr>
              <w:jc w:val="center"/>
              <w:ind w:left="284"/>
              <w:spacing w:after="0" w:line="171" w:lineRule="exact"/>
              <w:rPr>
                <w:sz w:val="20"/>
                <w:szCs w:val="20"/>
                <w:color w:val="auto"/>
              </w:rPr>
            </w:pPr>
            <w:r>
              <w:rPr>
                <w:rFonts w:ascii="Times New Roman" w:cs="Times New Roman" w:eastAsia="Times New Roman" w:hAnsi="Times New Roman"/>
                <w:sz w:val="15"/>
                <w:szCs w:val="15"/>
                <w:color w:val="auto"/>
                <w:w w:val="99"/>
              </w:rPr>
              <w:t>-7.0%</w:t>
            </w:r>
          </w:p>
        </w:tc>
        <w:tc>
          <w:tcPr>
            <w:tcW w:w="1740" w:type="dxa"/>
            <w:vAlign w:val="bottom"/>
            <w:tcBorders>
              <w:right w:val="single" w:sz="8" w:color="auto"/>
            </w:tcBorders>
          </w:tcPr>
          <w:p>
            <w:pPr>
              <w:jc w:val="center"/>
              <w:ind w:left="264"/>
              <w:spacing w:after="0" w:line="171" w:lineRule="exact"/>
              <w:rPr>
                <w:sz w:val="20"/>
                <w:szCs w:val="20"/>
                <w:color w:val="auto"/>
              </w:rPr>
            </w:pPr>
            <w:r>
              <w:rPr>
                <w:rFonts w:ascii="Times New Roman" w:cs="Times New Roman" w:eastAsia="Times New Roman" w:hAnsi="Times New Roman"/>
                <w:sz w:val="15"/>
                <w:szCs w:val="15"/>
                <w:color w:val="auto"/>
              </w:rPr>
              <w:t>-14.0%</w:t>
            </w:r>
          </w:p>
        </w:tc>
      </w:tr>
      <w:tr>
        <w:trPr>
          <w:trHeight w:val="190"/>
        </w:trPr>
        <w:tc>
          <w:tcPr>
            <w:tcW w:w="45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Internal overdue loans over 90-days</w:t>
            </w: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4,232,843</w:t>
            </w: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4,073,183</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3,690,265</w:t>
            </w:r>
          </w:p>
        </w:tc>
        <w:tc>
          <w:tcPr>
            <w:tcW w:w="960" w:type="dxa"/>
            <w:vAlign w:val="bottom"/>
          </w:tcPr>
          <w:p>
            <w:pPr>
              <w:jc w:val="center"/>
              <w:ind w:left="284"/>
              <w:spacing w:after="0"/>
              <w:rPr>
                <w:sz w:val="20"/>
                <w:szCs w:val="20"/>
                <w:color w:val="auto"/>
              </w:rPr>
            </w:pPr>
            <w:r>
              <w:rPr>
                <w:rFonts w:ascii="Times New Roman" w:cs="Times New Roman" w:eastAsia="Times New Roman" w:hAnsi="Times New Roman"/>
                <w:sz w:val="15"/>
                <w:szCs w:val="15"/>
                <w:color w:val="auto"/>
                <w:w w:val="99"/>
              </w:rPr>
              <w:t>-9.4%</w:t>
            </w:r>
          </w:p>
        </w:tc>
        <w:tc>
          <w:tcPr>
            <w:tcW w:w="1740" w:type="dxa"/>
            <w:vAlign w:val="bottom"/>
            <w:tcBorders>
              <w:right w:val="single" w:sz="8" w:color="auto"/>
            </w:tcBorders>
          </w:tcPr>
          <w:p>
            <w:pPr>
              <w:jc w:val="center"/>
              <w:ind w:left="264"/>
              <w:spacing w:after="0"/>
              <w:rPr>
                <w:sz w:val="20"/>
                <w:szCs w:val="20"/>
                <w:color w:val="auto"/>
              </w:rPr>
            </w:pPr>
            <w:r>
              <w:rPr>
                <w:rFonts w:ascii="Times New Roman" w:cs="Times New Roman" w:eastAsia="Times New Roman" w:hAnsi="Times New Roman"/>
                <w:sz w:val="15"/>
                <w:szCs w:val="15"/>
                <w:color w:val="auto"/>
              </w:rPr>
              <w:t>-12.8%</w:t>
            </w:r>
          </w:p>
        </w:tc>
      </w:tr>
      <w:tr>
        <w:trPr>
          <w:trHeight w:val="190"/>
        </w:trPr>
        <w:tc>
          <w:tcPr>
            <w:tcW w:w="45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Refinanced loans</w:t>
            </w: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2,001,282</w:t>
            </w: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2,007,364</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2,048,877</w:t>
            </w:r>
          </w:p>
        </w:tc>
        <w:tc>
          <w:tcPr>
            <w:tcW w:w="960" w:type="dxa"/>
            <w:vAlign w:val="bottom"/>
          </w:tcPr>
          <w:p>
            <w:pPr>
              <w:jc w:val="center"/>
              <w:ind w:left="284"/>
              <w:spacing w:after="0"/>
              <w:rPr>
                <w:sz w:val="20"/>
                <w:szCs w:val="20"/>
                <w:color w:val="auto"/>
              </w:rPr>
            </w:pPr>
            <w:r>
              <w:rPr>
                <w:rFonts w:ascii="Times New Roman" w:cs="Times New Roman" w:eastAsia="Times New Roman" w:hAnsi="Times New Roman"/>
                <w:sz w:val="15"/>
                <w:szCs w:val="15"/>
                <w:color w:val="auto"/>
              </w:rPr>
              <w:t>2.1%</w:t>
            </w:r>
          </w:p>
        </w:tc>
        <w:tc>
          <w:tcPr>
            <w:tcW w:w="1740" w:type="dxa"/>
            <w:vAlign w:val="bottom"/>
            <w:tcBorders>
              <w:right w:val="single" w:sz="8" w:color="auto"/>
            </w:tcBorders>
          </w:tcPr>
          <w:p>
            <w:pPr>
              <w:jc w:val="center"/>
              <w:ind w:left="264"/>
              <w:spacing w:after="0"/>
              <w:rPr>
                <w:sz w:val="20"/>
                <w:szCs w:val="20"/>
                <w:color w:val="auto"/>
              </w:rPr>
            </w:pPr>
            <w:r>
              <w:rPr>
                <w:rFonts w:ascii="Times New Roman" w:cs="Times New Roman" w:eastAsia="Times New Roman" w:hAnsi="Times New Roman"/>
                <w:sz w:val="15"/>
                <w:szCs w:val="15"/>
                <w:color w:val="auto"/>
              </w:rPr>
              <w:t>2.4%</w:t>
            </w:r>
          </w:p>
        </w:tc>
      </w:tr>
      <w:tr>
        <w:trPr>
          <w:trHeight w:val="200"/>
        </w:trPr>
        <w:tc>
          <w:tcPr>
            <w:tcW w:w="45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Non-performing loans (NPLs)</w:t>
            </w: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7,207,677</w:t>
            </w: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6,820,900</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6,523,997</w:t>
            </w:r>
          </w:p>
        </w:tc>
        <w:tc>
          <w:tcPr>
            <w:tcW w:w="960" w:type="dxa"/>
            <w:vAlign w:val="bottom"/>
            <w:tcBorders>
              <w:bottom w:val="single" w:sz="8" w:color="auto"/>
            </w:tcBorders>
          </w:tcPr>
          <w:p>
            <w:pPr>
              <w:jc w:val="center"/>
              <w:ind w:left="284"/>
              <w:spacing w:after="0"/>
              <w:rPr>
                <w:sz w:val="20"/>
                <w:szCs w:val="20"/>
                <w:color w:val="auto"/>
              </w:rPr>
            </w:pPr>
            <w:r>
              <w:rPr>
                <w:rFonts w:ascii="Times New Roman" w:cs="Times New Roman" w:eastAsia="Times New Roman" w:hAnsi="Times New Roman"/>
                <w:sz w:val="15"/>
                <w:szCs w:val="15"/>
                <w:color w:val="auto"/>
                <w:w w:val="99"/>
              </w:rPr>
              <w:t>-4.4%</w:t>
            </w:r>
          </w:p>
        </w:tc>
        <w:tc>
          <w:tcPr>
            <w:tcW w:w="1740" w:type="dxa"/>
            <w:vAlign w:val="bottom"/>
            <w:tcBorders>
              <w:bottom w:val="single" w:sz="8" w:color="auto"/>
              <w:right w:val="single" w:sz="8" w:color="auto"/>
            </w:tcBorders>
          </w:tcPr>
          <w:p>
            <w:pPr>
              <w:jc w:val="center"/>
              <w:ind w:left="264"/>
              <w:spacing w:after="0"/>
              <w:rPr>
                <w:sz w:val="20"/>
                <w:szCs w:val="20"/>
                <w:color w:val="auto"/>
              </w:rPr>
            </w:pPr>
            <w:r>
              <w:rPr>
                <w:rFonts w:ascii="Times New Roman" w:cs="Times New Roman" w:eastAsia="Times New Roman" w:hAnsi="Times New Roman"/>
                <w:sz w:val="15"/>
                <w:szCs w:val="15"/>
                <w:color w:val="auto"/>
                <w:w w:val="99"/>
              </w:rPr>
              <w:t>-9.5%</w:t>
            </w:r>
          </w:p>
        </w:tc>
      </w:tr>
      <w:tr>
        <w:trPr>
          <w:trHeight w:val="169"/>
        </w:trPr>
        <w:tc>
          <w:tcPr>
            <w:tcW w:w="4520" w:type="dxa"/>
            <w:vAlign w:val="bottom"/>
            <w:tcBorders>
              <w:left w:val="single" w:sz="8" w:color="auto"/>
              <w:right w:val="single" w:sz="8" w:color="auto"/>
            </w:tcBorders>
          </w:tcPr>
          <w:p>
            <w:pPr>
              <w:ind w:left="60"/>
              <w:spacing w:after="0" w:line="169" w:lineRule="exact"/>
              <w:rPr>
                <w:sz w:val="20"/>
                <w:szCs w:val="20"/>
                <w:color w:val="auto"/>
              </w:rPr>
            </w:pPr>
            <w:r>
              <w:rPr>
                <w:rFonts w:ascii="Times New Roman" w:cs="Times New Roman" w:eastAsia="Times New Roman" w:hAnsi="Times New Roman"/>
                <w:sz w:val="15"/>
                <w:szCs w:val="15"/>
                <w:b w:val="1"/>
                <w:bCs w:val="1"/>
                <w:color w:val="auto"/>
              </w:rPr>
              <w:t>IOL ratio</w:t>
            </w:r>
          </w:p>
        </w:tc>
        <w:tc>
          <w:tcPr>
            <w:tcW w:w="1340" w:type="dxa"/>
            <w:vAlign w:val="bottom"/>
          </w:tcPr>
          <w:p>
            <w:pPr>
              <w:jc w:val="center"/>
              <w:spacing w:after="0" w:line="169" w:lineRule="exact"/>
              <w:rPr>
                <w:sz w:val="20"/>
                <w:szCs w:val="20"/>
                <w:color w:val="auto"/>
              </w:rPr>
            </w:pPr>
            <w:r>
              <w:rPr>
                <w:rFonts w:ascii="Times New Roman" w:cs="Times New Roman" w:eastAsia="Times New Roman" w:hAnsi="Times New Roman"/>
                <w:sz w:val="15"/>
                <w:szCs w:val="15"/>
                <w:b w:val="1"/>
                <w:bCs w:val="1"/>
                <w:color w:val="auto"/>
              </w:rPr>
              <w:t>3.7%</w:t>
            </w:r>
          </w:p>
        </w:tc>
        <w:tc>
          <w:tcPr>
            <w:tcW w:w="1340" w:type="dxa"/>
            <w:vAlign w:val="bottom"/>
          </w:tcPr>
          <w:p>
            <w:pPr>
              <w:jc w:val="center"/>
              <w:spacing w:after="0" w:line="169" w:lineRule="exact"/>
              <w:rPr>
                <w:sz w:val="20"/>
                <w:szCs w:val="20"/>
                <w:color w:val="auto"/>
              </w:rPr>
            </w:pPr>
            <w:r>
              <w:rPr>
                <w:rFonts w:ascii="Times New Roman" w:cs="Times New Roman" w:eastAsia="Times New Roman" w:hAnsi="Times New Roman"/>
                <w:sz w:val="15"/>
                <w:szCs w:val="15"/>
                <w:b w:val="1"/>
                <w:bCs w:val="1"/>
                <w:color w:val="auto"/>
              </w:rPr>
              <w:t>3.2%</w:t>
            </w:r>
          </w:p>
        </w:tc>
        <w:tc>
          <w:tcPr>
            <w:tcW w:w="13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5"/>
                <w:szCs w:val="15"/>
                <w:b w:val="1"/>
                <w:bCs w:val="1"/>
                <w:color w:val="auto"/>
              </w:rPr>
              <w:t>2.9%</w:t>
            </w:r>
          </w:p>
        </w:tc>
        <w:tc>
          <w:tcPr>
            <w:tcW w:w="960" w:type="dxa"/>
            <w:vAlign w:val="bottom"/>
          </w:tcPr>
          <w:p>
            <w:pPr>
              <w:jc w:val="center"/>
              <w:ind w:left="284"/>
              <w:spacing w:after="0" w:line="169" w:lineRule="exact"/>
              <w:rPr>
                <w:sz w:val="20"/>
                <w:szCs w:val="20"/>
                <w:color w:val="auto"/>
              </w:rPr>
            </w:pPr>
            <w:r>
              <w:rPr>
                <w:rFonts w:ascii="Times New Roman" w:cs="Times New Roman" w:eastAsia="Times New Roman" w:hAnsi="Times New Roman"/>
                <w:sz w:val="15"/>
                <w:szCs w:val="15"/>
                <w:b w:val="1"/>
                <w:bCs w:val="1"/>
                <w:color w:val="auto"/>
              </w:rPr>
              <w:t>-28 bps</w:t>
            </w:r>
          </w:p>
        </w:tc>
        <w:tc>
          <w:tcPr>
            <w:tcW w:w="1740" w:type="dxa"/>
            <w:vAlign w:val="bottom"/>
            <w:tcBorders>
              <w:right w:val="single" w:sz="8" w:color="auto"/>
            </w:tcBorders>
          </w:tcPr>
          <w:p>
            <w:pPr>
              <w:jc w:val="center"/>
              <w:ind w:left="264"/>
              <w:spacing w:after="0" w:line="169" w:lineRule="exact"/>
              <w:rPr>
                <w:sz w:val="20"/>
                <w:szCs w:val="20"/>
                <w:color w:val="auto"/>
              </w:rPr>
            </w:pPr>
            <w:r>
              <w:rPr>
                <w:rFonts w:ascii="Times New Roman" w:cs="Times New Roman" w:eastAsia="Times New Roman" w:hAnsi="Times New Roman"/>
                <w:sz w:val="15"/>
                <w:szCs w:val="15"/>
                <w:b w:val="1"/>
                <w:bCs w:val="1"/>
                <w:color w:val="auto"/>
              </w:rPr>
              <w:t>-76 bps</w:t>
            </w:r>
          </w:p>
        </w:tc>
      </w:tr>
      <w:tr>
        <w:trPr>
          <w:trHeight w:val="190"/>
        </w:trPr>
        <w:tc>
          <w:tcPr>
            <w:tcW w:w="45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b w:val="1"/>
                <w:bCs w:val="1"/>
                <w:color w:val="auto"/>
              </w:rPr>
              <w:t>IOL over 90-days ratio</w:t>
            </w: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3.0%</w:t>
            </w: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2.7%</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2.4%</w:t>
            </w:r>
          </w:p>
        </w:tc>
        <w:tc>
          <w:tcPr>
            <w:tcW w:w="960" w:type="dxa"/>
            <w:vAlign w:val="bottom"/>
          </w:tcPr>
          <w:p>
            <w:pPr>
              <w:jc w:val="center"/>
              <w:ind w:left="284"/>
              <w:spacing w:after="0"/>
              <w:rPr>
                <w:sz w:val="20"/>
                <w:szCs w:val="20"/>
                <w:color w:val="auto"/>
              </w:rPr>
            </w:pPr>
            <w:r>
              <w:rPr>
                <w:rFonts w:ascii="Times New Roman" w:cs="Times New Roman" w:eastAsia="Times New Roman" w:hAnsi="Times New Roman"/>
                <w:sz w:val="15"/>
                <w:szCs w:val="15"/>
                <w:b w:val="1"/>
                <w:bCs w:val="1"/>
                <w:color w:val="auto"/>
              </w:rPr>
              <w:t>-31 bps</w:t>
            </w:r>
          </w:p>
        </w:tc>
        <w:tc>
          <w:tcPr>
            <w:tcW w:w="1740" w:type="dxa"/>
            <w:vAlign w:val="bottom"/>
            <w:tcBorders>
              <w:right w:val="single" w:sz="8" w:color="auto"/>
            </w:tcBorders>
          </w:tcPr>
          <w:p>
            <w:pPr>
              <w:jc w:val="center"/>
              <w:ind w:left="264"/>
              <w:spacing w:after="0"/>
              <w:rPr>
                <w:sz w:val="20"/>
                <w:szCs w:val="20"/>
                <w:color w:val="auto"/>
              </w:rPr>
            </w:pPr>
            <w:r>
              <w:rPr>
                <w:rFonts w:ascii="Times New Roman" w:cs="Times New Roman" w:eastAsia="Times New Roman" w:hAnsi="Times New Roman"/>
                <w:sz w:val="15"/>
                <w:szCs w:val="15"/>
                <w:b w:val="1"/>
                <w:bCs w:val="1"/>
                <w:color w:val="auto"/>
              </w:rPr>
              <w:t>-59 bps</w:t>
            </w:r>
          </w:p>
        </w:tc>
      </w:tr>
      <w:tr>
        <w:trPr>
          <w:trHeight w:val="204"/>
        </w:trPr>
        <w:tc>
          <w:tcPr>
            <w:tcW w:w="45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b w:val="1"/>
                <w:bCs w:val="1"/>
                <w:color w:val="auto"/>
              </w:rPr>
              <w:t>NPL ratio</w:t>
            </w: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5.1%</w:t>
            </w: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4.5%</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4.3%</w:t>
            </w:r>
          </w:p>
        </w:tc>
        <w:tc>
          <w:tcPr>
            <w:tcW w:w="960" w:type="dxa"/>
            <w:vAlign w:val="bottom"/>
            <w:tcBorders>
              <w:bottom w:val="single" w:sz="8" w:color="auto"/>
            </w:tcBorders>
          </w:tcPr>
          <w:p>
            <w:pPr>
              <w:jc w:val="center"/>
              <w:ind w:left="284"/>
              <w:spacing w:after="0"/>
              <w:rPr>
                <w:sz w:val="20"/>
                <w:szCs w:val="20"/>
                <w:color w:val="auto"/>
              </w:rPr>
            </w:pPr>
            <w:r>
              <w:rPr>
                <w:rFonts w:ascii="Times New Roman" w:cs="Times New Roman" w:eastAsia="Times New Roman" w:hAnsi="Times New Roman"/>
                <w:sz w:val="15"/>
                <w:szCs w:val="15"/>
                <w:b w:val="1"/>
                <w:bCs w:val="1"/>
                <w:color w:val="auto"/>
              </w:rPr>
              <w:t>-28 bps</w:t>
            </w:r>
          </w:p>
        </w:tc>
        <w:tc>
          <w:tcPr>
            <w:tcW w:w="1740" w:type="dxa"/>
            <w:vAlign w:val="bottom"/>
            <w:tcBorders>
              <w:bottom w:val="single" w:sz="8" w:color="auto"/>
              <w:right w:val="single" w:sz="8" w:color="auto"/>
            </w:tcBorders>
          </w:tcPr>
          <w:p>
            <w:pPr>
              <w:jc w:val="center"/>
              <w:ind w:left="264"/>
              <w:spacing w:after="0"/>
              <w:rPr>
                <w:sz w:val="20"/>
                <w:szCs w:val="20"/>
                <w:color w:val="auto"/>
              </w:rPr>
            </w:pPr>
            <w:r>
              <w:rPr>
                <w:rFonts w:ascii="Times New Roman" w:cs="Times New Roman" w:eastAsia="Times New Roman" w:hAnsi="Times New Roman"/>
                <w:sz w:val="15"/>
                <w:szCs w:val="15"/>
                <w:b w:val="1"/>
                <w:bCs w:val="1"/>
                <w:color w:val="auto"/>
              </w:rPr>
              <w:t>-83 bps</w:t>
            </w:r>
          </w:p>
        </w:tc>
      </w:tr>
    </w:tbl>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b w:val="1"/>
          <w:bCs w:val="1"/>
          <w:color w:val="auto"/>
        </w:rPr>
        <w:t>QoQ</w:t>
      </w:r>
      <w:r>
        <w:rPr>
          <w:rFonts w:ascii="Times New Roman" w:cs="Times New Roman" w:eastAsia="Times New Roman" w:hAnsi="Times New Roman"/>
          <w:sz w:val="17"/>
          <w:szCs w:val="17"/>
          <w:color w:val="auto"/>
        </w:rPr>
        <w:t>, the NPL portfolio dropped 4.4%, led mainly by</w:t>
      </w:r>
      <w:r>
        <w:rPr>
          <w:rFonts w:ascii="Times New Roman" w:cs="Times New Roman" w:eastAsia="Times New Roman" w:hAnsi="Times New Roman"/>
          <w:sz w:val="17"/>
          <w:szCs w:val="17"/>
          <w:b w:val="1"/>
          <w:bCs w:val="1"/>
          <w:color w:val="auto"/>
        </w:rPr>
        <w:t xml:space="preserve"> BCP Stand-alone</w:t>
      </w:r>
      <w:r>
        <w:rPr>
          <w:rFonts w:ascii="Times New Roman" w:cs="Times New Roman" w:eastAsia="Times New Roman" w:hAnsi="Times New Roman"/>
          <w:sz w:val="17"/>
          <w:szCs w:val="17"/>
          <w:color w:val="auto"/>
        </w:rPr>
        <w:t>. Write-offs increased 29.8% due to extraordinary write-offs, mainly for loans that were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the judicial recovery stage in </w:t>
      </w:r>
      <w:r>
        <w:rPr>
          <w:rFonts w:ascii="Times New Roman" w:cs="Times New Roman" w:eastAsia="Times New Roman" w:hAnsi="Times New Roman"/>
          <w:sz w:val="17"/>
          <w:szCs w:val="17"/>
          <w:b w:val="1"/>
          <w:bCs w:val="1"/>
          <w:color w:val="auto"/>
        </w:rPr>
        <w:t>Mortgage</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b w:val="1"/>
          <w:bCs w:val="1"/>
          <w:color w:val="auto"/>
        </w:rPr>
        <w:t>SME-Pyme</w:t>
      </w:r>
      <w:r>
        <w:rPr>
          <w:rFonts w:ascii="Times New Roman" w:cs="Times New Roman" w:eastAsia="Times New Roman" w:hAnsi="Times New Roman"/>
          <w:sz w:val="17"/>
          <w:szCs w:val="17"/>
          <w:color w:val="auto"/>
        </w:rPr>
        <w:t xml:space="preserve"> at </w:t>
      </w:r>
      <w:r>
        <w:rPr>
          <w:rFonts w:ascii="Times New Roman" w:cs="Times New Roman" w:eastAsia="Times New Roman" w:hAnsi="Times New Roman"/>
          <w:sz w:val="17"/>
          <w:szCs w:val="17"/>
          <w:b w:val="1"/>
          <w:bCs w:val="1"/>
          <w:color w:val="auto"/>
        </w:rPr>
        <w:t>BCP Stand-alone</w:t>
      </w:r>
      <w:r>
        <w:rPr>
          <w:rFonts w:ascii="Times New Roman" w:cs="Times New Roman" w:eastAsia="Times New Roman" w:hAnsi="Times New Roman"/>
          <w:sz w:val="17"/>
          <w:szCs w:val="17"/>
          <w:color w:val="auto"/>
        </w:rPr>
        <w:t>.</w:t>
      </w:r>
    </w:p>
    <w:p>
      <w:pPr>
        <w:spacing w:after="0" w:line="15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b w:val="1"/>
          <w:bCs w:val="1"/>
          <w:color w:val="auto"/>
        </w:rPr>
        <w:t>QoQ</w:t>
      </w:r>
      <w:r>
        <w:rPr>
          <w:rFonts w:ascii="Times New Roman" w:cs="Times New Roman" w:eastAsia="Times New Roman" w:hAnsi="Times New Roman"/>
          <w:sz w:val="17"/>
          <w:szCs w:val="17"/>
          <w:color w:val="auto"/>
        </w:rPr>
        <w:t>, at</w:t>
      </w:r>
      <w:r>
        <w:rPr>
          <w:rFonts w:ascii="Times New Roman" w:cs="Times New Roman" w:eastAsia="Times New Roman" w:hAnsi="Times New Roman"/>
          <w:sz w:val="17"/>
          <w:szCs w:val="17"/>
          <w:b w:val="1"/>
          <w:bCs w:val="1"/>
          <w:color w:val="auto"/>
        </w:rPr>
        <w:t xml:space="preserve"> BCP Stand-alone, </w:t>
      </w:r>
      <w:r>
        <w:rPr>
          <w:rFonts w:ascii="Times New Roman" w:cs="Times New Roman" w:eastAsia="Times New Roman" w:hAnsi="Times New Roman"/>
          <w:sz w:val="17"/>
          <w:szCs w:val="17"/>
          <w:color w:val="auto"/>
        </w:rPr>
        <w:t>the decrease in the NPL portfolio was fueled by</w:t>
      </w:r>
      <w:r>
        <w:rPr>
          <w:rFonts w:ascii="Times New Roman" w:cs="Times New Roman" w:eastAsia="Times New Roman" w:hAnsi="Times New Roman"/>
          <w:sz w:val="17"/>
          <w:szCs w:val="17"/>
          <w:b w:val="1"/>
          <w:bCs w:val="1"/>
          <w:color w:val="auto"/>
        </w:rPr>
        <w:t xml:space="preserve"> Retail Banking</w:t>
      </w:r>
      <w:r>
        <w:rPr>
          <w:rFonts w:ascii="Times New Roman" w:cs="Times New Roman" w:eastAsia="Times New Roman" w:hAnsi="Times New Roman"/>
          <w:sz w:val="17"/>
          <w:szCs w:val="17"/>
          <w:color w:val="auto"/>
        </w:rPr>
        <w:t>, which reported an uptick in debt repayments by clients in the judicial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recovery stage in </w:t>
      </w:r>
      <w:r>
        <w:rPr>
          <w:rFonts w:ascii="Times New Roman" w:cs="Times New Roman" w:eastAsia="Times New Roman" w:hAnsi="Times New Roman"/>
          <w:sz w:val="17"/>
          <w:szCs w:val="17"/>
          <w:b w:val="1"/>
          <w:bCs w:val="1"/>
          <w:color w:val="auto"/>
        </w:rPr>
        <w:t>SME-Pyme</w:t>
      </w:r>
      <w:r>
        <w:rPr>
          <w:rFonts w:ascii="Times New Roman" w:cs="Times New Roman" w:eastAsia="Times New Roman" w:hAnsi="Times New Roman"/>
          <w:sz w:val="17"/>
          <w:szCs w:val="17"/>
          <w:color w:val="auto"/>
        </w:rPr>
        <w:t xml:space="preserve"> and debt payments in </w:t>
      </w:r>
      <w:r>
        <w:rPr>
          <w:rFonts w:ascii="Times New Roman" w:cs="Times New Roman" w:eastAsia="Times New Roman" w:hAnsi="Times New Roman"/>
          <w:sz w:val="17"/>
          <w:szCs w:val="17"/>
          <w:b w:val="1"/>
          <w:bCs w:val="1"/>
          <w:color w:val="auto"/>
        </w:rPr>
        <w:t>Individuals</w:t>
      </w:r>
      <w:r>
        <w:rPr>
          <w:rFonts w:ascii="Times New Roman" w:cs="Times New Roman" w:eastAsia="Times New Roman" w:hAnsi="Times New Roman"/>
          <w:sz w:val="17"/>
          <w:szCs w:val="17"/>
          <w:color w:val="auto"/>
        </w:rPr>
        <w:t xml:space="preserve">, after clients used funds from the pension fund withdrawal to amortize debt. This dynamic was partially offset by an increase in the NPL balance in </w:t>
      </w:r>
      <w:r>
        <w:rPr>
          <w:rFonts w:ascii="Times New Roman" w:cs="Times New Roman" w:eastAsia="Times New Roman" w:hAnsi="Times New Roman"/>
          <w:sz w:val="17"/>
          <w:szCs w:val="17"/>
          <w:b w:val="1"/>
          <w:bCs w:val="1"/>
          <w:color w:val="auto"/>
        </w:rPr>
        <w:t>Wholesale Banking</w:t>
      </w:r>
      <w:r>
        <w:rPr>
          <w:rFonts w:ascii="Times New Roman" w:cs="Times New Roman" w:eastAsia="Times New Roman" w:hAnsi="Times New Roman"/>
          <w:sz w:val="17"/>
          <w:szCs w:val="17"/>
          <w:color w:val="auto"/>
        </w:rPr>
        <w:t>, which was driven mainly by a refinanced loan from a corporate client in the construction sector.</w:t>
      </w:r>
    </w:p>
    <w:p>
      <w:pPr>
        <w:spacing w:after="0" w:line="1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b w:val="1"/>
          <w:bCs w:val="1"/>
          <w:color w:val="auto"/>
        </w:rPr>
        <w:t>YoY</w:t>
      </w:r>
      <w:r>
        <w:rPr>
          <w:rFonts w:ascii="Times New Roman" w:cs="Times New Roman" w:eastAsia="Times New Roman" w:hAnsi="Times New Roman"/>
          <w:sz w:val="17"/>
          <w:szCs w:val="17"/>
          <w:color w:val="auto"/>
        </w:rPr>
        <w:t>, the NPL portfolio dropped 9.5%, driven primarily by</w:t>
      </w:r>
      <w:r>
        <w:rPr>
          <w:rFonts w:ascii="Times New Roman" w:cs="Times New Roman" w:eastAsia="Times New Roman" w:hAnsi="Times New Roman"/>
          <w:sz w:val="17"/>
          <w:szCs w:val="17"/>
          <w:b w:val="1"/>
          <w:bCs w:val="1"/>
          <w:color w:val="auto"/>
        </w:rPr>
        <w:t xml:space="preserve"> BCP Stand-alone </w:t>
      </w:r>
      <w:r>
        <w:rPr>
          <w:rFonts w:ascii="Times New Roman" w:cs="Times New Roman" w:eastAsia="Times New Roman" w:hAnsi="Times New Roman"/>
          <w:sz w:val="17"/>
          <w:szCs w:val="17"/>
          <w:color w:val="auto"/>
        </w:rPr>
        <w:t>and secondarily by</w:t>
      </w:r>
      <w:r>
        <w:rPr>
          <w:rFonts w:ascii="Times New Roman" w:cs="Times New Roman" w:eastAsia="Times New Roman" w:hAnsi="Times New Roman"/>
          <w:sz w:val="17"/>
          <w:szCs w:val="17"/>
          <w:b w:val="1"/>
          <w:bCs w:val="1"/>
          <w:color w:val="auto"/>
        </w:rPr>
        <w:t xml:space="preserve"> Mibanco</w:t>
      </w:r>
      <w:r>
        <w:rPr>
          <w:rFonts w:ascii="Times New Roman" w:cs="Times New Roman" w:eastAsia="Times New Roman" w:hAnsi="Times New Roman"/>
          <w:sz w:val="17"/>
          <w:szCs w:val="17"/>
          <w:color w:val="auto"/>
        </w:rPr>
        <w:t>. Growth in write-offs (+18.9%) was fueled mainly by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same dynamics in play </w:t>
      </w:r>
      <w:r>
        <w:rPr>
          <w:rFonts w:ascii="Times New Roman" w:cs="Times New Roman" w:eastAsia="Times New Roman" w:hAnsi="Times New Roman"/>
          <w:sz w:val="17"/>
          <w:szCs w:val="17"/>
          <w:b w:val="1"/>
          <w:bCs w:val="1"/>
          <w:color w:val="auto"/>
        </w:rPr>
        <w:t>QoQ</w:t>
      </w:r>
      <w:r>
        <w:rPr>
          <w:rFonts w:ascii="Times New Roman" w:cs="Times New Roman" w:eastAsia="Times New Roman" w:hAnsi="Times New Roman"/>
          <w:sz w:val="17"/>
          <w:szCs w:val="17"/>
          <w:color w:val="auto"/>
        </w:rPr>
        <w:t>.</w:t>
      </w:r>
    </w:p>
    <w:p>
      <w:pPr>
        <w:spacing w:after="0" w:line="15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b w:val="1"/>
          <w:bCs w:val="1"/>
          <w:color w:val="auto"/>
        </w:rPr>
        <w:t>YoY</w:t>
      </w:r>
      <w:r>
        <w:rPr>
          <w:rFonts w:ascii="Times New Roman" w:cs="Times New Roman" w:eastAsia="Times New Roman" w:hAnsi="Times New Roman"/>
          <w:sz w:val="17"/>
          <w:szCs w:val="17"/>
          <w:color w:val="auto"/>
        </w:rPr>
        <w:t>, at</w:t>
      </w:r>
      <w:r>
        <w:rPr>
          <w:rFonts w:ascii="Times New Roman" w:cs="Times New Roman" w:eastAsia="Times New Roman" w:hAnsi="Times New Roman"/>
          <w:sz w:val="17"/>
          <w:szCs w:val="17"/>
          <w:b w:val="1"/>
          <w:bCs w:val="1"/>
          <w:color w:val="auto"/>
        </w:rPr>
        <w:t xml:space="preserve"> BCP Stand-alone</w:t>
      </w:r>
      <w:r>
        <w:rPr>
          <w:rFonts w:ascii="Times New Roman" w:cs="Times New Roman" w:eastAsia="Times New Roman" w:hAnsi="Times New Roman"/>
          <w:sz w:val="17"/>
          <w:szCs w:val="17"/>
          <w:color w:val="auto"/>
        </w:rPr>
        <w:t>, the decline in the NPL portfolio was spurred primarily by</w:t>
      </w:r>
      <w:r>
        <w:rPr>
          <w:rFonts w:ascii="Times New Roman" w:cs="Times New Roman" w:eastAsia="Times New Roman" w:hAnsi="Times New Roman"/>
          <w:sz w:val="17"/>
          <w:szCs w:val="17"/>
          <w:b w:val="1"/>
          <w:bCs w:val="1"/>
          <w:color w:val="auto"/>
        </w:rPr>
        <w:t xml:space="preserve"> Retail Banking </w:t>
      </w:r>
      <w:r>
        <w:rPr>
          <w:rFonts w:ascii="Times New Roman" w:cs="Times New Roman" w:eastAsia="Times New Roman" w:hAnsi="Times New Roman"/>
          <w:sz w:val="17"/>
          <w:szCs w:val="17"/>
          <w:color w:val="auto"/>
        </w:rPr>
        <w:t>and secondarily by</w:t>
      </w:r>
      <w:r>
        <w:rPr>
          <w:rFonts w:ascii="Times New Roman" w:cs="Times New Roman" w:eastAsia="Times New Roman" w:hAnsi="Times New Roman"/>
          <w:sz w:val="17"/>
          <w:szCs w:val="17"/>
          <w:b w:val="1"/>
          <w:bCs w:val="1"/>
          <w:color w:val="auto"/>
        </w:rPr>
        <w:t xml:space="preserve"> Wholesale Banking. </w:t>
      </w:r>
      <w:r>
        <w:rPr>
          <w:rFonts w:ascii="Times New Roman" w:cs="Times New Roman" w:eastAsia="Times New Roman" w:hAnsi="Times New Roman"/>
          <w:sz w:val="17"/>
          <w:szCs w:val="17"/>
          <w:color w:val="auto"/>
        </w:rPr>
        <w:t>In</w:t>
      </w:r>
      <w:r>
        <w:rPr>
          <w:rFonts w:ascii="Times New Roman" w:cs="Times New Roman" w:eastAsia="Times New Roman" w:hAnsi="Times New Roman"/>
          <w:sz w:val="17"/>
          <w:szCs w:val="17"/>
          <w:b w:val="1"/>
          <w:bCs w:val="1"/>
          <w:color w:val="auto"/>
        </w:rPr>
        <w:t xml:space="preserve"> Retail Banking, </w:t>
      </w:r>
      <w:r>
        <w:rPr>
          <w:rFonts w:ascii="Times New Roman" w:cs="Times New Roman" w:eastAsia="Times New Roman" w:hAnsi="Times New Roman"/>
          <w:sz w:val="17"/>
          <w:szCs w:val="17"/>
          <w:color w:val="auto"/>
        </w:rPr>
        <w:t xml:space="preserve">the drop was driven by the same dynamics that drove the QoQ evolution in </w:t>
      </w:r>
      <w:r>
        <w:rPr>
          <w:rFonts w:ascii="Times New Roman" w:cs="Times New Roman" w:eastAsia="Times New Roman" w:hAnsi="Times New Roman"/>
          <w:sz w:val="17"/>
          <w:szCs w:val="17"/>
          <w:b w:val="1"/>
          <w:bCs w:val="1"/>
          <w:color w:val="auto"/>
        </w:rPr>
        <w:t>SME-Pyme</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b w:val="1"/>
          <w:bCs w:val="1"/>
          <w:color w:val="auto"/>
        </w:rPr>
        <w:t>Individuals.</w:t>
      </w:r>
      <w:r>
        <w:rPr>
          <w:rFonts w:ascii="Times New Roman" w:cs="Times New Roman" w:eastAsia="Times New Roman" w:hAnsi="Times New Roman"/>
          <w:sz w:val="17"/>
          <w:szCs w:val="17"/>
          <w:color w:val="auto"/>
        </w:rPr>
        <w:t xml:space="preserve"> Additionally, improvements in the quality of origination and debt collections in </w:t>
      </w:r>
      <w:r>
        <w:rPr>
          <w:rFonts w:ascii="Times New Roman" w:cs="Times New Roman" w:eastAsia="Times New Roman" w:hAnsi="Times New Roman"/>
          <w:sz w:val="17"/>
          <w:szCs w:val="17"/>
          <w:b w:val="1"/>
          <w:bCs w:val="1"/>
          <w:color w:val="auto"/>
        </w:rPr>
        <w:t>Consumer</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b w:val="1"/>
          <w:bCs w:val="1"/>
          <w:color w:val="auto"/>
        </w:rPr>
        <w:t>Credit Cards</w:t>
      </w:r>
      <w:r>
        <w:rPr>
          <w:rFonts w:ascii="Times New Roman" w:cs="Times New Roman" w:eastAsia="Times New Roman" w:hAnsi="Times New Roman"/>
          <w:sz w:val="17"/>
          <w:szCs w:val="17"/>
          <w:color w:val="auto"/>
        </w:rPr>
        <w:t xml:space="preserve"> were registered. In </w:t>
      </w:r>
      <w:r>
        <w:rPr>
          <w:rFonts w:ascii="Times New Roman" w:cs="Times New Roman" w:eastAsia="Times New Roman" w:hAnsi="Times New Roman"/>
          <w:sz w:val="17"/>
          <w:szCs w:val="17"/>
          <w:b w:val="1"/>
          <w:bCs w:val="1"/>
          <w:color w:val="auto"/>
        </w:rPr>
        <w:t>Wholesale Banking,</w:t>
      </w:r>
      <w:r>
        <w:rPr>
          <w:rFonts w:ascii="Times New Roman" w:cs="Times New Roman" w:eastAsia="Times New Roman" w:hAnsi="Times New Roman"/>
          <w:sz w:val="17"/>
          <w:szCs w:val="17"/>
          <w:color w:val="auto"/>
        </w:rPr>
        <w:t xml:space="preserve"> the drop in NPLs was spurred primarily by debt repayments from clients in the real estate and commercial sectors. Finally, at </w:t>
      </w:r>
      <w:r>
        <w:rPr>
          <w:rFonts w:ascii="Times New Roman" w:cs="Times New Roman" w:eastAsia="Times New Roman" w:hAnsi="Times New Roman"/>
          <w:sz w:val="17"/>
          <w:szCs w:val="17"/>
          <w:b w:val="1"/>
          <w:bCs w:val="1"/>
          <w:color w:val="auto"/>
        </w:rPr>
        <w:t>Mibanco</w:t>
      </w:r>
      <w:r>
        <w:rPr>
          <w:rFonts w:ascii="Times New Roman" w:cs="Times New Roman" w:eastAsia="Times New Roman" w:hAnsi="Times New Roman"/>
          <w:sz w:val="17"/>
          <w:szCs w:val="17"/>
          <w:color w:val="auto"/>
        </w:rPr>
        <w:t>, the decrease in the NPL portfolio was mainly attributable to a reduction in overdue loans, which was mainly fueled by the improvements in play since 2024 to strengthen the quality of origination and debt collections management . Thanks to these efforts, 88% of the loan portfolio is currently composed of new, healthier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951230</wp:posOffset>
            </wp:positionV>
            <wp:extent cx="7140575" cy="158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0575" cy="15875"/>
                    </a:xfrm>
                    <a:prstGeom prst="rect">
                      <a:avLst/>
                    </a:prstGeom>
                    <a:noFill/>
                  </pic:spPr>
                </pic:pic>
              </a:graphicData>
            </a:graphic>
          </wp:anchor>
        </w:drawing>
        <w:drawing>
          <wp:anchor simplePos="0" relativeHeight="251657728" behindDoc="1" locked="0" layoutInCell="0" allowOverlap="1">
            <wp:simplePos x="0" y="0"/>
            <wp:positionH relativeFrom="column">
              <wp:posOffset>331470</wp:posOffset>
            </wp:positionH>
            <wp:positionV relativeFrom="paragraph">
              <wp:posOffset>121285</wp:posOffset>
            </wp:positionV>
            <wp:extent cx="6447155" cy="5321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447155" cy="532130"/>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28" w:name="page29"/>
    <w:bookmarkEnd w:id="28"/>
    <w:p>
      <w:pPr>
        <w:ind w:left="3198"/>
        <w:spacing w:after="0"/>
        <w:tabs>
          <w:tab w:leader="none" w:pos="3378" w:val="left"/>
          <w:tab w:leader="none" w:pos="9058" w:val="left"/>
        </w:tabs>
        <w:rPr>
          <w:sz w:val="20"/>
          <w:szCs w:val="20"/>
          <w:color w:val="auto"/>
        </w:rPr>
      </w:pPr>
      <w:r>
        <w:rPr>
          <w:rFonts w:ascii="Times New Roman" w:cs="Times New Roman" w:eastAsia="Times New Roman" w:hAnsi="Times New Roman"/>
          <w:sz w:val="17"/>
          <w:szCs w:val="17"/>
          <w:color w:val="A6A6A6"/>
        </w:rPr>
        <w:drawing>
          <wp:anchor simplePos="0" relativeHeight="251657728" behindDoc="1" locked="0" layoutInCell="0" allowOverlap="1">
            <wp:simplePos x="0" y="0"/>
            <wp:positionH relativeFrom="page">
              <wp:posOffset>204470</wp:posOffset>
            </wp:positionH>
            <wp:positionV relativeFrom="page">
              <wp:posOffset>217805</wp:posOffset>
            </wp:positionV>
            <wp:extent cx="7140575" cy="6927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0575" cy="692785"/>
                    </a:xfrm>
                    <a:prstGeom prst="rect">
                      <a:avLst/>
                    </a:prstGeom>
                    <a:noFill/>
                  </pic:spPr>
                </pic:pic>
              </a:graphicData>
            </a:graphic>
          </wp:anchor>
        </w:drawing>
        <w:t>|</w:t>
      </w:r>
      <w:r>
        <w:rPr>
          <w:sz w:val="20"/>
          <w:szCs w:val="20"/>
          <w:color w:val="auto"/>
        </w:rPr>
        <w:tab/>
      </w:r>
      <w:r>
        <w:rPr>
          <w:rFonts w:ascii="Times New Roman" w:cs="Times New Roman" w:eastAsia="Times New Roman" w:hAnsi="Times New Roman"/>
          <w:sz w:val="14"/>
          <w:szCs w:val="14"/>
          <w:color w:val="FFFFFF"/>
        </w:rPr>
        <w:t>Earnings Release 1Q / 2026</w:t>
      </w:r>
      <w:r>
        <w:rPr>
          <w:sz w:val="20"/>
          <w:szCs w:val="20"/>
          <w:color w:val="auto"/>
        </w:rPr>
        <w:tab/>
      </w:r>
      <w:r>
        <w:rPr>
          <w:rFonts w:ascii="Times New Roman" w:cs="Times New Roman" w:eastAsia="Times New Roman" w:hAnsi="Times New Roman"/>
          <w:sz w:val="12"/>
          <w:szCs w:val="12"/>
          <w:color w:val="FF00FF"/>
        </w:rPr>
        <w:t>Analysis of 1Q26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297180</wp:posOffset>
            </wp:positionV>
            <wp:extent cx="7140575" cy="2095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0575" cy="20955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38"/>
        <w:spacing w:after="0"/>
        <w:rPr>
          <w:sz w:val="20"/>
          <w:szCs w:val="20"/>
          <w:color w:val="auto"/>
        </w:rPr>
      </w:pPr>
      <w:r>
        <w:rPr>
          <w:rFonts w:ascii="Times New Roman" w:cs="Times New Roman" w:eastAsia="Times New Roman" w:hAnsi="Times New Roman"/>
          <w:sz w:val="20"/>
          <w:szCs w:val="20"/>
          <w:b w:val="1"/>
          <w:bCs w:val="1"/>
          <w:color w:val="FFFFFF"/>
        </w:rPr>
        <w:t>05. Portfolio Quality and Provisions</w:t>
      </w:r>
    </w:p>
    <w:p>
      <w:pPr>
        <w:spacing w:after="0" w:line="261" w:lineRule="exact"/>
        <w:rPr>
          <w:sz w:val="20"/>
          <w:szCs w:val="20"/>
          <w:color w:val="auto"/>
        </w:rPr>
      </w:pPr>
    </w:p>
    <w:p>
      <w:pPr>
        <w:jc w:val="right"/>
        <w:spacing w:after="0"/>
        <w:tabs>
          <w:tab w:leader="none" w:pos="5380" w:val="left"/>
        </w:tabs>
        <w:rPr>
          <w:sz w:val="20"/>
          <w:szCs w:val="20"/>
          <w:color w:val="auto"/>
        </w:rPr>
      </w:pPr>
      <w:r>
        <w:rPr>
          <w:rFonts w:ascii="Times New Roman" w:cs="Times New Roman" w:eastAsia="Times New Roman" w:hAnsi="Times New Roman"/>
          <w:sz w:val="17"/>
          <w:szCs w:val="17"/>
          <w:b w:val="1"/>
          <w:bCs w:val="1"/>
          <w:color w:val="auto"/>
        </w:rPr>
        <w:t>NPL Ratio for Total Loans</w:t>
      </w:r>
      <w:r>
        <w:rPr>
          <w:sz w:val="20"/>
          <w:szCs w:val="20"/>
          <w:color w:val="auto"/>
        </w:rPr>
        <w:tab/>
      </w:r>
      <w:r>
        <w:rPr>
          <w:rFonts w:ascii="Times New Roman" w:cs="Times New Roman" w:eastAsia="Times New Roman" w:hAnsi="Times New Roman"/>
          <w:sz w:val="17"/>
          <w:szCs w:val="17"/>
          <w:color w:val="auto"/>
        </w:rPr>
        <w:t xml:space="preserve">The NPL Ratio at </w:t>
      </w:r>
      <w:r>
        <w:rPr>
          <w:rFonts w:ascii="Times New Roman" w:cs="Times New Roman" w:eastAsia="Times New Roman" w:hAnsi="Times New Roman"/>
          <w:sz w:val="17"/>
          <w:szCs w:val="17"/>
          <w:b w:val="1"/>
          <w:bCs w:val="1"/>
          <w:color w:val="auto"/>
        </w:rPr>
        <w:t>Credicorp</w:t>
      </w:r>
      <w:r>
        <w:rPr>
          <w:rFonts w:ascii="Times New Roman" w:cs="Times New Roman" w:eastAsia="Times New Roman" w:hAnsi="Times New Roman"/>
          <w:sz w:val="17"/>
          <w:szCs w:val="17"/>
          <w:color w:val="auto"/>
        </w:rPr>
        <w:t xml:space="preserve"> dropped 28 bps </w:t>
      </w:r>
      <w:r>
        <w:rPr>
          <w:rFonts w:ascii="Times New Roman" w:cs="Times New Roman" w:eastAsia="Times New Roman" w:hAnsi="Times New Roman"/>
          <w:sz w:val="17"/>
          <w:szCs w:val="17"/>
          <w:b w:val="1"/>
          <w:bCs w:val="1"/>
          <w:color w:val="auto"/>
        </w:rPr>
        <w:t>QoQ</w:t>
      </w:r>
      <w:r>
        <w:rPr>
          <w:rFonts w:ascii="Times New Roman" w:cs="Times New Roman" w:eastAsia="Times New Roman" w:hAnsi="Times New Roman"/>
          <w:sz w:val="17"/>
          <w:szCs w:val="17"/>
          <w:color w:val="auto"/>
        </w:rPr>
        <w:t xml:space="preserve"> to stand at 4.3%. This level</w:t>
      </w:r>
    </w:p>
    <w:p>
      <w:pPr>
        <w:spacing w:after="0" w:line="27" w:lineRule="exact"/>
        <w:rPr>
          <w:sz w:val="20"/>
          <w:szCs w:val="20"/>
          <w:color w:val="auto"/>
        </w:rPr>
      </w:pPr>
    </w:p>
    <w:p>
      <w:pPr>
        <w:ind w:left="5838"/>
        <w:spacing w:after="0"/>
        <w:rPr>
          <w:sz w:val="20"/>
          <w:szCs w:val="20"/>
          <w:color w:val="auto"/>
        </w:rPr>
      </w:pPr>
      <w:r>
        <w:rPr>
          <w:rFonts w:ascii="Times New Roman" w:cs="Times New Roman" w:eastAsia="Times New Roman" w:hAnsi="Times New Roman"/>
          <w:sz w:val="17"/>
          <w:szCs w:val="17"/>
          <w:color w:val="auto"/>
        </w:rPr>
        <w:t>was below the prints reported prior to the economic recession in 2023. This</w:t>
      </w:r>
    </w:p>
    <w:p>
      <w:pPr>
        <w:spacing w:after="0" w:line="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decline was driven mainly by a decrease in NPL volumes, which was fueled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113030</wp:posOffset>
            </wp:positionH>
            <wp:positionV relativeFrom="paragraph">
              <wp:posOffset>-123190</wp:posOffset>
            </wp:positionV>
            <wp:extent cx="3223895" cy="13944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223895" cy="1394460"/>
                    </a:xfrm>
                    <a:prstGeom prst="rect">
                      <a:avLst/>
                    </a:prstGeom>
                    <a:noFill/>
                  </pic:spPr>
                </pic:pic>
              </a:graphicData>
            </a:graphic>
          </wp:anchor>
        </w:drawing>
      </w:r>
    </w:p>
    <w:p>
      <w:pPr>
        <w:ind w:left="5838"/>
        <w:spacing w:after="0"/>
        <w:rPr>
          <w:sz w:val="20"/>
          <w:szCs w:val="20"/>
          <w:color w:val="auto"/>
        </w:rPr>
      </w:pPr>
      <w:r>
        <w:rPr>
          <w:rFonts w:ascii="Times New Roman" w:cs="Times New Roman" w:eastAsia="Times New Roman" w:hAnsi="Times New Roman"/>
          <w:sz w:val="17"/>
          <w:szCs w:val="17"/>
          <w:color w:val="auto"/>
        </w:rPr>
        <w:t xml:space="preserve">primarily by the same dynamics seen </w:t>
      </w:r>
      <w:r>
        <w:rPr>
          <w:rFonts w:ascii="Times New Roman" w:cs="Times New Roman" w:eastAsia="Times New Roman" w:hAnsi="Times New Roman"/>
          <w:sz w:val="17"/>
          <w:szCs w:val="17"/>
          <w:b w:val="1"/>
          <w:bCs w:val="1"/>
          <w:color w:val="auto"/>
        </w:rPr>
        <w:t>QoQ</w:t>
      </w:r>
      <w:r>
        <w:rPr>
          <w:rFonts w:ascii="Times New Roman" w:cs="Times New Roman" w:eastAsia="Times New Roman" w:hAnsi="Times New Roman"/>
          <w:sz w:val="17"/>
          <w:szCs w:val="17"/>
          <w:color w:val="auto"/>
        </w:rPr>
        <w:t xml:space="preserve"> and secondarily by loan growth.</w:t>
      </w:r>
    </w:p>
    <w:p>
      <w:pPr>
        <w:spacing w:after="0" w:line="191" w:lineRule="exact"/>
        <w:rPr>
          <w:sz w:val="20"/>
          <w:szCs w:val="20"/>
          <w:color w:val="auto"/>
        </w:rPr>
      </w:pPr>
    </w:p>
    <w:p>
      <w:pPr>
        <w:ind w:left="5838"/>
        <w:spacing w:after="0"/>
        <w:rPr>
          <w:sz w:val="20"/>
          <w:szCs w:val="20"/>
          <w:color w:val="auto"/>
        </w:rPr>
      </w:pPr>
      <w:r>
        <w:rPr>
          <w:rFonts w:ascii="Times New Roman" w:cs="Times New Roman" w:eastAsia="Times New Roman" w:hAnsi="Times New Roman"/>
          <w:sz w:val="17"/>
          <w:szCs w:val="17"/>
          <w:b w:val="1"/>
          <w:bCs w:val="1"/>
          <w:color w:val="auto"/>
        </w:rPr>
        <w:t>If we analyze the QoQ evolution of the NPL Ratio by Subsidiary, we see: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left="618" w:hanging="314"/>
        <w:spacing w:after="0" w:line="266" w:lineRule="auto"/>
        <w:tabs>
          <w:tab w:leader="none" w:pos="618"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BCP Stand-alone, </w:t>
      </w:r>
      <w:r>
        <w:rPr>
          <w:rFonts w:ascii="Times New Roman" w:cs="Times New Roman" w:eastAsia="Times New Roman" w:hAnsi="Times New Roman"/>
          <w:sz w:val="17"/>
          <w:szCs w:val="17"/>
          <w:color w:val="auto"/>
        </w:rPr>
        <w:t>where the NPL Ratio dropped 32 bps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 the case of</w:t>
      </w:r>
      <w:r>
        <w:rPr>
          <w:rFonts w:ascii="Times New Roman" w:cs="Times New Roman" w:eastAsia="Times New Roman" w:hAnsi="Times New Roman"/>
          <w:sz w:val="17"/>
          <w:szCs w:val="17"/>
          <w:b w:val="1"/>
          <w:bCs w:val="1"/>
          <w:color w:val="auto"/>
        </w:rPr>
        <w:t xml:space="preserve"> Individuals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b w:val="1"/>
          <w:bCs w:val="1"/>
          <w:color w:val="auto"/>
        </w:rPr>
        <w:t xml:space="preserve"> SME-Pyme, </w:t>
      </w:r>
      <w:r>
        <w:rPr>
          <w:rFonts w:ascii="Times New Roman" w:cs="Times New Roman" w:eastAsia="Times New Roman" w:hAnsi="Times New Roman"/>
          <w:sz w:val="17"/>
          <w:szCs w:val="17"/>
          <w:color w:val="auto"/>
        </w:rPr>
        <w:t>the decrease in the ratio was spurred mainly by a drop</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in NPL volumes. In </w:t>
      </w:r>
      <w:r>
        <w:rPr>
          <w:rFonts w:ascii="Times New Roman" w:cs="Times New Roman" w:eastAsia="Times New Roman" w:hAnsi="Times New Roman"/>
          <w:sz w:val="17"/>
          <w:szCs w:val="17"/>
          <w:b w:val="1"/>
          <w:bCs w:val="1"/>
          <w:color w:val="auto"/>
        </w:rPr>
        <w:t>Wholesale Banking</w:t>
      </w:r>
      <w:r>
        <w:rPr>
          <w:rFonts w:ascii="Times New Roman" w:cs="Times New Roman" w:eastAsia="Times New Roman" w:hAnsi="Times New Roman"/>
          <w:sz w:val="17"/>
          <w:szCs w:val="17"/>
          <w:color w:val="auto"/>
        </w:rPr>
        <w:t xml:space="preserve">, the increase in the ratio was driven by an uptick in NPL volumes; while the decline in </w:t>
      </w:r>
      <w:r>
        <w:rPr>
          <w:rFonts w:ascii="Times New Roman" w:cs="Times New Roman" w:eastAsia="Times New Roman" w:hAnsi="Times New Roman"/>
          <w:sz w:val="17"/>
          <w:szCs w:val="17"/>
          <w:b w:val="1"/>
          <w:bCs w:val="1"/>
          <w:color w:val="auto"/>
        </w:rPr>
        <w:t>SME-Business</w:t>
      </w:r>
      <w:r>
        <w:rPr>
          <w:rFonts w:ascii="Times New Roman" w:cs="Times New Roman" w:eastAsia="Times New Roman" w:hAnsi="Times New Roman"/>
          <w:sz w:val="17"/>
          <w:szCs w:val="17"/>
          <w:color w:val="auto"/>
        </w:rPr>
        <w:t>, in turn, was driven primarily by a drop in loan volumes, which fell due to client resegmentation (see the chapter on Loans).</w:t>
      </w:r>
    </w:p>
    <w:p>
      <w:pPr>
        <w:spacing w:after="0" w:line="162" w:lineRule="exact"/>
        <w:rPr>
          <w:rFonts w:ascii="Times New Roman" w:cs="Times New Roman" w:eastAsia="Times New Roman" w:hAnsi="Times New Roman"/>
          <w:sz w:val="17"/>
          <w:szCs w:val="17"/>
          <w:color w:val="auto"/>
        </w:rPr>
      </w:pPr>
    </w:p>
    <w:p>
      <w:pPr>
        <w:ind w:left="618" w:hanging="314"/>
        <w:spacing w:after="0"/>
        <w:tabs>
          <w:tab w:leader="none" w:pos="618"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Mibanco</w:t>
      </w:r>
      <w:r>
        <w:rPr>
          <w:rFonts w:ascii="Times New Roman" w:cs="Times New Roman" w:eastAsia="Times New Roman" w:hAnsi="Times New Roman"/>
          <w:sz w:val="17"/>
          <w:szCs w:val="17"/>
          <w:color w:val="auto"/>
        </w:rPr>
        <w:t>, where the NPL Ratio dropped 33 bps, primarily on the back of loan growth and secondary due to a drop in NPL volumes.</w:t>
      </w:r>
    </w:p>
    <w:p>
      <w:pPr>
        <w:sectPr>
          <w:pgSz w:w="11900" w:h="16838" w:orient="portrait"/>
          <w:cols w:equalWidth="0" w:num="1">
            <w:col w:w="11238"/>
          </w:cols>
          <w:pgMar w:left="322" w:top="770" w:right="339" w:bottom="1440" w:gutter="0" w:footer="0" w:header="0"/>
        </w:sectPr>
      </w:pPr>
    </w:p>
    <w:p>
      <w:pPr>
        <w:spacing w:after="0" w:line="202" w:lineRule="exact"/>
        <w:rPr>
          <w:sz w:val="20"/>
          <w:szCs w:val="20"/>
          <w:color w:val="auto"/>
        </w:rPr>
      </w:pPr>
    </w:p>
    <w:p>
      <w:pPr>
        <w:ind w:left="878"/>
        <w:spacing w:after="0"/>
        <w:rPr>
          <w:sz w:val="20"/>
          <w:szCs w:val="20"/>
          <w:color w:val="auto"/>
        </w:rPr>
      </w:pPr>
      <w:r>
        <w:rPr>
          <w:rFonts w:ascii="Times New Roman" w:cs="Times New Roman" w:eastAsia="Times New Roman" w:hAnsi="Times New Roman"/>
          <w:sz w:val="16"/>
          <w:szCs w:val="16"/>
          <w:b w:val="1"/>
          <w:bCs w:val="1"/>
          <w:color w:val="auto"/>
        </w:rPr>
        <w:t xml:space="preserve">NPL Ratio for Total Loans at BCP Stand-Alone </w:t>
      </w:r>
      <w:r>
        <w:rPr>
          <w:rFonts w:ascii="Times New Roman" w:cs="Times New Roman" w:eastAsia="Times New Roman" w:hAnsi="Times New Roman"/>
          <w:sz w:val="27"/>
          <w:szCs w:val="27"/>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88900</wp:posOffset>
            </wp:positionH>
            <wp:positionV relativeFrom="paragraph">
              <wp:posOffset>79375</wp:posOffset>
            </wp:positionV>
            <wp:extent cx="3223895" cy="220027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223895" cy="22002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 xml:space="preserve">The NPL Ratio at </w:t>
      </w:r>
      <w:r>
        <w:rPr>
          <w:rFonts w:ascii="Times New Roman" w:cs="Times New Roman" w:eastAsia="Times New Roman" w:hAnsi="Times New Roman"/>
          <w:sz w:val="17"/>
          <w:szCs w:val="17"/>
          <w:b w:val="1"/>
          <w:bCs w:val="1"/>
          <w:color w:val="auto"/>
        </w:rPr>
        <w:t>Credicorp</w:t>
      </w:r>
      <w:r>
        <w:rPr>
          <w:rFonts w:ascii="Times New Roman" w:cs="Times New Roman" w:eastAsia="Times New Roman" w:hAnsi="Times New Roman"/>
          <w:sz w:val="17"/>
          <w:szCs w:val="17"/>
          <w:color w:val="auto"/>
        </w:rPr>
        <w:t xml:space="preserve"> decreased 84 bps </w:t>
      </w:r>
      <w:r>
        <w:rPr>
          <w:rFonts w:ascii="Times New Roman" w:cs="Times New Roman" w:eastAsia="Times New Roman" w:hAnsi="Times New Roman"/>
          <w:sz w:val="17"/>
          <w:szCs w:val="17"/>
          <w:b w:val="1"/>
          <w:bCs w:val="1"/>
          <w:color w:val="auto"/>
        </w:rPr>
        <w:t>YoY</w:t>
      </w:r>
      <w:r>
        <w:rPr>
          <w:rFonts w:ascii="Times New Roman" w:cs="Times New Roman" w:eastAsia="Times New Roman" w:hAnsi="Times New Roman"/>
          <w:sz w:val="17"/>
          <w:szCs w:val="17"/>
          <w:color w:val="auto"/>
        </w:rPr>
        <w:t xml:space="preserve"> to stand at 4.3%. This drop was driven primarily by the same dynamics that drove the </w:t>
      </w:r>
      <w:r>
        <w:rPr>
          <w:rFonts w:ascii="Times New Roman" w:cs="Times New Roman" w:eastAsia="Times New Roman" w:hAnsi="Times New Roman"/>
          <w:sz w:val="17"/>
          <w:szCs w:val="17"/>
          <w:b w:val="1"/>
          <w:bCs w:val="1"/>
          <w:color w:val="auto"/>
        </w:rPr>
        <w:t>Yo</w:t>
      </w:r>
      <w:r>
        <w:rPr>
          <w:rFonts w:ascii="Times New Roman" w:cs="Times New Roman" w:eastAsia="Times New Roman" w:hAnsi="Times New Roman"/>
          <w:sz w:val="17"/>
          <w:szCs w:val="17"/>
          <w:color w:val="auto"/>
        </w:rPr>
        <w:t>Y evolution of the NPL portfolio and secondarily, by loan growth.</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If we analyze the YoY evolution of the NPL Ratio, we find:</w:t>
      </w:r>
    </w:p>
    <w:p>
      <w:pPr>
        <w:spacing w:after="0" w:line="211" w:lineRule="exact"/>
        <w:rPr>
          <w:sz w:val="20"/>
          <w:szCs w:val="20"/>
          <w:color w:val="auto"/>
        </w:rPr>
      </w:pPr>
    </w:p>
    <w:p>
      <w:pPr>
        <w:jc w:val="both"/>
        <w:ind w:firstLine="9"/>
        <w:spacing w:after="0" w:line="256" w:lineRule="auto"/>
        <w:tabs>
          <w:tab w:leader="none" w:pos="43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BCP Stand-alone, </w:t>
      </w:r>
      <w:r>
        <w:rPr>
          <w:rFonts w:ascii="Times New Roman" w:cs="Times New Roman" w:eastAsia="Times New Roman" w:hAnsi="Times New Roman"/>
          <w:sz w:val="17"/>
          <w:szCs w:val="17"/>
          <w:color w:val="auto"/>
        </w:rPr>
        <w:t>where the NPL Ratio fell 86 bps</w:t>
      </w:r>
      <w:r>
        <w:rPr>
          <w:rFonts w:ascii="Times New Roman" w:cs="Times New Roman" w:eastAsia="Times New Roman" w:hAnsi="Times New Roman"/>
          <w:sz w:val="17"/>
          <w:szCs w:val="17"/>
          <w:b w:val="1"/>
          <w:bCs w:val="1"/>
          <w:color w:val="auto"/>
        </w:rPr>
        <w:t xml:space="preserve"> YoY</w:t>
      </w:r>
      <w:r>
        <w:rPr>
          <w:rFonts w:ascii="Times New Roman" w:cs="Times New Roman" w:eastAsia="Times New Roman" w:hAnsi="Times New Roman"/>
          <w:sz w:val="17"/>
          <w:szCs w:val="17"/>
          <w:color w:val="auto"/>
        </w:rPr>
        <w:t>. In the case of</w:t>
      </w:r>
      <w:r>
        <w:rPr>
          <w:rFonts w:ascii="Times New Roman" w:cs="Times New Roman" w:eastAsia="Times New Roman" w:hAnsi="Times New Roman"/>
          <w:sz w:val="17"/>
          <w:szCs w:val="17"/>
          <w:b w:val="1"/>
          <w:bCs w:val="1"/>
          <w:color w:val="auto"/>
        </w:rPr>
        <w:t xml:space="preserve"> Wholesale, SME-Pyme, Consumer and Credit Cards</w:t>
      </w:r>
      <w:r>
        <w:rPr>
          <w:rFonts w:ascii="Times New Roman" w:cs="Times New Roman" w:eastAsia="Times New Roman" w:hAnsi="Times New Roman"/>
          <w:sz w:val="17"/>
          <w:szCs w:val="17"/>
          <w:color w:val="auto"/>
        </w:rPr>
        <w:t>, the reduction was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driven primarily by a drop in NPL volumes. In the case of </w:t>
      </w:r>
      <w:r>
        <w:rPr>
          <w:rFonts w:ascii="Times New Roman" w:cs="Times New Roman" w:eastAsia="Times New Roman" w:hAnsi="Times New Roman"/>
          <w:sz w:val="17"/>
          <w:szCs w:val="17"/>
          <w:b w:val="1"/>
          <w:bCs w:val="1"/>
          <w:color w:val="auto"/>
        </w:rPr>
        <w:t>Mortgage,</w:t>
      </w:r>
      <w:r>
        <w:rPr>
          <w:rFonts w:ascii="Times New Roman" w:cs="Times New Roman" w:eastAsia="Times New Roman" w:hAnsi="Times New Roman"/>
          <w:sz w:val="17"/>
          <w:szCs w:val="17"/>
          <w:color w:val="auto"/>
        </w:rPr>
        <w:t xml:space="preserve"> the decline was mainly spurred by loan growth. At </w:t>
      </w:r>
      <w:r>
        <w:rPr>
          <w:rFonts w:ascii="Times New Roman" w:cs="Times New Roman" w:eastAsia="Times New Roman" w:hAnsi="Times New Roman"/>
          <w:sz w:val="17"/>
          <w:szCs w:val="17"/>
          <w:b w:val="1"/>
          <w:bCs w:val="1"/>
          <w:color w:val="auto"/>
        </w:rPr>
        <w:t>SME-Business,</w:t>
      </w:r>
      <w:r>
        <w:rPr>
          <w:rFonts w:ascii="Times New Roman" w:cs="Times New Roman" w:eastAsia="Times New Roman" w:hAnsi="Times New Roman"/>
          <w:sz w:val="17"/>
          <w:szCs w:val="17"/>
          <w:color w:val="auto"/>
        </w:rPr>
        <w:t xml:space="preserve"> the increase in the ratio was driven by a drop in loans, </w:t>
      </w:r>
      <w:r>
        <w:rPr>
          <w:rFonts w:ascii="Times New Roman" w:cs="Times New Roman" w:eastAsia="Times New Roman" w:hAnsi="Times New Roman"/>
          <w:sz w:val="17"/>
          <w:szCs w:val="17"/>
          <w:b w:val="1"/>
          <w:bCs w:val="1"/>
          <w:color w:val="auto"/>
        </w:rPr>
        <w:t>which was fueled by the same factors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at play QoQ.</w:t>
      </w:r>
    </w:p>
    <w:p>
      <w:pPr>
        <w:spacing w:after="0" w:line="200" w:lineRule="exact"/>
        <w:rPr>
          <w:sz w:val="20"/>
          <w:szCs w:val="20"/>
          <w:color w:val="auto"/>
        </w:rPr>
      </w:pPr>
    </w:p>
    <w:p>
      <w:pPr>
        <w:sectPr>
          <w:pgSz w:w="11900" w:h="16838" w:orient="portrait"/>
          <w:cols w:equalWidth="0" w:num="2">
            <w:col w:w="5118" w:space="720"/>
            <w:col w:w="5400"/>
          </w:cols>
          <w:pgMar w:left="322" w:top="77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38" w:hanging="138"/>
        <w:spacing w:after="0"/>
        <w:tabs>
          <w:tab w:leader="none" w:pos="138" w:val="left"/>
        </w:tabs>
        <w:numPr>
          <w:ilvl w:val="0"/>
          <w:numId w:val="2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Corresponds to management information by segment in BCP Stand-Alone.</w:t>
      </w:r>
    </w:p>
    <w:p>
      <w:pPr>
        <w:spacing w:after="0" w:line="200" w:lineRule="exact"/>
        <w:rPr>
          <w:sz w:val="20"/>
          <w:szCs w:val="20"/>
          <w:color w:val="auto"/>
        </w:rPr>
      </w:pPr>
    </w:p>
    <w:p>
      <w:pPr>
        <w:spacing w:after="0" w:line="378" w:lineRule="exact"/>
        <w:rPr>
          <w:sz w:val="20"/>
          <w:szCs w:val="20"/>
          <w:color w:val="auto"/>
        </w:rPr>
      </w:pPr>
    </w:p>
    <w:p>
      <w:pPr>
        <w:ind w:left="298" w:hanging="298"/>
        <w:spacing w:after="0"/>
        <w:tabs>
          <w:tab w:leader="none" w:pos="298"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Mibanco</w:t>
      </w:r>
      <w:r>
        <w:rPr>
          <w:rFonts w:ascii="Times New Roman" w:cs="Times New Roman" w:eastAsia="Times New Roman" w:hAnsi="Times New Roman"/>
          <w:sz w:val="16"/>
          <w:szCs w:val="16"/>
          <w:color w:val="auto"/>
        </w:rPr>
        <w:t>, where the NPL Ratio decreased 149 bps</w:t>
      </w:r>
      <w:r>
        <w:rPr>
          <w:rFonts w:ascii="Times New Roman" w:cs="Times New Roman" w:eastAsia="Times New Roman" w:hAnsi="Times New Roman"/>
          <w:sz w:val="16"/>
          <w:szCs w:val="16"/>
          <w:b w:val="1"/>
          <w:bCs w:val="1"/>
          <w:color w:val="auto"/>
        </w:rPr>
        <w:t xml:space="preserve"> YoY</w:t>
      </w:r>
      <w:r>
        <w:rPr>
          <w:rFonts w:ascii="Times New Roman" w:cs="Times New Roman" w:eastAsia="Times New Roman" w:hAnsi="Times New Roman"/>
          <w:sz w:val="16"/>
          <w:szCs w:val="16"/>
          <w:color w:val="auto"/>
        </w:rPr>
        <w:t>, driven primarily by a drop in NPL volumes and secondarily by loan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984250</wp:posOffset>
            </wp:positionV>
            <wp:extent cx="7140575" cy="1587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0575" cy="15875"/>
                    </a:xfrm>
                    <a:prstGeom prst="rect">
                      <a:avLst/>
                    </a:prstGeom>
                    <a:noFill/>
                  </pic:spPr>
                </pic:pic>
              </a:graphicData>
            </a:graphic>
          </wp:anchor>
        </w:drawing>
        <w:drawing>
          <wp:anchor simplePos="0" relativeHeight="251657728" behindDoc="1" locked="0" layoutInCell="0" allowOverlap="1">
            <wp:simplePos x="0" y="0"/>
            <wp:positionH relativeFrom="column">
              <wp:posOffset>362585</wp:posOffset>
            </wp:positionH>
            <wp:positionV relativeFrom="paragraph">
              <wp:posOffset>154305</wp:posOffset>
            </wp:positionV>
            <wp:extent cx="6447155" cy="5321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447155" cy="532130"/>
                    </a:xfrm>
                    <a:prstGeom prst="rect">
                      <a:avLst/>
                    </a:prstGeom>
                    <a:noFill/>
                  </pic:spPr>
                </pic:pic>
              </a:graphicData>
            </a:graphic>
          </wp:anchor>
        </w:drawing>
      </w:r>
    </w:p>
    <w:p>
      <w:pPr>
        <w:sectPr>
          <w:pgSz w:w="11900" w:h="16838" w:orient="portrait"/>
          <w:cols w:equalWidth="0" w:num="1">
            <w:col w:w="11238"/>
          </w:cols>
          <w:pgMar w:left="322" w:top="770" w:right="339" w:bottom="1440" w:gutter="0" w:footer="0" w:header="0"/>
          <w:type w:val="continuous"/>
        </w:sectPr>
      </w:pPr>
    </w:p>
    <w:bookmarkStart w:id="29" w:name="page30"/>
    <w:bookmarkEnd w:id="29"/>
    <w:p>
      <w:pPr>
        <w:ind w:left="3200"/>
        <w:spacing w:after="0"/>
        <w:tabs>
          <w:tab w:leader="none" w:pos="3380" w:val="left"/>
          <w:tab w:leader="none" w:pos="9060" w:val="left"/>
        </w:tabs>
        <w:rPr>
          <w:sz w:val="20"/>
          <w:szCs w:val="20"/>
          <w:color w:val="auto"/>
        </w:rPr>
      </w:pPr>
      <w:r>
        <w:rPr>
          <w:rFonts w:ascii="Times New Roman" w:cs="Times New Roman" w:eastAsia="Times New Roman" w:hAnsi="Times New Roman"/>
          <w:sz w:val="17"/>
          <w:szCs w:val="17"/>
          <w:color w:val="A6A6A6"/>
        </w:rPr>
        <w:drawing>
          <wp:anchor simplePos="0" relativeHeight="251657728" behindDoc="1" locked="0" layoutInCell="0" allowOverlap="1">
            <wp:simplePos x="0" y="0"/>
            <wp:positionH relativeFrom="page">
              <wp:posOffset>204470</wp:posOffset>
            </wp:positionH>
            <wp:positionV relativeFrom="page">
              <wp:posOffset>217805</wp:posOffset>
            </wp:positionV>
            <wp:extent cx="7140575" cy="6927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0575" cy="692785"/>
                    </a:xfrm>
                    <a:prstGeom prst="rect">
                      <a:avLst/>
                    </a:prstGeom>
                    <a:noFill/>
                  </pic:spPr>
                </pic:pic>
              </a:graphicData>
            </a:graphic>
          </wp:anchor>
        </w:drawing>
        <w:t>|</w:t>
      </w:r>
      <w:r>
        <w:rPr>
          <w:sz w:val="20"/>
          <w:szCs w:val="20"/>
          <w:color w:val="auto"/>
        </w:rPr>
        <w:tab/>
      </w:r>
      <w:r>
        <w:rPr>
          <w:rFonts w:ascii="Times New Roman" w:cs="Times New Roman" w:eastAsia="Times New Roman" w:hAnsi="Times New Roman"/>
          <w:sz w:val="14"/>
          <w:szCs w:val="14"/>
          <w:color w:val="FFFFFF"/>
        </w:rPr>
        <w:t>Earnings Release 1Q / 2026</w:t>
      </w:r>
      <w:r>
        <w:rPr>
          <w:sz w:val="20"/>
          <w:szCs w:val="20"/>
          <w:color w:val="auto"/>
        </w:rPr>
        <w:tab/>
      </w:r>
      <w:r>
        <w:rPr>
          <w:rFonts w:ascii="Times New Roman" w:cs="Times New Roman" w:eastAsia="Times New Roman" w:hAnsi="Times New Roman"/>
          <w:sz w:val="12"/>
          <w:szCs w:val="12"/>
          <w:color w:val="FF00FF"/>
        </w:rPr>
        <w:t>Analysis of 1Q26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297180</wp:posOffset>
            </wp:positionV>
            <wp:extent cx="7140575" cy="2095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0575" cy="20955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FFFFFF"/>
        </w:rPr>
        <w:t>05. Portfolio Quality and Provisions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5.2 Provisions and Cost of Risk for Total Loans</w:t>
      </w:r>
    </w:p>
    <w:p>
      <w:pPr>
        <w:spacing w:after="0" w:line="211"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5300" w:type="dxa"/>
            <w:vAlign w:val="bottom"/>
            <w:tcBorders>
              <w:top w:val="single" w:sz="8" w:color="auto"/>
              <w:left w:val="single" w:sz="8" w:color="auto"/>
              <w:right w:val="single" w:sz="8" w:color="auto"/>
            </w:tcBorders>
            <w:shd w:val="clear" w:color="auto" w:fill="2AD2C9"/>
          </w:tcPr>
          <w:p>
            <w:pPr>
              <w:ind w:left="60"/>
              <w:spacing w:after="0"/>
              <w:rPr>
                <w:sz w:val="20"/>
                <w:szCs w:val="20"/>
                <w:color w:val="auto"/>
              </w:rPr>
            </w:pPr>
            <w:r>
              <w:rPr>
                <w:rFonts w:ascii="Times New Roman" w:cs="Times New Roman" w:eastAsia="Times New Roman" w:hAnsi="Times New Roman"/>
                <w:sz w:val="15"/>
                <w:szCs w:val="15"/>
                <w:b w:val="1"/>
                <w:bCs w:val="1"/>
                <w:color w:val="FFFFFF"/>
              </w:rPr>
              <w:t>Loan Portfolio Provisions</w:t>
            </w:r>
          </w:p>
        </w:tc>
        <w:tc>
          <w:tcPr>
            <w:tcW w:w="1140" w:type="dxa"/>
            <w:vAlign w:val="bottom"/>
            <w:tcBorders>
              <w:top w:val="single" w:sz="8" w:color="auto"/>
            </w:tcBorders>
            <w:shd w:val="clear" w:color="auto" w:fill="2AD2C9"/>
          </w:tcPr>
          <w:p>
            <w:pPr>
              <w:spacing w:after="0"/>
              <w:rPr>
                <w:sz w:val="17"/>
                <w:szCs w:val="17"/>
                <w:color w:val="auto"/>
              </w:rPr>
            </w:pPr>
          </w:p>
        </w:tc>
        <w:tc>
          <w:tcPr>
            <w:tcW w:w="1280" w:type="dxa"/>
            <w:vAlign w:val="bottom"/>
            <w:tcBorders>
              <w:top w:val="single" w:sz="8" w:color="auto"/>
            </w:tcBorders>
            <w:shd w:val="clear" w:color="auto" w:fill="2AD2C9"/>
          </w:tcPr>
          <w:p>
            <w:pPr>
              <w:ind w:left="420"/>
              <w:spacing w:after="0"/>
              <w:rPr>
                <w:sz w:val="20"/>
                <w:szCs w:val="20"/>
                <w:color w:val="auto"/>
              </w:rPr>
            </w:pPr>
            <w:r>
              <w:rPr>
                <w:rFonts w:ascii="Times New Roman" w:cs="Times New Roman" w:eastAsia="Times New Roman" w:hAnsi="Times New Roman"/>
                <w:sz w:val="15"/>
                <w:szCs w:val="15"/>
                <w:b w:val="1"/>
                <w:bCs w:val="1"/>
                <w:color w:val="FFFFFF"/>
              </w:rPr>
              <w:t>Quarter</w:t>
            </w:r>
          </w:p>
        </w:tc>
        <w:tc>
          <w:tcPr>
            <w:tcW w:w="1300" w:type="dxa"/>
            <w:vAlign w:val="bottom"/>
            <w:tcBorders>
              <w:top w:val="single" w:sz="8" w:color="auto"/>
              <w:right w:val="single" w:sz="8" w:color="auto"/>
            </w:tcBorders>
            <w:shd w:val="clear" w:color="auto" w:fill="2AD2C9"/>
          </w:tcPr>
          <w:p>
            <w:pPr>
              <w:spacing w:after="0"/>
              <w:rPr>
                <w:sz w:val="17"/>
                <w:szCs w:val="17"/>
                <w:color w:val="auto"/>
              </w:rPr>
            </w:pPr>
          </w:p>
        </w:tc>
        <w:tc>
          <w:tcPr>
            <w:tcW w:w="780" w:type="dxa"/>
            <w:vAlign w:val="bottom"/>
            <w:tcBorders>
              <w:top w:val="single" w:sz="8" w:color="auto"/>
            </w:tcBorders>
            <w:shd w:val="clear" w:color="auto" w:fill="2AD2C9"/>
          </w:tcPr>
          <w:p>
            <w:pPr>
              <w:spacing w:after="0"/>
              <w:rPr>
                <w:sz w:val="17"/>
                <w:szCs w:val="17"/>
                <w:color w:val="auto"/>
              </w:rPr>
            </w:pPr>
          </w:p>
        </w:tc>
        <w:tc>
          <w:tcPr>
            <w:tcW w:w="1460" w:type="dxa"/>
            <w:vAlign w:val="bottom"/>
            <w:tcBorders>
              <w:top w:val="single" w:sz="8" w:color="auto"/>
              <w:right w:val="single" w:sz="8" w:color="auto"/>
            </w:tcBorders>
            <w:shd w:val="clear" w:color="auto" w:fill="2AD2C9"/>
          </w:tcPr>
          <w:p>
            <w:pPr>
              <w:spacing w:after="0"/>
              <w:rPr>
                <w:sz w:val="20"/>
                <w:szCs w:val="20"/>
                <w:color w:val="auto"/>
              </w:rPr>
            </w:pPr>
            <w:r>
              <w:rPr>
                <w:rFonts w:ascii="Times New Roman" w:cs="Times New Roman" w:eastAsia="Times New Roman" w:hAnsi="Times New Roman"/>
                <w:sz w:val="15"/>
                <w:szCs w:val="15"/>
                <w:b w:val="1"/>
                <w:bCs w:val="1"/>
                <w:color w:val="FFFFFF"/>
              </w:rPr>
              <w:t>% change</w:t>
            </w:r>
          </w:p>
        </w:tc>
      </w:tr>
      <w:tr>
        <w:trPr>
          <w:trHeight w:val="190"/>
        </w:trPr>
        <w:tc>
          <w:tcPr>
            <w:tcW w:w="5300" w:type="dxa"/>
            <w:vAlign w:val="bottom"/>
            <w:tcBorders>
              <w:left w:val="single" w:sz="8" w:color="auto"/>
              <w:bottom w:val="single" w:sz="8" w:color="auto"/>
              <w:right w:val="single" w:sz="8" w:color="auto"/>
            </w:tcBorders>
            <w:shd w:val="clear" w:color="auto" w:fill="2AD2C9"/>
          </w:tcPr>
          <w:p>
            <w:pPr>
              <w:ind w:left="60"/>
              <w:spacing w:after="0"/>
              <w:rPr>
                <w:sz w:val="20"/>
                <w:szCs w:val="20"/>
                <w:color w:val="auto"/>
              </w:rPr>
            </w:pPr>
            <w:r>
              <w:rPr>
                <w:rFonts w:ascii="Times New Roman" w:cs="Times New Roman" w:eastAsia="Times New Roman" w:hAnsi="Times New Roman"/>
                <w:sz w:val="15"/>
                <w:szCs w:val="15"/>
                <w:b w:val="1"/>
                <w:bCs w:val="1"/>
                <w:color w:val="FFFFFF"/>
              </w:rPr>
              <w:t>S/000</w:t>
            </w:r>
          </w:p>
        </w:tc>
        <w:tc>
          <w:tcPr>
            <w:tcW w:w="1140" w:type="dxa"/>
            <w:vAlign w:val="bottom"/>
            <w:tcBorders>
              <w:bottom w:val="single" w:sz="8" w:color="auto"/>
            </w:tcBorders>
            <w:shd w:val="clear" w:color="auto" w:fill="2AD2C9"/>
          </w:tcPr>
          <w:p>
            <w:pPr>
              <w:jc w:val="center"/>
              <w:spacing w:after="0"/>
              <w:rPr>
                <w:sz w:val="20"/>
                <w:szCs w:val="20"/>
                <w:color w:val="auto"/>
              </w:rPr>
            </w:pPr>
            <w:r>
              <w:rPr>
                <w:rFonts w:ascii="Times New Roman" w:cs="Times New Roman" w:eastAsia="Times New Roman" w:hAnsi="Times New Roman"/>
                <w:sz w:val="15"/>
                <w:szCs w:val="15"/>
                <w:b w:val="1"/>
                <w:bCs w:val="1"/>
                <w:color w:val="FFFFFF"/>
                <w:w w:val="99"/>
              </w:rPr>
              <w:t>1Q25</w:t>
            </w:r>
          </w:p>
        </w:tc>
        <w:tc>
          <w:tcPr>
            <w:tcW w:w="1280" w:type="dxa"/>
            <w:vAlign w:val="bottom"/>
            <w:tcBorders>
              <w:bottom w:val="single" w:sz="8" w:color="auto"/>
            </w:tcBorders>
            <w:shd w:val="clear" w:color="auto" w:fill="2AD2C9"/>
          </w:tcPr>
          <w:p>
            <w:pPr>
              <w:jc w:val="center"/>
              <w:ind w:right="24"/>
              <w:spacing w:after="0"/>
              <w:rPr>
                <w:sz w:val="20"/>
                <w:szCs w:val="20"/>
                <w:color w:val="auto"/>
              </w:rPr>
            </w:pPr>
            <w:r>
              <w:rPr>
                <w:rFonts w:ascii="Times New Roman" w:cs="Times New Roman" w:eastAsia="Times New Roman" w:hAnsi="Times New Roman"/>
                <w:sz w:val="15"/>
                <w:szCs w:val="15"/>
                <w:b w:val="1"/>
                <w:bCs w:val="1"/>
                <w:color w:val="FFFFFF"/>
                <w:w w:val="99"/>
              </w:rPr>
              <w:t>4Q25</w:t>
            </w:r>
          </w:p>
        </w:tc>
        <w:tc>
          <w:tcPr>
            <w:tcW w:w="1300" w:type="dxa"/>
            <w:vAlign w:val="bottom"/>
            <w:tcBorders>
              <w:bottom w:val="single" w:sz="8" w:color="auto"/>
              <w:right w:val="single" w:sz="8" w:color="auto"/>
            </w:tcBorders>
            <w:shd w:val="clear" w:color="auto" w:fill="2AD2C9"/>
          </w:tcPr>
          <w:p>
            <w:pPr>
              <w:jc w:val="center"/>
              <w:ind w:right="4"/>
              <w:spacing w:after="0"/>
              <w:rPr>
                <w:sz w:val="20"/>
                <w:szCs w:val="20"/>
                <w:color w:val="auto"/>
              </w:rPr>
            </w:pPr>
            <w:r>
              <w:rPr>
                <w:rFonts w:ascii="Times New Roman" w:cs="Times New Roman" w:eastAsia="Times New Roman" w:hAnsi="Times New Roman"/>
                <w:sz w:val="15"/>
                <w:szCs w:val="15"/>
                <w:b w:val="1"/>
                <w:bCs w:val="1"/>
                <w:color w:val="FFFFFF"/>
                <w:w w:val="99"/>
              </w:rPr>
              <w:t>1Q26</w:t>
            </w:r>
          </w:p>
        </w:tc>
        <w:tc>
          <w:tcPr>
            <w:tcW w:w="780" w:type="dxa"/>
            <w:vAlign w:val="bottom"/>
            <w:tcBorders>
              <w:bottom w:val="single" w:sz="8" w:color="auto"/>
            </w:tcBorders>
            <w:shd w:val="clear" w:color="auto" w:fill="2AD2C9"/>
          </w:tcPr>
          <w:p>
            <w:pPr>
              <w:jc w:val="center"/>
              <w:ind w:left="224"/>
              <w:spacing w:after="0"/>
              <w:rPr>
                <w:sz w:val="20"/>
                <w:szCs w:val="20"/>
                <w:color w:val="auto"/>
              </w:rPr>
            </w:pPr>
            <w:r>
              <w:rPr>
                <w:rFonts w:ascii="Times New Roman" w:cs="Times New Roman" w:eastAsia="Times New Roman" w:hAnsi="Times New Roman"/>
                <w:sz w:val="15"/>
                <w:szCs w:val="15"/>
                <w:b w:val="1"/>
                <w:bCs w:val="1"/>
                <w:color w:val="FFFFFF"/>
              </w:rPr>
              <w:t>QoQ</w:t>
            </w:r>
          </w:p>
        </w:tc>
        <w:tc>
          <w:tcPr>
            <w:tcW w:w="1460" w:type="dxa"/>
            <w:vAlign w:val="bottom"/>
            <w:tcBorders>
              <w:bottom w:val="single" w:sz="8" w:color="auto"/>
              <w:right w:val="single" w:sz="8" w:color="auto"/>
            </w:tcBorders>
            <w:shd w:val="clear" w:color="auto" w:fill="2AD2C9"/>
          </w:tcPr>
          <w:p>
            <w:pPr>
              <w:jc w:val="center"/>
              <w:ind w:left="224"/>
              <w:spacing w:after="0"/>
              <w:rPr>
                <w:sz w:val="20"/>
                <w:szCs w:val="20"/>
                <w:color w:val="auto"/>
              </w:rPr>
            </w:pPr>
            <w:r>
              <w:rPr>
                <w:rFonts w:ascii="Times New Roman" w:cs="Times New Roman" w:eastAsia="Times New Roman" w:hAnsi="Times New Roman"/>
                <w:sz w:val="15"/>
                <w:szCs w:val="15"/>
                <w:b w:val="1"/>
                <w:bCs w:val="1"/>
                <w:color w:val="FFFFFF"/>
                <w:w w:val="95"/>
              </w:rPr>
              <w:t>YoY</w:t>
            </w:r>
          </w:p>
        </w:tc>
      </w:tr>
      <w:tr>
        <w:trPr>
          <w:trHeight w:val="171"/>
        </w:trPr>
        <w:tc>
          <w:tcPr>
            <w:tcW w:w="5300" w:type="dxa"/>
            <w:vAlign w:val="bottom"/>
            <w:tcBorders>
              <w:left w:val="single" w:sz="8" w:color="auto"/>
              <w:right w:val="single" w:sz="8" w:color="auto"/>
            </w:tcBorders>
          </w:tcPr>
          <w:p>
            <w:pPr>
              <w:ind w:left="60"/>
              <w:spacing w:after="0" w:line="171" w:lineRule="exact"/>
              <w:rPr>
                <w:sz w:val="20"/>
                <w:szCs w:val="20"/>
                <w:color w:val="auto"/>
              </w:rPr>
            </w:pPr>
            <w:r>
              <w:rPr>
                <w:rFonts w:ascii="Times New Roman" w:cs="Times New Roman" w:eastAsia="Times New Roman" w:hAnsi="Times New Roman"/>
                <w:sz w:val="15"/>
                <w:szCs w:val="15"/>
                <w:color w:val="auto"/>
              </w:rPr>
              <w:t>Gross provision for credit losses on loan portfolio</w:t>
            </w:r>
          </w:p>
        </w:tc>
        <w:tc>
          <w:tcPr>
            <w:tcW w:w="1140" w:type="dxa"/>
            <w:vAlign w:val="bottom"/>
          </w:tcPr>
          <w:p>
            <w:pPr>
              <w:jc w:val="center"/>
              <w:spacing w:after="0" w:line="171" w:lineRule="exact"/>
              <w:rPr>
                <w:sz w:val="20"/>
                <w:szCs w:val="20"/>
                <w:color w:val="auto"/>
              </w:rPr>
            </w:pPr>
            <w:r>
              <w:rPr>
                <w:rFonts w:ascii="Times New Roman" w:cs="Times New Roman" w:eastAsia="Times New Roman" w:hAnsi="Times New Roman"/>
                <w:sz w:val="15"/>
                <w:szCs w:val="15"/>
                <w:color w:val="auto"/>
              </w:rPr>
              <w:t>(695,733)</w:t>
            </w:r>
          </w:p>
        </w:tc>
        <w:tc>
          <w:tcPr>
            <w:tcW w:w="1280" w:type="dxa"/>
            <w:vAlign w:val="bottom"/>
          </w:tcPr>
          <w:p>
            <w:pPr>
              <w:jc w:val="center"/>
              <w:ind w:right="24"/>
              <w:spacing w:after="0" w:line="171" w:lineRule="exact"/>
              <w:rPr>
                <w:sz w:val="20"/>
                <w:szCs w:val="20"/>
                <w:color w:val="auto"/>
              </w:rPr>
            </w:pPr>
            <w:r>
              <w:rPr>
                <w:rFonts w:ascii="Times New Roman" w:cs="Times New Roman" w:eastAsia="Times New Roman" w:hAnsi="Times New Roman"/>
                <w:sz w:val="15"/>
                <w:szCs w:val="15"/>
                <w:color w:val="auto"/>
                <w:w w:val="98"/>
              </w:rPr>
              <w:t>(773,311)</w:t>
            </w:r>
          </w:p>
        </w:tc>
        <w:tc>
          <w:tcPr>
            <w:tcW w:w="1300" w:type="dxa"/>
            <w:vAlign w:val="bottom"/>
            <w:tcBorders>
              <w:right w:val="single" w:sz="8" w:color="auto"/>
            </w:tcBorders>
          </w:tcPr>
          <w:p>
            <w:pPr>
              <w:jc w:val="center"/>
              <w:ind w:right="4"/>
              <w:spacing w:after="0" w:line="171" w:lineRule="exact"/>
              <w:rPr>
                <w:sz w:val="20"/>
                <w:szCs w:val="20"/>
                <w:color w:val="auto"/>
              </w:rPr>
            </w:pPr>
            <w:r>
              <w:rPr>
                <w:rFonts w:ascii="Times New Roman" w:cs="Times New Roman" w:eastAsia="Times New Roman" w:hAnsi="Times New Roman"/>
                <w:sz w:val="15"/>
                <w:szCs w:val="15"/>
                <w:color w:val="auto"/>
                <w:w w:val="98"/>
              </w:rPr>
              <w:t>(612,011)</w:t>
            </w:r>
          </w:p>
        </w:tc>
        <w:tc>
          <w:tcPr>
            <w:tcW w:w="780" w:type="dxa"/>
            <w:vAlign w:val="bottom"/>
          </w:tcPr>
          <w:p>
            <w:pPr>
              <w:jc w:val="center"/>
              <w:ind w:left="224"/>
              <w:spacing w:after="0" w:line="171" w:lineRule="exact"/>
              <w:rPr>
                <w:sz w:val="20"/>
                <w:szCs w:val="20"/>
                <w:color w:val="auto"/>
              </w:rPr>
            </w:pPr>
            <w:r>
              <w:rPr>
                <w:rFonts w:ascii="Times New Roman" w:cs="Times New Roman" w:eastAsia="Times New Roman" w:hAnsi="Times New Roman"/>
                <w:sz w:val="15"/>
                <w:szCs w:val="15"/>
                <w:color w:val="auto"/>
              </w:rPr>
              <w:t>-20.9%</w:t>
            </w:r>
          </w:p>
        </w:tc>
        <w:tc>
          <w:tcPr>
            <w:tcW w:w="1460" w:type="dxa"/>
            <w:vAlign w:val="bottom"/>
            <w:tcBorders>
              <w:right w:val="single" w:sz="8" w:color="auto"/>
            </w:tcBorders>
          </w:tcPr>
          <w:p>
            <w:pPr>
              <w:jc w:val="center"/>
              <w:ind w:left="224"/>
              <w:spacing w:after="0" w:line="171" w:lineRule="exact"/>
              <w:rPr>
                <w:sz w:val="20"/>
                <w:szCs w:val="20"/>
                <w:color w:val="auto"/>
              </w:rPr>
            </w:pPr>
            <w:r>
              <w:rPr>
                <w:rFonts w:ascii="Times New Roman" w:cs="Times New Roman" w:eastAsia="Times New Roman" w:hAnsi="Times New Roman"/>
                <w:sz w:val="15"/>
                <w:szCs w:val="15"/>
                <w:color w:val="auto"/>
              </w:rPr>
              <w:t>-12.0%</w:t>
            </w:r>
          </w:p>
        </w:tc>
      </w:tr>
      <w:tr>
        <w:trPr>
          <w:trHeight w:val="186"/>
        </w:trPr>
        <w:tc>
          <w:tcPr>
            <w:tcW w:w="53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Recoveries of written-off loans</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113,840</w:t>
            </w:r>
          </w:p>
        </w:tc>
        <w:tc>
          <w:tcPr>
            <w:tcW w:w="1280" w:type="dxa"/>
            <w:vAlign w:val="bottom"/>
          </w:tcPr>
          <w:p>
            <w:pPr>
              <w:jc w:val="center"/>
              <w:ind w:right="24"/>
              <w:spacing w:after="0"/>
              <w:rPr>
                <w:sz w:val="20"/>
                <w:szCs w:val="20"/>
                <w:color w:val="auto"/>
              </w:rPr>
            </w:pPr>
            <w:r>
              <w:rPr>
                <w:rFonts w:ascii="Times New Roman" w:cs="Times New Roman" w:eastAsia="Times New Roman" w:hAnsi="Times New Roman"/>
                <w:sz w:val="15"/>
                <w:szCs w:val="15"/>
                <w:color w:val="auto"/>
              </w:rPr>
              <w:t>127,025</w:t>
            </w:r>
          </w:p>
        </w:tc>
        <w:tc>
          <w:tcPr>
            <w:tcW w:w="1300" w:type="dxa"/>
            <w:vAlign w:val="bottom"/>
            <w:tcBorders>
              <w:right w:val="single" w:sz="8" w:color="auto"/>
            </w:tcBorders>
          </w:tcPr>
          <w:p>
            <w:pPr>
              <w:jc w:val="center"/>
              <w:ind w:right="4"/>
              <w:spacing w:after="0"/>
              <w:rPr>
                <w:sz w:val="20"/>
                <w:szCs w:val="20"/>
                <w:color w:val="auto"/>
              </w:rPr>
            </w:pPr>
            <w:r>
              <w:rPr>
                <w:rFonts w:ascii="Times New Roman" w:cs="Times New Roman" w:eastAsia="Times New Roman" w:hAnsi="Times New Roman"/>
                <w:sz w:val="15"/>
                <w:szCs w:val="15"/>
                <w:color w:val="auto"/>
              </w:rPr>
              <w:t>129,923</w:t>
            </w:r>
          </w:p>
        </w:tc>
        <w:tc>
          <w:tcPr>
            <w:tcW w:w="780" w:type="dxa"/>
            <w:vAlign w:val="bottom"/>
          </w:tcPr>
          <w:p>
            <w:pPr>
              <w:jc w:val="center"/>
              <w:ind w:left="224"/>
              <w:spacing w:after="0"/>
              <w:rPr>
                <w:sz w:val="20"/>
                <w:szCs w:val="20"/>
                <w:color w:val="auto"/>
              </w:rPr>
            </w:pPr>
            <w:r>
              <w:rPr>
                <w:rFonts w:ascii="Times New Roman" w:cs="Times New Roman" w:eastAsia="Times New Roman" w:hAnsi="Times New Roman"/>
                <w:sz w:val="15"/>
                <w:szCs w:val="15"/>
                <w:color w:val="auto"/>
              </w:rPr>
              <w:t>2.3%</w:t>
            </w:r>
          </w:p>
        </w:tc>
        <w:tc>
          <w:tcPr>
            <w:tcW w:w="1460" w:type="dxa"/>
            <w:vAlign w:val="bottom"/>
            <w:tcBorders>
              <w:right w:val="single" w:sz="8" w:color="auto"/>
            </w:tcBorders>
          </w:tcPr>
          <w:p>
            <w:pPr>
              <w:jc w:val="center"/>
              <w:ind w:left="224"/>
              <w:spacing w:after="0"/>
              <w:rPr>
                <w:sz w:val="20"/>
                <w:szCs w:val="20"/>
                <w:color w:val="auto"/>
              </w:rPr>
            </w:pPr>
            <w:r>
              <w:rPr>
                <w:rFonts w:ascii="Times New Roman" w:cs="Times New Roman" w:eastAsia="Times New Roman" w:hAnsi="Times New Roman"/>
                <w:sz w:val="15"/>
                <w:szCs w:val="15"/>
                <w:color w:val="auto"/>
              </w:rPr>
              <w:t>14.1%</w:t>
            </w:r>
          </w:p>
        </w:tc>
      </w:tr>
      <w:tr>
        <w:trPr>
          <w:trHeight w:val="204"/>
        </w:trPr>
        <w:tc>
          <w:tcPr>
            <w:tcW w:w="530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b w:val="1"/>
                <w:bCs w:val="1"/>
                <w:color w:val="auto"/>
              </w:rPr>
              <w:t>Provision for credit losses on loan portfolio, net of recoveries</w:t>
            </w: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(581,893)</w:t>
            </w:r>
          </w:p>
        </w:tc>
        <w:tc>
          <w:tcPr>
            <w:tcW w:w="1280" w:type="dxa"/>
            <w:vAlign w:val="bottom"/>
            <w:tcBorders>
              <w:bottom w:val="single" w:sz="8" w:color="auto"/>
            </w:tcBorders>
          </w:tcPr>
          <w:p>
            <w:pPr>
              <w:jc w:val="center"/>
              <w:ind w:right="4"/>
              <w:spacing w:after="0"/>
              <w:rPr>
                <w:sz w:val="20"/>
                <w:szCs w:val="20"/>
                <w:color w:val="auto"/>
              </w:rPr>
            </w:pPr>
            <w:r>
              <w:rPr>
                <w:rFonts w:ascii="Times New Roman" w:cs="Times New Roman" w:eastAsia="Times New Roman" w:hAnsi="Times New Roman"/>
                <w:sz w:val="15"/>
                <w:szCs w:val="15"/>
                <w:b w:val="1"/>
                <w:bCs w:val="1"/>
                <w:color w:val="auto"/>
              </w:rPr>
              <w:t>(646,286)</w:t>
            </w:r>
          </w:p>
        </w:tc>
        <w:tc>
          <w:tcPr>
            <w:tcW w:w="1300" w:type="dxa"/>
            <w:vAlign w:val="bottom"/>
            <w:tcBorders>
              <w:bottom w:val="single" w:sz="8" w:color="auto"/>
              <w:right w:val="single" w:sz="8" w:color="auto"/>
            </w:tcBorders>
          </w:tcPr>
          <w:p>
            <w:pPr>
              <w:jc w:val="center"/>
              <w:ind w:right="24"/>
              <w:spacing w:after="0"/>
              <w:rPr>
                <w:sz w:val="20"/>
                <w:szCs w:val="20"/>
                <w:color w:val="auto"/>
              </w:rPr>
            </w:pPr>
            <w:r>
              <w:rPr>
                <w:rFonts w:ascii="Times New Roman" w:cs="Times New Roman" w:eastAsia="Times New Roman" w:hAnsi="Times New Roman"/>
                <w:sz w:val="15"/>
                <w:szCs w:val="15"/>
                <w:b w:val="1"/>
                <w:bCs w:val="1"/>
                <w:color w:val="auto"/>
              </w:rPr>
              <w:t>(482,088)</w:t>
            </w:r>
          </w:p>
        </w:tc>
        <w:tc>
          <w:tcPr>
            <w:tcW w:w="780" w:type="dxa"/>
            <w:vAlign w:val="bottom"/>
            <w:tcBorders>
              <w:bottom w:val="single" w:sz="8" w:color="auto"/>
            </w:tcBorders>
          </w:tcPr>
          <w:p>
            <w:pPr>
              <w:jc w:val="center"/>
              <w:ind w:left="244"/>
              <w:spacing w:after="0"/>
              <w:rPr>
                <w:sz w:val="20"/>
                <w:szCs w:val="20"/>
                <w:color w:val="auto"/>
              </w:rPr>
            </w:pPr>
            <w:r>
              <w:rPr>
                <w:rFonts w:ascii="Times New Roman" w:cs="Times New Roman" w:eastAsia="Times New Roman" w:hAnsi="Times New Roman"/>
                <w:sz w:val="15"/>
                <w:szCs w:val="15"/>
                <w:b w:val="1"/>
                <w:bCs w:val="1"/>
                <w:color w:val="auto"/>
                <w:w w:val="99"/>
              </w:rPr>
              <w:t>-25.4%</w:t>
            </w:r>
          </w:p>
        </w:tc>
        <w:tc>
          <w:tcPr>
            <w:tcW w:w="1460" w:type="dxa"/>
            <w:vAlign w:val="bottom"/>
            <w:tcBorders>
              <w:bottom w:val="single" w:sz="8" w:color="auto"/>
              <w:right w:val="single" w:sz="8" w:color="auto"/>
            </w:tcBorders>
          </w:tcPr>
          <w:p>
            <w:pPr>
              <w:jc w:val="center"/>
              <w:ind w:left="224"/>
              <w:spacing w:after="0"/>
              <w:rPr>
                <w:sz w:val="20"/>
                <w:szCs w:val="20"/>
                <w:color w:val="auto"/>
              </w:rPr>
            </w:pPr>
            <w:r>
              <w:rPr>
                <w:rFonts w:ascii="Times New Roman" w:cs="Times New Roman" w:eastAsia="Times New Roman" w:hAnsi="Times New Roman"/>
                <w:sz w:val="15"/>
                <w:szCs w:val="15"/>
                <w:b w:val="1"/>
                <w:bCs w:val="1"/>
                <w:color w:val="auto"/>
              </w:rPr>
              <w:t>-17.2%</w:t>
            </w:r>
          </w:p>
        </w:tc>
      </w:tr>
      <w:tr>
        <w:trPr>
          <w:trHeight w:val="185"/>
        </w:trPr>
        <w:tc>
          <w:tcPr>
            <w:tcW w:w="5300" w:type="dxa"/>
            <w:vAlign w:val="bottom"/>
            <w:tcBorders>
              <w:left w:val="single" w:sz="8" w:color="auto"/>
              <w:bottom w:val="single" w:sz="8" w:color="auto"/>
              <w:right w:val="single" w:sz="8" w:color="auto"/>
            </w:tcBorders>
          </w:tcPr>
          <w:p>
            <w:pPr>
              <w:ind w:left="60"/>
              <w:spacing w:after="0" w:line="186" w:lineRule="exact"/>
              <w:rPr>
                <w:sz w:val="20"/>
                <w:szCs w:val="20"/>
                <w:color w:val="auto"/>
              </w:rPr>
            </w:pPr>
            <w:r>
              <w:rPr>
                <w:rFonts w:ascii="Times New Roman" w:cs="Times New Roman" w:eastAsia="Times New Roman" w:hAnsi="Times New Roman"/>
                <w:sz w:val="13"/>
                <w:szCs w:val="13"/>
                <w:color w:val="auto"/>
              </w:rPr>
              <w:t xml:space="preserve">Cost of risk </w:t>
            </w:r>
            <w:r>
              <w:rPr>
                <w:rFonts w:ascii="Times New Roman" w:cs="Times New Roman" w:eastAsia="Times New Roman" w:hAnsi="Times New Roman"/>
                <w:sz w:val="21"/>
                <w:szCs w:val="21"/>
                <w:color w:val="auto"/>
                <w:vertAlign w:val="superscript"/>
              </w:rPr>
              <w:t>(1)</w:t>
            </w: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1.6%</w:t>
            </w:r>
          </w:p>
        </w:tc>
        <w:tc>
          <w:tcPr>
            <w:tcW w:w="1280" w:type="dxa"/>
            <w:vAlign w:val="bottom"/>
            <w:tcBorders>
              <w:bottom w:val="single" w:sz="8" w:color="auto"/>
            </w:tcBorders>
          </w:tcPr>
          <w:p>
            <w:pPr>
              <w:jc w:val="center"/>
              <w:ind w:right="4"/>
              <w:spacing w:after="0"/>
              <w:rPr>
                <w:sz w:val="20"/>
                <w:szCs w:val="20"/>
                <w:color w:val="auto"/>
              </w:rPr>
            </w:pPr>
            <w:r>
              <w:rPr>
                <w:rFonts w:ascii="Times New Roman" w:cs="Times New Roman" w:eastAsia="Times New Roman" w:hAnsi="Times New Roman"/>
                <w:sz w:val="15"/>
                <w:szCs w:val="15"/>
                <w:color w:val="auto"/>
              </w:rPr>
              <w:t>1.8%</w:t>
            </w:r>
          </w:p>
        </w:tc>
        <w:tc>
          <w:tcPr>
            <w:tcW w:w="1300" w:type="dxa"/>
            <w:vAlign w:val="bottom"/>
            <w:tcBorders>
              <w:bottom w:val="single" w:sz="8" w:color="auto"/>
              <w:right w:val="single" w:sz="8" w:color="auto"/>
            </w:tcBorders>
          </w:tcPr>
          <w:p>
            <w:pPr>
              <w:jc w:val="center"/>
              <w:ind w:right="24"/>
              <w:spacing w:after="0"/>
              <w:rPr>
                <w:sz w:val="20"/>
                <w:szCs w:val="20"/>
                <w:color w:val="auto"/>
              </w:rPr>
            </w:pPr>
            <w:r>
              <w:rPr>
                <w:rFonts w:ascii="Times New Roman" w:cs="Times New Roman" w:eastAsia="Times New Roman" w:hAnsi="Times New Roman"/>
                <w:sz w:val="15"/>
                <w:szCs w:val="15"/>
                <w:color w:val="auto"/>
              </w:rPr>
              <w:t>1.3%</w:t>
            </w:r>
          </w:p>
        </w:tc>
        <w:tc>
          <w:tcPr>
            <w:tcW w:w="780" w:type="dxa"/>
            <w:vAlign w:val="bottom"/>
            <w:tcBorders>
              <w:bottom w:val="single" w:sz="8" w:color="auto"/>
            </w:tcBorders>
          </w:tcPr>
          <w:p>
            <w:pPr>
              <w:jc w:val="center"/>
              <w:ind w:left="244"/>
              <w:spacing w:after="0"/>
              <w:rPr>
                <w:sz w:val="20"/>
                <w:szCs w:val="20"/>
                <w:color w:val="auto"/>
              </w:rPr>
            </w:pPr>
            <w:r>
              <w:rPr>
                <w:rFonts w:ascii="Times New Roman" w:cs="Times New Roman" w:eastAsia="Times New Roman" w:hAnsi="Times New Roman"/>
                <w:sz w:val="15"/>
                <w:szCs w:val="15"/>
                <w:color w:val="auto"/>
              </w:rPr>
              <w:t>-48 bps</w:t>
            </w:r>
          </w:p>
        </w:tc>
        <w:tc>
          <w:tcPr>
            <w:tcW w:w="1460" w:type="dxa"/>
            <w:vAlign w:val="bottom"/>
            <w:tcBorders>
              <w:bottom w:val="single" w:sz="8" w:color="auto"/>
              <w:right w:val="single" w:sz="8" w:color="auto"/>
            </w:tcBorders>
          </w:tcPr>
          <w:p>
            <w:pPr>
              <w:jc w:val="center"/>
              <w:ind w:left="204"/>
              <w:spacing w:after="0"/>
              <w:rPr>
                <w:sz w:val="20"/>
                <w:szCs w:val="20"/>
                <w:color w:val="auto"/>
              </w:rPr>
            </w:pPr>
            <w:r>
              <w:rPr>
                <w:rFonts w:ascii="Times New Roman" w:cs="Times New Roman" w:eastAsia="Times New Roman" w:hAnsi="Times New Roman"/>
                <w:sz w:val="15"/>
                <w:szCs w:val="15"/>
                <w:color w:val="auto"/>
              </w:rPr>
              <w:t>-35 bps</w:t>
            </w:r>
          </w:p>
        </w:tc>
      </w:tr>
    </w:tbl>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b w:val="1"/>
          <w:bCs w:val="1"/>
          <w:color w:val="auto"/>
        </w:rPr>
        <w:t>QoQ</w:t>
      </w:r>
      <w:r>
        <w:rPr>
          <w:rFonts w:ascii="Times New Roman" w:cs="Times New Roman" w:eastAsia="Times New Roman" w:hAnsi="Times New Roman"/>
          <w:sz w:val="17"/>
          <w:szCs w:val="17"/>
          <w:color w:val="auto"/>
        </w:rPr>
        <w:t>, provisions dropped 25.4%, driven by the evolution at</w:t>
      </w:r>
      <w:r>
        <w:rPr>
          <w:rFonts w:ascii="Times New Roman" w:cs="Times New Roman" w:eastAsia="Times New Roman" w:hAnsi="Times New Roman"/>
          <w:sz w:val="17"/>
          <w:szCs w:val="17"/>
          <w:b w:val="1"/>
          <w:bCs w:val="1"/>
          <w:color w:val="auto"/>
        </w:rPr>
        <w:t xml:space="preserve"> BCP Stand-alone </w:t>
      </w:r>
      <w:r>
        <w:rPr>
          <w:rFonts w:ascii="Times New Roman" w:cs="Times New Roman" w:eastAsia="Times New Roman" w:hAnsi="Times New Roman"/>
          <w:sz w:val="17"/>
          <w:szCs w:val="17"/>
          <w:color w:val="auto"/>
        </w:rPr>
        <w:t>and partially offset by</w:t>
      </w:r>
      <w:r>
        <w:rPr>
          <w:rFonts w:ascii="Times New Roman" w:cs="Times New Roman" w:eastAsia="Times New Roman" w:hAnsi="Times New Roman"/>
          <w:sz w:val="17"/>
          <w:szCs w:val="17"/>
          <w:b w:val="1"/>
          <w:bCs w:val="1"/>
          <w:color w:val="auto"/>
        </w:rPr>
        <w:t xml:space="preserve"> Mibanco</w:t>
      </w:r>
      <w:r>
        <w:rPr>
          <w:rFonts w:ascii="Times New Roman" w:cs="Times New Roman" w:eastAsia="Times New Roman" w:hAnsi="Times New Roman"/>
          <w:sz w:val="17"/>
          <w:szCs w:val="17"/>
          <w:color w:val="auto"/>
        </w:rPr>
        <w:t>. At</w:t>
      </w:r>
      <w:r>
        <w:rPr>
          <w:rFonts w:ascii="Times New Roman" w:cs="Times New Roman" w:eastAsia="Times New Roman" w:hAnsi="Times New Roman"/>
          <w:sz w:val="17"/>
          <w:szCs w:val="17"/>
          <w:b w:val="1"/>
          <w:bCs w:val="1"/>
          <w:color w:val="auto"/>
        </w:rPr>
        <w:t xml:space="preserve"> BCP Stand-alone</w:t>
      </w:r>
      <w:r>
        <w:rPr>
          <w:rFonts w:ascii="Times New Roman" w:cs="Times New Roman" w:eastAsia="Times New Roman" w:hAnsi="Times New Roman"/>
          <w:sz w:val="17"/>
          <w:szCs w:val="17"/>
          <w:color w:val="auto"/>
        </w:rPr>
        <w:t>, the decrease in provisions was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primarily fueled by </w:t>
      </w:r>
      <w:r>
        <w:rPr>
          <w:rFonts w:ascii="Times New Roman" w:cs="Times New Roman" w:eastAsia="Times New Roman" w:hAnsi="Times New Roman"/>
          <w:sz w:val="17"/>
          <w:szCs w:val="17"/>
          <w:b w:val="1"/>
          <w:bCs w:val="1"/>
          <w:color w:val="auto"/>
        </w:rPr>
        <w:t>Wholesale Banking</w:t>
      </w:r>
      <w:r>
        <w:rPr>
          <w:rFonts w:ascii="Times New Roman" w:cs="Times New Roman" w:eastAsia="Times New Roman" w:hAnsi="Times New Roman"/>
          <w:sz w:val="17"/>
          <w:szCs w:val="17"/>
          <w:color w:val="auto"/>
        </w:rPr>
        <w:t xml:space="preserve"> and secondarily by </w:t>
      </w:r>
      <w:r>
        <w:rPr>
          <w:rFonts w:ascii="Times New Roman" w:cs="Times New Roman" w:eastAsia="Times New Roman" w:hAnsi="Times New Roman"/>
          <w:sz w:val="17"/>
          <w:szCs w:val="17"/>
          <w:b w:val="1"/>
          <w:bCs w:val="1"/>
          <w:color w:val="auto"/>
        </w:rPr>
        <w:t>Retail Banking</w:t>
      </w:r>
      <w:r>
        <w:rPr>
          <w:rFonts w:ascii="Times New Roman" w:cs="Times New Roman" w:eastAsia="Times New Roman" w:hAnsi="Times New Roman"/>
          <w:sz w:val="17"/>
          <w:szCs w:val="17"/>
          <w:color w:val="auto"/>
        </w:rPr>
        <w:t xml:space="preserve">. In </w:t>
      </w:r>
      <w:r>
        <w:rPr>
          <w:rFonts w:ascii="Times New Roman" w:cs="Times New Roman" w:eastAsia="Times New Roman" w:hAnsi="Times New Roman"/>
          <w:sz w:val="17"/>
          <w:szCs w:val="17"/>
          <w:b w:val="1"/>
          <w:bCs w:val="1"/>
          <w:color w:val="auto"/>
        </w:rPr>
        <w:t>Wholesale Banking,</w:t>
      </w:r>
      <w:r>
        <w:rPr>
          <w:rFonts w:ascii="Times New Roman" w:cs="Times New Roman" w:eastAsia="Times New Roman" w:hAnsi="Times New Roman"/>
          <w:sz w:val="17"/>
          <w:szCs w:val="17"/>
          <w:color w:val="auto"/>
        </w:rPr>
        <w:t xml:space="preserve"> the decrease in provisions was driven by a base effect, given that the risk of indirect exposure, associated with some clients in the construction sector, rose in 4Q25. In </w:t>
      </w:r>
      <w:r>
        <w:rPr>
          <w:rFonts w:ascii="Times New Roman" w:cs="Times New Roman" w:eastAsia="Times New Roman" w:hAnsi="Times New Roman"/>
          <w:sz w:val="17"/>
          <w:szCs w:val="17"/>
          <w:b w:val="1"/>
          <w:bCs w:val="1"/>
          <w:color w:val="auto"/>
        </w:rPr>
        <w:t>Retail Banking</w:t>
      </w:r>
      <w:r>
        <w:rPr>
          <w:rFonts w:ascii="Times New Roman" w:cs="Times New Roman" w:eastAsia="Times New Roman" w:hAnsi="Times New Roman"/>
          <w:sz w:val="17"/>
          <w:szCs w:val="17"/>
          <w:color w:val="auto"/>
        </w:rPr>
        <w:t xml:space="preserve">, the drop in provisions was primarily due to an uptick in the share of lower-risk loans in the </w:t>
      </w:r>
      <w:r>
        <w:rPr>
          <w:rFonts w:ascii="Times New Roman" w:cs="Times New Roman" w:eastAsia="Times New Roman" w:hAnsi="Times New Roman"/>
          <w:sz w:val="17"/>
          <w:szCs w:val="17"/>
          <w:b w:val="1"/>
          <w:bCs w:val="1"/>
          <w:color w:val="auto"/>
        </w:rPr>
        <w:t>SME-Pyme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Consumer</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b w:val="1"/>
          <w:bCs w:val="1"/>
          <w:color w:val="auto"/>
        </w:rPr>
        <w:t>Credit Card</w:t>
      </w:r>
      <w:r>
        <w:rPr>
          <w:rFonts w:ascii="Times New Roman" w:cs="Times New Roman" w:eastAsia="Times New Roman" w:hAnsi="Times New Roman"/>
          <w:sz w:val="17"/>
          <w:szCs w:val="17"/>
          <w:color w:val="auto"/>
        </w:rPr>
        <w:t xml:space="preserve"> portfolios, in a context of a more favorable macroeconomic conditions, where clients also benefited from higher liquidity from pension fund withdrawals. At </w:t>
      </w:r>
      <w:r>
        <w:rPr>
          <w:rFonts w:ascii="Times New Roman" w:cs="Times New Roman" w:eastAsia="Times New Roman" w:hAnsi="Times New Roman"/>
          <w:sz w:val="17"/>
          <w:szCs w:val="17"/>
          <w:b w:val="1"/>
          <w:bCs w:val="1"/>
          <w:color w:val="auto"/>
        </w:rPr>
        <w:t>Mibanco</w:t>
      </w:r>
      <w:r>
        <w:rPr>
          <w:rFonts w:ascii="Times New Roman" w:cs="Times New Roman" w:eastAsia="Times New Roman" w:hAnsi="Times New Roman"/>
          <w:sz w:val="17"/>
          <w:szCs w:val="17"/>
          <w:color w:val="auto"/>
        </w:rPr>
        <w:t xml:space="preserve">, provisions rose on the back of loan growth. In this context, the CofR at </w:t>
      </w:r>
      <w:r>
        <w:rPr>
          <w:rFonts w:ascii="Times New Roman" w:cs="Times New Roman" w:eastAsia="Times New Roman" w:hAnsi="Times New Roman"/>
          <w:sz w:val="17"/>
          <w:szCs w:val="17"/>
          <w:b w:val="1"/>
          <w:bCs w:val="1"/>
          <w:color w:val="auto"/>
        </w:rPr>
        <w:t>Credicorp</w:t>
      </w:r>
      <w:r>
        <w:rPr>
          <w:rFonts w:ascii="Times New Roman" w:cs="Times New Roman" w:eastAsia="Times New Roman" w:hAnsi="Times New Roman"/>
          <w:sz w:val="17"/>
          <w:szCs w:val="17"/>
          <w:color w:val="auto"/>
        </w:rPr>
        <w:t xml:space="preserve"> fell 48 bps </w:t>
      </w:r>
      <w:r>
        <w:rPr>
          <w:rFonts w:ascii="Times New Roman" w:cs="Times New Roman" w:eastAsia="Times New Roman" w:hAnsi="Times New Roman"/>
          <w:sz w:val="17"/>
          <w:szCs w:val="17"/>
          <w:b w:val="1"/>
          <w:bCs w:val="1"/>
          <w:color w:val="auto"/>
        </w:rPr>
        <w:t>QoQ</w:t>
      </w:r>
      <w:r>
        <w:rPr>
          <w:rFonts w:ascii="Times New Roman" w:cs="Times New Roman" w:eastAsia="Times New Roman" w:hAnsi="Times New Roman"/>
          <w:sz w:val="17"/>
          <w:szCs w:val="17"/>
          <w:color w:val="auto"/>
        </w:rPr>
        <w:t>, sitting at a low level once again this quarter (1.3%).</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YoY</w:t>
            </w:r>
            <w:r>
              <w:rPr>
                <w:rFonts w:ascii="Times New Roman" w:cs="Times New Roman" w:eastAsia="Times New Roman" w:hAnsi="Times New Roman"/>
                <w:sz w:val="17"/>
                <w:szCs w:val="17"/>
                <w:color w:val="auto"/>
              </w:rPr>
              <w:t>, provisions dropped 17.2%, driven by</w:t>
            </w:r>
            <w:r>
              <w:rPr>
                <w:rFonts w:ascii="Times New Roman" w:cs="Times New Roman" w:eastAsia="Times New Roman" w:hAnsi="Times New Roman"/>
                <w:sz w:val="17"/>
                <w:szCs w:val="17"/>
                <w:b w:val="1"/>
                <w:bCs w:val="1"/>
                <w:color w:val="auto"/>
              </w:rPr>
              <w:t xml:space="preserve"> BCP Stand-alone </w:t>
            </w:r>
            <w:r>
              <w:rPr>
                <w:rFonts w:ascii="Times New Roman" w:cs="Times New Roman" w:eastAsia="Times New Roman" w:hAnsi="Times New Roman"/>
                <w:sz w:val="17"/>
                <w:szCs w:val="17"/>
                <w:color w:val="auto"/>
              </w:rPr>
              <w:t>and partially</w:t>
            </w:r>
          </w:p>
        </w:tc>
        <w:tc>
          <w:tcPr>
            <w:tcW w:w="3060" w:type="dxa"/>
            <w:vAlign w:val="bottom"/>
          </w:tcPr>
          <w:p>
            <w:pPr>
              <w:ind w:left="1120"/>
              <w:spacing w:after="0"/>
              <w:rPr>
                <w:sz w:val="20"/>
                <w:szCs w:val="20"/>
                <w:color w:val="auto"/>
              </w:rPr>
            </w:pPr>
            <w:r>
              <w:rPr>
                <w:rFonts w:ascii="Times New Roman" w:cs="Times New Roman" w:eastAsia="Times New Roman" w:hAnsi="Times New Roman"/>
                <w:sz w:val="17"/>
                <w:szCs w:val="17"/>
                <w:b w:val="1"/>
                <w:bCs w:val="1"/>
                <w:color w:val="auto"/>
                <w:w w:val="99"/>
              </w:rPr>
              <w:t>Cost of Risk by Subsidiary</w:t>
            </w:r>
          </w:p>
        </w:tc>
      </w:tr>
      <w:tr>
        <w:trPr>
          <w:trHeight w:val="203"/>
        </w:trPr>
        <w:tc>
          <w:tcPr>
            <w:tcW w:w="6460" w:type="dxa"/>
            <w:vAlign w:val="bottom"/>
          </w:tcPr>
          <w:p>
            <w:pPr>
              <w:spacing w:after="0"/>
              <w:rPr>
                <w:sz w:val="20"/>
                <w:szCs w:val="20"/>
                <w:color w:val="auto"/>
              </w:rPr>
            </w:pPr>
            <w:r>
              <w:rPr>
                <w:rFonts w:ascii="Times New Roman" w:cs="Times New Roman" w:eastAsia="Times New Roman" w:hAnsi="Times New Roman"/>
                <w:sz w:val="17"/>
                <w:szCs w:val="17"/>
                <w:color w:val="auto"/>
              </w:rPr>
              <w:t xml:space="preserve">offset by </w:t>
            </w:r>
            <w:r>
              <w:rPr>
                <w:rFonts w:ascii="Times New Roman" w:cs="Times New Roman" w:eastAsia="Times New Roman" w:hAnsi="Times New Roman"/>
                <w:sz w:val="17"/>
                <w:szCs w:val="17"/>
                <w:b w:val="1"/>
                <w:bCs w:val="1"/>
                <w:color w:val="auto"/>
              </w:rPr>
              <w:t>Mibanco</w:t>
            </w:r>
            <w:r>
              <w:rPr>
                <w:rFonts w:ascii="Times New Roman" w:cs="Times New Roman" w:eastAsia="Times New Roman" w:hAnsi="Times New Roman"/>
                <w:sz w:val="17"/>
                <w:szCs w:val="17"/>
                <w:color w:val="auto"/>
              </w:rPr>
              <w:t xml:space="preserve">. At </w:t>
            </w:r>
            <w:r>
              <w:rPr>
                <w:rFonts w:ascii="Times New Roman" w:cs="Times New Roman" w:eastAsia="Times New Roman" w:hAnsi="Times New Roman"/>
                <w:sz w:val="17"/>
                <w:szCs w:val="17"/>
                <w:b w:val="1"/>
                <w:bCs w:val="1"/>
                <w:color w:val="auto"/>
              </w:rPr>
              <w:t>BCP Stand-alone</w:t>
            </w:r>
            <w:r>
              <w:rPr>
                <w:rFonts w:ascii="Times New Roman" w:cs="Times New Roman" w:eastAsia="Times New Roman" w:hAnsi="Times New Roman"/>
                <w:sz w:val="17"/>
                <w:szCs w:val="17"/>
                <w:color w:val="auto"/>
              </w:rPr>
              <w:t>, the decline was driven mainly by</w:t>
            </w:r>
          </w:p>
        </w:tc>
        <w:tc>
          <w:tcPr>
            <w:tcW w:w="3060" w:type="dxa"/>
            <w:vAlign w:val="bottom"/>
          </w:tcPr>
          <w:p>
            <w:pPr>
              <w:spacing w:after="0"/>
              <w:rPr>
                <w:sz w:val="17"/>
                <w:szCs w:val="17"/>
                <w:color w:val="auto"/>
              </w:rPr>
            </w:pPr>
          </w:p>
        </w:tc>
      </w:tr>
      <w:tr>
        <w:trPr>
          <w:trHeight w:val="207"/>
        </w:trPr>
        <w:tc>
          <w:tcPr>
            <w:tcW w:w="64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 xml:space="preserve">Retail Banking </w:t>
            </w:r>
            <w:r>
              <w:rPr>
                <w:rFonts w:ascii="Times New Roman" w:cs="Times New Roman" w:eastAsia="Times New Roman" w:hAnsi="Times New Roman"/>
                <w:sz w:val="17"/>
                <w:szCs w:val="17"/>
                <w:color w:val="auto"/>
              </w:rPr>
              <w:t>and secondarily by</w:t>
            </w:r>
            <w:r>
              <w:rPr>
                <w:rFonts w:ascii="Times New Roman" w:cs="Times New Roman" w:eastAsia="Times New Roman" w:hAnsi="Times New Roman"/>
                <w:sz w:val="17"/>
                <w:szCs w:val="17"/>
                <w:b w:val="1"/>
                <w:bCs w:val="1"/>
                <w:color w:val="auto"/>
              </w:rPr>
              <w:t xml:space="preserve"> Wholesale Banking</w:t>
            </w:r>
            <w:r>
              <w:rPr>
                <w:rFonts w:ascii="Times New Roman" w:cs="Times New Roman" w:eastAsia="Times New Roman" w:hAnsi="Times New Roman"/>
                <w:sz w:val="17"/>
                <w:szCs w:val="17"/>
                <w:color w:val="auto"/>
              </w:rPr>
              <w:t>. In the first case, the</w:t>
            </w:r>
          </w:p>
        </w:tc>
        <w:tc>
          <w:tcPr>
            <w:tcW w:w="3060" w:type="dxa"/>
            <w:vAlign w:val="bottom"/>
          </w:tcPr>
          <w:p>
            <w:pPr>
              <w:spacing w:after="0"/>
              <w:rPr>
                <w:sz w:val="18"/>
                <w:szCs w:val="18"/>
                <w:color w:val="auto"/>
              </w:rPr>
            </w:pPr>
          </w:p>
        </w:tc>
      </w:tr>
      <w:tr>
        <w:trPr>
          <w:trHeight w:val="199"/>
        </w:trPr>
        <w:tc>
          <w:tcPr>
            <w:tcW w:w="6460" w:type="dxa"/>
            <w:vAlign w:val="bottom"/>
          </w:tcPr>
          <w:p>
            <w:pPr>
              <w:spacing w:after="0"/>
              <w:rPr>
                <w:sz w:val="20"/>
                <w:szCs w:val="20"/>
                <w:color w:val="auto"/>
              </w:rPr>
            </w:pPr>
            <w:r>
              <w:rPr>
                <w:rFonts w:ascii="Times New Roman" w:cs="Times New Roman" w:eastAsia="Times New Roman" w:hAnsi="Times New Roman"/>
                <w:sz w:val="17"/>
                <w:szCs w:val="17"/>
                <w:color w:val="auto"/>
              </w:rPr>
              <w:t>drop  in  provisions  was  fueled  mainly  by  an  improvement  in  payment</w:t>
            </w:r>
          </w:p>
        </w:tc>
        <w:tc>
          <w:tcPr>
            <w:tcW w:w="3060" w:type="dxa"/>
            <w:vAlign w:val="bottom"/>
          </w:tcPr>
          <w:p>
            <w:pPr>
              <w:spacing w:after="0"/>
              <w:rPr>
                <w:sz w:val="17"/>
                <w:szCs w:val="17"/>
                <w:color w:val="auto"/>
              </w:rPr>
            </w:pPr>
          </w:p>
        </w:tc>
      </w:tr>
      <w:tr>
        <w:trPr>
          <w:trHeight w:val="203"/>
        </w:trPr>
        <w:tc>
          <w:tcPr>
            <w:tcW w:w="6460" w:type="dxa"/>
            <w:vAlign w:val="bottom"/>
          </w:tcPr>
          <w:p>
            <w:pPr>
              <w:spacing w:after="0"/>
              <w:rPr>
                <w:sz w:val="20"/>
                <w:szCs w:val="20"/>
                <w:color w:val="auto"/>
              </w:rPr>
            </w:pPr>
            <w:r>
              <w:rPr>
                <w:rFonts w:ascii="Times New Roman" w:cs="Times New Roman" w:eastAsia="Times New Roman" w:hAnsi="Times New Roman"/>
                <w:sz w:val="17"/>
                <w:szCs w:val="17"/>
                <w:color w:val="auto"/>
              </w:rPr>
              <w:t xml:space="preserve">performance of prior vintages in </w:t>
            </w:r>
            <w:r>
              <w:rPr>
                <w:rFonts w:ascii="Times New Roman" w:cs="Times New Roman" w:eastAsia="Times New Roman" w:hAnsi="Times New Roman"/>
                <w:sz w:val="17"/>
                <w:szCs w:val="17"/>
                <w:b w:val="1"/>
                <w:bCs w:val="1"/>
                <w:color w:val="auto"/>
              </w:rPr>
              <w:t>Consumer</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b w:val="1"/>
                <w:bCs w:val="1"/>
                <w:color w:val="auto"/>
              </w:rPr>
              <w:t>Credit Cards.</w:t>
            </w:r>
            <w:r>
              <w:rPr>
                <w:rFonts w:ascii="Times New Roman" w:cs="Times New Roman" w:eastAsia="Times New Roman" w:hAnsi="Times New Roman"/>
                <w:sz w:val="17"/>
                <w:szCs w:val="17"/>
                <w:color w:val="auto"/>
              </w:rPr>
              <w:t xml:space="preserve"> In </w:t>
            </w:r>
            <w:r>
              <w:rPr>
                <w:rFonts w:ascii="Times New Roman" w:cs="Times New Roman" w:eastAsia="Times New Roman" w:hAnsi="Times New Roman"/>
                <w:sz w:val="17"/>
                <w:szCs w:val="17"/>
                <w:b w:val="1"/>
                <w:bCs w:val="1"/>
                <w:color w:val="auto"/>
              </w:rPr>
              <w:t>Wholesale</w:t>
            </w:r>
          </w:p>
        </w:tc>
        <w:tc>
          <w:tcPr>
            <w:tcW w:w="3060" w:type="dxa"/>
            <w:vAlign w:val="bottom"/>
          </w:tcPr>
          <w:p>
            <w:pPr>
              <w:spacing w:after="0"/>
              <w:rPr>
                <w:sz w:val="17"/>
                <w:szCs w:val="17"/>
                <w:color w:val="auto"/>
              </w:rPr>
            </w:pPr>
          </w:p>
        </w:tc>
      </w:tr>
      <w:tr>
        <w:trPr>
          <w:trHeight w:val="207"/>
        </w:trPr>
        <w:tc>
          <w:tcPr>
            <w:tcW w:w="64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Banking</w:t>
            </w:r>
            <w:r>
              <w:rPr>
                <w:rFonts w:ascii="Times New Roman" w:cs="Times New Roman" w:eastAsia="Times New Roman" w:hAnsi="Times New Roman"/>
                <w:sz w:val="17"/>
                <w:szCs w:val="17"/>
                <w:color w:val="auto"/>
              </w:rPr>
              <w:t>, the decrease in provisions was mainly fueled by an uptick in</w:t>
            </w:r>
          </w:p>
        </w:tc>
        <w:tc>
          <w:tcPr>
            <w:tcW w:w="3060" w:type="dxa"/>
            <w:vAlign w:val="bottom"/>
          </w:tcPr>
          <w:p>
            <w:pPr>
              <w:spacing w:after="0"/>
              <w:rPr>
                <w:sz w:val="18"/>
                <w:szCs w:val="18"/>
                <w:color w:val="auto"/>
              </w:rPr>
            </w:pPr>
          </w:p>
        </w:tc>
      </w:tr>
      <w:tr>
        <w:trPr>
          <w:trHeight w:val="199"/>
        </w:trPr>
        <w:tc>
          <w:tcPr>
            <w:tcW w:w="6460" w:type="dxa"/>
            <w:vAlign w:val="bottom"/>
          </w:tcPr>
          <w:p>
            <w:pPr>
              <w:spacing w:after="0"/>
              <w:rPr>
                <w:sz w:val="20"/>
                <w:szCs w:val="20"/>
                <w:color w:val="auto"/>
              </w:rPr>
            </w:pPr>
            <w:r>
              <w:rPr>
                <w:rFonts w:ascii="Times New Roman" w:cs="Times New Roman" w:eastAsia="Times New Roman" w:hAnsi="Times New Roman"/>
                <w:sz w:val="17"/>
                <w:szCs w:val="17"/>
                <w:color w:val="auto"/>
              </w:rPr>
              <w:t>reversals this quarter, which was primarily attributable to a corporate client that</w:t>
            </w:r>
          </w:p>
        </w:tc>
        <w:tc>
          <w:tcPr>
            <w:tcW w:w="3060" w:type="dxa"/>
            <w:vAlign w:val="bottom"/>
          </w:tcPr>
          <w:p>
            <w:pPr>
              <w:spacing w:after="0"/>
              <w:rPr>
                <w:sz w:val="17"/>
                <w:szCs w:val="17"/>
                <w:color w:val="auto"/>
              </w:rPr>
            </w:pPr>
          </w:p>
        </w:tc>
      </w:tr>
      <w:tr>
        <w:trPr>
          <w:trHeight w:val="203"/>
        </w:trPr>
        <w:tc>
          <w:tcPr>
            <w:tcW w:w="6460" w:type="dxa"/>
            <w:vAlign w:val="bottom"/>
          </w:tcPr>
          <w:p>
            <w:pPr>
              <w:spacing w:after="0"/>
              <w:rPr>
                <w:sz w:val="20"/>
                <w:szCs w:val="20"/>
                <w:color w:val="auto"/>
              </w:rPr>
            </w:pPr>
            <w:r>
              <w:rPr>
                <w:rFonts w:ascii="Times New Roman" w:cs="Times New Roman" w:eastAsia="Times New Roman" w:hAnsi="Times New Roman"/>
                <w:sz w:val="17"/>
                <w:szCs w:val="17"/>
                <w:color w:val="auto"/>
              </w:rPr>
              <w:t xml:space="preserve">regularized its refinanced debt and returned to up-to-date status. At </w:t>
            </w:r>
            <w:r>
              <w:rPr>
                <w:rFonts w:ascii="Times New Roman" w:cs="Times New Roman" w:eastAsia="Times New Roman" w:hAnsi="Times New Roman"/>
                <w:sz w:val="17"/>
                <w:szCs w:val="17"/>
                <w:b w:val="1"/>
                <w:bCs w:val="1"/>
                <w:color w:val="auto"/>
              </w:rPr>
              <w:t>Mibanco,</w:t>
            </w:r>
          </w:p>
        </w:tc>
        <w:tc>
          <w:tcPr>
            <w:tcW w:w="3060" w:type="dxa"/>
            <w:vAlign w:val="bottom"/>
          </w:tcPr>
          <w:p>
            <w:pPr>
              <w:spacing w:after="0"/>
              <w:rPr>
                <w:sz w:val="17"/>
                <w:szCs w:val="17"/>
                <w:color w:val="auto"/>
              </w:rPr>
            </w:pPr>
          </w:p>
        </w:tc>
      </w:tr>
      <w:tr>
        <w:trPr>
          <w:trHeight w:val="203"/>
        </w:trPr>
        <w:tc>
          <w:tcPr>
            <w:tcW w:w="6460" w:type="dxa"/>
            <w:vAlign w:val="bottom"/>
          </w:tcPr>
          <w:p>
            <w:pPr>
              <w:spacing w:after="0"/>
              <w:rPr>
                <w:sz w:val="20"/>
                <w:szCs w:val="20"/>
                <w:color w:val="auto"/>
              </w:rPr>
            </w:pPr>
            <w:r>
              <w:rPr>
                <w:rFonts w:ascii="Times New Roman" w:cs="Times New Roman" w:eastAsia="Times New Roman" w:hAnsi="Times New Roman"/>
                <w:sz w:val="17"/>
                <w:szCs w:val="17"/>
                <w:color w:val="auto"/>
              </w:rPr>
              <w:t xml:space="preserve">growth was driven primarily by the same dynamics in play </w:t>
            </w:r>
            <w:r>
              <w:rPr>
                <w:rFonts w:ascii="Times New Roman" w:cs="Times New Roman" w:eastAsia="Times New Roman" w:hAnsi="Times New Roman"/>
                <w:sz w:val="17"/>
                <w:szCs w:val="17"/>
                <w:b w:val="1"/>
                <w:bCs w:val="1"/>
                <w:color w:val="auto"/>
              </w:rPr>
              <w:t>QoQ</w:t>
            </w:r>
            <w:r>
              <w:rPr>
                <w:rFonts w:ascii="Times New Roman" w:cs="Times New Roman" w:eastAsia="Times New Roman" w:hAnsi="Times New Roman"/>
                <w:sz w:val="17"/>
                <w:szCs w:val="17"/>
                <w:color w:val="auto"/>
              </w:rPr>
              <w:t>. The CofR at</w:t>
            </w:r>
          </w:p>
        </w:tc>
        <w:tc>
          <w:tcPr>
            <w:tcW w:w="3060" w:type="dxa"/>
            <w:vAlign w:val="bottom"/>
          </w:tcPr>
          <w:p>
            <w:pPr>
              <w:spacing w:after="0"/>
              <w:rPr>
                <w:sz w:val="17"/>
                <w:szCs w:val="17"/>
                <w:color w:val="auto"/>
              </w:rPr>
            </w:pPr>
          </w:p>
        </w:tc>
      </w:tr>
      <w:tr>
        <w:trPr>
          <w:trHeight w:val="207"/>
        </w:trPr>
        <w:tc>
          <w:tcPr>
            <w:tcW w:w="64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 xml:space="preserve">Credicorp </w:t>
            </w:r>
            <w:r>
              <w:rPr>
                <w:rFonts w:ascii="Times New Roman" w:cs="Times New Roman" w:eastAsia="Times New Roman" w:hAnsi="Times New Roman"/>
                <w:sz w:val="17"/>
                <w:szCs w:val="17"/>
                <w:color w:val="auto"/>
              </w:rPr>
              <w:t>dropped 35 bps</w:t>
            </w:r>
            <w:r>
              <w:rPr>
                <w:rFonts w:ascii="Times New Roman" w:cs="Times New Roman" w:eastAsia="Times New Roman" w:hAnsi="Times New Roman"/>
                <w:sz w:val="17"/>
                <w:szCs w:val="17"/>
                <w:b w:val="1"/>
                <w:bCs w:val="1"/>
                <w:color w:val="auto"/>
              </w:rPr>
              <w:t xml:space="preserve"> YoY </w:t>
            </w:r>
            <w:r>
              <w:rPr>
                <w:rFonts w:ascii="Times New Roman" w:cs="Times New Roman" w:eastAsia="Times New Roman" w:hAnsi="Times New Roman"/>
                <w:sz w:val="17"/>
                <w:szCs w:val="17"/>
                <w:color w:val="auto"/>
              </w:rPr>
              <w:t>to stand at 1.3%. This result was impacted by</w:t>
            </w:r>
          </w:p>
        </w:tc>
        <w:tc>
          <w:tcPr>
            <w:tcW w:w="3060" w:type="dxa"/>
            <w:vAlign w:val="bottom"/>
          </w:tcPr>
          <w:p>
            <w:pPr>
              <w:spacing w:after="0"/>
              <w:rPr>
                <w:sz w:val="18"/>
                <w:szCs w:val="18"/>
                <w:color w:val="auto"/>
              </w:rPr>
            </w:pPr>
          </w:p>
        </w:tc>
      </w:tr>
      <w:tr>
        <w:trPr>
          <w:trHeight w:val="203"/>
        </w:trPr>
        <w:tc>
          <w:tcPr>
            <w:tcW w:w="6460" w:type="dxa"/>
            <w:vAlign w:val="bottom"/>
          </w:tcPr>
          <w:p>
            <w:pPr>
              <w:spacing w:after="0"/>
              <w:rPr>
                <w:sz w:val="20"/>
                <w:szCs w:val="20"/>
                <w:color w:val="auto"/>
              </w:rPr>
            </w:pPr>
            <w:r>
              <w:rPr>
                <w:rFonts w:ascii="Times New Roman" w:cs="Times New Roman" w:eastAsia="Times New Roman" w:hAnsi="Times New Roman"/>
                <w:sz w:val="17"/>
                <w:szCs w:val="17"/>
                <w:color w:val="auto"/>
              </w:rPr>
              <w:t>measures  that  began  in  2024  to  strengthen  risk  management; sustained</w:t>
            </w:r>
          </w:p>
        </w:tc>
        <w:tc>
          <w:tcPr>
            <w:tcW w:w="3060" w:type="dxa"/>
            <w:vAlign w:val="bottom"/>
          </w:tcPr>
          <w:p>
            <w:pPr>
              <w:spacing w:after="0"/>
              <w:rPr>
                <w:sz w:val="17"/>
                <w:szCs w:val="17"/>
                <w:color w:val="auto"/>
              </w:rPr>
            </w:pPr>
          </w:p>
        </w:tc>
      </w:tr>
      <w:tr>
        <w:trPr>
          <w:trHeight w:val="219"/>
        </w:trPr>
        <w:tc>
          <w:tcPr>
            <w:tcW w:w="6460" w:type="dxa"/>
            <w:vAlign w:val="bottom"/>
          </w:tcPr>
          <w:p>
            <w:pPr>
              <w:spacing w:after="0"/>
              <w:rPr>
                <w:sz w:val="20"/>
                <w:szCs w:val="20"/>
                <w:color w:val="auto"/>
              </w:rPr>
            </w:pPr>
            <w:r>
              <w:rPr>
                <w:rFonts w:ascii="Times New Roman" w:cs="Times New Roman" w:eastAsia="Times New Roman" w:hAnsi="Times New Roman"/>
                <w:sz w:val="17"/>
                <w:szCs w:val="17"/>
                <w:color w:val="auto"/>
              </w:rPr>
              <w:t>improvement in the Peruvian economy; and the effect of higher liquidity.</w:t>
            </w:r>
          </w:p>
        </w:tc>
        <w:tc>
          <w:tcPr>
            <w:tcW w:w="3060" w:type="dxa"/>
            <w:vAlign w:val="bottom"/>
          </w:tcPr>
          <w:p>
            <w:pPr>
              <w:spacing w:after="0"/>
              <w:rPr>
                <w:sz w:val="19"/>
                <w:szCs w:val="19"/>
                <w:color w:val="auto"/>
              </w:rPr>
            </w:pPr>
          </w:p>
        </w:tc>
      </w:tr>
      <w:tr>
        <w:trPr>
          <w:trHeight w:val="609"/>
        </w:trPr>
        <w:tc>
          <w:tcPr>
            <w:tcW w:w="6460" w:type="dxa"/>
            <w:vAlign w:val="bottom"/>
          </w:tcPr>
          <w:p>
            <w:pPr>
              <w:ind w:left="1820"/>
              <w:spacing w:after="0"/>
              <w:rPr>
                <w:sz w:val="20"/>
                <w:szCs w:val="20"/>
                <w:color w:val="auto"/>
              </w:rPr>
            </w:pPr>
            <w:r>
              <w:rPr>
                <w:rFonts w:ascii="Times New Roman" w:cs="Times New Roman" w:eastAsia="Times New Roman" w:hAnsi="Times New Roman"/>
                <w:sz w:val="17"/>
                <w:szCs w:val="17"/>
                <w:b w:val="1"/>
                <w:bCs w:val="1"/>
                <w:color w:val="auto"/>
              </w:rPr>
              <w:t>QoQ Cost of Risk Evolution</w:t>
            </w:r>
          </w:p>
        </w:tc>
        <w:tc>
          <w:tcPr>
            <w:tcW w:w="3060" w:type="dxa"/>
            <w:vAlign w:val="bottom"/>
          </w:tcPr>
          <w:p>
            <w:pPr>
              <w:ind w:left="1060"/>
              <w:spacing w:after="0"/>
              <w:rPr>
                <w:sz w:val="20"/>
                <w:szCs w:val="20"/>
                <w:color w:val="auto"/>
              </w:rPr>
            </w:pPr>
            <w:r>
              <w:rPr>
                <w:rFonts w:ascii="Times New Roman" w:cs="Times New Roman" w:eastAsia="Times New Roman" w:hAnsi="Times New Roman"/>
                <w:sz w:val="17"/>
                <w:szCs w:val="17"/>
                <w:b w:val="1"/>
                <w:bCs w:val="1"/>
                <w:color w:val="auto"/>
                <w:w w:val="98"/>
              </w:rPr>
              <w:t>YoY Cost of Risk Evolution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wp:posOffset>
            </wp:positionV>
            <wp:extent cx="7172960" cy="124142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2960" cy="1241425"/>
                    </a:xfrm>
                    <a:prstGeom prst="rect">
                      <a:avLst/>
                    </a:prstGeom>
                    <a:noFill/>
                  </pic:spPr>
                </pic:pic>
              </a:graphicData>
            </a:graphic>
          </wp:anchor>
        </w:drawing>
        <w:drawing>
          <wp:anchor simplePos="0" relativeHeight="251657728" behindDoc="1" locked="0" layoutInCell="0" allowOverlap="1">
            <wp:simplePos x="0" y="0"/>
            <wp:positionH relativeFrom="column">
              <wp:posOffset>4127500</wp:posOffset>
            </wp:positionH>
            <wp:positionV relativeFrom="paragraph">
              <wp:posOffset>-1675130</wp:posOffset>
            </wp:positionV>
            <wp:extent cx="2578735" cy="13862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578735" cy="1386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tabs>
          <w:tab w:leader="none" w:pos="5660" w:val="left"/>
        </w:tabs>
        <w:rPr>
          <w:sz w:val="20"/>
          <w:szCs w:val="20"/>
          <w:color w:val="auto"/>
        </w:rPr>
      </w:pPr>
      <w:r>
        <w:rPr>
          <w:rFonts w:ascii="Times New Roman" w:cs="Times New Roman" w:eastAsia="Times New Roman" w:hAnsi="Times New Roman"/>
          <w:sz w:val="12"/>
          <w:szCs w:val="12"/>
          <w:color w:val="auto"/>
        </w:rPr>
        <w:t>(1) Others include BCP Bolivia, Mibanco Colombia, ASB and eliminations.</w:t>
      </w:r>
      <w:r>
        <w:rPr>
          <w:sz w:val="20"/>
          <w:szCs w:val="20"/>
          <w:color w:val="auto"/>
        </w:rPr>
        <w:tab/>
      </w:r>
      <w:r>
        <w:rPr>
          <w:rFonts w:ascii="Times New Roman" w:cs="Times New Roman" w:eastAsia="Times New Roman" w:hAnsi="Times New Roman"/>
          <w:sz w:val="11"/>
          <w:szCs w:val="11"/>
          <w:color w:val="auto"/>
        </w:rPr>
        <w:t>(1) Others include BCP Bolivia, Mibanco Colombia, ASB and eliminations.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1075055</wp:posOffset>
            </wp:positionV>
            <wp:extent cx="7140575" cy="158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0575" cy="15875"/>
                    </a:xfrm>
                    <a:prstGeom prst="rect">
                      <a:avLst/>
                    </a:prstGeom>
                    <a:noFill/>
                  </pic:spPr>
                </pic:pic>
              </a:graphicData>
            </a:graphic>
          </wp:anchor>
        </w:drawing>
        <w:drawing>
          <wp:anchor simplePos="0" relativeHeight="251657728" behindDoc="1" locked="0" layoutInCell="0" allowOverlap="1">
            <wp:simplePos x="0" y="0"/>
            <wp:positionH relativeFrom="column">
              <wp:posOffset>331470</wp:posOffset>
            </wp:positionH>
            <wp:positionV relativeFrom="paragraph">
              <wp:posOffset>132080</wp:posOffset>
            </wp:positionV>
            <wp:extent cx="6447155" cy="5156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447155" cy="515620"/>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30" w:name="page31"/>
    <w:bookmarkEnd w:id="30"/>
    <w:p>
      <w:pPr>
        <w:ind w:left="3200"/>
        <w:spacing w:after="0"/>
        <w:tabs>
          <w:tab w:leader="none" w:pos="3380" w:val="left"/>
          <w:tab w:leader="none" w:pos="9060" w:val="left"/>
        </w:tabs>
        <w:rPr>
          <w:sz w:val="20"/>
          <w:szCs w:val="20"/>
          <w:color w:val="auto"/>
        </w:rPr>
      </w:pPr>
      <w:r>
        <w:rPr>
          <w:rFonts w:ascii="Times New Roman" w:cs="Times New Roman" w:eastAsia="Times New Roman" w:hAnsi="Times New Roman"/>
          <w:sz w:val="17"/>
          <w:szCs w:val="17"/>
          <w:color w:val="A6A6A6"/>
        </w:rPr>
        <w:drawing>
          <wp:anchor simplePos="0" relativeHeight="251657728" behindDoc="1" locked="0" layoutInCell="0" allowOverlap="1">
            <wp:simplePos x="0" y="0"/>
            <wp:positionH relativeFrom="page">
              <wp:posOffset>204470</wp:posOffset>
            </wp:positionH>
            <wp:positionV relativeFrom="page">
              <wp:posOffset>217805</wp:posOffset>
            </wp:positionV>
            <wp:extent cx="7140575" cy="6927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0575" cy="692785"/>
                    </a:xfrm>
                    <a:prstGeom prst="rect">
                      <a:avLst/>
                    </a:prstGeom>
                    <a:noFill/>
                  </pic:spPr>
                </pic:pic>
              </a:graphicData>
            </a:graphic>
          </wp:anchor>
        </w:drawing>
        <w:t>|</w:t>
      </w:r>
      <w:r>
        <w:rPr>
          <w:sz w:val="20"/>
          <w:szCs w:val="20"/>
          <w:color w:val="auto"/>
        </w:rPr>
        <w:tab/>
      </w:r>
      <w:r>
        <w:rPr>
          <w:rFonts w:ascii="Times New Roman" w:cs="Times New Roman" w:eastAsia="Times New Roman" w:hAnsi="Times New Roman"/>
          <w:sz w:val="14"/>
          <w:szCs w:val="14"/>
          <w:color w:val="FFFFFF"/>
        </w:rPr>
        <w:t>Earnings Release 1Q / 2026</w:t>
      </w:r>
      <w:r>
        <w:rPr>
          <w:sz w:val="20"/>
          <w:szCs w:val="20"/>
          <w:color w:val="auto"/>
        </w:rPr>
        <w:tab/>
      </w:r>
      <w:r>
        <w:rPr>
          <w:rFonts w:ascii="Times New Roman" w:cs="Times New Roman" w:eastAsia="Times New Roman" w:hAnsi="Times New Roman"/>
          <w:sz w:val="12"/>
          <w:szCs w:val="12"/>
          <w:color w:val="FF00FF"/>
        </w:rPr>
        <w:t>Analysis of 1Q26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297180</wp:posOffset>
            </wp:positionV>
            <wp:extent cx="7140575" cy="2095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0575" cy="20955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FFFFFF"/>
        </w:rPr>
        <w:t>05. Portfolio Quality and Provisions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NPL Coverage Ratio (in Quarter-end balances)</w:t>
      </w:r>
    </w:p>
    <w:p>
      <w:pPr>
        <w:spacing w:after="0" w:line="211"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5080" w:type="dxa"/>
            <w:vAlign w:val="bottom"/>
            <w:tcBorders>
              <w:top w:val="single" w:sz="8" w:color="auto"/>
              <w:left w:val="single" w:sz="8" w:color="auto"/>
              <w:right w:val="single" w:sz="8" w:color="auto"/>
            </w:tcBorders>
            <w:shd w:val="clear" w:color="auto" w:fill="2AD2C9"/>
          </w:tcPr>
          <w:p>
            <w:pPr>
              <w:ind w:left="60"/>
              <w:spacing w:after="0"/>
              <w:rPr>
                <w:sz w:val="20"/>
                <w:szCs w:val="20"/>
                <w:color w:val="auto"/>
              </w:rPr>
            </w:pPr>
            <w:r>
              <w:rPr>
                <w:rFonts w:ascii="Times New Roman" w:cs="Times New Roman" w:eastAsia="Times New Roman" w:hAnsi="Times New Roman"/>
                <w:sz w:val="15"/>
                <w:szCs w:val="15"/>
                <w:b w:val="1"/>
                <w:bCs w:val="1"/>
                <w:color w:val="FFFFFF"/>
              </w:rPr>
              <w:t>Loan Portfolio Quality and Delinquency Ratios</w:t>
            </w:r>
          </w:p>
        </w:tc>
        <w:tc>
          <w:tcPr>
            <w:tcW w:w="1220" w:type="dxa"/>
            <w:vAlign w:val="bottom"/>
            <w:tcBorders>
              <w:top w:val="single" w:sz="8" w:color="auto"/>
            </w:tcBorders>
            <w:shd w:val="clear" w:color="auto" w:fill="2AD2C9"/>
          </w:tcPr>
          <w:p>
            <w:pPr>
              <w:spacing w:after="0"/>
              <w:rPr>
                <w:sz w:val="17"/>
                <w:szCs w:val="17"/>
                <w:color w:val="auto"/>
              </w:rPr>
            </w:pPr>
          </w:p>
        </w:tc>
        <w:tc>
          <w:tcPr>
            <w:tcW w:w="1240" w:type="dxa"/>
            <w:vAlign w:val="bottom"/>
            <w:tcBorders>
              <w:top w:val="single" w:sz="8" w:color="auto"/>
            </w:tcBorders>
            <w:shd w:val="clear" w:color="auto" w:fill="2AD2C9"/>
          </w:tcPr>
          <w:p>
            <w:pPr>
              <w:jc w:val="center"/>
              <w:spacing w:after="0"/>
              <w:rPr>
                <w:sz w:val="20"/>
                <w:szCs w:val="20"/>
                <w:color w:val="auto"/>
              </w:rPr>
            </w:pPr>
            <w:r>
              <w:rPr>
                <w:rFonts w:ascii="Times New Roman" w:cs="Times New Roman" w:eastAsia="Times New Roman" w:hAnsi="Times New Roman"/>
                <w:sz w:val="15"/>
                <w:szCs w:val="15"/>
                <w:b w:val="1"/>
                <w:bCs w:val="1"/>
                <w:color w:val="FFFFFF"/>
              </w:rPr>
              <w:t>As of</w:t>
            </w:r>
          </w:p>
        </w:tc>
        <w:tc>
          <w:tcPr>
            <w:tcW w:w="1260" w:type="dxa"/>
            <w:vAlign w:val="bottom"/>
            <w:tcBorders>
              <w:top w:val="single" w:sz="8" w:color="auto"/>
              <w:right w:val="single" w:sz="8" w:color="auto"/>
            </w:tcBorders>
            <w:shd w:val="clear" w:color="auto" w:fill="2AD2C9"/>
          </w:tcPr>
          <w:p>
            <w:pPr>
              <w:spacing w:after="0"/>
              <w:rPr>
                <w:sz w:val="17"/>
                <w:szCs w:val="17"/>
                <w:color w:val="auto"/>
              </w:rPr>
            </w:pPr>
          </w:p>
        </w:tc>
        <w:tc>
          <w:tcPr>
            <w:tcW w:w="860" w:type="dxa"/>
            <w:vAlign w:val="bottom"/>
            <w:tcBorders>
              <w:top w:val="single" w:sz="8" w:color="auto"/>
            </w:tcBorders>
            <w:shd w:val="clear" w:color="auto" w:fill="2AD2C9"/>
          </w:tcPr>
          <w:p>
            <w:pPr>
              <w:spacing w:after="0"/>
              <w:rPr>
                <w:sz w:val="17"/>
                <w:szCs w:val="17"/>
                <w:color w:val="auto"/>
              </w:rPr>
            </w:pPr>
          </w:p>
        </w:tc>
        <w:tc>
          <w:tcPr>
            <w:tcW w:w="1600" w:type="dxa"/>
            <w:vAlign w:val="bottom"/>
            <w:tcBorders>
              <w:top w:val="single" w:sz="8" w:color="auto"/>
              <w:right w:val="single" w:sz="8" w:color="auto"/>
            </w:tcBorders>
            <w:shd w:val="clear" w:color="auto" w:fill="2AD2C9"/>
          </w:tcPr>
          <w:p>
            <w:pPr>
              <w:ind w:left="20"/>
              <w:spacing w:after="0"/>
              <w:rPr>
                <w:sz w:val="20"/>
                <w:szCs w:val="20"/>
                <w:color w:val="auto"/>
              </w:rPr>
            </w:pPr>
            <w:r>
              <w:rPr>
                <w:rFonts w:ascii="Times New Roman" w:cs="Times New Roman" w:eastAsia="Times New Roman" w:hAnsi="Times New Roman"/>
                <w:sz w:val="15"/>
                <w:szCs w:val="15"/>
                <w:b w:val="1"/>
                <w:bCs w:val="1"/>
                <w:color w:val="FFFFFF"/>
              </w:rPr>
              <w:t>% change</w:t>
            </w:r>
          </w:p>
        </w:tc>
      </w:tr>
      <w:tr>
        <w:trPr>
          <w:trHeight w:val="190"/>
        </w:trPr>
        <w:tc>
          <w:tcPr>
            <w:tcW w:w="5080" w:type="dxa"/>
            <w:vAlign w:val="bottom"/>
            <w:tcBorders>
              <w:left w:val="single" w:sz="8" w:color="auto"/>
              <w:bottom w:val="single" w:sz="8" w:color="auto"/>
              <w:right w:val="single" w:sz="8" w:color="auto"/>
            </w:tcBorders>
            <w:shd w:val="clear" w:color="auto" w:fill="2AD2C9"/>
          </w:tcPr>
          <w:p>
            <w:pPr>
              <w:ind w:left="60"/>
              <w:spacing w:after="0"/>
              <w:rPr>
                <w:sz w:val="20"/>
                <w:szCs w:val="20"/>
                <w:color w:val="auto"/>
              </w:rPr>
            </w:pPr>
            <w:r>
              <w:rPr>
                <w:rFonts w:ascii="Times New Roman" w:cs="Times New Roman" w:eastAsia="Times New Roman" w:hAnsi="Times New Roman"/>
                <w:sz w:val="15"/>
                <w:szCs w:val="15"/>
                <w:b w:val="1"/>
                <w:bCs w:val="1"/>
                <w:color w:val="FFFFFF"/>
              </w:rPr>
              <w:t>S/000</w:t>
            </w:r>
          </w:p>
        </w:tc>
        <w:tc>
          <w:tcPr>
            <w:tcW w:w="1220" w:type="dxa"/>
            <w:vAlign w:val="bottom"/>
            <w:tcBorders>
              <w:bottom w:val="single" w:sz="8" w:color="auto"/>
            </w:tcBorders>
            <w:shd w:val="clear" w:color="auto" w:fill="2AD2C9"/>
          </w:tcPr>
          <w:p>
            <w:pPr>
              <w:ind w:left="380"/>
              <w:spacing w:after="0"/>
              <w:rPr>
                <w:sz w:val="20"/>
                <w:szCs w:val="20"/>
                <w:color w:val="auto"/>
              </w:rPr>
            </w:pPr>
            <w:r>
              <w:rPr>
                <w:rFonts w:ascii="Times New Roman" w:cs="Times New Roman" w:eastAsia="Times New Roman" w:hAnsi="Times New Roman"/>
                <w:sz w:val="15"/>
                <w:szCs w:val="15"/>
                <w:b w:val="1"/>
                <w:bCs w:val="1"/>
                <w:color w:val="FFFFFF"/>
              </w:rPr>
              <w:t>Mar 25</w:t>
            </w:r>
          </w:p>
        </w:tc>
        <w:tc>
          <w:tcPr>
            <w:tcW w:w="1240" w:type="dxa"/>
            <w:vAlign w:val="bottom"/>
            <w:tcBorders>
              <w:bottom w:val="single" w:sz="8" w:color="auto"/>
            </w:tcBorders>
            <w:shd w:val="clear" w:color="auto" w:fill="2AD2C9"/>
          </w:tcPr>
          <w:p>
            <w:pPr>
              <w:jc w:val="center"/>
              <w:spacing w:after="0"/>
              <w:rPr>
                <w:sz w:val="20"/>
                <w:szCs w:val="20"/>
                <w:color w:val="auto"/>
              </w:rPr>
            </w:pPr>
            <w:r>
              <w:rPr>
                <w:rFonts w:ascii="Times New Roman" w:cs="Times New Roman" w:eastAsia="Times New Roman" w:hAnsi="Times New Roman"/>
                <w:sz w:val="15"/>
                <w:szCs w:val="15"/>
                <w:b w:val="1"/>
                <w:bCs w:val="1"/>
                <w:color w:val="FFFFFF"/>
              </w:rPr>
              <w:t>Dec 25</w:t>
            </w:r>
          </w:p>
        </w:tc>
        <w:tc>
          <w:tcPr>
            <w:tcW w:w="1260" w:type="dxa"/>
            <w:vAlign w:val="bottom"/>
            <w:tcBorders>
              <w:bottom w:val="single" w:sz="8" w:color="auto"/>
              <w:right w:val="single" w:sz="8" w:color="auto"/>
            </w:tcBorders>
            <w:shd w:val="clear" w:color="auto" w:fill="2AD2C9"/>
          </w:tcPr>
          <w:p>
            <w:pPr>
              <w:ind w:left="380"/>
              <w:spacing w:after="0"/>
              <w:rPr>
                <w:sz w:val="20"/>
                <w:szCs w:val="20"/>
                <w:color w:val="auto"/>
              </w:rPr>
            </w:pPr>
            <w:r>
              <w:rPr>
                <w:rFonts w:ascii="Times New Roman" w:cs="Times New Roman" w:eastAsia="Times New Roman" w:hAnsi="Times New Roman"/>
                <w:sz w:val="15"/>
                <w:szCs w:val="15"/>
                <w:b w:val="1"/>
                <w:bCs w:val="1"/>
                <w:color w:val="FFFFFF"/>
              </w:rPr>
              <w:t>Mar 26</w:t>
            </w:r>
          </w:p>
        </w:tc>
        <w:tc>
          <w:tcPr>
            <w:tcW w:w="860" w:type="dxa"/>
            <w:vAlign w:val="bottom"/>
            <w:tcBorders>
              <w:bottom w:val="single" w:sz="8" w:color="auto"/>
            </w:tcBorders>
            <w:shd w:val="clear" w:color="auto" w:fill="2AD2C9"/>
          </w:tcPr>
          <w:p>
            <w:pPr>
              <w:jc w:val="center"/>
              <w:ind w:left="264"/>
              <w:spacing w:after="0"/>
              <w:rPr>
                <w:sz w:val="20"/>
                <w:szCs w:val="20"/>
                <w:color w:val="auto"/>
              </w:rPr>
            </w:pPr>
            <w:r>
              <w:rPr>
                <w:rFonts w:ascii="Times New Roman" w:cs="Times New Roman" w:eastAsia="Times New Roman" w:hAnsi="Times New Roman"/>
                <w:sz w:val="15"/>
                <w:szCs w:val="15"/>
                <w:b w:val="1"/>
                <w:bCs w:val="1"/>
                <w:color w:val="FFFFFF"/>
              </w:rPr>
              <w:t>QoQ</w:t>
            </w:r>
          </w:p>
        </w:tc>
        <w:tc>
          <w:tcPr>
            <w:tcW w:w="1600" w:type="dxa"/>
            <w:vAlign w:val="bottom"/>
            <w:tcBorders>
              <w:bottom w:val="single" w:sz="8" w:color="auto"/>
              <w:right w:val="single" w:sz="8" w:color="auto"/>
            </w:tcBorders>
            <w:shd w:val="clear" w:color="auto" w:fill="2AD2C9"/>
          </w:tcPr>
          <w:p>
            <w:pPr>
              <w:jc w:val="center"/>
              <w:ind w:left="244"/>
              <w:spacing w:after="0"/>
              <w:rPr>
                <w:sz w:val="20"/>
                <w:szCs w:val="20"/>
                <w:color w:val="auto"/>
              </w:rPr>
            </w:pPr>
            <w:r>
              <w:rPr>
                <w:rFonts w:ascii="Times New Roman" w:cs="Times New Roman" w:eastAsia="Times New Roman" w:hAnsi="Times New Roman"/>
                <w:sz w:val="15"/>
                <w:szCs w:val="15"/>
                <w:b w:val="1"/>
                <w:bCs w:val="1"/>
                <w:color w:val="FFFFFF"/>
                <w:w w:val="95"/>
              </w:rPr>
              <w:t>YoY</w:t>
            </w:r>
          </w:p>
        </w:tc>
      </w:tr>
      <w:tr>
        <w:trPr>
          <w:trHeight w:val="171"/>
        </w:trPr>
        <w:tc>
          <w:tcPr>
            <w:tcW w:w="5080" w:type="dxa"/>
            <w:vAlign w:val="bottom"/>
            <w:tcBorders>
              <w:left w:val="single" w:sz="8" w:color="auto"/>
              <w:right w:val="single" w:sz="8" w:color="auto"/>
            </w:tcBorders>
          </w:tcPr>
          <w:p>
            <w:pPr>
              <w:ind w:left="60"/>
              <w:spacing w:after="0" w:line="171" w:lineRule="exact"/>
              <w:rPr>
                <w:sz w:val="20"/>
                <w:szCs w:val="20"/>
                <w:color w:val="auto"/>
              </w:rPr>
            </w:pPr>
            <w:r>
              <w:rPr>
                <w:rFonts w:ascii="Times New Roman" w:cs="Times New Roman" w:eastAsia="Times New Roman" w:hAnsi="Times New Roman"/>
                <w:sz w:val="15"/>
                <w:szCs w:val="15"/>
                <w:color w:val="auto"/>
              </w:rPr>
              <w:t>Total loans (Quarter-end balance)</w:t>
            </w:r>
          </w:p>
        </w:tc>
        <w:tc>
          <w:tcPr>
            <w:tcW w:w="1220" w:type="dxa"/>
            <w:vAlign w:val="bottom"/>
          </w:tcPr>
          <w:p>
            <w:pPr>
              <w:jc w:val="center"/>
              <w:spacing w:after="0" w:line="171" w:lineRule="exact"/>
              <w:rPr>
                <w:sz w:val="20"/>
                <w:szCs w:val="20"/>
                <w:color w:val="auto"/>
              </w:rPr>
            </w:pPr>
            <w:r>
              <w:rPr>
                <w:rFonts w:ascii="Times New Roman" w:cs="Times New Roman" w:eastAsia="Times New Roman" w:hAnsi="Times New Roman"/>
                <w:sz w:val="15"/>
                <w:szCs w:val="15"/>
                <w:color w:val="auto"/>
              </w:rPr>
              <w:t>141,196,646</w:t>
            </w:r>
          </w:p>
        </w:tc>
        <w:tc>
          <w:tcPr>
            <w:tcW w:w="1240" w:type="dxa"/>
            <w:vAlign w:val="bottom"/>
          </w:tcPr>
          <w:p>
            <w:pPr>
              <w:jc w:val="center"/>
              <w:spacing w:after="0" w:line="171" w:lineRule="exact"/>
              <w:rPr>
                <w:sz w:val="20"/>
                <w:szCs w:val="20"/>
                <w:color w:val="auto"/>
              </w:rPr>
            </w:pPr>
            <w:r>
              <w:rPr>
                <w:rFonts w:ascii="Times New Roman" w:cs="Times New Roman" w:eastAsia="Times New Roman" w:hAnsi="Times New Roman"/>
                <w:sz w:val="15"/>
                <w:szCs w:val="15"/>
                <w:color w:val="auto"/>
              </w:rPr>
              <w:t>149,984,954</w:t>
            </w:r>
          </w:p>
        </w:tc>
        <w:tc>
          <w:tcPr>
            <w:tcW w:w="1260" w:type="dxa"/>
            <w:vAlign w:val="bottom"/>
            <w:tcBorders>
              <w:right w:val="single" w:sz="8" w:color="auto"/>
            </w:tcBorders>
          </w:tcPr>
          <w:p>
            <w:pPr>
              <w:jc w:val="center"/>
              <w:spacing w:after="0" w:line="171" w:lineRule="exact"/>
              <w:rPr>
                <w:sz w:val="20"/>
                <w:szCs w:val="20"/>
                <w:color w:val="auto"/>
              </w:rPr>
            </w:pPr>
            <w:r>
              <w:rPr>
                <w:rFonts w:ascii="Times New Roman" w:cs="Times New Roman" w:eastAsia="Times New Roman" w:hAnsi="Times New Roman"/>
                <w:sz w:val="15"/>
                <w:szCs w:val="15"/>
                <w:color w:val="auto"/>
              </w:rPr>
              <w:t>152,824,685</w:t>
            </w:r>
          </w:p>
        </w:tc>
        <w:tc>
          <w:tcPr>
            <w:tcW w:w="860" w:type="dxa"/>
            <w:vAlign w:val="bottom"/>
          </w:tcPr>
          <w:p>
            <w:pPr>
              <w:jc w:val="center"/>
              <w:ind w:left="264"/>
              <w:spacing w:after="0" w:line="171" w:lineRule="exact"/>
              <w:rPr>
                <w:sz w:val="20"/>
                <w:szCs w:val="20"/>
                <w:color w:val="auto"/>
              </w:rPr>
            </w:pPr>
            <w:r>
              <w:rPr>
                <w:rFonts w:ascii="Times New Roman" w:cs="Times New Roman" w:eastAsia="Times New Roman" w:hAnsi="Times New Roman"/>
                <w:sz w:val="15"/>
                <w:szCs w:val="15"/>
                <w:color w:val="auto"/>
              </w:rPr>
              <w:t>1.9%</w:t>
            </w:r>
          </w:p>
        </w:tc>
        <w:tc>
          <w:tcPr>
            <w:tcW w:w="1600" w:type="dxa"/>
            <w:vAlign w:val="bottom"/>
            <w:tcBorders>
              <w:right w:val="single" w:sz="8" w:color="auto"/>
            </w:tcBorders>
          </w:tcPr>
          <w:p>
            <w:pPr>
              <w:jc w:val="center"/>
              <w:ind w:left="244"/>
              <w:spacing w:after="0" w:line="171" w:lineRule="exact"/>
              <w:rPr>
                <w:sz w:val="20"/>
                <w:szCs w:val="20"/>
                <w:color w:val="auto"/>
              </w:rPr>
            </w:pPr>
            <w:r>
              <w:rPr>
                <w:rFonts w:ascii="Times New Roman" w:cs="Times New Roman" w:eastAsia="Times New Roman" w:hAnsi="Times New Roman"/>
                <w:sz w:val="15"/>
                <w:szCs w:val="15"/>
                <w:color w:val="auto"/>
              </w:rPr>
              <w:t>8.2%</w:t>
            </w:r>
          </w:p>
        </w:tc>
      </w:tr>
      <w:tr>
        <w:trPr>
          <w:trHeight w:val="190"/>
        </w:trPr>
        <w:tc>
          <w:tcPr>
            <w:tcW w:w="50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Allowance for loan losses</w:t>
            </w:r>
          </w:p>
        </w:tc>
        <w:tc>
          <w:tcPr>
            <w:tcW w:w="12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7,742,792</w:t>
            </w: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7,669,950</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7,425,425</w:t>
            </w:r>
          </w:p>
        </w:tc>
        <w:tc>
          <w:tcPr>
            <w:tcW w:w="860" w:type="dxa"/>
            <w:vAlign w:val="bottom"/>
          </w:tcPr>
          <w:p>
            <w:pPr>
              <w:jc w:val="center"/>
              <w:ind w:left="244"/>
              <w:spacing w:after="0"/>
              <w:rPr>
                <w:sz w:val="20"/>
                <w:szCs w:val="20"/>
                <w:color w:val="auto"/>
              </w:rPr>
            </w:pPr>
            <w:r>
              <w:rPr>
                <w:rFonts w:ascii="Times New Roman" w:cs="Times New Roman" w:eastAsia="Times New Roman" w:hAnsi="Times New Roman"/>
                <w:sz w:val="15"/>
                <w:szCs w:val="15"/>
                <w:color w:val="auto"/>
              </w:rPr>
              <w:t>-3.2%</w:t>
            </w:r>
          </w:p>
        </w:tc>
        <w:tc>
          <w:tcPr>
            <w:tcW w:w="1600" w:type="dxa"/>
            <w:vAlign w:val="bottom"/>
            <w:tcBorders>
              <w:right w:val="single" w:sz="8" w:color="auto"/>
            </w:tcBorders>
          </w:tcPr>
          <w:p>
            <w:pPr>
              <w:jc w:val="center"/>
              <w:ind w:left="244"/>
              <w:spacing w:after="0"/>
              <w:rPr>
                <w:sz w:val="20"/>
                <w:szCs w:val="20"/>
                <w:color w:val="auto"/>
              </w:rPr>
            </w:pPr>
            <w:r>
              <w:rPr>
                <w:rFonts w:ascii="Times New Roman" w:cs="Times New Roman" w:eastAsia="Times New Roman" w:hAnsi="Times New Roman"/>
                <w:sz w:val="15"/>
                <w:szCs w:val="15"/>
                <w:color w:val="auto"/>
                <w:w w:val="99"/>
              </w:rPr>
              <w:t>-4.1%</w:t>
            </w:r>
          </w:p>
        </w:tc>
      </w:tr>
      <w:tr>
        <w:trPr>
          <w:trHeight w:val="200"/>
        </w:trPr>
        <w:tc>
          <w:tcPr>
            <w:tcW w:w="50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Non-performing loans (NPLs)</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7,207,677</w:t>
            </w: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6,820,900</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6,523,997</w:t>
            </w:r>
          </w:p>
        </w:tc>
        <w:tc>
          <w:tcPr>
            <w:tcW w:w="860" w:type="dxa"/>
            <w:vAlign w:val="bottom"/>
            <w:tcBorders>
              <w:bottom w:val="single" w:sz="8" w:color="auto"/>
            </w:tcBorders>
          </w:tcPr>
          <w:p>
            <w:pPr>
              <w:jc w:val="center"/>
              <w:ind w:left="244"/>
              <w:spacing w:after="0"/>
              <w:rPr>
                <w:sz w:val="20"/>
                <w:szCs w:val="20"/>
                <w:color w:val="auto"/>
              </w:rPr>
            </w:pPr>
            <w:r>
              <w:rPr>
                <w:rFonts w:ascii="Times New Roman" w:cs="Times New Roman" w:eastAsia="Times New Roman" w:hAnsi="Times New Roman"/>
                <w:sz w:val="15"/>
                <w:szCs w:val="15"/>
                <w:color w:val="auto"/>
              </w:rPr>
              <w:t>-4.4%</w:t>
            </w:r>
          </w:p>
        </w:tc>
        <w:tc>
          <w:tcPr>
            <w:tcW w:w="1600" w:type="dxa"/>
            <w:vAlign w:val="bottom"/>
            <w:tcBorders>
              <w:bottom w:val="single" w:sz="8" w:color="auto"/>
              <w:right w:val="single" w:sz="8" w:color="auto"/>
            </w:tcBorders>
          </w:tcPr>
          <w:p>
            <w:pPr>
              <w:jc w:val="center"/>
              <w:ind w:left="244"/>
              <w:spacing w:after="0"/>
              <w:rPr>
                <w:sz w:val="20"/>
                <w:szCs w:val="20"/>
                <w:color w:val="auto"/>
              </w:rPr>
            </w:pPr>
            <w:r>
              <w:rPr>
                <w:rFonts w:ascii="Times New Roman" w:cs="Times New Roman" w:eastAsia="Times New Roman" w:hAnsi="Times New Roman"/>
                <w:sz w:val="15"/>
                <w:szCs w:val="15"/>
                <w:color w:val="auto"/>
                <w:w w:val="99"/>
              </w:rPr>
              <w:t>-9.5%</w:t>
            </w:r>
          </w:p>
        </w:tc>
      </w:tr>
      <w:tr>
        <w:trPr>
          <w:trHeight w:val="169"/>
        </w:trPr>
        <w:tc>
          <w:tcPr>
            <w:tcW w:w="5080" w:type="dxa"/>
            <w:vAlign w:val="bottom"/>
            <w:tcBorders>
              <w:left w:val="single" w:sz="8" w:color="auto"/>
              <w:right w:val="single" w:sz="8" w:color="auto"/>
            </w:tcBorders>
          </w:tcPr>
          <w:p>
            <w:pPr>
              <w:ind w:left="60"/>
              <w:spacing w:after="0" w:line="169" w:lineRule="exact"/>
              <w:rPr>
                <w:sz w:val="20"/>
                <w:szCs w:val="20"/>
                <w:color w:val="auto"/>
              </w:rPr>
            </w:pPr>
            <w:r>
              <w:rPr>
                <w:rFonts w:ascii="Times New Roman" w:cs="Times New Roman" w:eastAsia="Times New Roman" w:hAnsi="Times New Roman"/>
                <w:sz w:val="15"/>
                <w:szCs w:val="15"/>
                <w:b w:val="1"/>
                <w:bCs w:val="1"/>
                <w:color w:val="auto"/>
              </w:rPr>
              <w:t>Allowance for loan losses over Total loans</w:t>
            </w:r>
          </w:p>
        </w:tc>
        <w:tc>
          <w:tcPr>
            <w:tcW w:w="1220" w:type="dxa"/>
            <w:vAlign w:val="bottom"/>
          </w:tcPr>
          <w:p>
            <w:pPr>
              <w:jc w:val="center"/>
              <w:spacing w:after="0" w:line="169" w:lineRule="exact"/>
              <w:rPr>
                <w:sz w:val="20"/>
                <w:szCs w:val="20"/>
                <w:color w:val="auto"/>
              </w:rPr>
            </w:pPr>
            <w:r>
              <w:rPr>
                <w:rFonts w:ascii="Times New Roman" w:cs="Times New Roman" w:eastAsia="Times New Roman" w:hAnsi="Times New Roman"/>
                <w:sz w:val="15"/>
                <w:szCs w:val="15"/>
                <w:b w:val="1"/>
                <w:bCs w:val="1"/>
                <w:color w:val="auto"/>
              </w:rPr>
              <w:t>5.5%</w:t>
            </w:r>
          </w:p>
        </w:tc>
        <w:tc>
          <w:tcPr>
            <w:tcW w:w="1240" w:type="dxa"/>
            <w:vAlign w:val="bottom"/>
          </w:tcPr>
          <w:p>
            <w:pPr>
              <w:jc w:val="center"/>
              <w:spacing w:after="0" w:line="169" w:lineRule="exact"/>
              <w:rPr>
                <w:sz w:val="20"/>
                <w:szCs w:val="20"/>
                <w:color w:val="auto"/>
              </w:rPr>
            </w:pPr>
            <w:r>
              <w:rPr>
                <w:rFonts w:ascii="Times New Roman" w:cs="Times New Roman" w:eastAsia="Times New Roman" w:hAnsi="Times New Roman"/>
                <w:sz w:val="15"/>
                <w:szCs w:val="15"/>
                <w:b w:val="1"/>
                <w:bCs w:val="1"/>
                <w:color w:val="auto"/>
              </w:rPr>
              <w:t>5.1%</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5"/>
                <w:szCs w:val="15"/>
                <w:b w:val="1"/>
                <w:bCs w:val="1"/>
                <w:color w:val="auto"/>
              </w:rPr>
              <w:t>4.9%</w:t>
            </w:r>
          </w:p>
        </w:tc>
        <w:tc>
          <w:tcPr>
            <w:tcW w:w="860" w:type="dxa"/>
            <w:vAlign w:val="bottom"/>
          </w:tcPr>
          <w:p>
            <w:pPr>
              <w:jc w:val="center"/>
              <w:ind w:left="244"/>
              <w:spacing w:after="0" w:line="169" w:lineRule="exact"/>
              <w:rPr>
                <w:sz w:val="20"/>
                <w:szCs w:val="20"/>
                <w:color w:val="auto"/>
              </w:rPr>
            </w:pPr>
            <w:r>
              <w:rPr>
                <w:rFonts w:ascii="Times New Roman" w:cs="Times New Roman" w:eastAsia="Times New Roman" w:hAnsi="Times New Roman"/>
                <w:sz w:val="15"/>
                <w:szCs w:val="15"/>
                <w:b w:val="1"/>
                <w:bCs w:val="1"/>
                <w:color w:val="auto"/>
                <w:w w:val="99"/>
              </w:rPr>
              <w:t>-25 bps</w:t>
            </w:r>
          </w:p>
        </w:tc>
        <w:tc>
          <w:tcPr>
            <w:tcW w:w="1600" w:type="dxa"/>
            <w:vAlign w:val="bottom"/>
            <w:tcBorders>
              <w:right w:val="single" w:sz="8" w:color="auto"/>
            </w:tcBorders>
          </w:tcPr>
          <w:p>
            <w:pPr>
              <w:jc w:val="center"/>
              <w:ind w:left="244"/>
              <w:spacing w:after="0" w:line="169" w:lineRule="exact"/>
              <w:rPr>
                <w:sz w:val="20"/>
                <w:szCs w:val="20"/>
                <w:color w:val="auto"/>
              </w:rPr>
            </w:pPr>
            <w:r>
              <w:rPr>
                <w:rFonts w:ascii="Times New Roman" w:cs="Times New Roman" w:eastAsia="Times New Roman" w:hAnsi="Times New Roman"/>
                <w:sz w:val="15"/>
                <w:szCs w:val="15"/>
                <w:b w:val="1"/>
                <w:bCs w:val="1"/>
                <w:color w:val="auto"/>
              </w:rPr>
              <w:t>-62 bps</w:t>
            </w:r>
          </w:p>
        </w:tc>
      </w:tr>
      <w:tr>
        <w:trPr>
          <w:trHeight w:val="204"/>
        </w:trPr>
        <w:tc>
          <w:tcPr>
            <w:tcW w:w="50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b w:val="1"/>
                <w:bCs w:val="1"/>
                <w:color w:val="auto"/>
              </w:rPr>
              <w:t>Coverage ratio of NPLs</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107.4%</w:t>
            </w: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112.4%</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113.8%</w:t>
            </w:r>
          </w:p>
        </w:tc>
        <w:tc>
          <w:tcPr>
            <w:tcW w:w="860" w:type="dxa"/>
            <w:vAlign w:val="bottom"/>
            <w:tcBorders>
              <w:bottom w:val="single" w:sz="8" w:color="auto"/>
            </w:tcBorders>
          </w:tcPr>
          <w:p>
            <w:pPr>
              <w:jc w:val="center"/>
              <w:ind w:left="244"/>
              <w:spacing w:after="0"/>
              <w:rPr>
                <w:sz w:val="20"/>
                <w:szCs w:val="20"/>
                <w:color w:val="auto"/>
              </w:rPr>
            </w:pPr>
            <w:r>
              <w:rPr>
                <w:rFonts w:ascii="Times New Roman" w:cs="Times New Roman" w:eastAsia="Times New Roman" w:hAnsi="Times New Roman"/>
                <w:sz w:val="15"/>
                <w:szCs w:val="15"/>
                <w:b w:val="1"/>
                <w:bCs w:val="1"/>
                <w:color w:val="auto"/>
              </w:rPr>
              <w:t>137 bps</w:t>
            </w:r>
          </w:p>
        </w:tc>
        <w:tc>
          <w:tcPr>
            <w:tcW w:w="1600" w:type="dxa"/>
            <w:vAlign w:val="bottom"/>
            <w:tcBorders>
              <w:bottom w:val="single" w:sz="8" w:color="auto"/>
              <w:right w:val="single" w:sz="8" w:color="auto"/>
            </w:tcBorders>
          </w:tcPr>
          <w:p>
            <w:pPr>
              <w:jc w:val="center"/>
              <w:ind w:left="244"/>
              <w:spacing w:after="0"/>
              <w:rPr>
                <w:sz w:val="20"/>
                <w:szCs w:val="20"/>
                <w:color w:val="auto"/>
              </w:rPr>
            </w:pPr>
            <w:r>
              <w:rPr>
                <w:rFonts w:ascii="Times New Roman" w:cs="Times New Roman" w:eastAsia="Times New Roman" w:hAnsi="Times New Roman"/>
                <w:sz w:val="15"/>
                <w:szCs w:val="15"/>
                <w:b w:val="1"/>
                <w:bCs w:val="1"/>
                <w:color w:val="auto"/>
                <w:w w:val="98"/>
              </w:rPr>
              <w:t>640 bps</w:t>
            </w:r>
          </w:p>
        </w:tc>
      </w:tr>
    </w:tbl>
    <w:p>
      <w:pPr>
        <w:spacing w:after="0" w:line="183"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7"/>
          <w:szCs w:val="17"/>
          <w:b w:val="1"/>
          <w:bCs w:val="1"/>
          <w:color w:val="auto"/>
        </w:rPr>
        <w:t>Allowance for loan losses</w:t>
      </w:r>
    </w:p>
    <w:p>
      <w:pPr>
        <w:spacing w:after="0" w:line="27"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7"/>
          <w:szCs w:val="17"/>
          <w:color w:val="auto"/>
        </w:rPr>
        <w:t>(in 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226695</wp:posOffset>
            </wp:positionH>
            <wp:positionV relativeFrom="paragraph">
              <wp:posOffset>133985</wp:posOffset>
            </wp:positionV>
            <wp:extent cx="2981960" cy="14751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981960" cy="1475105"/>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left="5840" w:right="300"/>
        <w:spacing w:after="0" w:line="282" w:lineRule="auto"/>
        <w:rPr>
          <w:sz w:val="20"/>
          <w:szCs w:val="20"/>
          <w:color w:val="auto"/>
        </w:rPr>
      </w:pPr>
      <w:r>
        <w:rPr>
          <w:rFonts w:ascii="Times New Roman" w:cs="Times New Roman" w:eastAsia="Times New Roman" w:hAnsi="Times New Roman"/>
          <w:sz w:val="17"/>
          <w:szCs w:val="17"/>
          <w:b w:val="1"/>
          <w:bCs w:val="1"/>
          <w:color w:val="auto"/>
        </w:rPr>
        <w:t xml:space="preserve">QoQ, </w:t>
      </w:r>
      <w:r>
        <w:rPr>
          <w:rFonts w:ascii="Times New Roman" w:cs="Times New Roman" w:eastAsia="Times New Roman" w:hAnsi="Times New Roman"/>
          <w:sz w:val="17"/>
          <w:szCs w:val="17"/>
          <w:color w:val="auto"/>
        </w:rPr>
        <w:t>the loan allowance dropped 3.2%, driven mainly by</w:t>
      </w:r>
      <w:r>
        <w:rPr>
          <w:rFonts w:ascii="Times New Roman" w:cs="Times New Roman" w:eastAsia="Times New Roman" w:hAnsi="Times New Roman"/>
          <w:sz w:val="17"/>
          <w:szCs w:val="17"/>
          <w:b w:val="1"/>
          <w:bCs w:val="1"/>
          <w:color w:val="auto"/>
        </w:rPr>
        <w:t xml:space="preserve"> SME-Pyme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b w:val="1"/>
          <w:bCs w:val="1"/>
          <w:color w:val="auto"/>
        </w:rPr>
        <w:t xml:space="preserve"> Individuals at BCP Stand-alone.</w:t>
      </w:r>
    </w:p>
    <w:p>
      <w:pPr>
        <w:spacing w:after="0" w:line="150" w:lineRule="exact"/>
        <w:rPr>
          <w:sz w:val="20"/>
          <w:szCs w:val="20"/>
          <w:color w:val="auto"/>
        </w:rPr>
      </w:pPr>
    </w:p>
    <w:p>
      <w:pPr>
        <w:ind w:left="5840" w:right="360"/>
        <w:spacing w:after="0" w:line="282" w:lineRule="auto"/>
        <w:rPr>
          <w:sz w:val="20"/>
          <w:szCs w:val="20"/>
          <w:color w:val="auto"/>
        </w:rPr>
      </w:pPr>
      <w:r>
        <w:rPr>
          <w:rFonts w:ascii="Times New Roman" w:cs="Times New Roman" w:eastAsia="Times New Roman" w:hAnsi="Times New Roman"/>
          <w:sz w:val="17"/>
          <w:szCs w:val="17"/>
          <w:b w:val="1"/>
          <w:bCs w:val="1"/>
          <w:color w:val="auto"/>
        </w:rPr>
        <w:t xml:space="preserve">YoY, </w:t>
      </w:r>
      <w:r>
        <w:rPr>
          <w:rFonts w:ascii="Times New Roman" w:cs="Times New Roman" w:eastAsia="Times New Roman" w:hAnsi="Times New Roman"/>
          <w:sz w:val="17"/>
          <w:szCs w:val="17"/>
          <w:color w:val="auto"/>
        </w:rPr>
        <w:t>the allowance fell 4.1%, fueled primarily by the same dynamics seen</w:t>
      </w:r>
      <w:r>
        <w:rPr>
          <w:rFonts w:ascii="Times New Roman" w:cs="Times New Roman" w:eastAsia="Times New Roman" w:hAnsi="Times New Roman"/>
          <w:sz w:val="17"/>
          <w:szCs w:val="17"/>
          <w:b w:val="1"/>
          <w:bCs w:val="1"/>
          <w:color w:val="auto"/>
        </w:rPr>
        <w:t xml:space="preserve"> QoQ</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900" w:type="dxa"/>
        <w:tblCellMar>
          <w:top w:w="0" w:type="dxa"/>
          <w:left w:w="0" w:type="dxa"/>
          <w:bottom w:w="0" w:type="dxa"/>
          <w:right w:w="0" w:type="dxa"/>
        </w:tblCellMar>
      </w:tblPr>
      <w:tr>
        <w:trPr>
          <w:trHeight w:val="154"/>
        </w:trPr>
        <w:tc>
          <w:tcPr>
            <w:tcW w:w="4280" w:type="dxa"/>
            <w:vAlign w:val="bottom"/>
          </w:tcPr>
          <w:p>
            <w:pPr>
              <w:jc w:val="center"/>
              <w:ind w:right="608"/>
              <w:spacing w:after="0"/>
              <w:rPr>
                <w:sz w:val="20"/>
                <w:szCs w:val="20"/>
                <w:color w:val="auto"/>
              </w:rPr>
            </w:pPr>
            <w:r>
              <w:rPr>
                <w:rFonts w:ascii="Times New Roman" w:cs="Times New Roman" w:eastAsia="Times New Roman" w:hAnsi="Times New Roman"/>
                <w:sz w:val="12"/>
                <w:szCs w:val="12"/>
                <w:color w:val="auto"/>
                <w:w w:val="98"/>
              </w:rPr>
              <w:t>(1) Others include BCP Bolivia, Mibanco Colombia, ASB and eliminations.</w:t>
            </w:r>
          </w:p>
        </w:tc>
        <w:tc>
          <w:tcPr>
            <w:tcW w:w="6060" w:type="dxa"/>
            <w:vAlign w:val="bottom"/>
          </w:tcPr>
          <w:p>
            <w:pPr>
              <w:spacing w:after="0"/>
              <w:rPr>
                <w:sz w:val="13"/>
                <w:szCs w:val="13"/>
                <w:color w:val="auto"/>
              </w:rPr>
            </w:pPr>
          </w:p>
        </w:tc>
      </w:tr>
      <w:tr>
        <w:trPr>
          <w:trHeight w:val="379"/>
        </w:trPr>
        <w:tc>
          <w:tcPr>
            <w:tcW w:w="4280" w:type="dxa"/>
            <w:vAlign w:val="bottom"/>
          </w:tcPr>
          <w:p>
            <w:pPr>
              <w:jc w:val="center"/>
              <w:ind w:right="608"/>
              <w:spacing w:after="0"/>
              <w:rPr>
                <w:sz w:val="20"/>
                <w:szCs w:val="20"/>
                <w:color w:val="auto"/>
              </w:rPr>
            </w:pPr>
            <w:r>
              <w:rPr>
                <w:rFonts w:ascii="Times New Roman" w:cs="Times New Roman" w:eastAsia="Times New Roman" w:hAnsi="Times New Roman"/>
                <w:sz w:val="17"/>
                <w:szCs w:val="17"/>
                <w:b w:val="1"/>
                <w:bCs w:val="1"/>
                <w:color w:val="auto"/>
              </w:rPr>
              <w:t>NPL Coverage Ratio</w:t>
            </w:r>
          </w:p>
        </w:tc>
        <w:tc>
          <w:tcPr>
            <w:tcW w:w="606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 xml:space="preserve">The Total NPL Coverage Ratio at </w:t>
            </w:r>
            <w:r>
              <w:rPr>
                <w:rFonts w:ascii="Times New Roman" w:cs="Times New Roman" w:eastAsia="Times New Roman" w:hAnsi="Times New Roman"/>
                <w:sz w:val="17"/>
                <w:szCs w:val="17"/>
                <w:b w:val="1"/>
                <w:bCs w:val="1"/>
                <w:color w:val="auto"/>
              </w:rPr>
              <w:t>Credicorp</w:t>
            </w:r>
            <w:r>
              <w:rPr>
                <w:rFonts w:ascii="Times New Roman" w:cs="Times New Roman" w:eastAsia="Times New Roman" w:hAnsi="Times New Roman"/>
                <w:sz w:val="17"/>
                <w:szCs w:val="17"/>
                <w:color w:val="auto"/>
              </w:rPr>
              <w:t xml:space="preserve"> stood at 113.8% at the end of</w:t>
            </w:r>
          </w:p>
        </w:tc>
      </w:tr>
      <w:tr>
        <w:trPr>
          <w:trHeight w:val="219"/>
        </w:trPr>
        <w:tc>
          <w:tcPr>
            <w:tcW w:w="4280" w:type="dxa"/>
            <w:vAlign w:val="bottom"/>
          </w:tcPr>
          <w:p>
            <w:pPr>
              <w:spacing w:after="0"/>
              <w:rPr>
                <w:sz w:val="19"/>
                <w:szCs w:val="19"/>
                <w:color w:val="auto"/>
              </w:rPr>
            </w:pPr>
          </w:p>
        </w:tc>
        <w:tc>
          <w:tcPr>
            <w:tcW w:w="606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1Q26.</w:t>
            </w:r>
          </w:p>
        </w:tc>
      </w:tr>
      <w:tr>
        <w:trPr>
          <w:trHeight w:val="386"/>
        </w:trPr>
        <w:tc>
          <w:tcPr>
            <w:tcW w:w="4280" w:type="dxa"/>
            <w:vAlign w:val="bottom"/>
          </w:tcPr>
          <w:p>
            <w:pPr>
              <w:spacing w:after="0"/>
              <w:rPr>
                <w:sz w:val="24"/>
                <w:szCs w:val="24"/>
                <w:color w:val="auto"/>
              </w:rPr>
            </w:pPr>
          </w:p>
        </w:tc>
        <w:tc>
          <w:tcPr>
            <w:tcW w:w="6060" w:type="dxa"/>
            <w:vAlign w:val="bottom"/>
          </w:tcPr>
          <w:p>
            <w:pPr>
              <w:ind w:left="660"/>
              <w:spacing w:after="0"/>
              <w:rPr>
                <w:sz w:val="20"/>
                <w:szCs w:val="20"/>
                <w:color w:val="auto"/>
              </w:rPr>
            </w:pPr>
            <w:r>
              <w:rPr>
                <w:rFonts w:ascii="Times New Roman" w:cs="Times New Roman" w:eastAsia="Times New Roman" w:hAnsi="Times New Roman"/>
                <w:sz w:val="17"/>
                <w:szCs w:val="17"/>
                <w:b w:val="1"/>
                <w:bCs w:val="1"/>
                <w:color w:val="auto"/>
              </w:rPr>
              <w:t>QoQ</w:t>
            </w:r>
          </w:p>
        </w:tc>
      </w:tr>
      <w:tr>
        <w:trPr>
          <w:trHeight w:val="203"/>
        </w:trPr>
        <w:tc>
          <w:tcPr>
            <w:tcW w:w="4280" w:type="dxa"/>
            <w:vAlign w:val="bottom"/>
          </w:tcPr>
          <w:p>
            <w:pPr>
              <w:spacing w:after="0"/>
              <w:rPr>
                <w:sz w:val="17"/>
                <w:szCs w:val="17"/>
                <w:color w:val="auto"/>
              </w:rPr>
            </w:pPr>
          </w:p>
        </w:tc>
        <w:tc>
          <w:tcPr>
            <w:tcW w:w="606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 xml:space="preserve">The Total NPL Coverage Ratio at </w:t>
            </w:r>
            <w:r>
              <w:rPr>
                <w:rFonts w:ascii="Times New Roman" w:cs="Times New Roman" w:eastAsia="Times New Roman" w:hAnsi="Times New Roman"/>
                <w:sz w:val="17"/>
                <w:szCs w:val="17"/>
                <w:b w:val="1"/>
                <w:bCs w:val="1"/>
                <w:color w:val="auto"/>
              </w:rPr>
              <w:t>Credicorp</w:t>
            </w:r>
            <w:r>
              <w:rPr>
                <w:rFonts w:ascii="Times New Roman" w:cs="Times New Roman" w:eastAsia="Times New Roman" w:hAnsi="Times New Roman"/>
                <w:sz w:val="17"/>
                <w:szCs w:val="17"/>
                <w:color w:val="auto"/>
              </w:rPr>
              <w:t xml:space="preserve"> rose 137 bps, driven by the</w:t>
            </w:r>
          </w:p>
        </w:tc>
      </w:tr>
      <w:tr>
        <w:trPr>
          <w:trHeight w:val="223"/>
        </w:trPr>
        <w:tc>
          <w:tcPr>
            <w:tcW w:w="4280" w:type="dxa"/>
            <w:vAlign w:val="bottom"/>
          </w:tcPr>
          <w:p>
            <w:pPr>
              <w:spacing w:after="0"/>
              <w:rPr>
                <w:sz w:val="19"/>
                <w:szCs w:val="19"/>
                <w:color w:val="auto"/>
              </w:rPr>
            </w:pPr>
          </w:p>
        </w:tc>
        <w:tc>
          <w:tcPr>
            <w:tcW w:w="606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 xml:space="preserve">evolution at </w:t>
            </w:r>
            <w:r>
              <w:rPr>
                <w:rFonts w:ascii="Times New Roman" w:cs="Times New Roman" w:eastAsia="Times New Roman" w:hAnsi="Times New Roman"/>
                <w:sz w:val="17"/>
                <w:szCs w:val="17"/>
                <w:b w:val="1"/>
                <w:bCs w:val="1"/>
                <w:color w:val="auto"/>
              </w:rPr>
              <w:t>BCP Stand-alone</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b w:val="1"/>
                <w:bCs w:val="1"/>
                <w:color w:val="auto"/>
              </w:rPr>
              <w:t>Mibanco.</w:t>
            </w:r>
          </w:p>
        </w:tc>
      </w:tr>
      <w:tr>
        <w:trPr>
          <w:trHeight w:val="390"/>
        </w:trPr>
        <w:tc>
          <w:tcPr>
            <w:tcW w:w="4280" w:type="dxa"/>
            <w:vAlign w:val="bottom"/>
          </w:tcPr>
          <w:p>
            <w:pPr>
              <w:spacing w:after="0"/>
              <w:rPr>
                <w:sz w:val="24"/>
                <w:szCs w:val="24"/>
                <w:color w:val="auto"/>
              </w:rPr>
            </w:pPr>
          </w:p>
        </w:tc>
        <w:tc>
          <w:tcPr>
            <w:tcW w:w="606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 xml:space="preserve">At </w:t>
            </w:r>
            <w:r>
              <w:rPr>
                <w:rFonts w:ascii="Times New Roman" w:cs="Times New Roman" w:eastAsia="Times New Roman" w:hAnsi="Times New Roman"/>
                <w:sz w:val="17"/>
                <w:szCs w:val="17"/>
                <w:b w:val="1"/>
                <w:bCs w:val="1"/>
                <w:color w:val="auto"/>
              </w:rPr>
              <w:t>BCP Stand-alone</w:t>
            </w:r>
            <w:r>
              <w:rPr>
                <w:rFonts w:ascii="Times New Roman" w:cs="Times New Roman" w:eastAsia="Times New Roman" w:hAnsi="Times New Roman"/>
                <w:sz w:val="17"/>
                <w:szCs w:val="17"/>
                <w:color w:val="auto"/>
              </w:rPr>
              <w:t>, the ratio increased 4 bps to state at 112.2%. This</w:t>
            </w:r>
          </w:p>
        </w:tc>
      </w:tr>
      <w:tr>
        <w:trPr>
          <w:trHeight w:val="199"/>
        </w:trPr>
        <w:tc>
          <w:tcPr>
            <w:tcW w:w="4280" w:type="dxa"/>
            <w:vAlign w:val="bottom"/>
          </w:tcPr>
          <w:p>
            <w:pPr>
              <w:spacing w:after="0"/>
              <w:rPr>
                <w:sz w:val="17"/>
                <w:szCs w:val="17"/>
                <w:color w:val="auto"/>
              </w:rPr>
            </w:pPr>
          </w:p>
        </w:tc>
        <w:tc>
          <w:tcPr>
            <w:tcW w:w="606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evolution was fueled by a decrease in the NPL portfolio, which was led by the</w:t>
            </w:r>
          </w:p>
        </w:tc>
      </w:tr>
      <w:tr>
        <w:trPr>
          <w:trHeight w:val="207"/>
        </w:trPr>
        <w:tc>
          <w:tcPr>
            <w:tcW w:w="4280" w:type="dxa"/>
            <w:vAlign w:val="bottom"/>
          </w:tcPr>
          <w:p>
            <w:pPr>
              <w:spacing w:after="0"/>
              <w:rPr>
                <w:sz w:val="18"/>
                <w:szCs w:val="18"/>
                <w:color w:val="auto"/>
              </w:rPr>
            </w:pPr>
          </w:p>
        </w:tc>
        <w:tc>
          <w:tcPr>
            <w:tcW w:w="606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 xml:space="preserve">same dynamics seen </w:t>
            </w:r>
            <w:r>
              <w:rPr>
                <w:rFonts w:ascii="Times New Roman" w:cs="Times New Roman" w:eastAsia="Times New Roman" w:hAnsi="Times New Roman"/>
                <w:sz w:val="17"/>
                <w:szCs w:val="17"/>
                <w:b w:val="1"/>
                <w:bCs w:val="1"/>
                <w:color w:val="auto"/>
              </w:rPr>
              <w:t>QoQ</w:t>
            </w:r>
            <w:r>
              <w:rPr>
                <w:rFonts w:ascii="Times New Roman" w:cs="Times New Roman" w:eastAsia="Times New Roman" w:hAnsi="Times New Roman"/>
                <w:sz w:val="17"/>
                <w:szCs w:val="17"/>
                <w:color w:val="auto"/>
              </w:rPr>
              <w:t xml:space="preserve">. At </w:t>
            </w:r>
            <w:r>
              <w:rPr>
                <w:rFonts w:ascii="Times New Roman" w:cs="Times New Roman" w:eastAsia="Times New Roman" w:hAnsi="Times New Roman"/>
                <w:sz w:val="17"/>
                <w:szCs w:val="17"/>
                <w:b w:val="1"/>
                <w:bCs w:val="1"/>
                <w:color w:val="auto"/>
              </w:rPr>
              <w:t>Mibanco</w:t>
            </w:r>
            <w:r>
              <w:rPr>
                <w:rFonts w:ascii="Times New Roman" w:cs="Times New Roman" w:eastAsia="Times New Roman" w:hAnsi="Times New Roman"/>
                <w:sz w:val="17"/>
                <w:szCs w:val="17"/>
                <w:color w:val="auto"/>
              </w:rPr>
              <w:t>, the ratio increased 10 pp. to stand at</w:t>
            </w:r>
          </w:p>
        </w:tc>
      </w:tr>
      <w:tr>
        <w:trPr>
          <w:trHeight w:val="203"/>
        </w:trPr>
        <w:tc>
          <w:tcPr>
            <w:tcW w:w="4280" w:type="dxa"/>
            <w:vAlign w:val="bottom"/>
          </w:tcPr>
          <w:p>
            <w:pPr>
              <w:spacing w:after="0"/>
              <w:rPr>
                <w:sz w:val="17"/>
                <w:szCs w:val="17"/>
                <w:color w:val="auto"/>
              </w:rPr>
            </w:pPr>
          </w:p>
        </w:tc>
        <w:tc>
          <w:tcPr>
            <w:tcW w:w="606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137.4%. This evolution was fueled mainly by an increase in the provisions</w:t>
            </w:r>
          </w:p>
        </w:tc>
      </w:tr>
      <w:tr>
        <w:trPr>
          <w:trHeight w:val="199"/>
        </w:trPr>
        <w:tc>
          <w:tcPr>
            <w:tcW w:w="4280" w:type="dxa"/>
            <w:vAlign w:val="bottom"/>
          </w:tcPr>
          <w:p>
            <w:pPr>
              <w:spacing w:after="0"/>
              <w:rPr>
                <w:sz w:val="17"/>
                <w:szCs w:val="17"/>
                <w:color w:val="auto"/>
              </w:rPr>
            </w:pPr>
          </w:p>
        </w:tc>
        <w:tc>
          <w:tcPr>
            <w:tcW w:w="606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balance and secondarily by a drop in the NPL portfolio, which was driven by</w:t>
            </w:r>
          </w:p>
        </w:tc>
      </w:tr>
      <w:tr>
        <w:trPr>
          <w:trHeight w:val="223"/>
        </w:trPr>
        <w:tc>
          <w:tcPr>
            <w:tcW w:w="4280" w:type="dxa"/>
            <w:vAlign w:val="bottom"/>
          </w:tcPr>
          <w:p>
            <w:pPr>
              <w:spacing w:after="0"/>
              <w:rPr>
                <w:sz w:val="19"/>
                <w:szCs w:val="19"/>
                <w:color w:val="auto"/>
              </w:rPr>
            </w:pPr>
          </w:p>
        </w:tc>
        <w:tc>
          <w:tcPr>
            <w:tcW w:w="606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 xml:space="preserve">the same factors that drove the </w:t>
            </w:r>
            <w:r>
              <w:rPr>
                <w:rFonts w:ascii="Times New Roman" w:cs="Times New Roman" w:eastAsia="Times New Roman" w:hAnsi="Times New Roman"/>
                <w:sz w:val="17"/>
                <w:szCs w:val="17"/>
                <w:b w:val="1"/>
                <w:bCs w:val="1"/>
                <w:color w:val="auto"/>
              </w:rPr>
              <w:t>QoQ</w:t>
            </w:r>
            <w:r>
              <w:rPr>
                <w:rFonts w:ascii="Times New Roman" w:cs="Times New Roman" w:eastAsia="Times New Roman" w:hAnsi="Times New Roman"/>
                <w:sz w:val="17"/>
                <w:szCs w:val="17"/>
                <w:color w:val="auto"/>
              </w:rPr>
              <w:t xml:space="preserve"> evolution.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-1417320</wp:posOffset>
            </wp:positionV>
            <wp:extent cx="2981960" cy="20472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981960" cy="2047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YoY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The Total NPL Coverage Ratio at </w:t>
      </w:r>
      <w:r>
        <w:rPr>
          <w:rFonts w:ascii="Times New Roman" w:cs="Times New Roman" w:eastAsia="Times New Roman" w:hAnsi="Times New Roman"/>
          <w:sz w:val="17"/>
          <w:szCs w:val="17"/>
          <w:b w:val="1"/>
          <w:bCs w:val="1"/>
          <w:color w:val="auto"/>
        </w:rPr>
        <w:t>Credicorp</w:t>
      </w:r>
      <w:r>
        <w:rPr>
          <w:rFonts w:ascii="Times New Roman" w:cs="Times New Roman" w:eastAsia="Times New Roman" w:hAnsi="Times New Roman"/>
          <w:sz w:val="17"/>
          <w:szCs w:val="17"/>
          <w:color w:val="auto"/>
        </w:rPr>
        <w:t xml:space="preserve"> increased 640 bps, spurred mainly by the evolution of </w:t>
      </w:r>
      <w:r>
        <w:rPr>
          <w:rFonts w:ascii="Times New Roman" w:cs="Times New Roman" w:eastAsia="Times New Roman" w:hAnsi="Times New Roman"/>
          <w:sz w:val="17"/>
          <w:szCs w:val="17"/>
          <w:b w:val="1"/>
          <w:bCs w:val="1"/>
          <w:color w:val="auto"/>
        </w:rPr>
        <w:t>BCP Stand-alone</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b w:val="1"/>
          <w:bCs w:val="1"/>
          <w:color w:val="auto"/>
        </w:rPr>
        <w:t>Mibanco</w:t>
      </w:r>
      <w:r>
        <w:rPr>
          <w:rFonts w:ascii="Times New Roman" w:cs="Times New Roman" w:eastAsia="Times New Roman" w:hAnsi="Times New Roman"/>
          <w:sz w:val="17"/>
          <w:szCs w:val="17"/>
          <w:color w:val="auto"/>
        </w:rPr>
        <w:t>.</w:t>
      </w:r>
    </w:p>
    <w:p>
      <w:pPr>
        <w:spacing w:after="0" w:line="19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 xml:space="preserve">At </w:t>
      </w:r>
      <w:r>
        <w:rPr>
          <w:rFonts w:ascii="Times New Roman" w:cs="Times New Roman" w:eastAsia="Times New Roman" w:hAnsi="Times New Roman"/>
          <w:sz w:val="17"/>
          <w:szCs w:val="17"/>
          <w:b w:val="1"/>
          <w:bCs w:val="1"/>
          <w:color w:val="auto"/>
        </w:rPr>
        <w:t>BCP Stand-alone,</w:t>
      </w:r>
      <w:r>
        <w:rPr>
          <w:rFonts w:ascii="Times New Roman" w:cs="Times New Roman" w:eastAsia="Times New Roman" w:hAnsi="Times New Roman"/>
          <w:sz w:val="17"/>
          <w:szCs w:val="17"/>
          <w:color w:val="auto"/>
        </w:rPr>
        <w:t xml:space="preserve"> the ratio rose 467 bps, impacted by a drop in the NPL portfolio, which was fueled by the same dynamics seen in the </w:t>
      </w:r>
      <w:r>
        <w:rPr>
          <w:rFonts w:ascii="Times New Roman" w:cs="Times New Roman" w:eastAsia="Times New Roman" w:hAnsi="Times New Roman"/>
          <w:sz w:val="17"/>
          <w:szCs w:val="17"/>
          <w:b w:val="1"/>
          <w:bCs w:val="1"/>
          <w:color w:val="auto"/>
        </w:rPr>
        <w:t>YoY</w:t>
      </w:r>
      <w:r>
        <w:rPr>
          <w:rFonts w:ascii="Times New Roman" w:cs="Times New Roman" w:eastAsia="Times New Roman" w:hAnsi="Times New Roman"/>
          <w:sz w:val="17"/>
          <w:szCs w:val="17"/>
          <w:color w:val="auto"/>
        </w:rPr>
        <w:t xml:space="preserve"> analysis. At </w:t>
      </w:r>
      <w:r>
        <w:rPr>
          <w:rFonts w:ascii="Times New Roman" w:cs="Times New Roman" w:eastAsia="Times New Roman" w:hAnsi="Times New Roman"/>
          <w:sz w:val="17"/>
          <w:szCs w:val="17"/>
          <w:b w:val="1"/>
          <w:bCs w:val="1"/>
          <w:color w:val="auto"/>
        </w:rPr>
        <w:t>Mibanco</w:t>
      </w:r>
      <w:r>
        <w:rPr>
          <w:rFonts w:ascii="Times New Roman" w:cs="Times New Roman" w:eastAsia="Times New Roman" w:hAnsi="Times New Roman"/>
          <w:sz w:val="17"/>
          <w:szCs w:val="17"/>
          <w:color w:val="auto"/>
        </w:rPr>
        <w:t>, the ratio increased 30 pp.</w:t>
      </w:r>
      <w:r>
        <w:rPr>
          <w:rFonts w:ascii="Times New Roman" w:cs="Times New Roman" w:eastAsia="Times New Roman" w:hAnsi="Times New Roman"/>
          <w:sz w:val="17"/>
          <w:szCs w:val="17"/>
          <w:b w:val="1"/>
          <w:bCs w:val="1"/>
          <w:color w:val="auto"/>
        </w:rPr>
        <w:t xml:space="preserve"> YoY</w:t>
      </w:r>
      <w:r>
        <w:rPr>
          <w:rFonts w:ascii="Times New Roman" w:cs="Times New Roman" w:eastAsia="Times New Roman" w:hAnsi="Times New Roman"/>
          <w:sz w:val="17"/>
          <w:szCs w:val="17"/>
          <w:color w:val="auto"/>
        </w:rPr>
        <w:t>, driven by a drop in the NPL portfolio, which fell on the back of the dynamics seen in the</w:t>
      </w:r>
      <w:r>
        <w:rPr>
          <w:rFonts w:ascii="Times New Roman" w:cs="Times New Roman" w:eastAsia="Times New Roman" w:hAnsi="Times New Roman"/>
          <w:sz w:val="17"/>
          <w:szCs w:val="17"/>
          <w:b w:val="1"/>
          <w:bCs w:val="1"/>
          <w:color w:val="auto"/>
        </w:rPr>
        <w:t xml:space="preserve"> YoY </w:t>
      </w:r>
      <w:r>
        <w:rPr>
          <w:rFonts w:ascii="Times New Roman" w:cs="Times New Roman" w:eastAsia="Times New Roman" w:hAnsi="Times New Roman"/>
          <w:sz w:val="17"/>
          <w:szCs w:val="17"/>
          <w:color w:val="auto"/>
        </w:rPr>
        <w:t>evolution</w:t>
      </w:r>
      <w:r>
        <w:rPr>
          <w:rFonts w:ascii="Times New Roman" w:cs="Times New Roman" w:eastAsia="Times New Roman" w:hAnsi="Times New Roman"/>
          <w:sz w:val="17"/>
          <w:szCs w:val="17"/>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1050925</wp:posOffset>
            </wp:positionV>
            <wp:extent cx="7140575" cy="1587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0575" cy="15875"/>
                    </a:xfrm>
                    <a:prstGeom prst="rect">
                      <a:avLst/>
                    </a:prstGeom>
                    <a:noFill/>
                  </pic:spPr>
                </pic:pic>
              </a:graphicData>
            </a:graphic>
          </wp:anchor>
        </w:drawing>
        <w:drawing>
          <wp:anchor simplePos="0" relativeHeight="251657728" behindDoc="1" locked="0" layoutInCell="0" allowOverlap="1">
            <wp:simplePos x="0" y="0"/>
            <wp:positionH relativeFrom="column">
              <wp:posOffset>331470</wp:posOffset>
            </wp:positionH>
            <wp:positionV relativeFrom="paragraph">
              <wp:posOffset>107950</wp:posOffset>
            </wp:positionV>
            <wp:extent cx="6447155" cy="5156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447155" cy="515620"/>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31" w:name="page32"/>
    <w:bookmarkEnd w:id="31"/>
    <w:p>
      <w:pPr>
        <w:ind w:left="3200"/>
        <w:spacing w:after="0"/>
        <w:tabs>
          <w:tab w:leader="none" w:pos="3380" w:val="left"/>
          <w:tab w:leader="none" w:pos="9060" w:val="left"/>
        </w:tabs>
        <w:rPr>
          <w:sz w:val="20"/>
          <w:szCs w:val="20"/>
          <w:color w:val="auto"/>
        </w:rPr>
      </w:pPr>
      <w:r>
        <w:rPr>
          <w:rFonts w:ascii="Times New Roman" w:cs="Times New Roman" w:eastAsia="Times New Roman" w:hAnsi="Times New Roman"/>
          <w:sz w:val="17"/>
          <w:szCs w:val="17"/>
          <w:color w:val="A6A6A6"/>
        </w:rPr>
        <w:drawing>
          <wp:anchor simplePos="0" relativeHeight="251657728" behindDoc="1" locked="0" layoutInCell="0" allowOverlap="1">
            <wp:simplePos x="0" y="0"/>
            <wp:positionH relativeFrom="page">
              <wp:posOffset>204470</wp:posOffset>
            </wp:positionH>
            <wp:positionV relativeFrom="page">
              <wp:posOffset>217805</wp:posOffset>
            </wp:positionV>
            <wp:extent cx="7140575" cy="6927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0575" cy="692785"/>
                    </a:xfrm>
                    <a:prstGeom prst="rect">
                      <a:avLst/>
                    </a:prstGeom>
                    <a:noFill/>
                  </pic:spPr>
                </pic:pic>
              </a:graphicData>
            </a:graphic>
          </wp:anchor>
        </w:drawing>
        <w:t>|</w:t>
      </w:r>
      <w:r>
        <w:rPr>
          <w:sz w:val="20"/>
          <w:szCs w:val="20"/>
          <w:color w:val="auto"/>
        </w:rPr>
        <w:tab/>
      </w:r>
      <w:r>
        <w:rPr>
          <w:rFonts w:ascii="Times New Roman" w:cs="Times New Roman" w:eastAsia="Times New Roman" w:hAnsi="Times New Roman"/>
          <w:sz w:val="14"/>
          <w:szCs w:val="14"/>
          <w:color w:val="FFFFFF"/>
        </w:rPr>
        <w:t>Earnings Release 1Q / 2026</w:t>
      </w:r>
      <w:r>
        <w:rPr>
          <w:sz w:val="20"/>
          <w:szCs w:val="20"/>
          <w:color w:val="auto"/>
        </w:rPr>
        <w:tab/>
      </w:r>
      <w:r>
        <w:rPr>
          <w:rFonts w:ascii="Times New Roman" w:cs="Times New Roman" w:eastAsia="Times New Roman" w:hAnsi="Times New Roman"/>
          <w:sz w:val="12"/>
          <w:szCs w:val="12"/>
          <w:color w:val="FF00FF"/>
        </w:rPr>
        <w:t>Analysis of 1Q26 Consolidated Results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49"/>
          <w:szCs w:val="49"/>
          <w:b w:val="1"/>
          <w:bCs w:val="1"/>
          <w:color w:val="E93BAC"/>
        </w:rPr>
        <w:t>06</w:t>
      </w:r>
      <w:r>
        <w:rPr>
          <w:sz w:val="20"/>
          <w:szCs w:val="20"/>
          <w:color w:val="auto"/>
        </w:rPr>
        <w:tab/>
      </w:r>
      <w:r>
        <w:rPr>
          <w:rFonts w:ascii="Times New Roman" w:cs="Times New Roman" w:eastAsia="Times New Roman" w:hAnsi="Times New Roman"/>
          <w:sz w:val="30"/>
          <w:szCs w:val="30"/>
          <w:color w:val="E93BAC"/>
        </w:rPr>
        <w:t>Other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123190</wp:posOffset>
            </wp:positionV>
            <wp:extent cx="7140575" cy="127317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0575" cy="1273175"/>
                    </a:xfrm>
                    <a:prstGeom prst="rect">
                      <a:avLst/>
                    </a:prstGeom>
                    <a:noFill/>
                  </pic:spPr>
                </pic:pic>
              </a:graphicData>
            </a:graphic>
          </wp:anchor>
        </w:drawing>
      </w:r>
    </w:p>
    <w:p>
      <w:pPr>
        <w:spacing w:after="0" w:line="246" w:lineRule="exact"/>
        <w:rPr>
          <w:sz w:val="20"/>
          <w:szCs w:val="20"/>
          <w:color w:val="auto"/>
        </w:rPr>
      </w:pPr>
    </w:p>
    <w:p>
      <w:pPr>
        <w:jc w:val="both"/>
        <w:ind w:left="220" w:right="220"/>
        <w:spacing w:after="0" w:line="277" w:lineRule="auto"/>
        <w:rPr>
          <w:sz w:val="20"/>
          <w:szCs w:val="20"/>
          <w:color w:val="auto"/>
        </w:rPr>
      </w:pPr>
      <w:r>
        <w:rPr>
          <w:rFonts w:ascii="Times New Roman" w:cs="Times New Roman" w:eastAsia="Times New Roman" w:hAnsi="Times New Roman"/>
          <w:sz w:val="17"/>
          <w:szCs w:val="17"/>
          <w:color w:val="FFFFFF"/>
        </w:rPr>
        <w:t>In 1Q26, Other Income continued to consolidate within Credicorp’s ecosystem, driven mainly by the solid performance of Other Core Income. This reaffirms that our strategy to diversify revenue streams is well underway as we leverage competitive advantages and strengthen our digital capacities.</w:t>
      </w:r>
    </w:p>
    <w:p>
      <w:pPr>
        <w:spacing w:after="0" w:line="158" w:lineRule="exact"/>
        <w:rPr>
          <w:sz w:val="20"/>
          <w:szCs w:val="20"/>
          <w:color w:val="auto"/>
        </w:rPr>
      </w:pPr>
    </w:p>
    <w:p>
      <w:pPr>
        <w:jc w:val="both"/>
        <w:ind w:left="220" w:right="200"/>
        <w:spacing w:after="0" w:line="263" w:lineRule="auto"/>
        <w:rPr>
          <w:sz w:val="20"/>
          <w:szCs w:val="20"/>
          <w:color w:val="auto"/>
        </w:rPr>
      </w:pPr>
      <w:r>
        <w:rPr>
          <w:rFonts w:ascii="Times New Roman" w:cs="Times New Roman" w:eastAsia="Times New Roman" w:hAnsi="Times New Roman"/>
          <w:sz w:val="17"/>
          <w:szCs w:val="17"/>
          <w:color w:val="FFFFFF"/>
        </w:rPr>
        <w:t>Growth in Other Core Income (+3.4% QoQ and +19.5% YoY) was fueled primarily by a combination of an uptick in fee income and the positive performance of FX transactions, which were buoyed by an increase in client activity and consistent execution of our commercial strategy. Additionally, exchange-rate volatility also boosted FX gains.</w:t>
      </w:r>
    </w:p>
    <w:p>
      <w:pPr>
        <w:spacing w:after="0" w:line="170" w:lineRule="exact"/>
        <w:rPr>
          <w:sz w:val="20"/>
          <w:szCs w:val="20"/>
          <w:color w:val="auto"/>
        </w:rPr>
      </w:pPr>
    </w:p>
    <w:p>
      <w:pPr>
        <w:jc w:val="both"/>
        <w:ind w:left="220" w:right="200"/>
        <w:spacing w:after="0" w:line="277" w:lineRule="auto"/>
        <w:rPr>
          <w:sz w:val="20"/>
          <w:szCs w:val="20"/>
          <w:color w:val="auto"/>
        </w:rPr>
      </w:pPr>
      <w:r>
        <w:rPr>
          <w:rFonts w:ascii="Times New Roman" w:cs="Times New Roman" w:eastAsia="Times New Roman" w:hAnsi="Times New Roman"/>
          <w:sz w:val="17"/>
          <w:szCs w:val="17"/>
          <w:color w:val="FFFFFF"/>
        </w:rPr>
        <w:t>Other Non-Core Income increased slightly QoQ (+1.4%) but dropped 26.7% YoY, which primarily reflected the normalization of non-recurring income following the consolidation of Pacifico Salud.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 Other Income</w:t>
      </w:r>
    </w:p>
    <w:p>
      <w:pPr>
        <w:spacing w:after="0" w:line="211" w:lineRule="exact"/>
        <w:rPr>
          <w:sz w:val="20"/>
          <w:szCs w:val="20"/>
          <w:color w:val="auto"/>
        </w:rPr>
      </w:pPr>
    </w:p>
    <w:tbl>
      <w:tblPr>
        <w:tblLayout w:type="fixed"/>
        <w:tblInd w:w="1150" w:type="dxa"/>
        <w:tblCellMar>
          <w:top w:w="0" w:type="dxa"/>
          <w:left w:w="0" w:type="dxa"/>
          <w:bottom w:w="0" w:type="dxa"/>
          <w:right w:w="0" w:type="dxa"/>
        </w:tblCellMar>
      </w:tblPr>
      <w:tr>
        <w:trPr>
          <w:trHeight w:val="113"/>
        </w:trPr>
        <w:tc>
          <w:tcPr>
            <w:tcW w:w="4060" w:type="dxa"/>
            <w:vAlign w:val="bottom"/>
            <w:tcBorders>
              <w:top w:val="single" w:sz="8" w:color="auto"/>
              <w:left w:val="single" w:sz="8" w:color="auto"/>
              <w:right w:val="single" w:sz="8" w:color="auto"/>
            </w:tcBorders>
            <w:shd w:val="clear" w:color="auto" w:fill="2AD2C9"/>
          </w:tcPr>
          <w:p>
            <w:pPr>
              <w:ind w:left="60"/>
              <w:spacing w:after="0" w:line="114" w:lineRule="exact"/>
              <w:rPr>
                <w:sz w:val="20"/>
                <w:szCs w:val="20"/>
                <w:color w:val="auto"/>
              </w:rPr>
            </w:pPr>
            <w:r>
              <w:rPr>
                <w:rFonts w:ascii="Times New Roman" w:cs="Times New Roman" w:eastAsia="Times New Roman" w:hAnsi="Times New Roman"/>
                <w:sz w:val="10"/>
                <w:szCs w:val="10"/>
                <w:b w:val="1"/>
                <w:bCs w:val="1"/>
                <w:color w:val="FFFFFF"/>
              </w:rPr>
              <w:t>Other Income</w:t>
            </w:r>
          </w:p>
        </w:tc>
        <w:tc>
          <w:tcPr>
            <w:tcW w:w="980" w:type="dxa"/>
            <w:vAlign w:val="bottom"/>
            <w:tcBorders>
              <w:top w:val="single" w:sz="8" w:color="auto"/>
            </w:tcBorders>
            <w:shd w:val="clear" w:color="auto" w:fill="2AD2C9"/>
          </w:tcPr>
          <w:p>
            <w:pPr>
              <w:spacing w:after="0"/>
              <w:rPr>
                <w:sz w:val="9"/>
                <w:szCs w:val="9"/>
                <w:color w:val="auto"/>
              </w:rPr>
            </w:pPr>
          </w:p>
        </w:tc>
        <w:tc>
          <w:tcPr>
            <w:tcW w:w="980" w:type="dxa"/>
            <w:vAlign w:val="bottom"/>
            <w:tcBorders>
              <w:top w:val="single" w:sz="8" w:color="auto"/>
            </w:tcBorders>
            <w:shd w:val="clear" w:color="auto" w:fill="2AD2C9"/>
          </w:tcPr>
          <w:p>
            <w:pPr>
              <w:ind w:left="320"/>
              <w:spacing w:after="0" w:line="114" w:lineRule="exact"/>
              <w:rPr>
                <w:sz w:val="20"/>
                <w:szCs w:val="20"/>
                <w:color w:val="auto"/>
              </w:rPr>
            </w:pPr>
            <w:r>
              <w:rPr>
                <w:rFonts w:ascii="Times New Roman" w:cs="Times New Roman" w:eastAsia="Times New Roman" w:hAnsi="Times New Roman"/>
                <w:sz w:val="10"/>
                <w:szCs w:val="10"/>
                <w:b w:val="1"/>
                <w:bCs w:val="1"/>
                <w:color w:val="FFFFFF"/>
              </w:rPr>
              <w:t>Quarter</w:t>
            </w:r>
          </w:p>
        </w:tc>
        <w:tc>
          <w:tcPr>
            <w:tcW w:w="1000" w:type="dxa"/>
            <w:vAlign w:val="bottom"/>
            <w:tcBorders>
              <w:top w:val="single" w:sz="8" w:color="auto"/>
              <w:right w:val="single" w:sz="8" w:color="auto"/>
            </w:tcBorders>
            <w:shd w:val="clear" w:color="auto" w:fill="2AD2C9"/>
          </w:tcPr>
          <w:p>
            <w:pPr>
              <w:spacing w:after="0"/>
              <w:rPr>
                <w:sz w:val="9"/>
                <w:szCs w:val="9"/>
                <w:color w:val="auto"/>
              </w:rPr>
            </w:pPr>
          </w:p>
        </w:tc>
        <w:tc>
          <w:tcPr>
            <w:tcW w:w="640" w:type="dxa"/>
            <w:vAlign w:val="bottom"/>
            <w:tcBorders>
              <w:top w:val="single" w:sz="8" w:color="auto"/>
            </w:tcBorders>
            <w:shd w:val="clear" w:color="auto" w:fill="2AD2C9"/>
          </w:tcPr>
          <w:p>
            <w:pPr>
              <w:spacing w:after="0"/>
              <w:rPr>
                <w:sz w:val="9"/>
                <w:szCs w:val="9"/>
                <w:color w:val="auto"/>
              </w:rPr>
            </w:pPr>
          </w:p>
        </w:tc>
        <w:tc>
          <w:tcPr>
            <w:tcW w:w="1320" w:type="dxa"/>
            <w:vAlign w:val="bottom"/>
            <w:tcBorders>
              <w:top w:val="single" w:sz="8" w:color="auto"/>
              <w:right w:val="single" w:sz="8" w:color="auto"/>
            </w:tcBorders>
            <w:shd w:val="clear" w:color="auto" w:fill="2AD2C9"/>
          </w:tcPr>
          <w:p>
            <w:pPr>
              <w:ind w:left="100"/>
              <w:spacing w:after="0" w:line="114" w:lineRule="exact"/>
              <w:rPr>
                <w:sz w:val="20"/>
                <w:szCs w:val="20"/>
                <w:color w:val="auto"/>
              </w:rPr>
            </w:pPr>
            <w:r>
              <w:rPr>
                <w:rFonts w:ascii="Times New Roman" w:cs="Times New Roman" w:eastAsia="Times New Roman" w:hAnsi="Times New Roman"/>
                <w:sz w:val="10"/>
                <w:szCs w:val="10"/>
                <w:b w:val="1"/>
                <w:bCs w:val="1"/>
                <w:color w:val="FFFFFF"/>
              </w:rPr>
              <w:t>% Change</w:t>
            </w:r>
          </w:p>
        </w:tc>
      </w:tr>
      <w:tr>
        <w:trPr>
          <w:trHeight w:val="128"/>
        </w:trPr>
        <w:tc>
          <w:tcPr>
            <w:tcW w:w="4060" w:type="dxa"/>
            <w:vAlign w:val="bottom"/>
            <w:tcBorders>
              <w:left w:val="single" w:sz="8" w:color="auto"/>
              <w:bottom w:val="single" w:sz="8" w:color="auto"/>
              <w:right w:val="single" w:sz="8" w:color="auto"/>
            </w:tcBorders>
            <w:shd w:val="clear" w:color="auto" w:fill="2AD2C9"/>
          </w:tcPr>
          <w:p>
            <w:pPr>
              <w:ind w:left="60"/>
              <w:spacing w:after="0"/>
              <w:rPr>
                <w:sz w:val="20"/>
                <w:szCs w:val="20"/>
                <w:color w:val="auto"/>
              </w:rPr>
            </w:pPr>
            <w:r>
              <w:rPr>
                <w:rFonts w:ascii="Times New Roman" w:cs="Times New Roman" w:eastAsia="Times New Roman" w:hAnsi="Times New Roman"/>
                <w:sz w:val="10"/>
                <w:szCs w:val="10"/>
                <w:b w:val="1"/>
                <w:bCs w:val="1"/>
                <w:color w:val="FFFFFF"/>
              </w:rPr>
              <w:t>(S/ 000)</w:t>
            </w:r>
          </w:p>
        </w:tc>
        <w:tc>
          <w:tcPr>
            <w:tcW w:w="980" w:type="dxa"/>
            <w:vAlign w:val="bottom"/>
            <w:tcBorders>
              <w:bottom w:val="single" w:sz="8" w:color="auto"/>
            </w:tcBorders>
            <w:shd w:val="clear" w:color="auto" w:fill="2AD2C9"/>
          </w:tcPr>
          <w:p>
            <w:pPr>
              <w:jc w:val="center"/>
              <w:spacing w:after="0"/>
              <w:rPr>
                <w:sz w:val="20"/>
                <w:szCs w:val="20"/>
                <w:color w:val="auto"/>
              </w:rPr>
            </w:pPr>
            <w:r>
              <w:rPr>
                <w:rFonts w:ascii="Times New Roman" w:cs="Times New Roman" w:eastAsia="Times New Roman" w:hAnsi="Times New Roman"/>
                <w:sz w:val="10"/>
                <w:szCs w:val="10"/>
                <w:b w:val="1"/>
                <w:bCs w:val="1"/>
                <w:color w:val="FFFFFF"/>
              </w:rPr>
              <w:t>1Q25</w:t>
            </w:r>
          </w:p>
        </w:tc>
        <w:tc>
          <w:tcPr>
            <w:tcW w:w="980" w:type="dxa"/>
            <w:vAlign w:val="bottom"/>
            <w:tcBorders>
              <w:bottom w:val="single" w:sz="8" w:color="auto"/>
            </w:tcBorders>
            <w:shd w:val="clear" w:color="auto" w:fill="2AD2C9"/>
          </w:tcPr>
          <w:p>
            <w:pPr>
              <w:jc w:val="center"/>
              <w:spacing w:after="0"/>
              <w:rPr>
                <w:sz w:val="20"/>
                <w:szCs w:val="20"/>
                <w:color w:val="auto"/>
              </w:rPr>
            </w:pPr>
            <w:r>
              <w:rPr>
                <w:rFonts w:ascii="Times New Roman" w:cs="Times New Roman" w:eastAsia="Times New Roman" w:hAnsi="Times New Roman"/>
                <w:sz w:val="10"/>
                <w:szCs w:val="10"/>
                <w:b w:val="1"/>
                <w:bCs w:val="1"/>
                <w:color w:val="FFFFFF"/>
              </w:rPr>
              <w:t>4Q25</w:t>
            </w:r>
          </w:p>
        </w:tc>
        <w:tc>
          <w:tcPr>
            <w:tcW w:w="100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Times New Roman" w:cs="Times New Roman" w:eastAsia="Times New Roman" w:hAnsi="Times New Roman"/>
                <w:sz w:val="10"/>
                <w:szCs w:val="10"/>
                <w:b w:val="1"/>
                <w:bCs w:val="1"/>
                <w:color w:val="FFFFFF"/>
              </w:rPr>
              <w:t>1Q26</w:t>
            </w:r>
          </w:p>
        </w:tc>
        <w:tc>
          <w:tcPr>
            <w:tcW w:w="640" w:type="dxa"/>
            <w:vAlign w:val="bottom"/>
            <w:tcBorders>
              <w:bottom w:val="single" w:sz="8" w:color="auto"/>
            </w:tcBorders>
            <w:shd w:val="clear" w:color="auto" w:fill="2AD2C9"/>
          </w:tcPr>
          <w:p>
            <w:pPr>
              <w:ind w:left="300"/>
              <w:spacing w:after="0"/>
              <w:rPr>
                <w:sz w:val="20"/>
                <w:szCs w:val="20"/>
                <w:color w:val="auto"/>
              </w:rPr>
            </w:pPr>
            <w:r>
              <w:rPr>
                <w:rFonts w:ascii="Times New Roman" w:cs="Times New Roman" w:eastAsia="Times New Roman" w:hAnsi="Times New Roman"/>
                <w:sz w:val="10"/>
                <w:szCs w:val="10"/>
                <w:b w:val="1"/>
                <w:bCs w:val="1"/>
                <w:color w:val="FFFFFF"/>
              </w:rPr>
              <w:t>QoQ</w:t>
            </w:r>
          </w:p>
        </w:tc>
        <w:tc>
          <w:tcPr>
            <w:tcW w:w="1320" w:type="dxa"/>
            <w:vAlign w:val="bottom"/>
            <w:tcBorders>
              <w:bottom w:val="single" w:sz="8" w:color="auto"/>
              <w:right w:val="single" w:sz="8" w:color="auto"/>
            </w:tcBorders>
            <w:shd w:val="clear" w:color="auto" w:fill="2AD2C9"/>
          </w:tcPr>
          <w:p>
            <w:pPr>
              <w:ind w:left="640"/>
              <w:spacing w:after="0"/>
              <w:rPr>
                <w:sz w:val="20"/>
                <w:szCs w:val="20"/>
                <w:color w:val="auto"/>
              </w:rPr>
            </w:pPr>
            <w:r>
              <w:rPr>
                <w:rFonts w:ascii="Times New Roman" w:cs="Times New Roman" w:eastAsia="Times New Roman" w:hAnsi="Times New Roman"/>
                <w:sz w:val="10"/>
                <w:szCs w:val="10"/>
                <w:b w:val="1"/>
                <w:bCs w:val="1"/>
                <w:color w:val="FFFFFF"/>
              </w:rPr>
              <w:t>YoY</w:t>
            </w:r>
          </w:p>
        </w:tc>
      </w:tr>
      <w:tr>
        <w:trPr>
          <w:trHeight w:val="104"/>
        </w:trPr>
        <w:tc>
          <w:tcPr>
            <w:tcW w:w="4060" w:type="dxa"/>
            <w:vAlign w:val="bottom"/>
            <w:tcBorders>
              <w:left w:val="single" w:sz="8" w:color="auto"/>
              <w:right w:val="single" w:sz="8" w:color="auto"/>
            </w:tcBorders>
          </w:tcPr>
          <w:p>
            <w:pPr>
              <w:ind w:left="60"/>
              <w:spacing w:after="0" w:line="104" w:lineRule="exact"/>
              <w:rPr>
                <w:sz w:val="20"/>
                <w:szCs w:val="20"/>
                <w:color w:val="auto"/>
              </w:rPr>
            </w:pPr>
            <w:r>
              <w:rPr>
                <w:rFonts w:ascii="Times New Roman" w:cs="Times New Roman" w:eastAsia="Times New Roman" w:hAnsi="Times New Roman"/>
                <w:sz w:val="12"/>
                <w:szCs w:val="12"/>
                <w:color w:val="auto"/>
              </w:rPr>
              <w:t>Other Core Income</w:t>
            </w:r>
          </w:p>
        </w:tc>
        <w:tc>
          <w:tcPr>
            <w:tcW w:w="980" w:type="dxa"/>
            <w:vAlign w:val="bottom"/>
          </w:tcPr>
          <w:p>
            <w:pPr>
              <w:jc w:val="center"/>
              <w:spacing w:after="0" w:line="104" w:lineRule="exact"/>
              <w:rPr>
                <w:sz w:val="20"/>
                <w:szCs w:val="20"/>
                <w:color w:val="auto"/>
              </w:rPr>
            </w:pPr>
            <w:r>
              <w:rPr>
                <w:rFonts w:ascii="Times New Roman" w:cs="Times New Roman" w:eastAsia="Times New Roman" w:hAnsi="Times New Roman"/>
                <w:sz w:val="12"/>
                <w:szCs w:val="12"/>
                <w:color w:val="auto"/>
                <w:w w:val="99"/>
              </w:rPr>
              <w:t>1,337,838</w:t>
            </w:r>
          </w:p>
        </w:tc>
        <w:tc>
          <w:tcPr>
            <w:tcW w:w="980" w:type="dxa"/>
            <w:vAlign w:val="bottom"/>
          </w:tcPr>
          <w:p>
            <w:pPr>
              <w:jc w:val="center"/>
              <w:spacing w:after="0" w:line="104" w:lineRule="exact"/>
              <w:rPr>
                <w:sz w:val="20"/>
                <w:szCs w:val="20"/>
                <w:color w:val="auto"/>
              </w:rPr>
            </w:pPr>
            <w:r>
              <w:rPr>
                <w:rFonts w:ascii="Times New Roman" w:cs="Times New Roman" w:eastAsia="Times New Roman" w:hAnsi="Times New Roman"/>
                <w:sz w:val="12"/>
                <w:szCs w:val="12"/>
                <w:color w:val="auto"/>
                <w:w w:val="99"/>
              </w:rPr>
              <w:t>1,545,026</w:t>
            </w:r>
          </w:p>
        </w:tc>
        <w:tc>
          <w:tcPr>
            <w:tcW w:w="1000" w:type="dxa"/>
            <w:vAlign w:val="bottom"/>
            <w:tcBorders>
              <w:right w:val="single" w:sz="8" w:color="auto"/>
            </w:tcBorders>
          </w:tcPr>
          <w:p>
            <w:pPr>
              <w:jc w:val="center"/>
              <w:spacing w:after="0" w:line="104" w:lineRule="exact"/>
              <w:rPr>
                <w:sz w:val="20"/>
                <w:szCs w:val="20"/>
                <w:color w:val="auto"/>
              </w:rPr>
            </w:pPr>
            <w:r>
              <w:rPr>
                <w:rFonts w:ascii="Times New Roman" w:cs="Times New Roman" w:eastAsia="Times New Roman" w:hAnsi="Times New Roman"/>
                <w:sz w:val="12"/>
                <w:szCs w:val="12"/>
                <w:color w:val="auto"/>
                <w:w w:val="99"/>
              </w:rPr>
              <w:t>1,598,168</w:t>
            </w:r>
          </w:p>
        </w:tc>
        <w:tc>
          <w:tcPr>
            <w:tcW w:w="640" w:type="dxa"/>
            <w:vAlign w:val="bottom"/>
          </w:tcPr>
          <w:p>
            <w:pPr>
              <w:jc w:val="center"/>
              <w:ind w:left="103"/>
              <w:spacing w:after="0" w:line="104" w:lineRule="exact"/>
              <w:rPr>
                <w:sz w:val="20"/>
                <w:szCs w:val="20"/>
                <w:color w:val="auto"/>
              </w:rPr>
            </w:pPr>
            <w:r>
              <w:rPr>
                <w:rFonts w:ascii="Times New Roman" w:cs="Times New Roman" w:eastAsia="Times New Roman" w:hAnsi="Times New Roman"/>
                <w:sz w:val="12"/>
                <w:szCs w:val="12"/>
                <w:color w:val="auto"/>
                <w:w w:val="95"/>
              </w:rPr>
              <w:t>3.4%</w:t>
            </w:r>
          </w:p>
        </w:tc>
        <w:tc>
          <w:tcPr>
            <w:tcW w:w="1320" w:type="dxa"/>
            <w:vAlign w:val="bottom"/>
            <w:tcBorders>
              <w:right w:val="single" w:sz="8" w:color="auto"/>
            </w:tcBorders>
          </w:tcPr>
          <w:p>
            <w:pPr>
              <w:jc w:val="center"/>
              <w:ind w:left="84"/>
              <w:spacing w:after="0" w:line="104" w:lineRule="exact"/>
              <w:rPr>
                <w:sz w:val="20"/>
                <w:szCs w:val="20"/>
                <w:color w:val="auto"/>
              </w:rPr>
            </w:pPr>
            <w:r>
              <w:rPr>
                <w:rFonts w:ascii="Times New Roman" w:cs="Times New Roman" w:eastAsia="Times New Roman" w:hAnsi="Times New Roman"/>
                <w:sz w:val="12"/>
                <w:szCs w:val="12"/>
                <w:color w:val="auto"/>
                <w:w w:val="96"/>
              </w:rPr>
              <w:t>19.5%</w:t>
            </w:r>
          </w:p>
        </w:tc>
      </w:tr>
      <w:tr>
        <w:trPr>
          <w:trHeight w:val="143"/>
        </w:trPr>
        <w:tc>
          <w:tcPr>
            <w:tcW w:w="40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Other Non-Core Income</w:t>
            </w: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352,378</w:t>
            </w: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254,473</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258,156</w:t>
            </w:r>
          </w:p>
        </w:tc>
        <w:tc>
          <w:tcPr>
            <w:tcW w:w="640" w:type="dxa"/>
            <w:vAlign w:val="bottom"/>
            <w:tcBorders>
              <w:bottom w:val="single" w:sz="8" w:color="auto"/>
            </w:tcBorders>
          </w:tcPr>
          <w:p>
            <w:pPr>
              <w:jc w:val="center"/>
              <w:ind w:left="103"/>
              <w:spacing w:after="0"/>
              <w:rPr>
                <w:sz w:val="20"/>
                <w:szCs w:val="20"/>
                <w:color w:val="auto"/>
              </w:rPr>
            </w:pPr>
            <w:r>
              <w:rPr>
                <w:rFonts w:ascii="Times New Roman" w:cs="Times New Roman" w:eastAsia="Times New Roman" w:hAnsi="Times New Roman"/>
                <w:sz w:val="12"/>
                <w:szCs w:val="12"/>
                <w:color w:val="auto"/>
                <w:w w:val="95"/>
              </w:rPr>
              <w:t>1.4%</w:t>
            </w:r>
          </w:p>
        </w:tc>
        <w:tc>
          <w:tcPr>
            <w:tcW w:w="1320" w:type="dxa"/>
            <w:vAlign w:val="bottom"/>
            <w:tcBorders>
              <w:bottom w:val="single" w:sz="8" w:color="auto"/>
              <w:right w:val="single" w:sz="8" w:color="auto"/>
            </w:tcBorders>
          </w:tcPr>
          <w:p>
            <w:pPr>
              <w:jc w:val="center"/>
              <w:ind w:left="84"/>
              <w:spacing w:after="0"/>
              <w:rPr>
                <w:sz w:val="20"/>
                <w:szCs w:val="20"/>
                <w:color w:val="auto"/>
              </w:rPr>
            </w:pPr>
            <w:r>
              <w:rPr>
                <w:rFonts w:ascii="Times New Roman" w:cs="Times New Roman" w:eastAsia="Times New Roman" w:hAnsi="Times New Roman"/>
                <w:sz w:val="12"/>
                <w:szCs w:val="12"/>
                <w:color w:val="auto"/>
                <w:w w:val="97"/>
              </w:rPr>
              <w:t>-26.7%</w:t>
            </w:r>
          </w:p>
        </w:tc>
      </w:tr>
      <w:tr>
        <w:trPr>
          <w:trHeight w:val="120"/>
        </w:trPr>
        <w:tc>
          <w:tcPr>
            <w:tcW w:w="4060" w:type="dxa"/>
            <w:vAlign w:val="bottom"/>
            <w:tcBorders>
              <w:left w:val="single" w:sz="8" w:color="auto"/>
              <w:bottom w:val="single" w:sz="8" w:color="auto"/>
              <w:right w:val="single" w:sz="8" w:color="auto"/>
            </w:tcBorders>
          </w:tcPr>
          <w:p>
            <w:pPr>
              <w:ind w:left="60"/>
              <w:spacing w:after="0" w:line="120" w:lineRule="exact"/>
              <w:rPr>
                <w:sz w:val="20"/>
                <w:szCs w:val="20"/>
                <w:color w:val="auto"/>
              </w:rPr>
            </w:pPr>
            <w:r>
              <w:rPr>
                <w:rFonts w:ascii="Times New Roman" w:cs="Times New Roman" w:eastAsia="Times New Roman" w:hAnsi="Times New Roman"/>
                <w:sz w:val="12"/>
                <w:szCs w:val="12"/>
                <w:b w:val="1"/>
                <w:bCs w:val="1"/>
                <w:color w:val="auto"/>
              </w:rPr>
              <w:t>Total Other Income</w:t>
            </w:r>
          </w:p>
        </w:tc>
        <w:tc>
          <w:tcPr>
            <w:tcW w:w="980" w:type="dxa"/>
            <w:vAlign w:val="bottom"/>
            <w:tcBorders>
              <w:bottom w:val="single" w:sz="8" w:color="auto"/>
            </w:tcBorders>
          </w:tcPr>
          <w:p>
            <w:pPr>
              <w:jc w:val="center"/>
              <w:spacing w:after="0" w:line="120" w:lineRule="exact"/>
              <w:rPr>
                <w:sz w:val="20"/>
                <w:szCs w:val="20"/>
                <w:color w:val="auto"/>
              </w:rPr>
            </w:pPr>
            <w:r>
              <w:rPr>
                <w:rFonts w:ascii="Times New Roman" w:cs="Times New Roman" w:eastAsia="Times New Roman" w:hAnsi="Times New Roman"/>
                <w:sz w:val="12"/>
                <w:szCs w:val="12"/>
                <w:b w:val="1"/>
                <w:bCs w:val="1"/>
                <w:color w:val="auto"/>
                <w:w w:val="99"/>
              </w:rPr>
              <w:t>1,690,216</w:t>
            </w:r>
          </w:p>
        </w:tc>
        <w:tc>
          <w:tcPr>
            <w:tcW w:w="980" w:type="dxa"/>
            <w:vAlign w:val="bottom"/>
            <w:tcBorders>
              <w:bottom w:val="single" w:sz="8" w:color="auto"/>
            </w:tcBorders>
          </w:tcPr>
          <w:p>
            <w:pPr>
              <w:jc w:val="center"/>
              <w:spacing w:after="0" w:line="120" w:lineRule="exact"/>
              <w:rPr>
                <w:sz w:val="20"/>
                <w:szCs w:val="20"/>
                <w:color w:val="auto"/>
              </w:rPr>
            </w:pPr>
            <w:r>
              <w:rPr>
                <w:rFonts w:ascii="Times New Roman" w:cs="Times New Roman" w:eastAsia="Times New Roman" w:hAnsi="Times New Roman"/>
                <w:sz w:val="12"/>
                <w:szCs w:val="12"/>
                <w:b w:val="1"/>
                <w:bCs w:val="1"/>
                <w:color w:val="auto"/>
                <w:w w:val="99"/>
              </w:rPr>
              <w:t>1,799,499</w:t>
            </w:r>
          </w:p>
        </w:tc>
        <w:tc>
          <w:tcPr>
            <w:tcW w:w="1000" w:type="dxa"/>
            <w:vAlign w:val="bottom"/>
            <w:tcBorders>
              <w:bottom w:val="single" w:sz="8" w:color="auto"/>
              <w:right w:val="single" w:sz="8" w:color="auto"/>
            </w:tcBorders>
          </w:tcPr>
          <w:p>
            <w:pPr>
              <w:jc w:val="center"/>
              <w:spacing w:after="0" w:line="120" w:lineRule="exact"/>
              <w:rPr>
                <w:sz w:val="20"/>
                <w:szCs w:val="20"/>
                <w:color w:val="auto"/>
              </w:rPr>
            </w:pPr>
            <w:r>
              <w:rPr>
                <w:rFonts w:ascii="Times New Roman" w:cs="Times New Roman" w:eastAsia="Times New Roman" w:hAnsi="Times New Roman"/>
                <w:sz w:val="12"/>
                <w:szCs w:val="12"/>
                <w:b w:val="1"/>
                <w:bCs w:val="1"/>
                <w:color w:val="auto"/>
                <w:w w:val="99"/>
              </w:rPr>
              <w:t>1,856,324</w:t>
            </w:r>
          </w:p>
        </w:tc>
        <w:tc>
          <w:tcPr>
            <w:tcW w:w="640" w:type="dxa"/>
            <w:vAlign w:val="bottom"/>
            <w:tcBorders>
              <w:bottom w:val="single" w:sz="8" w:color="auto"/>
            </w:tcBorders>
          </w:tcPr>
          <w:p>
            <w:pPr>
              <w:jc w:val="center"/>
              <w:ind w:left="83"/>
              <w:spacing w:after="0" w:line="120" w:lineRule="exact"/>
              <w:rPr>
                <w:sz w:val="20"/>
                <w:szCs w:val="20"/>
                <w:color w:val="auto"/>
              </w:rPr>
            </w:pPr>
            <w:r>
              <w:rPr>
                <w:rFonts w:ascii="Times New Roman" w:cs="Times New Roman" w:eastAsia="Times New Roman" w:hAnsi="Times New Roman"/>
                <w:sz w:val="12"/>
                <w:szCs w:val="12"/>
                <w:b w:val="1"/>
                <w:bCs w:val="1"/>
                <w:color w:val="auto"/>
                <w:w w:val="96"/>
              </w:rPr>
              <w:t>3.2%</w:t>
            </w:r>
          </w:p>
        </w:tc>
        <w:tc>
          <w:tcPr>
            <w:tcW w:w="1320" w:type="dxa"/>
            <w:vAlign w:val="bottom"/>
            <w:tcBorders>
              <w:bottom w:val="single" w:sz="8" w:color="auto"/>
              <w:right w:val="single" w:sz="8" w:color="auto"/>
            </w:tcBorders>
          </w:tcPr>
          <w:p>
            <w:pPr>
              <w:jc w:val="center"/>
              <w:ind w:left="84"/>
              <w:spacing w:after="0" w:line="120" w:lineRule="exact"/>
              <w:rPr>
                <w:sz w:val="20"/>
                <w:szCs w:val="20"/>
                <w:color w:val="auto"/>
              </w:rPr>
            </w:pPr>
            <w:r>
              <w:rPr>
                <w:rFonts w:ascii="Times New Roman" w:cs="Times New Roman" w:eastAsia="Times New Roman" w:hAnsi="Times New Roman"/>
                <w:sz w:val="12"/>
                <w:szCs w:val="12"/>
                <w:b w:val="1"/>
                <w:bCs w:val="1"/>
                <w:color w:val="auto"/>
                <w:w w:val="96"/>
              </w:rPr>
              <w:t>9.8%</w:t>
            </w:r>
          </w:p>
        </w:tc>
      </w:tr>
    </w:tbl>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Income rose 3.2% QoQ and 9.8% YoY, mainly due to higher Other Core Income (includes Fee Income and Net Gain on FX Transactions).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6.1. Other Core Income</w:t>
      </w:r>
    </w:p>
    <w:p>
      <w:pPr>
        <w:spacing w:after="0" w:line="135" w:lineRule="exact"/>
        <w:rPr>
          <w:sz w:val="20"/>
          <w:szCs w:val="20"/>
          <w:color w:val="auto"/>
        </w:rPr>
      </w:pPr>
    </w:p>
    <w:tbl>
      <w:tblPr>
        <w:tblLayout w:type="fixed"/>
        <w:tblInd w:w="1150" w:type="dxa"/>
        <w:tblCellMar>
          <w:top w:w="0" w:type="dxa"/>
          <w:left w:w="0" w:type="dxa"/>
          <w:bottom w:w="0" w:type="dxa"/>
          <w:right w:w="0" w:type="dxa"/>
        </w:tblCellMar>
      </w:tblPr>
      <w:tr>
        <w:trPr>
          <w:trHeight w:val="122"/>
        </w:trPr>
        <w:tc>
          <w:tcPr>
            <w:tcW w:w="4060" w:type="dxa"/>
            <w:vAlign w:val="bottom"/>
            <w:tcBorders>
              <w:top w:val="single" w:sz="8" w:color="auto"/>
              <w:left w:val="single" w:sz="8" w:color="auto"/>
              <w:right w:val="single" w:sz="8" w:color="auto"/>
            </w:tcBorders>
            <w:shd w:val="clear" w:color="auto" w:fill="2AD2C9"/>
          </w:tcPr>
          <w:p>
            <w:pPr>
              <w:ind w:left="60"/>
              <w:spacing w:after="0" w:line="122" w:lineRule="exact"/>
              <w:rPr>
                <w:sz w:val="20"/>
                <w:szCs w:val="20"/>
                <w:color w:val="auto"/>
              </w:rPr>
            </w:pPr>
            <w:r>
              <w:rPr>
                <w:rFonts w:ascii="Times New Roman" w:cs="Times New Roman" w:eastAsia="Times New Roman" w:hAnsi="Times New Roman"/>
                <w:sz w:val="12"/>
                <w:szCs w:val="12"/>
                <w:b w:val="1"/>
                <w:bCs w:val="1"/>
                <w:color w:val="FFFFFF"/>
              </w:rPr>
              <w:t>Other Core Income</w:t>
            </w:r>
          </w:p>
        </w:tc>
        <w:tc>
          <w:tcPr>
            <w:tcW w:w="980" w:type="dxa"/>
            <w:vAlign w:val="bottom"/>
            <w:tcBorders>
              <w:top w:val="single" w:sz="8" w:color="auto"/>
            </w:tcBorders>
            <w:shd w:val="clear" w:color="auto" w:fill="2AD2C9"/>
          </w:tcPr>
          <w:p>
            <w:pPr>
              <w:spacing w:after="0"/>
              <w:rPr>
                <w:sz w:val="10"/>
                <w:szCs w:val="10"/>
                <w:color w:val="auto"/>
              </w:rPr>
            </w:pPr>
          </w:p>
        </w:tc>
        <w:tc>
          <w:tcPr>
            <w:tcW w:w="980" w:type="dxa"/>
            <w:vAlign w:val="bottom"/>
            <w:tcBorders>
              <w:top w:val="single" w:sz="8" w:color="auto"/>
            </w:tcBorders>
            <w:shd w:val="clear" w:color="auto" w:fill="2AD2C9"/>
          </w:tcPr>
          <w:p>
            <w:pPr>
              <w:ind w:left="280"/>
              <w:spacing w:after="0" w:line="122" w:lineRule="exact"/>
              <w:rPr>
                <w:sz w:val="20"/>
                <w:szCs w:val="20"/>
                <w:color w:val="auto"/>
              </w:rPr>
            </w:pPr>
            <w:r>
              <w:rPr>
                <w:rFonts w:ascii="Times New Roman" w:cs="Times New Roman" w:eastAsia="Times New Roman" w:hAnsi="Times New Roman"/>
                <w:sz w:val="12"/>
                <w:szCs w:val="12"/>
                <w:b w:val="1"/>
                <w:bCs w:val="1"/>
                <w:color w:val="FFFFFF"/>
              </w:rPr>
              <w:t>Quarter</w:t>
            </w:r>
          </w:p>
        </w:tc>
        <w:tc>
          <w:tcPr>
            <w:tcW w:w="1000" w:type="dxa"/>
            <w:vAlign w:val="bottom"/>
            <w:tcBorders>
              <w:top w:val="single" w:sz="8" w:color="auto"/>
              <w:right w:val="single" w:sz="8" w:color="auto"/>
            </w:tcBorders>
            <w:shd w:val="clear" w:color="auto" w:fill="2AD2C9"/>
          </w:tcPr>
          <w:p>
            <w:pPr>
              <w:spacing w:after="0"/>
              <w:rPr>
                <w:sz w:val="10"/>
                <w:szCs w:val="10"/>
                <w:color w:val="auto"/>
              </w:rPr>
            </w:pPr>
          </w:p>
        </w:tc>
        <w:tc>
          <w:tcPr>
            <w:tcW w:w="620" w:type="dxa"/>
            <w:vAlign w:val="bottom"/>
            <w:tcBorders>
              <w:top w:val="single" w:sz="8" w:color="auto"/>
            </w:tcBorders>
            <w:shd w:val="clear" w:color="auto" w:fill="2AD2C9"/>
          </w:tcPr>
          <w:p>
            <w:pPr>
              <w:spacing w:after="0"/>
              <w:rPr>
                <w:sz w:val="10"/>
                <w:szCs w:val="10"/>
                <w:color w:val="auto"/>
              </w:rPr>
            </w:pPr>
          </w:p>
        </w:tc>
        <w:tc>
          <w:tcPr>
            <w:tcW w:w="1360" w:type="dxa"/>
            <w:vAlign w:val="bottom"/>
            <w:tcBorders>
              <w:top w:val="single" w:sz="8" w:color="auto"/>
              <w:right w:val="single" w:sz="8" w:color="auto"/>
            </w:tcBorders>
            <w:shd w:val="clear" w:color="auto" w:fill="2AD2C9"/>
          </w:tcPr>
          <w:p>
            <w:pPr>
              <w:ind w:left="100"/>
              <w:spacing w:after="0" w:line="122" w:lineRule="exact"/>
              <w:rPr>
                <w:sz w:val="20"/>
                <w:szCs w:val="20"/>
                <w:color w:val="auto"/>
              </w:rPr>
            </w:pPr>
            <w:r>
              <w:rPr>
                <w:rFonts w:ascii="Times New Roman" w:cs="Times New Roman" w:eastAsia="Times New Roman" w:hAnsi="Times New Roman"/>
                <w:sz w:val="12"/>
                <w:szCs w:val="12"/>
                <w:b w:val="1"/>
                <w:bCs w:val="1"/>
                <w:color w:val="FFFFFF"/>
              </w:rPr>
              <w:t>% Change</w:t>
            </w:r>
          </w:p>
        </w:tc>
      </w:tr>
      <w:tr>
        <w:trPr>
          <w:trHeight w:val="145"/>
        </w:trPr>
        <w:tc>
          <w:tcPr>
            <w:tcW w:w="4060" w:type="dxa"/>
            <w:vAlign w:val="bottom"/>
            <w:tcBorders>
              <w:left w:val="single" w:sz="8" w:color="auto"/>
              <w:bottom w:val="single" w:sz="8" w:color="auto"/>
              <w:right w:val="single" w:sz="8" w:color="auto"/>
            </w:tcBorders>
            <w:shd w:val="clear" w:color="auto" w:fill="2AD2C9"/>
          </w:tcPr>
          <w:p>
            <w:pPr>
              <w:ind w:left="60"/>
              <w:spacing w:after="0"/>
              <w:rPr>
                <w:sz w:val="20"/>
                <w:szCs w:val="20"/>
                <w:color w:val="auto"/>
              </w:rPr>
            </w:pPr>
            <w:r>
              <w:rPr>
                <w:rFonts w:ascii="Times New Roman" w:cs="Times New Roman" w:eastAsia="Times New Roman" w:hAnsi="Times New Roman"/>
                <w:sz w:val="12"/>
                <w:szCs w:val="12"/>
                <w:b w:val="1"/>
                <w:bCs w:val="1"/>
                <w:color w:val="FFFFFF"/>
              </w:rPr>
              <w:t>(S/ 000)</w:t>
            </w:r>
          </w:p>
        </w:tc>
        <w:tc>
          <w:tcPr>
            <w:tcW w:w="980" w:type="dxa"/>
            <w:vAlign w:val="bottom"/>
            <w:tcBorders>
              <w:bottom w:val="single" w:sz="8" w:color="auto"/>
            </w:tcBorders>
            <w:shd w:val="clear" w:color="auto" w:fill="2AD2C9"/>
          </w:tcPr>
          <w:p>
            <w:pPr>
              <w:jc w:val="center"/>
              <w:spacing w:after="0"/>
              <w:rPr>
                <w:sz w:val="20"/>
                <w:szCs w:val="20"/>
                <w:color w:val="auto"/>
              </w:rPr>
            </w:pPr>
            <w:r>
              <w:rPr>
                <w:rFonts w:ascii="Times New Roman" w:cs="Times New Roman" w:eastAsia="Times New Roman" w:hAnsi="Times New Roman"/>
                <w:sz w:val="12"/>
                <w:szCs w:val="12"/>
                <w:b w:val="1"/>
                <w:bCs w:val="1"/>
                <w:color w:val="FFFFFF"/>
              </w:rPr>
              <w:t>1Q25</w:t>
            </w:r>
          </w:p>
        </w:tc>
        <w:tc>
          <w:tcPr>
            <w:tcW w:w="980" w:type="dxa"/>
            <w:vAlign w:val="bottom"/>
            <w:tcBorders>
              <w:bottom w:val="single" w:sz="8" w:color="auto"/>
            </w:tcBorders>
            <w:shd w:val="clear" w:color="auto" w:fill="2AD2C9"/>
          </w:tcPr>
          <w:p>
            <w:pPr>
              <w:jc w:val="center"/>
              <w:spacing w:after="0"/>
              <w:rPr>
                <w:sz w:val="20"/>
                <w:szCs w:val="20"/>
                <w:color w:val="auto"/>
              </w:rPr>
            </w:pPr>
            <w:r>
              <w:rPr>
                <w:rFonts w:ascii="Times New Roman" w:cs="Times New Roman" w:eastAsia="Times New Roman" w:hAnsi="Times New Roman"/>
                <w:sz w:val="12"/>
                <w:szCs w:val="12"/>
                <w:b w:val="1"/>
                <w:bCs w:val="1"/>
                <w:color w:val="FFFFFF"/>
              </w:rPr>
              <w:t>4Q25</w:t>
            </w:r>
          </w:p>
        </w:tc>
        <w:tc>
          <w:tcPr>
            <w:tcW w:w="100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Times New Roman" w:cs="Times New Roman" w:eastAsia="Times New Roman" w:hAnsi="Times New Roman"/>
                <w:sz w:val="12"/>
                <w:szCs w:val="12"/>
                <w:b w:val="1"/>
                <w:bCs w:val="1"/>
                <w:color w:val="FFFFFF"/>
                <w:w w:val="94"/>
              </w:rPr>
              <w:t>1Q26</w:t>
            </w:r>
          </w:p>
        </w:tc>
        <w:tc>
          <w:tcPr>
            <w:tcW w:w="620" w:type="dxa"/>
            <w:vAlign w:val="bottom"/>
            <w:tcBorders>
              <w:bottom w:val="single" w:sz="8" w:color="auto"/>
            </w:tcBorders>
            <w:shd w:val="clear" w:color="auto" w:fill="2AD2C9"/>
          </w:tcPr>
          <w:p>
            <w:pPr>
              <w:ind w:left="280"/>
              <w:spacing w:after="0"/>
              <w:rPr>
                <w:sz w:val="20"/>
                <w:szCs w:val="20"/>
                <w:color w:val="auto"/>
              </w:rPr>
            </w:pPr>
            <w:r>
              <w:rPr>
                <w:rFonts w:ascii="Times New Roman" w:cs="Times New Roman" w:eastAsia="Times New Roman" w:hAnsi="Times New Roman"/>
                <w:sz w:val="12"/>
                <w:szCs w:val="12"/>
                <w:b w:val="1"/>
                <w:bCs w:val="1"/>
                <w:color w:val="FFFFFF"/>
              </w:rPr>
              <w:t>QoQ</w:t>
            </w:r>
          </w:p>
        </w:tc>
        <w:tc>
          <w:tcPr>
            <w:tcW w:w="1360" w:type="dxa"/>
            <w:vAlign w:val="bottom"/>
            <w:tcBorders>
              <w:bottom w:val="single" w:sz="8" w:color="auto"/>
              <w:right w:val="single" w:sz="8" w:color="auto"/>
            </w:tcBorders>
            <w:shd w:val="clear" w:color="auto" w:fill="2AD2C9"/>
          </w:tcPr>
          <w:p>
            <w:pPr>
              <w:ind w:left="640"/>
              <w:spacing w:after="0"/>
              <w:rPr>
                <w:sz w:val="20"/>
                <w:szCs w:val="20"/>
                <w:color w:val="auto"/>
              </w:rPr>
            </w:pPr>
            <w:r>
              <w:rPr>
                <w:rFonts w:ascii="Times New Roman" w:cs="Times New Roman" w:eastAsia="Times New Roman" w:hAnsi="Times New Roman"/>
                <w:sz w:val="12"/>
                <w:szCs w:val="12"/>
                <w:b w:val="1"/>
                <w:bCs w:val="1"/>
                <w:color w:val="FFFFFF"/>
              </w:rPr>
              <w:t>YoY</w:t>
            </w:r>
          </w:p>
        </w:tc>
      </w:tr>
      <w:tr>
        <w:trPr>
          <w:trHeight w:val="104"/>
        </w:trPr>
        <w:tc>
          <w:tcPr>
            <w:tcW w:w="4060" w:type="dxa"/>
            <w:vAlign w:val="bottom"/>
            <w:tcBorders>
              <w:left w:val="single" w:sz="8" w:color="auto"/>
              <w:right w:val="single" w:sz="8" w:color="auto"/>
            </w:tcBorders>
          </w:tcPr>
          <w:p>
            <w:pPr>
              <w:ind w:left="60"/>
              <w:spacing w:after="0" w:line="104" w:lineRule="exact"/>
              <w:rPr>
                <w:sz w:val="20"/>
                <w:szCs w:val="20"/>
                <w:color w:val="auto"/>
              </w:rPr>
            </w:pPr>
            <w:r>
              <w:rPr>
                <w:rFonts w:ascii="Times New Roman" w:cs="Times New Roman" w:eastAsia="Times New Roman" w:hAnsi="Times New Roman"/>
                <w:sz w:val="12"/>
                <w:szCs w:val="12"/>
                <w:color w:val="auto"/>
              </w:rPr>
              <w:t>Fee Income</w:t>
            </w:r>
          </w:p>
        </w:tc>
        <w:tc>
          <w:tcPr>
            <w:tcW w:w="980" w:type="dxa"/>
            <w:vAlign w:val="bottom"/>
          </w:tcPr>
          <w:p>
            <w:pPr>
              <w:jc w:val="center"/>
              <w:spacing w:after="0" w:line="104" w:lineRule="exact"/>
              <w:rPr>
                <w:sz w:val="20"/>
                <w:szCs w:val="20"/>
                <w:color w:val="auto"/>
              </w:rPr>
            </w:pPr>
            <w:r>
              <w:rPr>
                <w:rFonts w:ascii="Times New Roman" w:cs="Times New Roman" w:eastAsia="Times New Roman" w:hAnsi="Times New Roman"/>
                <w:sz w:val="12"/>
                <w:szCs w:val="12"/>
                <w:color w:val="auto"/>
              </w:rPr>
              <w:t>994,024</w:t>
            </w:r>
          </w:p>
        </w:tc>
        <w:tc>
          <w:tcPr>
            <w:tcW w:w="980" w:type="dxa"/>
            <w:vAlign w:val="bottom"/>
          </w:tcPr>
          <w:p>
            <w:pPr>
              <w:jc w:val="center"/>
              <w:spacing w:after="0" w:line="104" w:lineRule="exact"/>
              <w:rPr>
                <w:sz w:val="20"/>
                <w:szCs w:val="20"/>
                <w:color w:val="auto"/>
              </w:rPr>
            </w:pPr>
            <w:r>
              <w:rPr>
                <w:rFonts w:ascii="Times New Roman" w:cs="Times New Roman" w:eastAsia="Times New Roman" w:hAnsi="Times New Roman"/>
                <w:sz w:val="12"/>
                <w:szCs w:val="12"/>
                <w:color w:val="auto"/>
                <w:w w:val="95"/>
              </w:rPr>
              <w:t>1,118,110</w:t>
            </w:r>
          </w:p>
        </w:tc>
        <w:tc>
          <w:tcPr>
            <w:tcW w:w="1000" w:type="dxa"/>
            <w:vAlign w:val="bottom"/>
            <w:tcBorders>
              <w:right w:val="single" w:sz="8" w:color="auto"/>
            </w:tcBorders>
          </w:tcPr>
          <w:p>
            <w:pPr>
              <w:jc w:val="center"/>
              <w:spacing w:after="0" w:line="104" w:lineRule="exact"/>
              <w:rPr>
                <w:sz w:val="20"/>
                <w:szCs w:val="20"/>
                <w:color w:val="auto"/>
              </w:rPr>
            </w:pPr>
            <w:r>
              <w:rPr>
                <w:rFonts w:ascii="Times New Roman" w:cs="Times New Roman" w:eastAsia="Times New Roman" w:hAnsi="Times New Roman"/>
                <w:sz w:val="12"/>
                <w:szCs w:val="12"/>
                <w:color w:val="auto"/>
                <w:w w:val="99"/>
              </w:rPr>
              <w:t>1,149,284</w:t>
            </w:r>
          </w:p>
        </w:tc>
        <w:tc>
          <w:tcPr>
            <w:tcW w:w="620" w:type="dxa"/>
            <w:vAlign w:val="bottom"/>
          </w:tcPr>
          <w:p>
            <w:pPr>
              <w:jc w:val="center"/>
              <w:ind w:left="121"/>
              <w:spacing w:after="0" w:line="104" w:lineRule="exact"/>
              <w:rPr>
                <w:sz w:val="20"/>
                <w:szCs w:val="20"/>
                <w:color w:val="auto"/>
              </w:rPr>
            </w:pPr>
            <w:r>
              <w:rPr>
                <w:rFonts w:ascii="Times New Roman" w:cs="Times New Roman" w:eastAsia="Times New Roman" w:hAnsi="Times New Roman"/>
                <w:sz w:val="12"/>
                <w:szCs w:val="12"/>
                <w:color w:val="auto"/>
                <w:w w:val="95"/>
              </w:rPr>
              <w:t>2.8%</w:t>
            </w:r>
          </w:p>
        </w:tc>
        <w:tc>
          <w:tcPr>
            <w:tcW w:w="1360" w:type="dxa"/>
            <w:vAlign w:val="bottom"/>
            <w:tcBorders>
              <w:right w:val="single" w:sz="8" w:color="auto"/>
            </w:tcBorders>
          </w:tcPr>
          <w:p>
            <w:pPr>
              <w:jc w:val="center"/>
              <w:ind w:left="81"/>
              <w:spacing w:after="0" w:line="104" w:lineRule="exact"/>
              <w:rPr>
                <w:sz w:val="20"/>
                <w:szCs w:val="20"/>
                <w:color w:val="auto"/>
              </w:rPr>
            </w:pPr>
            <w:r>
              <w:rPr>
                <w:rFonts w:ascii="Times New Roman" w:cs="Times New Roman" w:eastAsia="Times New Roman" w:hAnsi="Times New Roman"/>
                <w:sz w:val="12"/>
                <w:szCs w:val="12"/>
                <w:color w:val="auto"/>
                <w:w w:val="96"/>
              </w:rPr>
              <w:t>15.6%</w:t>
            </w:r>
          </w:p>
        </w:tc>
      </w:tr>
      <w:tr>
        <w:trPr>
          <w:trHeight w:val="143"/>
        </w:trPr>
        <w:tc>
          <w:tcPr>
            <w:tcW w:w="40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Net Gain on Foreign Exchange Transactions</w:t>
            </w: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343,814</w:t>
            </w: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426,916</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448,884</w:t>
            </w:r>
          </w:p>
        </w:tc>
        <w:tc>
          <w:tcPr>
            <w:tcW w:w="620" w:type="dxa"/>
            <w:vAlign w:val="bottom"/>
            <w:tcBorders>
              <w:bottom w:val="single" w:sz="8" w:color="auto"/>
            </w:tcBorders>
          </w:tcPr>
          <w:p>
            <w:pPr>
              <w:jc w:val="center"/>
              <w:ind w:left="121"/>
              <w:spacing w:after="0"/>
              <w:rPr>
                <w:sz w:val="20"/>
                <w:szCs w:val="20"/>
                <w:color w:val="auto"/>
              </w:rPr>
            </w:pPr>
            <w:r>
              <w:rPr>
                <w:rFonts w:ascii="Times New Roman" w:cs="Times New Roman" w:eastAsia="Times New Roman" w:hAnsi="Times New Roman"/>
                <w:sz w:val="12"/>
                <w:szCs w:val="12"/>
                <w:color w:val="auto"/>
                <w:w w:val="95"/>
              </w:rPr>
              <w:t>5.1%</w:t>
            </w:r>
          </w:p>
        </w:tc>
        <w:tc>
          <w:tcPr>
            <w:tcW w:w="1360" w:type="dxa"/>
            <w:vAlign w:val="bottom"/>
            <w:tcBorders>
              <w:bottom w:val="single" w:sz="8" w:color="auto"/>
              <w:right w:val="single" w:sz="8" w:color="auto"/>
            </w:tcBorders>
          </w:tcPr>
          <w:p>
            <w:pPr>
              <w:jc w:val="center"/>
              <w:ind w:left="81"/>
              <w:spacing w:after="0"/>
              <w:rPr>
                <w:sz w:val="20"/>
                <w:szCs w:val="20"/>
                <w:color w:val="auto"/>
              </w:rPr>
            </w:pPr>
            <w:r>
              <w:rPr>
                <w:rFonts w:ascii="Times New Roman" w:cs="Times New Roman" w:eastAsia="Times New Roman" w:hAnsi="Times New Roman"/>
                <w:sz w:val="12"/>
                <w:szCs w:val="12"/>
                <w:color w:val="auto"/>
                <w:w w:val="96"/>
              </w:rPr>
              <w:t>30.6%</w:t>
            </w:r>
          </w:p>
        </w:tc>
      </w:tr>
      <w:tr>
        <w:trPr>
          <w:trHeight w:val="120"/>
        </w:trPr>
        <w:tc>
          <w:tcPr>
            <w:tcW w:w="4060" w:type="dxa"/>
            <w:vAlign w:val="bottom"/>
            <w:tcBorders>
              <w:left w:val="single" w:sz="8" w:color="auto"/>
              <w:bottom w:val="single" w:sz="8" w:color="auto"/>
              <w:right w:val="single" w:sz="8" w:color="auto"/>
            </w:tcBorders>
          </w:tcPr>
          <w:p>
            <w:pPr>
              <w:ind w:left="60"/>
              <w:spacing w:after="0" w:line="120" w:lineRule="exact"/>
              <w:rPr>
                <w:sz w:val="20"/>
                <w:szCs w:val="20"/>
                <w:color w:val="auto"/>
              </w:rPr>
            </w:pPr>
            <w:r>
              <w:rPr>
                <w:rFonts w:ascii="Times New Roman" w:cs="Times New Roman" w:eastAsia="Times New Roman" w:hAnsi="Times New Roman"/>
                <w:sz w:val="12"/>
                <w:szCs w:val="12"/>
                <w:b w:val="1"/>
                <w:bCs w:val="1"/>
                <w:color w:val="auto"/>
              </w:rPr>
              <w:t>Total Other Core Income</w:t>
            </w:r>
          </w:p>
        </w:tc>
        <w:tc>
          <w:tcPr>
            <w:tcW w:w="980" w:type="dxa"/>
            <w:vAlign w:val="bottom"/>
            <w:tcBorders>
              <w:bottom w:val="single" w:sz="8" w:color="auto"/>
            </w:tcBorders>
          </w:tcPr>
          <w:p>
            <w:pPr>
              <w:jc w:val="center"/>
              <w:spacing w:after="0" w:line="120" w:lineRule="exact"/>
              <w:rPr>
                <w:sz w:val="20"/>
                <w:szCs w:val="20"/>
                <w:color w:val="auto"/>
              </w:rPr>
            </w:pPr>
            <w:r>
              <w:rPr>
                <w:rFonts w:ascii="Times New Roman" w:cs="Times New Roman" w:eastAsia="Times New Roman" w:hAnsi="Times New Roman"/>
                <w:sz w:val="12"/>
                <w:szCs w:val="12"/>
                <w:b w:val="1"/>
                <w:bCs w:val="1"/>
                <w:color w:val="auto"/>
                <w:w w:val="99"/>
              </w:rPr>
              <w:t>1,337,838</w:t>
            </w:r>
          </w:p>
        </w:tc>
        <w:tc>
          <w:tcPr>
            <w:tcW w:w="980" w:type="dxa"/>
            <w:vAlign w:val="bottom"/>
            <w:tcBorders>
              <w:bottom w:val="single" w:sz="8" w:color="auto"/>
            </w:tcBorders>
          </w:tcPr>
          <w:p>
            <w:pPr>
              <w:jc w:val="center"/>
              <w:spacing w:after="0" w:line="120" w:lineRule="exact"/>
              <w:rPr>
                <w:sz w:val="20"/>
                <w:szCs w:val="20"/>
                <w:color w:val="auto"/>
              </w:rPr>
            </w:pPr>
            <w:r>
              <w:rPr>
                <w:rFonts w:ascii="Times New Roman" w:cs="Times New Roman" w:eastAsia="Times New Roman" w:hAnsi="Times New Roman"/>
                <w:sz w:val="12"/>
                <w:szCs w:val="12"/>
                <w:b w:val="1"/>
                <w:bCs w:val="1"/>
                <w:color w:val="auto"/>
                <w:w w:val="99"/>
              </w:rPr>
              <w:t>1,545,026</w:t>
            </w:r>
          </w:p>
        </w:tc>
        <w:tc>
          <w:tcPr>
            <w:tcW w:w="1000" w:type="dxa"/>
            <w:vAlign w:val="bottom"/>
            <w:tcBorders>
              <w:bottom w:val="single" w:sz="8" w:color="auto"/>
              <w:right w:val="single" w:sz="8" w:color="auto"/>
            </w:tcBorders>
          </w:tcPr>
          <w:p>
            <w:pPr>
              <w:jc w:val="center"/>
              <w:spacing w:after="0" w:line="120" w:lineRule="exact"/>
              <w:rPr>
                <w:sz w:val="20"/>
                <w:szCs w:val="20"/>
                <w:color w:val="auto"/>
              </w:rPr>
            </w:pPr>
            <w:r>
              <w:rPr>
                <w:rFonts w:ascii="Times New Roman" w:cs="Times New Roman" w:eastAsia="Times New Roman" w:hAnsi="Times New Roman"/>
                <w:sz w:val="12"/>
                <w:szCs w:val="12"/>
                <w:b w:val="1"/>
                <w:bCs w:val="1"/>
                <w:color w:val="auto"/>
                <w:w w:val="99"/>
              </w:rPr>
              <w:t>1,598,168</w:t>
            </w:r>
          </w:p>
        </w:tc>
        <w:tc>
          <w:tcPr>
            <w:tcW w:w="620" w:type="dxa"/>
            <w:vAlign w:val="bottom"/>
            <w:tcBorders>
              <w:bottom w:val="single" w:sz="8" w:color="auto"/>
            </w:tcBorders>
          </w:tcPr>
          <w:p>
            <w:pPr>
              <w:jc w:val="center"/>
              <w:ind w:left="101"/>
              <w:spacing w:after="0" w:line="120" w:lineRule="exact"/>
              <w:rPr>
                <w:sz w:val="20"/>
                <w:szCs w:val="20"/>
                <w:color w:val="auto"/>
              </w:rPr>
            </w:pPr>
            <w:r>
              <w:rPr>
                <w:rFonts w:ascii="Times New Roman" w:cs="Times New Roman" w:eastAsia="Times New Roman" w:hAnsi="Times New Roman"/>
                <w:sz w:val="12"/>
                <w:szCs w:val="12"/>
                <w:b w:val="1"/>
                <w:bCs w:val="1"/>
                <w:color w:val="auto"/>
                <w:w w:val="96"/>
              </w:rPr>
              <w:t>3.4%</w:t>
            </w:r>
          </w:p>
        </w:tc>
        <w:tc>
          <w:tcPr>
            <w:tcW w:w="1360" w:type="dxa"/>
            <w:vAlign w:val="bottom"/>
            <w:tcBorders>
              <w:bottom w:val="single" w:sz="8" w:color="auto"/>
              <w:right w:val="single" w:sz="8" w:color="auto"/>
            </w:tcBorders>
          </w:tcPr>
          <w:p>
            <w:pPr>
              <w:jc w:val="center"/>
              <w:ind w:left="101"/>
              <w:spacing w:after="0" w:line="120" w:lineRule="exact"/>
              <w:rPr>
                <w:sz w:val="20"/>
                <w:szCs w:val="20"/>
                <w:color w:val="auto"/>
              </w:rPr>
            </w:pPr>
            <w:r>
              <w:rPr>
                <w:rFonts w:ascii="Times New Roman" w:cs="Times New Roman" w:eastAsia="Times New Roman" w:hAnsi="Times New Roman"/>
                <w:sz w:val="12"/>
                <w:szCs w:val="12"/>
                <w:b w:val="1"/>
                <w:bCs w:val="1"/>
                <w:color w:val="auto"/>
                <w:w w:val="96"/>
              </w:rPr>
              <w:t>19.5%</w:t>
            </w:r>
          </w:p>
        </w:tc>
      </w:tr>
    </w:tbl>
    <w:p>
      <w:pPr>
        <w:spacing w:after="0" w:line="187"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Other Core Income rose 3.4% QoQ and 19.5% YoY, hitting a record high that represents 27.7% of total risk-adjusted income at Credicorp (28.4% in 4Q25 and 26.5% in 1Q25). This solid participation in revenue generation also bolsters our decoupling strategy.</w:t>
      </w:r>
    </w:p>
    <w:p>
      <w:pPr>
        <w:spacing w:after="0" w:line="154" w:lineRule="exact"/>
        <w:rPr>
          <w:sz w:val="20"/>
          <w:szCs w:val="20"/>
          <w:color w:val="auto"/>
        </w:rPr>
      </w:pPr>
    </w:p>
    <w:p>
      <w:pPr>
        <w:jc w:val="both"/>
        <w:ind w:left="620" w:hanging="314"/>
        <w:spacing w:after="0" w:line="257" w:lineRule="auto"/>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QoQ</w:t>
      </w:r>
      <w:r>
        <w:rPr>
          <w:rFonts w:ascii="Times New Roman" w:cs="Times New Roman" w:eastAsia="Times New Roman" w:hAnsi="Times New Roman"/>
          <w:sz w:val="17"/>
          <w:szCs w:val="17"/>
          <w:color w:val="auto"/>
        </w:rPr>
        <w:t>, growth in Fee Income (+2.8%) and in the Net Gain on FX Transactions (+5.1%) was driven mainly by BCP Stand-alone. FX performance was buoyed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primarily by higher income from institutional trading and secondarily, from Retail Banking. Increases in transactional activity rose on the back of exchange rate volatility due to geopolitical tensions in the Middle East and uncertainty surrounding Peru’s elections, which led to higher levels of transactional activity. Additionally, BCP Bolivia registered better results through an increase in the volume of foreign transfers through USDT (crypto assets) and transactions with pre-paid cards (linked to USDT).</w:t>
      </w:r>
    </w:p>
    <w:p>
      <w:pPr>
        <w:spacing w:after="0" w:line="171" w:lineRule="exact"/>
        <w:rPr>
          <w:rFonts w:ascii="Times New Roman" w:cs="Times New Roman" w:eastAsia="Times New Roman" w:hAnsi="Times New Roman"/>
          <w:sz w:val="17"/>
          <w:szCs w:val="17"/>
          <w:color w:val="auto"/>
        </w:rPr>
      </w:pPr>
    </w:p>
    <w:p>
      <w:pPr>
        <w:jc w:val="both"/>
        <w:ind w:left="620" w:right="5840" w:hanging="314"/>
        <w:spacing w:after="0" w:line="253" w:lineRule="auto"/>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YoY</w:t>
      </w:r>
      <w:r>
        <w:rPr>
          <w:rFonts w:ascii="Times New Roman" w:cs="Times New Roman" w:eastAsia="Times New Roman" w:hAnsi="Times New Roman"/>
          <w:sz w:val="17"/>
          <w:szCs w:val="17"/>
          <w:color w:val="auto"/>
        </w:rPr>
        <w:t>, growth was driven by Fee Income (+15.6%), whose dynamics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will be discussed in the next section, as well as by solid growth in FX Transactions (+30.6). Growth in the latter was driven primarily by BCP Stand-alone (+27.2% YoY), buoyed by an uptick in the transactions volume on the back of exchange rate volatility and by good commercial management with better pricing strategies. Credicorp Capital (+99.5% YoY), which reported settlements from foreign currency sales in Colombia, was also a relevant player in the uptick in Gains on FX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3820795</wp:posOffset>
            </wp:positionH>
            <wp:positionV relativeFrom="paragraph">
              <wp:posOffset>-1163955</wp:posOffset>
            </wp:positionV>
            <wp:extent cx="3183255" cy="17970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183255" cy="1797050"/>
                    </a:xfrm>
                    <a:prstGeom prst="rect">
                      <a:avLst/>
                    </a:prstGeom>
                    <a:noFill/>
                  </pic:spPr>
                </pic:pic>
              </a:graphicData>
            </a:graphic>
          </wp:anchor>
        </w:drawing>
      </w:r>
    </w:p>
    <w:p>
      <w:pPr>
        <w:spacing w:after="0" w:line="160" w:lineRule="exact"/>
        <w:rPr>
          <w:sz w:val="20"/>
          <w:szCs w:val="20"/>
          <w:color w:val="auto"/>
        </w:rPr>
      </w:pPr>
    </w:p>
    <w:p>
      <w:pPr>
        <w:jc w:val="both"/>
        <w:ind w:right="5840"/>
        <w:spacing w:after="0" w:line="256" w:lineRule="auto"/>
        <w:rPr>
          <w:sz w:val="20"/>
          <w:szCs w:val="20"/>
          <w:color w:val="auto"/>
        </w:rPr>
      </w:pPr>
      <w:r>
        <w:rPr>
          <w:rFonts w:ascii="Times New Roman" w:cs="Times New Roman" w:eastAsia="Times New Roman" w:hAnsi="Times New Roman"/>
          <w:sz w:val="17"/>
          <w:szCs w:val="17"/>
          <w:color w:val="auto"/>
        </w:rPr>
        <w:t>These performance levels reflect sustained growth in transaction volumes in our core businesses and a deepening of our relationship with clients, both of which fuel a more diversified and structurally recurrent income base. At the end of 1Q26, Other Core Income over the total of average assets stood at 2.34% (2.37% in 4Q25 and 2.10% in 1Q25).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960120</wp:posOffset>
            </wp:positionV>
            <wp:extent cx="7140575" cy="1587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0575" cy="15875"/>
                    </a:xfrm>
                    <a:prstGeom prst="rect">
                      <a:avLst/>
                    </a:prstGeom>
                    <a:noFill/>
                  </pic:spPr>
                </pic:pic>
              </a:graphicData>
            </a:graphic>
          </wp:anchor>
        </w:drawing>
        <w:drawing>
          <wp:anchor simplePos="0" relativeHeight="251657728" behindDoc="1" locked="0" layoutInCell="0" allowOverlap="1">
            <wp:simplePos x="0" y="0"/>
            <wp:positionH relativeFrom="column">
              <wp:posOffset>363855</wp:posOffset>
            </wp:positionH>
            <wp:positionV relativeFrom="paragraph">
              <wp:posOffset>121920</wp:posOffset>
            </wp:positionV>
            <wp:extent cx="6447155" cy="5397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447155" cy="539750"/>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32" w:name="page33"/>
    <w:bookmarkEnd w:id="32"/>
    <w:p>
      <w:pPr>
        <w:ind w:left="3200"/>
        <w:spacing w:after="0"/>
        <w:tabs>
          <w:tab w:leader="none" w:pos="3380" w:val="left"/>
          <w:tab w:leader="none" w:pos="9060" w:val="left"/>
        </w:tabs>
        <w:rPr>
          <w:sz w:val="20"/>
          <w:szCs w:val="20"/>
          <w:color w:val="auto"/>
        </w:rPr>
      </w:pPr>
      <w:r>
        <w:rPr>
          <w:rFonts w:ascii="Times New Roman" w:cs="Times New Roman" w:eastAsia="Times New Roman" w:hAnsi="Times New Roman"/>
          <w:sz w:val="17"/>
          <w:szCs w:val="17"/>
          <w:color w:val="A6A6A6"/>
        </w:rPr>
        <w:drawing>
          <wp:anchor simplePos="0" relativeHeight="251657728" behindDoc="1" locked="0" layoutInCell="0" allowOverlap="1">
            <wp:simplePos x="0" y="0"/>
            <wp:positionH relativeFrom="page">
              <wp:posOffset>204470</wp:posOffset>
            </wp:positionH>
            <wp:positionV relativeFrom="page">
              <wp:posOffset>217805</wp:posOffset>
            </wp:positionV>
            <wp:extent cx="7140575" cy="6927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0575" cy="692785"/>
                    </a:xfrm>
                    <a:prstGeom prst="rect">
                      <a:avLst/>
                    </a:prstGeom>
                    <a:noFill/>
                  </pic:spPr>
                </pic:pic>
              </a:graphicData>
            </a:graphic>
          </wp:anchor>
        </w:drawing>
        <w:t>|</w:t>
      </w:r>
      <w:r>
        <w:rPr>
          <w:sz w:val="20"/>
          <w:szCs w:val="20"/>
          <w:color w:val="auto"/>
        </w:rPr>
        <w:tab/>
      </w:r>
      <w:r>
        <w:rPr>
          <w:rFonts w:ascii="Times New Roman" w:cs="Times New Roman" w:eastAsia="Times New Roman" w:hAnsi="Times New Roman"/>
          <w:sz w:val="14"/>
          <w:szCs w:val="14"/>
          <w:color w:val="FFFFFF"/>
        </w:rPr>
        <w:t>Earnings Release 1Q / 2026</w:t>
      </w:r>
      <w:r>
        <w:rPr>
          <w:sz w:val="20"/>
          <w:szCs w:val="20"/>
          <w:color w:val="auto"/>
        </w:rPr>
        <w:tab/>
      </w:r>
      <w:r>
        <w:rPr>
          <w:rFonts w:ascii="Times New Roman" w:cs="Times New Roman" w:eastAsia="Times New Roman" w:hAnsi="Times New Roman"/>
          <w:sz w:val="12"/>
          <w:szCs w:val="12"/>
          <w:color w:val="FF00FF"/>
        </w:rPr>
        <w:t>Analysis of 1Q26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297180</wp:posOffset>
            </wp:positionV>
            <wp:extent cx="7140575" cy="2095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0575" cy="20955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FFFFFF"/>
        </w:rPr>
        <w:t>06. Otros Ingresos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Fee Income by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146685</wp:posOffset>
            </wp:positionV>
            <wp:extent cx="5706110" cy="98298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706110" cy="982980"/>
                    </a:xfrm>
                    <a:prstGeom prst="rect">
                      <a:avLst/>
                    </a:prstGeom>
                    <a:noFill/>
                  </pic:spPr>
                </pic:pic>
              </a:graphicData>
            </a:graphic>
          </wp:anchor>
        </w:drawing>
      </w:r>
    </w:p>
    <w:p>
      <w:pPr>
        <w:spacing w:after="0" w:line="191" w:lineRule="exact"/>
        <w:rPr>
          <w:sz w:val="20"/>
          <w:szCs w:val="20"/>
          <w:color w:val="auto"/>
        </w:rPr>
      </w:pPr>
    </w:p>
    <w:tbl>
      <w:tblPr>
        <w:tblLayout w:type="fixed"/>
        <w:tblInd w:w="1140" w:type="dxa"/>
        <w:tblCellMar>
          <w:top w:w="0" w:type="dxa"/>
          <w:left w:w="0" w:type="dxa"/>
          <w:bottom w:w="0" w:type="dxa"/>
          <w:right w:w="0" w:type="dxa"/>
        </w:tblCellMar>
      </w:tblPr>
      <w:tr>
        <w:trPr>
          <w:trHeight w:val="113"/>
        </w:trPr>
        <w:tc>
          <w:tcPr>
            <w:tcW w:w="3860" w:type="dxa"/>
            <w:vAlign w:val="bottom"/>
            <w:tcBorders>
              <w:top w:val="single" w:sz="8" w:color="auto"/>
            </w:tcBorders>
            <w:shd w:val="clear" w:color="auto" w:fill="2AD2C9"/>
          </w:tcPr>
          <w:p>
            <w:pPr>
              <w:ind w:left="60"/>
              <w:spacing w:after="0" w:line="114" w:lineRule="exact"/>
              <w:rPr>
                <w:sz w:val="20"/>
                <w:szCs w:val="20"/>
                <w:color w:val="auto"/>
              </w:rPr>
            </w:pPr>
            <w:r>
              <w:rPr>
                <w:rFonts w:ascii="Times New Roman" w:cs="Times New Roman" w:eastAsia="Times New Roman" w:hAnsi="Times New Roman"/>
                <w:sz w:val="10"/>
                <w:szCs w:val="10"/>
                <w:b w:val="1"/>
                <w:bCs w:val="1"/>
                <w:color w:val="FFFFFF"/>
              </w:rPr>
              <w:t>Fee Income by Subsidiary</w:t>
            </w:r>
          </w:p>
        </w:tc>
        <w:tc>
          <w:tcPr>
            <w:tcW w:w="1020" w:type="dxa"/>
            <w:vAlign w:val="bottom"/>
            <w:tcBorders>
              <w:top w:val="single" w:sz="8" w:color="auto"/>
            </w:tcBorders>
            <w:shd w:val="clear" w:color="auto" w:fill="2AD2C9"/>
          </w:tcPr>
          <w:p>
            <w:pPr>
              <w:spacing w:after="0"/>
              <w:rPr>
                <w:sz w:val="9"/>
                <w:szCs w:val="9"/>
                <w:color w:val="auto"/>
              </w:rPr>
            </w:pPr>
          </w:p>
        </w:tc>
        <w:tc>
          <w:tcPr>
            <w:tcW w:w="1040" w:type="dxa"/>
            <w:vAlign w:val="bottom"/>
            <w:tcBorders>
              <w:top w:val="single" w:sz="8" w:color="auto"/>
            </w:tcBorders>
            <w:shd w:val="clear" w:color="auto" w:fill="2AD2C9"/>
          </w:tcPr>
          <w:p>
            <w:pPr>
              <w:ind w:left="380"/>
              <w:spacing w:after="0" w:line="114" w:lineRule="exact"/>
              <w:rPr>
                <w:sz w:val="20"/>
                <w:szCs w:val="20"/>
                <w:color w:val="auto"/>
              </w:rPr>
            </w:pPr>
            <w:r>
              <w:rPr>
                <w:rFonts w:ascii="Times New Roman" w:cs="Times New Roman" w:eastAsia="Times New Roman" w:hAnsi="Times New Roman"/>
                <w:sz w:val="10"/>
                <w:szCs w:val="10"/>
                <w:b w:val="1"/>
                <w:bCs w:val="1"/>
                <w:color w:val="FFFFFF"/>
              </w:rPr>
              <w:t>Quarter</w:t>
            </w:r>
          </w:p>
        </w:tc>
        <w:tc>
          <w:tcPr>
            <w:tcW w:w="1100" w:type="dxa"/>
            <w:vAlign w:val="bottom"/>
            <w:tcBorders>
              <w:top w:val="single" w:sz="8" w:color="auto"/>
            </w:tcBorders>
            <w:shd w:val="clear" w:color="auto" w:fill="2AD2C9"/>
          </w:tcPr>
          <w:p>
            <w:pPr>
              <w:spacing w:after="0"/>
              <w:rPr>
                <w:sz w:val="9"/>
                <w:szCs w:val="9"/>
                <w:color w:val="auto"/>
              </w:rPr>
            </w:pPr>
          </w:p>
        </w:tc>
        <w:tc>
          <w:tcPr>
            <w:tcW w:w="700" w:type="dxa"/>
            <w:vAlign w:val="bottom"/>
            <w:tcBorders>
              <w:top w:val="single" w:sz="8" w:color="auto"/>
            </w:tcBorders>
            <w:shd w:val="clear" w:color="auto" w:fill="2AD2C9"/>
          </w:tcPr>
          <w:p>
            <w:pPr>
              <w:spacing w:after="0"/>
              <w:rPr>
                <w:sz w:val="9"/>
                <w:szCs w:val="9"/>
                <w:color w:val="auto"/>
              </w:rPr>
            </w:pPr>
          </w:p>
        </w:tc>
        <w:tc>
          <w:tcPr>
            <w:tcW w:w="1240" w:type="dxa"/>
            <w:vAlign w:val="bottom"/>
            <w:tcBorders>
              <w:top w:val="single" w:sz="8" w:color="auto"/>
            </w:tcBorders>
            <w:shd w:val="clear" w:color="auto" w:fill="2AD2C9"/>
          </w:tcPr>
          <w:p>
            <w:pPr>
              <w:ind w:left="40"/>
              <w:spacing w:after="0" w:line="114" w:lineRule="exact"/>
              <w:rPr>
                <w:sz w:val="20"/>
                <w:szCs w:val="20"/>
                <w:color w:val="auto"/>
              </w:rPr>
            </w:pPr>
            <w:r>
              <w:rPr>
                <w:rFonts w:ascii="Times New Roman" w:cs="Times New Roman" w:eastAsia="Times New Roman" w:hAnsi="Times New Roman"/>
                <w:sz w:val="10"/>
                <w:szCs w:val="10"/>
                <w:b w:val="1"/>
                <w:bCs w:val="1"/>
                <w:color w:val="FFFFFF"/>
              </w:rPr>
              <w:t>% Change</w:t>
            </w:r>
          </w:p>
        </w:tc>
        <w:tc>
          <w:tcPr>
            <w:tcW w:w="20" w:type="dxa"/>
            <w:vAlign w:val="bottom"/>
            <w:tcBorders>
              <w:top w:val="single" w:sz="8" w:color="auto"/>
            </w:tcBorders>
          </w:tcPr>
          <w:p>
            <w:pPr>
              <w:spacing w:after="0"/>
              <w:rPr>
                <w:sz w:val="9"/>
                <w:szCs w:val="9"/>
                <w:color w:val="auto"/>
              </w:rPr>
            </w:pPr>
          </w:p>
        </w:tc>
      </w:tr>
      <w:tr>
        <w:trPr>
          <w:trHeight w:val="128"/>
        </w:trPr>
        <w:tc>
          <w:tcPr>
            <w:tcW w:w="3860" w:type="dxa"/>
            <w:vAlign w:val="bottom"/>
            <w:tcBorders>
              <w:bottom w:val="single" w:sz="8" w:color="auto"/>
            </w:tcBorders>
            <w:shd w:val="clear" w:color="auto" w:fill="2AD2C9"/>
          </w:tcPr>
          <w:p>
            <w:pPr>
              <w:ind w:left="60"/>
              <w:spacing w:after="0"/>
              <w:rPr>
                <w:sz w:val="20"/>
                <w:szCs w:val="20"/>
                <w:color w:val="auto"/>
              </w:rPr>
            </w:pPr>
            <w:r>
              <w:rPr>
                <w:rFonts w:ascii="Times New Roman" w:cs="Times New Roman" w:eastAsia="Times New Roman" w:hAnsi="Times New Roman"/>
                <w:sz w:val="10"/>
                <w:szCs w:val="10"/>
                <w:b w:val="1"/>
                <w:bCs w:val="1"/>
                <w:color w:val="FFFFFF"/>
              </w:rPr>
              <w:t>(S/ 000)</w:t>
            </w:r>
          </w:p>
        </w:tc>
        <w:tc>
          <w:tcPr>
            <w:tcW w:w="1020" w:type="dxa"/>
            <w:vAlign w:val="bottom"/>
            <w:tcBorders>
              <w:bottom w:val="single" w:sz="8" w:color="auto"/>
            </w:tcBorders>
            <w:shd w:val="clear" w:color="auto" w:fill="2AD2C9"/>
          </w:tcPr>
          <w:p>
            <w:pPr>
              <w:jc w:val="center"/>
              <w:spacing w:after="0"/>
              <w:rPr>
                <w:sz w:val="20"/>
                <w:szCs w:val="20"/>
                <w:color w:val="auto"/>
              </w:rPr>
            </w:pPr>
            <w:r>
              <w:rPr>
                <w:rFonts w:ascii="Times New Roman" w:cs="Times New Roman" w:eastAsia="Times New Roman" w:hAnsi="Times New Roman"/>
                <w:sz w:val="10"/>
                <w:szCs w:val="10"/>
                <w:b w:val="1"/>
                <w:bCs w:val="1"/>
                <w:color w:val="FFFFFF"/>
              </w:rPr>
              <w:t>1Q25</w:t>
            </w:r>
          </w:p>
        </w:tc>
        <w:tc>
          <w:tcPr>
            <w:tcW w:w="1040" w:type="dxa"/>
            <w:vAlign w:val="bottom"/>
            <w:tcBorders>
              <w:bottom w:val="single" w:sz="8" w:color="auto"/>
            </w:tcBorders>
            <w:shd w:val="clear" w:color="auto" w:fill="2AD2C9"/>
          </w:tcPr>
          <w:p>
            <w:pPr>
              <w:jc w:val="center"/>
              <w:spacing w:after="0"/>
              <w:rPr>
                <w:sz w:val="20"/>
                <w:szCs w:val="20"/>
                <w:color w:val="auto"/>
              </w:rPr>
            </w:pPr>
            <w:r>
              <w:rPr>
                <w:rFonts w:ascii="Times New Roman" w:cs="Times New Roman" w:eastAsia="Times New Roman" w:hAnsi="Times New Roman"/>
                <w:sz w:val="10"/>
                <w:szCs w:val="10"/>
                <w:b w:val="1"/>
                <w:bCs w:val="1"/>
                <w:color w:val="FFFFFF"/>
                <w:w w:val="96"/>
              </w:rPr>
              <w:t>4Q25</w:t>
            </w:r>
          </w:p>
        </w:tc>
        <w:tc>
          <w:tcPr>
            <w:tcW w:w="1100" w:type="dxa"/>
            <w:vAlign w:val="bottom"/>
            <w:tcBorders>
              <w:bottom w:val="single" w:sz="8" w:color="auto"/>
            </w:tcBorders>
            <w:shd w:val="clear" w:color="auto" w:fill="2AD2C9"/>
          </w:tcPr>
          <w:p>
            <w:pPr>
              <w:jc w:val="center"/>
              <w:spacing w:after="0"/>
              <w:rPr>
                <w:sz w:val="20"/>
                <w:szCs w:val="20"/>
                <w:color w:val="auto"/>
              </w:rPr>
            </w:pPr>
            <w:r>
              <w:rPr>
                <w:rFonts w:ascii="Times New Roman" w:cs="Times New Roman" w:eastAsia="Times New Roman" w:hAnsi="Times New Roman"/>
                <w:sz w:val="10"/>
                <w:szCs w:val="10"/>
                <w:b w:val="1"/>
                <w:bCs w:val="1"/>
                <w:color w:val="FFFFFF"/>
                <w:w w:val="96"/>
              </w:rPr>
              <w:t>1Q26</w:t>
            </w:r>
          </w:p>
        </w:tc>
        <w:tc>
          <w:tcPr>
            <w:tcW w:w="700" w:type="dxa"/>
            <w:vAlign w:val="bottom"/>
            <w:tcBorders>
              <w:bottom w:val="single" w:sz="8" w:color="auto"/>
            </w:tcBorders>
            <w:shd w:val="clear" w:color="auto" w:fill="2AD2C9"/>
          </w:tcPr>
          <w:p>
            <w:pPr>
              <w:ind w:left="380"/>
              <w:spacing w:after="0"/>
              <w:rPr>
                <w:sz w:val="20"/>
                <w:szCs w:val="20"/>
                <w:color w:val="auto"/>
              </w:rPr>
            </w:pPr>
            <w:r>
              <w:rPr>
                <w:rFonts w:ascii="Times New Roman" w:cs="Times New Roman" w:eastAsia="Times New Roman" w:hAnsi="Times New Roman"/>
                <w:sz w:val="10"/>
                <w:szCs w:val="10"/>
                <w:b w:val="1"/>
                <w:bCs w:val="1"/>
                <w:color w:val="FFFFFF"/>
              </w:rPr>
              <w:t>QoQ</w:t>
            </w:r>
          </w:p>
        </w:tc>
        <w:tc>
          <w:tcPr>
            <w:tcW w:w="1240" w:type="dxa"/>
            <w:vAlign w:val="bottom"/>
            <w:tcBorders>
              <w:bottom w:val="single" w:sz="8" w:color="auto"/>
            </w:tcBorders>
            <w:shd w:val="clear" w:color="auto" w:fill="2AD2C9"/>
          </w:tcPr>
          <w:p>
            <w:pPr>
              <w:ind w:left="660"/>
              <w:spacing w:after="0"/>
              <w:rPr>
                <w:sz w:val="20"/>
                <w:szCs w:val="20"/>
                <w:color w:val="auto"/>
              </w:rPr>
            </w:pPr>
            <w:r>
              <w:rPr>
                <w:rFonts w:ascii="Times New Roman" w:cs="Times New Roman" w:eastAsia="Times New Roman" w:hAnsi="Times New Roman"/>
                <w:sz w:val="10"/>
                <w:szCs w:val="10"/>
                <w:b w:val="1"/>
                <w:bCs w:val="1"/>
                <w:color w:val="FFFFFF"/>
              </w:rPr>
              <w:t>YoY</w:t>
            </w:r>
          </w:p>
        </w:tc>
        <w:tc>
          <w:tcPr>
            <w:tcW w:w="20" w:type="dxa"/>
            <w:vAlign w:val="bottom"/>
            <w:tcBorders>
              <w:bottom w:val="single" w:sz="8" w:color="auto"/>
            </w:tcBorders>
          </w:tcPr>
          <w:p>
            <w:pPr>
              <w:spacing w:after="0"/>
              <w:rPr>
                <w:sz w:val="11"/>
                <w:szCs w:val="11"/>
                <w:color w:val="auto"/>
              </w:rPr>
            </w:pPr>
          </w:p>
        </w:tc>
      </w:tr>
      <w:tr>
        <w:trPr>
          <w:trHeight w:val="104"/>
        </w:trPr>
        <w:tc>
          <w:tcPr>
            <w:tcW w:w="3860" w:type="dxa"/>
            <w:vAlign w:val="bottom"/>
          </w:tcPr>
          <w:p>
            <w:pPr>
              <w:ind w:left="60"/>
              <w:spacing w:after="0" w:line="104" w:lineRule="exact"/>
              <w:rPr>
                <w:sz w:val="20"/>
                <w:szCs w:val="20"/>
                <w:color w:val="auto"/>
              </w:rPr>
            </w:pPr>
            <w:r>
              <w:rPr>
                <w:rFonts w:ascii="Times New Roman" w:cs="Times New Roman" w:eastAsia="Times New Roman" w:hAnsi="Times New Roman"/>
                <w:sz w:val="12"/>
                <w:szCs w:val="12"/>
                <w:color w:val="auto"/>
              </w:rPr>
              <w:t>BCP Stand-Alone</w:t>
            </w:r>
          </w:p>
        </w:tc>
        <w:tc>
          <w:tcPr>
            <w:tcW w:w="1020" w:type="dxa"/>
            <w:vAlign w:val="bottom"/>
          </w:tcPr>
          <w:p>
            <w:pPr>
              <w:jc w:val="center"/>
              <w:spacing w:after="0" w:line="104" w:lineRule="exact"/>
              <w:rPr>
                <w:sz w:val="20"/>
                <w:szCs w:val="20"/>
                <w:color w:val="auto"/>
              </w:rPr>
            </w:pPr>
            <w:r>
              <w:rPr>
                <w:rFonts w:ascii="Times New Roman" w:cs="Times New Roman" w:eastAsia="Times New Roman" w:hAnsi="Times New Roman"/>
                <w:sz w:val="12"/>
                <w:szCs w:val="12"/>
                <w:color w:val="auto"/>
                <w:w w:val="97"/>
              </w:rPr>
              <w:t>831,427</w:t>
            </w:r>
          </w:p>
        </w:tc>
        <w:tc>
          <w:tcPr>
            <w:tcW w:w="1040" w:type="dxa"/>
            <w:vAlign w:val="bottom"/>
          </w:tcPr>
          <w:p>
            <w:pPr>
              <w:jc w:val="center"/>
              <w:spacing w:after="0" w:line="104" w:lineRule="exact"/>
              <w:rPr>
                <w:sz w:val="20"/>
                <w:szCs w:val="20"/>
                <w:color w:val="auto"/>
              </w:rPr>
            </w:pPr>
            <w:r>
              <w:rPr>
                <w:rFonts w:ascii="Times New Roman" w:cs="Times New Roman" w:eastAsia="Times New Roman" w:hAnsi="Times New Roman"/>
                <w:sz w:val="12"/>
                <w:szCs w:val="12"/>
                <w:color w:val="auto"/>
                <w:w w:val="97"/>
              </w:rPr>
              <w:t>924,682</w:t>
            </w:r>
          </w:p>
        </w:tc>
        <w:tc>
          <w:tcPr>
            <w:tcW w:w="1100" w:type="dxa"/>
            <w:vAlign w:val="bottom"/>
          </w:tcPr>
          <w:p>
            <w:pPr>
              <w:jc w:val="center"/>
              <w:spacing w:after="0" w:line="104" w:lineRule="exact"/>
              <w:rPr>
                <w:sz w:val="20"/>
                <w:szCs w:val="20"/>
                <w:color w:val="auto"/>
              </w:rPr>
            </w:pPr>
            <w:r>
              <w:rPr>
                <w:rFonts w:ascii="Times New Roman" w:cs="Times New Roman" w:eastAsia="Times New Roman" w:hAnsi="Times New Roman"/>
                <w:sz w:val="12"/>
                <w:szCs w:val="12"/>
                <w:color w:val="auto"/>
                <w:w w:val="97"/>
              </w:rPr>
              <w:t>961,546</w:t>
            </w:r>
          </w:p>
        </w:tc>
        <w:tc>
          <w:tcPr>
            <w:tcW w:w="700" w:type="dxa"/>
            <w:vAlign w:val="bottom"/>
          </w:tcPr>
          <w:p>
            <w:pPr>
              <w:jc w:val="center"/>
              <w:ind w:left="202"/>
              <w:spacing w:after="0" w:line="104" w:lineRule="exact"/>
              <w:rPr>
                <w:sz w:val="20"/>
                <w:szCs w:val="20"/>
                <w:color w:val="auto"/>
              </w:rPr>
            </w:pPr>
            <w:r>
              <w:rPr>
                <w:rFonts w:ascii="Times New Roman" w:cs="Times New Roman" w:eastAsia="Times New Roman" w:hAnsi="Times New Roman"/>
                <w:sz w:val="12"/>
                <w:szCs w:val="12"/>
                <w:color w:val="auto"/>
                <w:w w:val="95"/>
              </w:rPr>
              <w:t>4.0%</w:t>
            </w:r>
          </w:p>
        </w:tc>
        <w:tc>
          <w:tcPr>
            <w:tcW w:w="1240" w:type="dxa"/>
            <w:vAlign w:val="bottom"/>
          </w:tcPr>
          <w:p>
            <w:pPr>
              <w:jc w:val="center"/>
              <w:ind w:left="202"/>
              <w:spacing w:after="0" w:line="104" w:lineRule="exact"/>
              <w:rPr>
                <w:sz w:val="20"/>
                <w:szCs w:val="20"/>
                <w:color w:val="auto"/>
              </w:rPr>
            </w:pPr>
            <w:r>
              <w:rPr>
                <w:rFonts w:ascii="Times New Roman" w:cs="Times New Roman" w:eastAsia="Times New Roman" w:hAnsi="Times New Roman"/>
                <w:sz w:val="12"/>
                <w:szCs w:val="12"/>
                <w:color w:val="auto"/>
                <w:w w:val="96"/>
              </w:rPr>
              <w:t>15.7%</w:t>
            </w:r>
          </w:p>
        </w:tc>
        <w:tc>
          <w:tcPr>
            <w:tcW w:w="20" w:type="dxa"/>
            <w:vAlign w:val="bottom"/>
          </w:tcPr>
          <w:p>
            <w:pPr>
              <w:spacing w:after="0"/>
              <w:rPr>
                <w:sz w:val="9"/>
                <w:szCs w:val="9"/>
                <w:color w:val="auto"/>
              </w:rPr>
            </w:pPr>
          </w:p>
        </w:tc>
      </w:tr>
      <w:tr>
        <w:trPr>
          <w:trHeight w:val="127"/>
        </w:trPr>
        <w:tc>
          <w:tcPr>
            <w:tcW w:w="3860" w:type="dxa"/>
            <w:vAlign w:val="bottom"/>
          </w:tcPr>
          <w:p>
            <w:pPr>
              <w:ind w:left="60"/>
              <w:spacing w:after="0" w:line="127" w:lineRule="exact"/>
              <w:rPr>
                <w:sz w:val="20"/>
                <w:szCs w:val="20"/>
                <w:color w:val="auto"/>
              </w:rPr>
            </w:pPr>
            <w:r>
              <w:rPr>
                <w:rFonts w:ascii="Times New Roman" w:cs="Times New Roman" w:eastAsia="Times New Roman" w:hAnsi="Times New Roman"/>
                <w:sz w:val="12"/>
                <w:szCs w:val="12"/>
                <w:color w:val="auto"/>
              </w:rPr>
              <w:t>BCP Bolivia</w:t>
            </w:r>
          </w:p>
        </w:tc>
        <w:tc>
          <w:tcPr>
            <w:tcW w:w="102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6"/>
              </w:rPr>
              <w:t>12,844</w:t>
            </w:r>
          </w:p>
        </w:tc>
        <w:tc>
          <w:tcPr>
            <w:tcW w:w="104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rPr>
              <w:t>14,535</w:t>
            </w:r>
          </w:p>
        </w:tc>
        <w:tc>
          <w:tcPr>
            <w:tcW w:w="110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rPr>
              <w:t>17,281</w:t>
            </w:r>
          </w:p>
        </w:tc>
        <w:tc>
          <w:tcPr>
            <w:tcW w:w="700" w:type="dxa"/>
            <w:vAlign w:val="bottom"/>
          </w:tcPr>
          <w:p>
            <w:pPr>
              <w:jc w:val="center"/>
              <w:ind w:left="222"/>
              <w:spacing w:after="0" w:line="127" w:lineRule="exact"/>
              <w:rPr>
                <w:sz w:val="20"/>
                <w:szCs w:val="20"/>
                <w:color w:val="auto"/>
              </w:rPr>
            </w:pPr>
            <w:r>
              <w:rPr>
                <w:rFonts w:ascii="Times New Roman" w:cs="Times New Roman" w:eastAsia="Times New Roman" w:hAnsi="Times New Roman"/>
                <w:sz w:val="12"/>
                <w:szCs w:val="12"/>
                <w:color w:val="auto"/>
                <w:w w:val="96"/>
              </w:rPr>
              <w:t>18.9%</w:t>
            </w:r>
          </w:p>
        </w:tc>
        <w:tc>
          <w:tcPr>
            <w:tcW w:w="1240" w:type="dxa"/>
            <w:vAlign w:val="bottom"/>
          </w:tcPr>
          <w:p>
            <w:pPr>
              <w:jc w:val="center"/>
              <w:ind w:left="202"/>
              <w:spacing w:after="0" w:line="127" w:lineRule="exact"/>
              <w:rPr>
                <w:sz w:val="20"/>
                <w:szCs w:val="20"/>
                <w:color w:val="auto"/>
              </w:rPr>
            </w:pPr>
            <w:r>
              <w:rPr>
                <w:rFonts w:ascii="Times New Roman" w:cs="Times New Roman" w:eastAsia="Times New Roman" w:hAnsi="Times New Roman"/>
                <w:sz w:val="12"/>
                <w:szCs w:val="12"/>
                <w:color w:val="auto"/>
                <w:w w:val="96"/>
              </w:rPr>
              <w:t>34.5%</w:t>
            </w:r>
          </w:p>
        </w:tc>
        <w:tc>
          <w:tcPr>
            <w:tcW w:w="20" w:type="dxa"/>
            <w:vAlign w:val="bottom"/>
          </w:tcPr>
          <w:p>
            <w:pPr>
              <w:spacing w:after="0"/>
              <w:rPr>
                <w:sz w:val="11"/>
                <w:szCs w:val="11"/>
                <w:color w:val="auto"/>
              </w:rPr>
            </w:pPr>
          </w:p>
        </w:tc>
      </w:tr>
      <w:tr>
        <w:trPr>
          <w:trHeight w:val="127"/>
        </w:trPr>
        <w:tc>
          <w:tcPr>
            <w:tcW w:w="3860" w:type="dxa"/>
            <w:vAlign w:val="bottom"/>
          </w:tcPr>
          <w:p>
            <w:pPr>
              <w:ind w:left="60"/>
              <w:spacing w:after="0" w:line="127" w:lineRule="exact"/>
              <w:rPr>
                <w:sz w:val="20"/>
                <w:szCs w:val="20"/>
                <w:color w:val="auto"/>
              </w:rPr>
            </w:pPr>
            <w:r>
              <w:rPr>
                <w:rFonts w:ascii="Times New Roman" w:cs="Times New Roman" w:eastAsia="Times New Roman" w:hAnsi="Times New Roman"/>
                <w:sz w:val="12"/>
                <w:szCs w:val="12"/>
                <w:color w:val="auto"/>
              </w:rPr>
              <w:t>Mibanco</w:t>
            </w:r>
          </w:p>
        </w:tc>
        <w:tc>
          <w:tcPr>
            <w:tcW w:w="102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6"/>
              </w:rPr>
              <w:t>28,339</w:t>
            </w:r>
          </w:p>
        </w:tc>
        <w:tc>
          <w:tcPr>
            <w:tcW w:w="104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rPr>
              <w:t>31,596</w:t>
            </w:r>
          </w:p>
        </w:tc>
        <w:tc>
          <w:tcPr>
            <w:tcW w:w="110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rPr>
              <w:t>34,270</w:t>
            </w:r>
          </w:p>
        </w:tc>
        <w:tc>
          <w:tcPr>
            <w:tcW w:w="700" w:type="dxa"/>
            <w:vAlign w:val="bottom"/>
          </w:tcPr>
          <w:p>
            <w:pPr>
              <w:jc w:val="center"/>
              <w:ind w:left="202"/>
              <w:spacing w:after="0" w:line="127" w:lineRule="exact"/>
              <w:rPr>
                <w:sz w:val="20"/>
                <w:szCs w:val="20"/>
                <w:color w:val="auto"/>
              </w:rPr>
            </w:pPr>
            <w:r>
              <w:rPr>
                <w:rFonts w:ascii="Times New Roman" w:cs="Times New Roman" w:eastAsia="Times New Roman" w:hAnsi="Times New Roman"/>
                <w:sz w:val="12"/>
                <w:szCs w:val="12"/>
                <w:color w:val="auto"/>
                <w:w w:val="95"/>
              </w:rPr>
              <w:t>8.5%</w:t>
            </w:r>
          </w:p>
        </w:tc>
        <w:tc>
          <w:tcPr>
            <w:tcW w:w="1240" w:type="dxa"/>
            <w:vAlign w:val="bottom"/>
          </w:tcPr>
          <w:p>
            <w:pPr>
              <w:jc w:val="center"/>
              <w:ind w:left="202"/>
              <w:spacing w:after="0" w:line="127" w:lineRule="exact"/>
              <w:rPr>
                <w:sz w:val="20"/>
                <w:szCs w:val="20"/>
                <w:color w:val="auto"/>
              </w:rPr>
            </w:pPr>
            <w:r>
              <w:rPr>
                <w:rFonts w:ascii="Times New Roman" w:cs="Times New Roman" w:eastAsia="Times New Roman" w:hAnsi="Times New Roman"/>
                <w:sz w:val="12"/>
                <w:szCs w:val="12"/>
                <w:color w:val="auto"/>
                <w:w w:val="96"/>
              </w:rPr>
              <w:t>20.9%</w:t>
            </w:r>
          </w:p>
        </w:tc>
        <w:tc>
          <w:tcPr>
            <w:tcW w:w="20" w:type="dxa"/>
            <w:vAlign w:val="bottom"/>
          </w:tcPr>
          <w:p>
            <w:pPr>
              <w:spacing w:after="0"/>
              <w:rPr>
                <w:sz w:val="11"/>
                <w:szCs w:val="11"/>
                <w:color w:val="auto"/>
              </w:rPr>
            </w:pPr>
          </w:p>
        </w:tc>
      </w:tr>
      <w:tr>
        <w:trPr>
          <w:trHeight w:val="127"/>
        </w:trPr>
        <w:tc>
          <w:tcPr>
            <w:tcW w:w="3860" w:type="dxa"/>
            <w:vAlign w:val="bottom"/>
          </w:tcPr>
          <w:p>
            <w:pPr>
              <w:ind w:left="60"/>
              <w:spacing w:after="0" w:line="127" w:lineRule="exact"/>
              <w:rPr>
                <w:sz w:val="20"/>
                <w:szCs w:val="20"/>
                <w:color w:val="auto"/>
              </w:rPr>
            </w:pPr>
            <w:r>
              <w:rPr>
                <w:rFonts w:ascii="Times New Roman" w:cs="Times New Roman" w:eastAsia="Times New Roman" w:hAnsi="Times New Roman"/>
                <w:sz w:val="12"/>
                <w:szCs w:val="12"/>
                <w:color w:val="auto"/>
              </w:rPr>
              <w:t>Mibanco Colombia</w:t>
            </w:r>
          </w:p>
        </w:tc>
        <w:tc>
          <w:tcPr>
            <w:tcW w:w="102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6"/>
              </w:rPr>
              <w:t>9,126</w:t>
            </w:r>
          </w:p>
        </w:tc>
        <w:tc>
          <w:tcPr>
            <w:tcW w:w="104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rPr>
              <w:t>16,744</w:t>
            </w:r>
          </w:p>
        </w:tc>
        <w:tc>
          <w:tcPr>
            <w:tcW w:w="110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rPr>
              <w:t>17,488</w:t>
            </w:r>
          </w:p>
        </w:tc>
        <w:tc>
          <w:tcPr>
            <w:tcW w:w="700" w:type="dxa"/>
            <w:vAlign w:val="bottom"/>
          </w:tcPr>
          <w:p>
            <w:pPr>
              <w:jc w:val="center"/>
              <w:ind w:left="202"/>
              <w:spacing w:after="0" w:line="127" w:lineRule="exact"/>
              <w:rPr>
                <w:sz w:val="20"/>
                <w:szCs w:val="20"/>
                <w:color w:val="auto"/>
              </w:rPr>
            </w:pPr>
            <w:r>
              <w:rPr>
                <w:rFonts w:ascii="Times New Roman" w:cs="Times New Roman" w:eastAsia="Times New Roman" w:hAnsi="Times New Roman"/>
                <w:sz w:val="12"/>
                <w:szCs w:val="12"/>
                <w:color w:val="auto"/>
                <w:w w:val="95"/>
              </w:rPr>
              <w:t>4.4%</w:t>
            </w:r>
          </w:p>
        </w:tc>
        <w:tc>
          <w:tcPr>
            <w:tcW w:w="1240" w:type="dxa"/>
            <w:vAlign w:val="bottom"/>
          </w:tcPr>
          <w:p>
            <w:pPr>
              <w:jc w:val="center"/>
              <w:ind w:left="202"/>
              <w:spacing w:after="0" w:line="127" w:lineRule="exact"/>
              <w:rPr>
                <w:sz w:val="20"/>
                <w:szCs w:val="20"/>
                <w:color w:val="auto"/>
              </w:rPr>
            </w:pPr>
            <w:r>
              <w:rPr>
                <w:rFonts w:ascii="Times New Roman" w:cs="Times New Roman" w:eastAsia="Times New Roman" w:hAnsi="Times New Roman"/>
                <w:sz w:val="12"/>
                <w:szCs w:val="12"/>
                <w:color w:val="auto"/>
                <w:w w:val="96"/>
              </w:rPr>
              <w:t>91.6%</w:t>
            </w:r>
          </w:p>
        </w:tc>
        <w:tc>
          <w:tcPr>
            <w:tcW w:w="20" w:type="dxa"/>
            <w:vAlign w:val="bottom"/>
          </w:tcPr>
          <w:p>
            <w:pPr>
              <w:spacing w:after="0"/>
              <w:rPr>
                <w:sz w:val="11"/>
                <w:szCs w:val="11"/>
                <w:color w:val="auto"/>
              </w:rPr>
            </w:pPr>
          </w:p>
        </w:tc>
      </w:tr>
      <w:tr>
        <w:trPr>
          <w:trHeight w:val="127"/>
        </w:trPr>
        <w:tc>
          <w:tcPr>
            <w:tcW w:w="3860" w:type="dxa"/>
            <w:vAlign w:val="bottom"/>
          </w:tcPr>
          <w:p>
            <w:pPr>
              <w:ind w:left="60"/>
              <w:spacing w:after="0" w:line="127" w:lineRule="exact"/>
              <w:rPr>
                <w:sz w:val="20"/>
                <w:szCs w:val="20"/>
                <w:color w:val="auto"/>
              </w:rPr>
            </w:pPr>
            <w:r>
              <w:rPr>
                <w:rFonts w:ascii="Times New Roman" w:cs="Times New Roman" w:eastAsia="Times New Roman" w:hAnsi="Times New Roman"/>
                <w:sz w:val="12"/>
                <w:szCs w:val="12"/>
                <w:color w:val="auto"/>
              </w:rPr>
              <w:t>Pacífico</w:t>
            </w:r>
          </w:p>
        </w:tc>
        <w:tc>
          <w:tcPr>
            <w:tcW w:w="102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7"/>
              </w:rPr>
              <w:t>(3,757)</w:t>
            </w:r>
          </w:p>
        </w:tc>
        <w:tc>
          <w:tcPr>
            <w:tcW w:w="104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7"/>
              </w:rPr>
              <w:t>(4,033)</w:t>
            </w:r>
          </w:p>
        </w:tc>
        <w:tc>
          <w:tcPr>
            <w:tcW w:w="110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7"/>
              </w:rPr>
              <w:t>(5,204)</w:t>
            </w:r>
          </w:p>
        </w:tc>
        <w:tc>
          <w:tcPr>
            <w:tcW w:w="700" w:type="dxa"/>
            <w:vAlign w:val="bottom"/>
          </w:tcPr>
          <w:p>
            <w:pPr>
              <w:jc w:val="center"/>
              <w:ind w:left="222"/>
              <w:spacing w:after="0" w:line="127" w:lineRule="exact"/>
              <w:rPr>
                <w:sz w:val="20"/>
                <w:szCs w:val="20"/>
                <w:color w:val="auto"/>
              </w:rPr>
            </w:pPr>
            <w:r>
              <w:rPr>
                <w:rFonts w:ascii="Times New Roman" w:cs="Times New Roman" w:eastAsia="Times New Roman" w:hAnsi="Times New Roman"/>
                <w:sz w:val="12"/>
                <w:szCs w:val="12"/>
                <w:color w:val="auto"/>
                <w:w w:val="96"/>
              </w:rPr>
              <w:t>29.0%</w:t>
            </w:r>
          </w:p>
        </w:tc>
        <w:tc>
          <w:tcPr>
            <w:tcW w:w="1240" w:type="dxa"/>
            <w:vAlign w:val="bottom"/>
          </w:tcPr>
          <w:p>
            <w:pPr>
              <w:jc w:val="center"/>
              <w:ind w:left="202"/>
              <w:spacing w:after="0" w:line="127" w:lineRule="exact"/>
              <w:rPr>
                <w:sz w:val="20"/>
                <w:szCs w:val="20"/>
                <w:color w:val="auto"/>
              </w:rPr>
            </w:pPr>
            <w:r>
              <w:rPr>
                <w:rFonts w:ascii="Times New Roman" w:cs="Times New Roman" w:eastAsia="Times New Roman" w:hAnsi="Times New Roman"/>
                <w:sz w:val="12"/>
                <w:szCs w:val="12"/>
                <w:color w:val="auto"/>
                <w:w w:val="96"/>
              </w:rPr>
              <w:t>38.5%</w:t>
            </w:r>
          </w:p>
        </w:tc>
        <w:tc>
          <w:tcPr>
            <w:tcW w:w="20" w:type="dxa"/>
            <w:vAlign w:val="bottom"/>
          </w:tcPr>
          <w:p>
            <w:pPr>
              <w:spacing w:after="0"/>
              <w:rPr>
                <w:sz w:val="11"/>
                <w:szCs w:val="11"/>
                <w:color w:val="auto"/>
              </w:rPr>
            </w:pPr>
          </w:p>
        </w:tc>
      </w:tr>
      <w:tr>
        <w:trPr>
          <w:trHeight w:val="127"/>
        </w:trPr>
        <w:tc>
          <w:tcPr>
            <w:tcW w:w="3860" w:type="dxa"/>
            <w:vAlign w:val="bottom"/>
          </w:tcPr>
          <w:p>
            <w:pPr>
              <w:ind w:left="60"/>
              <w:spacing w:after="0" w:line="127" w:lineRule="exact"/>
              <w:rPr>
                <w:sz w:val="20"/>
                <w:szCs w:val="20"/>
                <w:color w:val="auto"/>
              </w:rPr>
            </w:pPr>
            <w:r>
              <w:rPr>
                <w:rFonts w:ascii="Times New Roman" w:cs="Times New Roman" w:eastAsia="Times New Roman" w:hAnsi="Times New Roman"/>
                <w:sz w:val="12"/>
                <w:szCs w:val="12"/>
                <w:color w:val="auto"/>
              </w:rPr>
              <w:t>Prima</w:t>
            </w:r>
          </w:p>
        </w:tc>
        <w:tc>
          <w:tcPr>
            <w:tcW w:w="102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6"/>
              </w:rPr>
              <w:t>94,072</w:t>
            </w:r>
          </w:p>
        </w:tc>
        <w:tc>
          <w:tcPr>
            <w:tcW w:w="104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rPr>
              <w:t>97,023</w:t>
            </w:r>
          </w:p>
        </w:tc>
        <w:tc>
          <w:tcPr>
            <w:tcW w:w="110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rPr>
              <w:t>91,195</w:t>
            </w:r>
          </w:p>
        </w:tc>
        <w:tc>
          <w:tcPr>
            <w:tcW w:w="700" w:type="dxa"/>
            <w:vAlign w:val="bottom"/>
          </w:tcPr>
          <w:p>
            <w:pPr>
              <w:jc w:val="center"/>
              <w:ind w:left="202"/>
              <w:spacing w:after="0" w:line="127" w:lineRule="exact"/>
              <w:rPr>
                <w:sz w:val="20"/>
                <w:szCs w:val="20"/>
                <w:color w:val="auto"/>
              </w:rPr>
            </w:pPr>
            <w:r>
              <w:rPr>
                <w:rFonts w:ascii="Times New Roman" w:cs="Times New Roman" w:eastAsia="Times New Roman" w:hAnsi="Times New Roman"/>
                <w:sz w:val="12"/>
                <w:szCs w:val="12"/>
                <w:color w:val="auto"/>
                <w:w w:val="96"/>
              </w:rPr>
              <w:t>-6.0%</w:t>
            </w:r>
          </w:p>
        </w:tc>
        <w:tc>
          <w:tcPr>
            <w:tcW w:w="1240" w:type="dxa"/>
            <w:vAlign w:val="bottom"/>
          </w:tcPr>
          <w:p>
            <w:pPr>
              <w:jc w:val="center"/>
              <w:ind w:left="222"/>
              <w:spacing w:after="0" w:line="127" w:lineRule="exact"/>
              <w:rPr>
                <w:sz w:val="20"/>
                <w:szCs w:val="20"/>
                <w:color w:val="auto"/>
              </w:rPr>
            </w:pPr>
            <w:r>
              <w:rPr>
                <w:rFonts w:ascii="Times New Roman" w:cs="Times New Roman" w:eastAsia="Times New Roman" w:hAnsi="Times New Roman"/>
                <w:sz w:val="12"/>
                <w:szCs w:val="12"/>
                <w:color w:val="auto"/>
                <w:w w:val="96"/>
              </w:rPr>
              <w:t>-3.1%</w:t>
            </w:r>
          </w:p>
        </w:tc>
        <w:tc>
          <w:tcPr>
            <w:tcW w:w="20" w:type="dxa"/>
            <w:vAlign w:val="bottom"/>
          </w:tcPr>
          <w:p>
            <w:pPr>
              <w:spacing w:after="0"/>
              <w:rPr>
                <w:sz w:val="11"/>
                <w:szCs w:val="11"/>
                <w:color w:val="auto"/>
              </w:rPr>
            </w:pPr>
          </w:p>
        </w:tc>
      </w:tr>
      <w:tr>
        <w:trPr>
          <w:trHeight w:val="127"/>
        </w:trPr>
        <w:tc>
          <w:tcPr>
            <w:tcW w:w="3860" w:type="dxa"/>
            <w:vAlign w:val="bottom"/>
          </w:tcPr>
          <w:p>
            <w:pPr>
              <w:ind w:left="60"/>
              <w:spacing w:after="0" w:line="127" w:lineRule="exact"/>
              <w:rPr>
                <w:sz w:val="20"/>
                <w:szCs w:val="20"/>
                <w:color w:val="auto"/>
              </w:rPr>
            </w:pPr>
            <w:r>
              <w:rPr>
                <w:rFonts w:ascii="Times New Roman" w:cs="Times New Roman" w:eastAsia="Times New Roman" w:hAnsi="Times New Roman"/>
                <w:sz w:val="12"/>
                <w:szCs w:val="12"/>
                <w:color w:val="auto"/>
              </w:rPr>
              <w:t>ASB</w:t>
            </w:r>
          </w:p>
        </w:tc>
        <w:tc>
          <w:tcPr>
            <w:tcW w:w="102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6"/>
              </w:rPr>
              <w:t>13,826</w:t>
            </w:r>
          </w:p>
        </w:tc>
        <w:tc>
          <w:tcPr>
            <w:tcW w:w="104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rPr>
              <w:t>13,992</w:t>
            </w:r>
          </w:p>
        </w:tc>
        <w:tc>
          <w:tcPr>
            <w:tcW w:w="110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rPr>
              <w:t>13,596</w:t>
            </w:r>
          </w:p>
        </w:tc>
        <w:tc>
          <w:tcPr>
            <w:tcW w:w="700" w:type="dxa"/>
            <w:vAlign w:val="bottom"/>
          </w:tcPr>
          <w:p>
            <w:pPr>
              <w:jc w:val="center"/>
              <w:ind w:left="202"/>
              <w:spacing w:after="0" w:line="127" w:lineRule="exact"/>
              <w:rPr>
                <w:sz w:val="20"/>
                <w:szCs w:val="20"/>
                <w:color w:val="auto"/>
              </w:rPr>
            </w:pPr>
            <w:r>
              <w:rPr>
                <w:rFonts w:ascii="Times New Roman" w:cs="Times New Roman" w:eastAsia="Times New Roman" w:hAnsi="Times New Roman"/>
                <w:sz w:val="12"/>
                <w:szCs w:val="12"/>
                <w:color w:val="auto"/>
                <w:w w:val="96"/>
              </w:rPr>
              <w:t>-2.8%</w:t>
            </w:r>
          </w:p>
        </w:tc>
        <w:tc>
          <w:tcPr>
            <w:tcW w:w="1240" w:type="dxa"/>
            <w:vAlign w:val="bottom"/>
          </w:tcPr>
          <w:p>
            <w:pPr>
              <w:jc w:val="center"/>
              <w:ind w:left="222"/>
              <w:spacing w:after="0" w:line="127" w:lineRule="exact"/>
              <w:rPr>
                <w:sz w:val="20"/>
                <w:szCs w:val="20"/>
                <w:color w:val="auto"/>
              </w:rPr>
            </w:pPr>
            <w:r>
              <w:rPr>
                <w:rFonts w:ascii="Times New Roman" w:cs="Times New Roman" w:eastAsia="Times New Roman" w:hAnsi="Times New Roman"/>
                <w:sz w:val="12"/>
                <w:szCs w:val="12"/>
                <w:color w:val="auto"/>
                <w:w w:val="96"/>
              </w:rPr>
              <w:t>-1.7%</w:t>
            </w:r>
          </w:p>
        </w:tc>
        <w:tc>
          <w:tcPr>
            <w:tcW w:w="20" w:type="dxa"/>
            <w:vAlign w:val="bottom"/>
          </w:tcPr>
          <w:p>
            <w:pPr>
              <w:spacing w:after="0"/>
              <w:rPr>
                <w:sz w:val="11"/>
                <w:szCs w:val="11"/>
                <w:color w:val="auto"/>
              </w:rPr>
            </w:pPr>
          </w:p>
        </w:tc>
      </w:tr>
      <w:tr>
        <w:trPr>
          <w:trHeight w:val="121"/>
        </w:trPr>
        <w:tc>
          <w:tcPr>
            <w:tcW w:w="3860" w:type="dxa"/>
            <w:vAlign w:val="bottom"/>
          </w:tcPr>
          <w:p>
            <w:pPr>
              <w:ind w:left="60"/>
              <w:spacing w:after="0" w:line="121" w:lineRule="exact"/>
              <w:rPr>
                <w:sz w:val="20"/>
                <w:szCs w:val="20"/>
                <w:color w:val="auto"/>
              </w:rPr>
            </w:pPr>
            <w:r>
              <w:rPr>
                <w:rFonts w:ascii="Times New Roman" w:cs="Times New Roman" w:eastAsia="Times New Roman" w:hAnsi="Times New Roman"/>
                <w:sz w:val="12"/>
                <w:szCs w:val="12"/>
                <w:color w:val="auto"/>
              </w:rPr>
              <w:t>Credicorp Capital</w:t>
            </w:r>
          </w:p>
        </w:tc>
        <w:tc>
          <w:tcPr>
            <w:tcW w:w="1020" w:type="dxa"/>
            <w:vAlign w:val="bottom"/>
          </w:tcPr>
          <w:p>
            <w:pPr>
              <w:jc w:val="center"/>
              <w:spacing w:after="0" w:line="121" w:lineRule="exact"/>
              <w:rPr>
                <w:sz w:val="20"/>
                <w:szCs w:val="20"/>
                <w:color w:val="auto"/>
              </w:rPr>
            </w:pPr>
            <w:r>
              <w:rPr>
                <w:rFonts w:ascii="Times New Roman" w:cs="Times New Roman" w:eastAsia="Times New Roman" w:hAnsi="Times New Roman"/>
                <w:sz w:val="12"/>
                <w:szCs w:val="12"/>
                <w:color w:val="auto"/>
                <w:w w:val="97"/>
              </w:rPr>
              <w:t>136,264</w:t>
            </w:r>
          </w:p>
        </w:tc>
        <w:tc>
          <w:tcPr>
            <w:tcW w:w="1040" w:type="dxa"/>
            <w:vAlign w:val="bottom"/>
          </w:tcPr>
          <w:p>
            <w:pPr>
              <w:jc w:val="center"/>
              <w:spacing w:after="0" w:line="121" w:lineRule="exact"/>
              <w:rPr>
                <w:sz w:val="20"/>
                <w:szCs w:val="20"/>
                <w:color w:val="auto"/>
              </w:rPr>
            </w:pPr>
            <w:r>
              <w:rPr>
                <w:rFonts w:ascii="Times New Roman" w:cs="Times New Roman" w:eastAsia="Times New Roman" w:hAnsi="Times New Roman"/>
                <w:sz w:val="12"/>
                <w:szCs w:val="12"/>
                <w:color w:val="auto"/>
                <w:w w:val="97"/>
              </w:rPr>
              <w:t>153,872</w:t>
            </w:r>
          </w:p>
        </w:tc>
        <w:tc>
          <w:tcPr>
            <w:tcW w:w="1100" w:type="dxa"/>
            <w:vAlign w:val="bottom"/>
          </w:tcPr>
          <w:p>
            <w:pPr>
              <w:jc w:val="center"/>
              <w:spacing w:after="0" w:line="121" w:lineRule="exact"/>
              <w:rPr>
                <w:sz w:val="20"/>
                <w:szCs w:val="20"/>
                <w:color w:val="auto"/>
              </w:rPr>
            </w:pPr>
            <w:r>
              <w:rPr>
                <w:rFonts w:ascii="Times New Roman" w:cs="Times New Roman" w:eastAsia="Times New Roman" w:hAnsi="Times New Roman"/>
                <w:sz w:val="12"/>
                <w:szCs w:val="12"/>
                <w:color w:val="auto"/>
                <w:w w:val="97"/>
              </w:rPr>
              <w:t>161,001</w:t>
            </w:r>
          </w:p>
        </w:tc>
        <w:tc>
          <w:tcPr>
            <w:tcW w:w="700" w:type="dxa"/>
            <w:vAlign w:val="bottom"/>
          </w:tcPr>
          <w:p>
            <w:pPr>
              <w:jc w:val="center"/>
              <w:ind w:left="202"/>
              <w:spacing w:after="0" w:line="121" w:lineRule="exact"/>
              <w:rPr>
                <w:sz w:val="20"/>
                <w:szCs w:val="20"/>
                <w:color w:val="auto"/>
              </w:rPr>
            </w:pPr>
            <w:r>
              <w:rPr>
                <w:rFonts w:ascii="Times New Roman" w:cs="Times New Roman" w:eastAsia="Times New Roman" w:hAnsi="Times New Roman"/>
                <w:sz w:val="12"/>
                <w:szCs w:val="12"/>
                <w:color w:val="auto"/>
                <w:w w:val="95"/>
              </w:rPr>
              <w:t>4.6%</w:t>
            </w:r>
          </w:p>
        </w:tc>
        <w:tc>
          <w:tcPr>
            <w:tcW w:w="1240" w:type="dxa"/>
            <w:vAlign w:val="bottom"/>
          </w:tcPr>
          <w:p>
            <w:pPr>
              <w:jc w:val="center"/>
              <w:ind w:left="202"/>
              <w:spacing w:after="0" w:line="121" w:lineRule="exact"/>
              <w:rPr>
                <w:sz w:val="20"/>
                <w:szCs w:val="20"/>
                <w:color w:val="auto"/>
              </w:rPr>
            </w:pPr>
            <w:r>
              <w:rPr>
                <w:rFonts w:ascii="Times New Roman" w:cs="Times New Roman" w:eastAsia="Times New Roman" w:hAnsi="Times New Roman"/>
                <w:sz w:val="12"/>
                <w:szCs w:val="12"/>
                <w:color w:val="auto"/>
                <w:w w:val="96"/>
              </w:rPr>
              <w:t>18.2%</w:t>
            </w:r>
          </w:p>
        </w:tc>
        <w:tc>
          <w:tcPr>
            <w:tcW w:w="20" w:type="dxa"/>
            <w:vAlign w:val="bottom"/>
          </w:tcPr>
          <w:p>
            <w:pPr>
              <w:spacing w:after="0"/>
              <w:rPr>
                <w:sz w:val="10"/>
                <w:szCs w:val="10"/>
                <w:color w:val="auto"/>
              </w:rPr>
            </w:pPr>
          </w:p>
        </w:tc>
      </w:tr>
      <w:tr>
        <w:trPr>
          <w:trHeight w:val="149"/>
        </w:trPr>
        <w:tc>
          <w:tcPr>
            <w:tcW w:w="3860" w:type="dxa"/>
            <w:vAlign w:val="bottom"/>
            <w:tcBorders>
              <w:bottom w:val="single" w:sz="8" w:color="auto"/>
            </w:tcBorders>
          </w:tcPr>
          <w:p>
            <w:pPr>
              <w:ind w:left="60"/>
              <w:spacing w:after="0" w:line="149" w:lineRule="exact"/>
              <w:rPr>
                <w:sz w:val="20"/>
                <w:szCs w:val="20"/>
                <w:color w:val="auto"/>
              </w:rPr>
            </w:pPr>
            <w:r>
              <w:rPr>
                <w:rFonts w:ascii="Times New Roman" w:cs="Times New Roman" w:eastAsia="Times New Roman" w:hAnsi="Times New Roman"/>
                <w:sz w:val="11"/>
                <w:szCs w:val="11"/>
                <w:color w:val="auto"/>
              </w:rPr>
              <w:t xml:space="preserve">Eliminations and Other </w:t>
            </w:r>
            <w:r>
              <w:rPr>
                <w:rFonts w:ascii="Times New Roman" w:cs="Times New Roman" w:eastAsia="Times New Roman" w:hAnsi="Times New Roman"/>
                <w:sz w:val="17"/>
                <w:szCs w:val="17"/>
                <w:color w:val="auto"/>
                <w:vertAlign w:val="superscript"/>
              </w:rPr>
              <w:t>(1)</w:t>
            </w: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(128,117)</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(130,301)</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(141,889)</w:t>
            </w:r>
          </w:p>
        </w:tc>
        <w:tc>
          <w:tcPr>
            <w:tcW w:w="700" w:type="dxa"/>
            <w:vAlign w:val="bottom"/>
            <w:tcBorders>
              <w:bottom w:val="single" w:sz="8" w:color="auto"/>
            </w:tcBorders>
          </w:tcPr>
          <w:p>
            <w:pPr>
              <w:jc w:val="center"/>
              <w:ind w:left="202"/>
              <w:spacing w:after="0"/>
              <w:rPr>
                <w:sz w:val="20"/>
                <w:szCs w:val="20"/>
                <w:color w:val="auto"/>
              </w:rPr>
            </w:pPr>
            <w:r>
              <w:rPr>
                <w:rFonts w:ascii="Times New Roman" w:cs="Times New Roman" w:eastAsia="Times New Roman" w:hAnsi="Times New Roman"/>
                <w:sz w:val="12"/>
                <w:szCs w:val="12"/>
                <w:color w:val="auto"/>
                <w:w w:val="95"/>
              </w:rPr>
              <w:t>8.9%</w:t>
            </w:r>
          </w:p>
        </w:tc>
        <w:tc>
          <w:tcPr>
            <w:tcW w:w="1240" w:type="dxa"/>
            <w:vAlign w:val="bottom"/>
            <w:tcBorders>
              <w:bottom w:val="single" w:sz="8" w:color="auto"/>
            </w:tcBorders>
          </w:tcPr>
          <w:p>
            <w:pPr>
              <w:jc w:val="center"/>
              <w:ind w:left="202"/>
              <w:spacing w:after="0"/>
              <w:rPr>
                <w:sz w:val="20"/>
                <w:szCs w:val="20"/>
                <w:color w:val="auto"/>
              </w:rPr>
            </w:pPr>
            <w:r>
              <w:rPr>
                <w:rFonts w:ascii="Times New Roman" w:cs="Times New Roman" w:eastAsia="Times New Roman" w:hAnsi="Times New Roman"/>
                <w:sz w:val="12"/>
                <w:szCs w:val="12"/>
                <w:color w:val="auto"/>
                <w:w w:val="96"/>
              </w:rPr>
              <w:t>10.7%</w:t>
            </w:r>
          </w:p>
        </w:tc>
        <w:tc>
          <w:tcPr>
            <w:tcW w:w="20" w:type="dxa"/>
            <w:vAlign w:val="bottom"/>
            <w:tcBorders>
              <w:bottom w:val="single" w:sz="8" w:color="auto"/>
            </w:tcBorders>
          </w:tcPr>
          <w:p>
            <w:pPr>
              <w:spacing w:after="0"/>
              <w:rPr>
                <w:sz w:val="12"/>
                <w:szCs w:val="12"/>
                <w:color w:val="auto"/>
              </w:rPr>
            </w:pPr>
          </w:p>
        </w:tc>
      </w:tr>
      <w:tr>
        <w:trPr>
          <w:trHeight w:val="128"/>
        </w:trPr>
        <w:tc>
          <w:tcPr>
            <w:tcW w:w="3860" w:type="dxa"/>
            <w:vAlign w:val="bottom"/>
          </w:tcPr>
          <w:p>
            <w:pPr>
              <w:ind w:left="60"/>
              <w:spacing w:after="0" w:line="129" w:lineRule="exact"/>
              <w:rPr>
                <w:sz w:val="20"/>
                <w:szCs w:val="20"/>
                <w:color w:val="auto"/>
              </w:rPr>
            </w:pPr>
            <w:r>
              <w:rPr>
                <w:rFonts w:ascii="Times New Roman" w:cs="Times New Roman" w:eastAsia="Times New Roman" w:hAnsi="Times New Roman"/>
                <w:sz w:val="12"/>
                <w:szCs w:val="12"/>
                <w:b w:val="1"/>
                <w:bCs w:val="1"/>
                <w:color w:val="auto"/>
              </w:rPr>
              <w:t>Total Net Fee Income</w:t>
            </w:r>
          </w:p>
        </w:tc>
        <w:tc>
          <w:tcPr>
            <w:tcW w:w="1020" w:type="dxa"/>
            <w:vAlign w:val="bottom"/>
          </w:tcPr>
          <w:p>
            <w:pPr>
              <w:jc w:val="center"/>
              <w:spacing w:after="0" w:line="129" w:lineRule="exact"/>
              <w:rPr>
                <w:sz w:val="20"/>
                <w:szCs w:val="20"/>
                <w:color w:val="auto"/>
              </w:rPr>
            </w:pPr>
            <w:r>
              <w:rPr>
                <w:rFonts w:ascii="Times New Roman" w:cs="Times New Roman" w:eastAsia="Times New Roman" w:hAnsi="Times New Roman"/>
                <w:sz w:val="12"/>
                <w:szCs w:val="12"/>
                <w:b w:val="1"/>
                <w:bCs w:val="1"/>
                <w:color w:val="auto"/>
                <w:w w:val="97"/>
              </w:rPr>
              <w:t>994,024</w:t>
            </w:r>
          </w:p>
        </w:tc>
        <w:tc>
          <w:tcPr>
            <w:tcW w:w="1040" w:type="dxa"/>
            <w:vAlign w:val="bottom"/>
          </w:tcPr>
          <w:p>
            <w:pPr>
              <w:jc w:val="center"/>
              <w:spacing w:after="0" w:line="129" w:lineRule="exact"/>
              <w:rPr>
                <w:sz w:val="20"/>
                <w:szCs w:val="20"/>
                <w:color w:val="auto"/>
              </w:rPr>
            </w:pPr>
            <w:r>
              <w:rPr>
                <w:rFonts w:ascii="Times New Roman" w:cs="Times New Roman" w:eastAsia="Times New Roman" w:hAnsi="Times New Roman"/>
                <w:sz w:val="12"/>
                <w:szCs w:val="12"/>
                <w:b w:val="1"/>
                <w:bCs w:val="1"/>
                <w:color w:val="auto"/>
                <w:w w:val="95"/>
              </w:rPr>
              <w:t>1,118,110</w:t>
            </w:r>
          </w:p>
        </w:tc>
        <w:tc>
          <w:tcPr>
            <w:tcW w:w="1100" w:type="dxa"/>
            <w:vAlign w:val="bottom"/>
          </w:tcPr>
          <w:p>
            <w:pPr>
              <w:jc w:val="center"/>
              <w:spacing w:after="0" w:line="129" w:lineRule="exact"/>
              <w:rPr>
                <w:sz w:val="20"/>
                <w:szCs w:val="20"/>
                <w:color w:val="auto"/>
              </w:rPr>
            </w:pPr>
            <w:r>
              <w:rPr>
                <w:rFonts w:ascii="Times New Roman" w:cs="Times New Roman" w:eastAsia="Times New Roman" w:hAnsi="Times New Roman"/>
                <w:sz w:val="12"/>
                <w:szCs w:val="12"/>
                <w:b w:val="1"/>
                <w:bCs w:val="1"/>
                <w:color w:val="auto"/>
                <w:w w:val="95"/>
              </w:rPr>
              <w:t>1,149,284</w:t>
            </w:r>
          </w:p>
        </w:tc>
        <w:tc>
          <w:tcPr>
            <w:tcW w:w="700" w:type="dxa"/>
            <w:vAlign w:val="bottom"/>
          </w:tcPr>
          <w:p>
            <w:pPr>
              <w:jc w:val="center"/>
              <w:ind w:left="222"/>
              <w:spacing w:after="0" w:line="129" w:lineRule="exact"/>
              <w:rPr>
                <w:sz w:val="20"/>
                <w:szCs w:val="20"/>
                <w:color w:val="auto"/>
              </w:rPr>
            </w:pPr>
            <w:r>
              <w:rPr>
                <w:rFonts w:ascii="Times New Roman" w:cs="Times New Roman" w:eastAsia="Times New Roman" w:hAnsi="Times New Roman"/>
                <w:sz w:val="12"/>
                <w:szCs w:val="12"/>
                <w:b w:val="1"/>
                <w:bCs w:val="1"/>
                <w:color w:val="auto"/>
                <w:w w:val="96"/>
              </w:rPr>
              <w:t>2.8%</w:t>
            </w:r>
          </w:p>
        </w:tc>
        <w:tc>
          <w:tcPr>
            <w:tcW w:w="1240" w:type="dxa"/>
            <w:vAlign w:val="bottom"/>
          </w:tcPr>
          <w:p>
            <w:pPr>
              <w:jc w:val="center"/>
              <w:ind w:left="222"/>
              <w:spacing w:after="0" w:line="129" w:lineRule="exact"/>
              <w:rPr>
                <w:sz w:val="20"/>
                <w:szCs w:val="20"/>
                <w:color w:val="auto"/>
              </w:rPr>
            </w:pPr>
            <w:r>
              <w:rPr>
                <w:rFonts w:ascii="Times New Roman" w:cs="Times New Roman" w:eastAsia="Times New Roman" w:hAnsi="Times New Roman"/>
                <w:sz w:val="12"/>
                <w:szCs w:val="12"/>
                <w:b w:val="1"/>
                <w:bCs w:val="1"/>
                <w:color w:val="auto"/>
                <w:w w:val="96"/>
              </w:rPr>
              <w:t>15.6%</w:t>
            </w:r>
          </w:p>
        </w:tc>
        <w:tc>
          <w:tcPr>
            <w:tcW w:w="20" w:type="dxa"/>
            <w:vAlign w:val="bottom"/>
          </w:tcPr>
          <w:p>
            <w:pPr>
              <w:spacing w:after="0"/>
              <w:rPr>
                <w:sz w:val="11"/>
                <w:szCs w:val="11"/>
                <w:color w:val="auto"/>
              </w:rPr>
            </w:pPr>
          </w:p>
        </w:tc>
      </w:tr>
    </w:tbl>
    <w:p>
      <w:pPr>
        <w:spacing w:after="0"/>
        <w:rPr>
          <w:sz w:val="20"/>
          <w:szCs w:val="20"/>
          <w:color w:val="auto"/>
        </w:rPr>
      </w:pPr>
      <w:r>
        <w:rPr>
          <w:rFonts w:ascii="Times New Roman" w:cs="Times New Roman" w:eastAsia="Times New Roman" w:hAnsi="Times New Roman"/>
          <w:sz w:val="12"/>
          <w:szCs w:val="12"/>
          <w:color w:val="auto"/>
        </w:rPr>
        <w:t>(1) Correspond mainly to the eliminations of bancassurance between Pacifico, BCP, and Mibanco.</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QoQ and YoY, growth in fee income cut across various business units, where BCP Stand-alone, Credicorp Capital and Mibanco (Peru and Colombia) were the star performers. This evolution is proof that we have built a diversified and more structurally recurr ent income base. The dynamics of the increase in fee income at BCP Stand-alone, which topped the list of contributors, will be discussed in the next section. The second driver of growth in Fee Income was Credicorp Capital, via strong performance by its Capital Markets Business, which rose on the back of an uptick in Sales and Corporate in the context of heightened global volatility—a primary driver of an upward swing in transactional activity. Two more minor players in the evolution of fee income in 1Q26 were (i) Mibanco (Peru and Colombia), which reported growth in disbursements, and (ii) BCP Bolivia, which experienced an increase in the transactions volume through Yape Bolivia (posting upticks in active users and transactionality) and via top-ups, service payments, collections and insurance for the core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Fee Income at BCP Stand-alone</w:t>
      </w:r>
    </w:p>
    <w:p>
      <w:pPr>
        <w:spacing w:after="0" w:line="21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Composition of Fee Income at BCP Stand-alone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90170</wp:posOffset>
            </wp:positionV>
            <wp:extent cx="5713730" cy="8299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713730" cy="829945"/>
                    </a:xfrm>
                    <a:prstGeom prst="rect">
                      <a:avLst/>
                    </a:prstGeom>
                    <a:noFill/>
                  </pic:spPr>
                </pic:pic>
              </a:graphicData>
            </a:graphic>
          </wp:anchor>
        </w:drawing>
      </w:r>
    </w:p>
    <w:p>
      <w:pPr>
        <w:spacing w:after="0" w:line="102" w:lineRule="exact"/>
        <w:rPr>
          <w:sz w:val="20"/>
          <w:szCs w:val="20"/>
          <w:color w:val="auto"/>
        </w:rPr>
      </w:pPr>
    </w:p>
    <w:tbl>
      <w:tblPr>
        <w:tblLayout w:type="fixed"/>
        <w:tblInd w:w="1140" w:type="dxa"/>
        <w:tblCellMar>
          <w:top w:w="0" w:type="dxa"/>
          <w:left w:w="0" w:type="dxa"/>
          <w:bottom w:w="0" w:type="dxa"/>
          <w:right w:w="0" w:type="dxa"/>
        </w:tblCellMar>
      </w:tblPr>
      <w:tr>
        <w:trPr>
          <w:trHeight w:val="113"/>
        </w:trPr>
        <w:tc>
          <w:tcPr>
            <w:tcW w:w="3860" w:type="dxa"/>
            <w:vAlign w:val="bottom"/>
            <w:tcBorders>
              <w:top w:val="single" w:sz="8" w:color="auto"/>
            </w:tcBorders>
            <w:shd w:val="clear" w:color="auto" w:fill="2AD2C9"/>
          </w:tcPr>
          <w:p>
            <w:pPr>
              <w:ind w:left="60"/>
              <w:spacing w:after="0" w:line="114" w:lineRule="exact"/>
              <w:rPr>
                <w:sz w:val="20"/>
                <w:szCs w:val="20"/>
                <w:color w:val="auto"/>
              </w:rPr>
            </w:pPr>
            <w:r>
              <w:rPr>
                <w:rFonts w:ascii="Times New Roman" w:cs="Times New Roman" w:eastAsia="Times New Roman" w:hAnsi="Times New Roman"/>
                <w:sz w:val="10"/>
                <w:szCs w:val="10"/>
                <w:b w:val="1"/>
                <w:bCs w:val="1"/>
                <w:color w:val="FFFFFF"/>
              </w:rPr>
              <w:t>BCP Stand-alone Fees (*)</w:t>
            </w:r>
          </w:p>
        </w:tc>
        <w:tc>
          <w:tcPr>
            <w:tcW w:w="1020" w:type="dxa"/>
            <w:vAlign w:val="bottom"/>
            <w:tcBorders>
              <w:top w:val="single" w:sz="8" w:color="auto"/>
            </w:tcBorders>
            <w:shd w:val="clear" w:color="auto" w:fill="2AD2C9"/>
          </w:tcPr>
          <w:p>
            <w:pPr>
              <w:spacing w:after="0"/>
              <w:rPr>
                <w:sz w:val="9"/>
                <w:szCs w:val="9"/>
                <w:color w:val="auto"/>
              </w:rPr>
            </w:pPr>
          </w:p>
        </w:tc>
        <w:tc>
          <w:tcPr>
            <w:tcW w:w="1100" w:type="dxa"/>
            <w:vAlign w:val="bottom"/>
            <w:tcBorders>
              <w:top w:val="single" w:sz="8" w:color="auto"/>
            </w:tcBorders>
            <w:shd w:val="clear" w:color="auto" w:fill="2AD2C9"/>
          </w:tcPr>
          <w:p>
            <w:pPr>
              <w:ind w:left="380"/>
              <w:spacing w:after="0" w:line="114" w:lineRule="exact"/>
              <w:rPr>
                <w:sz w:val="20"/>
                <w:szCs w:val="20"/>
                <w:color w:val="auto"/>
              </w:rPr>
            </w:pPr>
            <w:r>
              <w:rPr>
                <w:rFonts w:ascii="Times New Roman" w:cs="Times New Roman" w:eastAsia="Times New Roman" w:hAnsi="Times New Roman"/>
                <w:sz w:val="10"/>
                <w:szCs w:val="10"/>
                <w:b w:val="1"/>
                <w:bCs w:val="1"/>
                <w:color w:val="FFFFFF"/>
              </w:rPr>
              <w:t>Quarter</w:t>
            </w:r>
          </w:p>
        </w:tc>
        <w:tc>
          <w:tcPr>
            <w:tcW w:w="1000" w:type="dxa"/>
            <w:vAlign w:val="bottom"/>
            <w:tcBorders>
              <w:top w:val="single" w:sz="8" w:color="auto"/>
            </w:tcBorders>
            <w:shd w:val="clear" w:color="auto" w:fill="2AD2C9"/>
          </w:tcPr>
          <w:p>
            <w:pPr>
              <w:spacing w:after="0"/>
              <w:rPr>
                <w:sz w:val="9"/>
                <w:szCs w:val="9"/>
                <w:color w:val="auto"/>
              </w:rPr>
            </w:pPr>
          </w:p>
        </w:tc>
        <w:tc>
          <w:tcPr>
            <w:tcW w:w="720" w:type="dxa"/>
            <w:vAlign w:val="bottom"/>
            <w:tcBorders>
              <w:top w:val="single" w:sz="8" w:color="auto"/>
            </w:tcBorders>
            <w:shd w:val="clear" w:color="auto" w:fill="2AD2C9"/>
          </w:tcPr>
          <w:p>
            <w:pPr>
              <w:spacing w:after="0"/>
              <w:rPr>
                <w:sz w:val="9"/>
                <w:szCs w:val="9"/>
                <w:color w:val="auto"/>
              </w:rPr>
            </w:pPr>
          </w:p>
        </w:tc>
        <w:tc>
          <w:tcPr>
            <w:tcW w:w="1280" w:type="dxa"/>
            <w:vAlign w:val="bottom"/>
            <w:tcBorders>
              <w:top w:val="single" w:sz="8" w:color="auto"/>
            </w:tcBorders>
            <w:shd w:val="clear" w:color="auto" w:fill="2AD2C9"/>
          </w:tcPr>
          <w:p>
            <w:pPr>
              <w:ind w:left="60"/>
              <w:spacing w:after="0" w:line="114" w:lineRule="exact"/>
              <w:rPr>
                <w:sz w:val="20"/>
                <w:szCs w:val="20"/>
                <w:color w:val="auto"/>
              </w:rPr>
            </w:pPr>
            <w:r>
              <w:rPr>
                <w:rFonts w:ascii="Times New Roman" w:cs="Times New Roman" w:eastAsia="Times New Roman" w:hAnsi="Times New Roman"/>
                <w:sz w:val="10"/>
                <w:szCs w:val="10"/>
                <w:b w:val="1"/>
                <w:bCs w:val="1"/>
                <w:color w:val="FFFFFF"/>
              </w:rPr>
              <w:t>% Change</w:t>
            </w:r>
          </w:p>
        </w:tc>
      </w:tr>
      <w:tr>
        <w:trPr>
          <w:trHeight w:val="128"/>
        </w:trPr>
        <w:tc>
          <w:tcPr>
            <w:tcW w:w="3860" w:type="dxa"/>
            <w:vAlign w:val="bottom"/>
            <w:tcBorders>
              <w:bottom w:val="single" w:sz="8" w:color="auto"/>
            </w:tcBorders>
            <w:shd w:val="clear" w:color="auto" w:fill="2AD2C9"/>
          </w:tcPr>
          <w:p>
            <w:pPr>
              <w:ind w:left="60"/>
              <w:spacing w:after="0"/>
              <w:rPr>
                <w:sz w:val="20"/>
                <w:szCs w:val="20"/>
                <w:color w:val="auto"/>
              </w:rPr>
            </w:pPr>
            <w:r>
              <w:rPr>
                <w:rFonts w:ascii="Times New Roman" w:cs="Times New Roman" w:eastAsia="Times New Roman" w:hAnsi="Times New Roman"/>
                <w:sz w:val="10"/>
                <w:szCs w:val="10"/>
                <w:b w:val="1"/>
                <w:bCs w:val="1"/>
                <w:color w:val="FFFFFF"/>
              </w:rPr>
              <w:t>(S/ 000,000)</w:t>
            </w:r>
          </w:p>
        </w:tc>
        <w:tc>
          <w:tcPr>
            <w:tcW w:w="1020" w:type="dxa"/>
            <w:vAlign w:val="bottom"/>
            <w:tcBorders>
              <w:bottom w:val="single" w:sz="8" w:color="auto"/>
            </w:tcBorders>
            <w:shd w:val="clear" w:color="auto" w:fill="2AD2C9"/>
          </w:tcPr>
          <w:p>
            <w:pPr>
              <w:jc w:val="center"/>
              <w:spacing w:after="0"/>
              <w:rPr>
                <w:sz w:val="20"/>
                <w:szCs w:val="20"/>
                <w:color w:val="auto"/>
              </w:rPr>
            </w:pPr>
            <w:r>
              <w:rPr>
                <w:rFonts w:ascii="Times New Roman" w:cs="Times New Roman" w:eastAsia="Times New Roman" w:hAnsi="Times New Roman"/>
                <w:sz w:val="10"/>
                <w:szCs w:val="10"/>
                <w:b w:val="1"/>
                <w:bCs w:val="1"/>
                <w:color w:val="FFFFFF"/>
              </w:rPr>
              <w:t>1Q25</w:t>
            </w:r>
          </w:p>
        </w:tc>
        <w:tc>
          <w:tcPr>
            <w:tcW w:w="1100" w:type="dxa"/>
            <w:vAlign w:val="bottom"/>
            <w:tcBorders>
              <w:bottom w:val="single" w:sz="8" w:color="auto"/>
            </w:tcBorders>
            <w:shd w:val="clear" w:color="auto" w:fill="2AD2C9"/>
          </w:tcPr>
          <w:p>
            <w:pPr>
              <w:jc w:val="center"/>
              <w:ind w:right="29"/>
              <w:spacing w:after="0"/>
              <w:rPr>
                <w:sz w:val="20"/>
                <w:szCs w:val="20"/>
                <w:color w:val="auto"/>
              </w:rPr>
            </w:pPr>
            <w:r>
              <w:rPr>
                <w:rFonts w:ascii="Times New Roman" w:cs="Times New Roman" w:eastAsia="Times New Roman" w:hAnsi="Times New Roman"/>
                <w:sz w:val="10"/>
                <w:szCs w:val="10"/>
                <w:b w:val="1"/>
                <w:bCs w:val="1"/>
                <w:color w:val="FFFFFF"/>
                <w:w w:val="96"/>
              </w:rPr>
              <w:t>4Q25</w:t>
            </w:r>
          </w:p>
        </w:tc>
        <w:tc>
          <w:tcPr>
            <w:tcW w:w="1000" w:type="dxa"/>
            <w:vAlign w:val="bottom"/>
            <w:tcBorders>
              <w:bottom w:val="single" w:sz="8" w:color="auto"/>
            </w:tcBorders>
            <w:shd w:val="clear" w:color="auto" w:fill="2AD2C9"/>
          </w:tcPr>
          <w:p>
            <w:pPr>
              <w:jc w:val="center"/>
              <w:spacing w:after="0"/>
              <w:rPr>
                <w:sz w:val="20"/>
                <w:szCs w:val="20"/>
                <w:color w:val="auto"/>
              </w:rPr>
            </w:pPr>
            <w:r>
              <w:rPr>
                <w:rFonts w:ascii="Times New Roman" w:cs="Times New Roman" w:eastAsia="Times New Roman" w:hAnsi="Times New Roman"/>
                <w:sz w:val="10"/>
                <w:szCs w:val="10"/>
                <w:b w:val="1"/>
                <w:bCs w:val="1"/>
                <w:color w:val="FFFFFF"/>
                <w:w w:val="96"/>
              </w:rPr>
              <w:t>1Q26</w:t>
            </w:r>
          </w:p>
        </w:tc>
        <w:tc>
          <w:tcPr>
            <w:tcW w:w="720" w:type="dxa"/>
            <w:vAlign w:val="bottom"/>
            <w:tcBorders>
              <w:bottom w:val="single" w:sz="8" w:color="auto"/>
            </w:tcBorders>
            <w:shd w:val="clear" w:color="auto" w:fill="2AD2C9"/>
          </w:tcPr>
          <w:p>
            <w:pPr>
              <w:ind w:left="420"/>
              <w:spacing w:after="0"/>
              <w:rPr>
                <w:sz w:val="20"/>
                <w:szCs w:val="20"/>
                <w:color w:val="auto"/>
              </w:rPr>
            </w:pPr>
            <w:r>
              <w:rPr>
                <w:rFonts w:ascii="Times New Roman" w:cs="Times New Roman" w:eastAsia="Times New Roman" w:hAnsi="Times New Roman"/>
                <w:sz w:val="10"/>
                <w:szCs w:val="10"/>
                <w:b w:val="1"/>
                <w:bCs w:val="1"/>
                <w:color w:val="FFFFFF"/>
              </w:rPr>
              <w:t>QoQ</w:t>
            </w:r>
          </w:p>
        </w:tc>
        <w:tc>
          <w:tcPr>
            <w:tcW w:w="1280" w:type="dxa"/>
            <w:vAlign w:val="bottom"/>
            <w:tcBorders>
              <w:bottom w:val="single" w:sz="8" w:color="auto"/>
            </w:tcBorders>
            <w:shd w:val="clear" w:color="auto" w:fill="2AD2C9"/>
          </w:tcPr>
          <w:p>
            <w:pPr>
              <w:ind w:left="700"/>
              <w:spacing w:after="0"/>
              <w:rPr>
                <w:sz w:val="20"/>
                <w:szCs w:val="20"/>
                <w:color w:val="auto"/>
              </w:rPr>
            </w:pPr>
            <w:r>
              <w:rPr>
                <w:rFonts w:ascii="Times New Roman" w:cs="Times New Roman" w:eastAsia="Times New Roman" w:hAnsi="Times New Roman"/>
                <w:sz w:val="10"/>
                <w:szCs w:val="10"/>
                <w:b w:val="1"/>
                <w:bCs w:val="1"/>
                <w:color w:val="FFFFFF"/>
              </w:rPr>
              <w:t>YoY</w:t>
            </w:r>
          </w:p>
        </w:tc>
      </w:tr>
      <w:tr>
        <w:trPr>
          <w:trHeight w:val="87"/>
        </w:trPr>
        <w:tc>
          <w:tcPr>
            <w:tcW w:w="3860" w:type="dxa"/>
            <w:vAlign w:val="bottom"/>
          </w:tcPr>
          <w:p>
            <w:pPr>
              <w:ind w:left="60"/>
              <w:spacing w:after="0" w:line="87" w:lineRule="exact"/>
              <w:rPr>
                <w:sz w:val="20"/>
                <w:szCs w:val="20"/>
                <w:color w:val="auto"/>
              </w:rPr>
            </w:pPr>
            <w:r>
              <w:rPr>
                <w:rFonts w:ascii="Times New Roman" w:cs="Times New Roman" w:eastAsia="Times New Roman" w:hAnsi="Times New Roman"/>
                <w:sz w:val="7"/>
                <w:szCs w:val="7"/>
                <w:color w:val="auto"/>
              </w:rPr>
              <w:t xml:space="preserve">Payments and transactional services </w:t>
            </w:r>
            <w:r>
              <w:rPr>
                <w:rFonts w:ascii="Times New Roman" w:cs="Times New Roman" w:eastAsia="Times New Roman" w:hAnsi="Times New Roman"/>
                <w:sz w:val="10"/>
                <w:szCs w:val="10"/>
                <w:color w:val="auto"/>
                <w:vertAlign w:val="superscript"/>
              </w:rPr>
              <w:t>(1)</w:t>
            </w:r>
          </w:p>
        </w:tc>
        <w:tc>
          <w:tcPr>
            <w:tcW w:w="1020" w:type="dxa"/>
            <w:vAlign w:val="bottom"/>
          </w:tcPr>
          <w:p>
            <w:pPr>
              <w:jc w:val="center"/>
              <w:spacing w:after="0" w:line="87" w:lineRule="exact"/>
              <w:rPr>
                <w:sz w:val="20"/>
                <w:szCs w:val="20"/>
                <w:color w:val="auto"/>
              </w:rPr>
            </w:pPr>
            <w:r>
              <w:rPr>
                <w:rFonts w:ascii="Times New Roman" w:cs="Times New Roman" w:eastAsia="Times New Roman" w:hAnsi="Times New Roman"/>
                <w:sz w:val="10"/>
                <w:szCs w:val="10"/>
                <w:color w:val="auto"/>
              </w:rPr>
              <w:t>283</w:t>
            </w:r>
          </w:p>
        </w:tc>
        <w:tc>
          <w:tcPr>
            <w:tcW w:w="1100" w:type="dxa"/>
            <w:vAlign w:val="bottom"/>
          </w:tcPr>
          <w:p>
            <w:pPr>
              <w:jc w:val="center"/>
              <w:ind w:right="29"/>
              <w:spacing w:after="0" w:line="87" w:lineRule="exact"/>
              <w:rPr>
                <w:sz w:val="20"/>
                <w:szCs w:val="20"/>
                <w:color w:val="auto"/>
              </w:rPr>
            </w:pPr>
            <w:r>
              <w:rPr>
                <w:rFonts w:ascii="Times New Roman" w:cs="Times New Roman" w:eastAsia="Times New Roman" w:hAnsi="Times New Roman"/>
                <w:sz w:val="10"/>
                <w:szCs w:val="10"/>
                <w:color w:val="auto"/>
                <w:w w:val="93"/>
              </w:rPr>
              <w:t>293</w:t>
            </w:r>
          </w:p>
        </w:tc>
        <w:tc>
          <w:tcPr>
            <w:tcW w:w="1000" w:type="dxa"/>
            <w:vAlign w:val="bottom"/>
          </w:tcPr>
          <w:p>
            <w:pPr>
              <w:jc w:val="center"/>
              <w:spacing w:after="0" w:line="87" w:lineRule="exact"/>
              <w:rPr>
                <w:sz w:val="20"/>
                <w:szCs w:val="20"/>
                <w:color w:val="auto"/>
              </w:rPr>
            </w:pPr>
            <w:r>
              <w:rPr>
                <w:rFonts w:ascii="Times New Roman" w:cs="Times New Roman" w:eastAsia="Times New Roman" w:hAnsi="Times New Roman"/>
                <w:sz w:val="10"/>
                <w:szCs w:val="10"/>
                <w:color w:val="auto"/>
                <w:w w:val="93"/>
              </w:rPr>
              <w:t>295</w:t>
            </w:r>
          </w:p>
        </w:tc>
        <w:tc>
          <w:tcPr>
            <w:tcW w:w="720" w:type="dxa"/>
            <w:vAlign w:val="bottom"/>
          </w:tcPr>
          <w:p>
            <w:pPr>
              <w:jc w:val="center"/>
              <w:ind w:left="289"/>
              <w:spacing w:after="0" w:line="87" w:lineRule="exact"/>
              <w:rPr>
                <w:sz w:val="20"/>
                <w:szCs w:val="20"/>
                <w:color w:val="auto"/>
              </w:rPr>
            </w:pPr>
            <w:r>
              <w:rPr>
                <w:rFonts w:ascii="Times New Roman" w:cs="Times New Roman" w:eastAsia="Times New Roman" w:hAnsi="Times New Roman"/>
                <w:sz w:val="10"/>
                <w:szCs w:val="10"/>
                <w:color w:val="auto"/>
              </w:rPr>
              <w:t>0.6%</w:t>
            </w:r>
          </w:p>
        </w:tc>
        <w:tc>
          <w:tcPr>
            <w:tcW w:w="1280" w:type="dxa"/>
            <w:vAlign w:val="bottom"/>
          </w:tcPr>
          <w:p>
            <w:pPr>
              <w:jc w:val="center"/>
              <w:ind w:left="249"/>
              <w:spacing w:after="0" w:line="87" w:lineRule="exact"/>
              <w:rPr>
                <w:sz w:val="20"/>
                <w:szCs w:val="20"/>
                <w:color w:val="auto"/>
              </w:rPr>
            </w:pPr>
            <w:r>
              <w:rPr>
                <w:rFonts w:ascii="Times New Roman" w:cs="Times New Roman" w:eastAsia="Times New Roman" w:hAnsi="Times New Roman"/>
                <w:sz w:val="10"/>
                <w:szCs w:val="10"/>
                <w:color w:val="auto"/>
              </w:rPr>
              <w:t>4.2%</w:t>
            </w:r>
          </w:p>
        </w:tc>
      </w:tr>
      <w:tr>
        <w:trPr>
          <w:trHeight w:val="114"/>
        </w:trPr>
        <w:tc>
          <w:tcPr>
            <w:tcW w:w="3860" w:type="dxa"/>
            <w:vAlign w:val="bottom"/>
          </w:tcPr>
          <w:p>
            <w:pPr>
              <w:ind w:left="60"/>
              <w:spacing w:after="0" w:line="114" w:lineRule="exact"/>
              <w:rPr>
                <w:sz w:val="20"/>
                <w:szCs w:val="20"/>
                <w:color w:val="auto"/>
              </w:rPr>
            </w:pPr>
            <w:r>
              <w:rPr>
                <w:rFonts w:ascii="Times New Roman" w:cs="Times New Roman" w:eastAsia="Times New Roman" w:hAnsi="Times New Roman"/>
                <w:sz w:val="9"/>
                <w:szCs w:val="9"/>
                <w:color w:val="auto"/>
              </w:rPr>
              <w:t xml:space="preserve">Yape </w:t>
            </w:r>
            <w:r>
              <w:rPr>
                <w:rFonts w:ascii="Times New Roman" w:cs="Times New Roman" w:eastAsia="Times New Roman" w:hAnsi="Times New Roman"/>
                <w:sz w:val="13"/>
                <w:szCs w:val="13"/>
                <w:color w:val="auto"/>
                <w:vertAlign w:val="superscript"/>
              </w:rPr>
              <w:t>(2)</w:t>
            </w:r>
          </w:p>
        </w:tc>
        <w:tc>
          <w:tcPr>
            <w:tcW w:w="102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121</w:t>
            </w:r>
          </w:p>
        </w:tc>
        <w:tc>
          <w:tcPr>
            <w:tcW w:w="1100" w:type="dxa"/>
            <w:vAlign w:val="bottom"/>
          </w:tcPr>
          <w:p>
            <w:pPr>
              <w:jc w:val="center"/>
              <w:ind w:right="29"/>
              <w:spacing w:after="0"/>
              <w:rPr>
                <w:sz w:val="20"/>
                <w:szCs w:val="20"/>
                <w:color w:val="auto"/>
              </w:rPr>
            </w:pPr>
            <w:r>
              <w:rPr>
                <w:rFonts w:ascii="Times New Roman" w:cs="Times New Roman" w:eastAsia="Times New Roman" w:hAnsi="Times New Roman"/>
                <w:sz w:val="10"/>
                <w:szCs w:val="10"/>
                <w:color w:val="auto"/>
                <w:w w:val="93"/>
              </w:rPr>
              <w:t>187</w:t>
            </w:r>
          </w:p>
        </w:tc>
        <w:tc>
          <w:tcPr>
            <w:tcW w:w="1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199</w:t>
            </w:r>
          </w:p>
        </w:tc>
        <w:tc>
          <w:tcPr>
            <w:tcW w:w="720" w:type="dxa"/>
            <w:vAlign w:val="bottom"/>
          </w:tcPr>
          <w:p>
            <w:pPr>
              <w:jc w:val="center"/>
              <w:ind w:left="289"/>
              <w:spacing w:after="0"/>
              <w:rPr>
                <w:sz w:val="20"/>
                <w:szCs w:val="20"/>
                <w:color w:val="auto"/>
              </w:rPr>
            </w:pPr>
            <w:r>
              <w:rPr>
                <w:rFonts w:ascii="Times New Roman" w:cs="Times New Roman" w:eastAsia="Times New Roman" w:hAnsi="Times New Roman"/>
                <w:sz w:val="10"/>
                <w:szCs w:val="10"/>
                <w:color w:val="auto"/>
              </w:rPr>
              <w:t>6.4%</w:t>
            </w:r>
          </w:p>
        </w:tc>
        <w:tc>
          <w:tcPr>
            <w:tcW w:w="1280" w:type="dxa"/>
            <w:vAlign w:val="bottom"/>
          </w:tcPr>
          <w:p>
            <w:pPr>
              <w:jc w:val="center"/>
              <w:ind w:left="249"/>
              <w:spacing w:after="0"/>
              <w:rPr>
                <w:sz w:val="20"/>
                <w:szCs w:val="20"/>
                <w:color w:val="auto"/>
              </w:rPr>
            </w:pPr>
            <w:r>
              <w:rPr>
                <w:rFonts w:ascii="Times New Roman" w:cs="Times New Roman" w:eastAsia="Times New Roman" w:hAnsi="Times New Roman"/>
                <w:sz w:val="10"/>
                <w:szCs w:val="10"/>
                <w:color w:val="auto"/>
              </w:rPr>
              <w:t>65.3%</w:t>
            </w:r>
          </w:p>
        </w:tc>
      </w:tr>
      <w:tr>
        <w:trPr>
          <w:trHeight w:val="114"/>
        </w:trPr>
        <w:tc>
          <w:tcPr>
            <w:tcW w:w="3860" w:type="dxa"/>
            <w:vAlign w:val="bottom"/>
          </w:tcPr>
          <w:p>
            <w:pPr>
              <w:ind w:left="60"/>
              <w:spacing w:after="0" w:line="114" w:lineRule="exact"/>
              <w:rPr>
                <w:sz w:val="20"/>
                <w:szCs w:val="20"/>
                <w:color w:val="auto"/>
              </w:rPr>
            </w:pPr>
            <w:r>
              <w:rPr>
                <w:rFonts w:ascii="Times New Roman" w:cs="Times New Roman" w:eastAsia="Times New Roman" w:hAnsi="Times New Roman"/>
                <w:sz w:val="9"/>
                <w:szCs w:val="9"/>
                <w:color w:val="auto"/>
              </w:rPr>
              <w:t xml:space="preserve">Liability and Transactional Accounts </w:t>
            </w:r>
            <w:r>
              <w:rPr>
                <w:rFonts w:ascii="Times New Roman" w:cs="Times New Roman" w:eastAsia="Times New Roman" w:hAnsi="Times New Roman"/>
                <w:sz w:val="13"/>
                <w:szCs w:val="13"/>
                <w:color w:val="auto"/>
                <w:vertAlign w:val="superscript"/>
              </w:rPr>
              <w:t>(3)</w:t>
            </w:r>
          </w:p>
        </w:tc>
        <w:tc>
          <w:tcPr>
            <w:tcW w:w="102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197</w:t>
            </w:r>
          </w:p>
        </w:tc>
        <w:tc>
          <w:tcPr>
            <w:tcW w:w="1100" w:type="dxa"/>
            <w:vAlign w:val="bottom"/>
          </w:tcPr>
          <w:p>
            <w:pPr>
              <w:jc w:val="center"/>
              <w:ind w:right="29"/>
              <w:spacing w:after="0"/>
              <w:rPr>
                <w:sz w:val="20"/>
                <w:szCs w:val="20"/>
                <w:color w:val="auto"/>
              </w:rPr>
            </w:pPr>
            <w:r>
              <w:rPr>
                <w:rFonts w:ascii="Times New Roman" w:cs="Times New Roman" w:eastAsia="Times New Roman" w:hAnsi="Times New Roman"/>
                <w:sz w:val="10"/>
                <w:szCs w:val="10"/>
                <w:color w:val="auto"/>
                <w:w w:val="93"/>
              </w:rPr>
              <w:t>201</w:t>
            </w:r>
          </w:p>
        </w:tc>
        <w:tc>
          <w:tcPr>
            <w:tcW w:w="1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210</w:t>
            </w:r>
          </w:p>
        </w:tc>
        <w:tc>
          <w:tcPr>
            <w:tcW w:w="720" w:type="dxa"/>
            <w:vAlign w:val="bottom"/>
          </w:tcPr>
          <w:p>
            <w:pPr>
              <w:jc w:val="center"/>
              <w:ind w:left="289"/>
              <w:spacing w:after="0"/>
              <w:rPr>
                <w:sz w:val="20"/>
                <w:szCs w:val="20"/>
                <w:color w:val="auto"/>
              </w:rPr>
            </w:pPr>
            <w:r>
              <w:rPr>
                <w:rFonts w:ascii="Times New Roman" w:cs="Times New Roman" w:eastAsia="Times New Roman" w:hAnsi="Times New Roman"/>
                <w:sz w:val="10"/>
                <w:szCs w:val="10"/>
                <w:color w:val="auto"/>
              </w:rPr>
              <w:t>4.5%</w:t>
            </w:r>
          </w:p>
        </w:tc>
        <w:tc>
          <w:tcPr>
            <w:tcW w:w="1280" w:type="dxa"/>
            <w:vAlign w:val="bottom"/>
          </w:tcPr>
          <w:p>
            <w:pPr>
              <w:jc w:val="center"/>
              <w:ind w:left="249"/>
              <w:spacing w:after="0"/>
              <w:rPr>
                <w:sz w:val="20"/>
                <w:szCs w:val="20"/>
                <w:color w:val="auto"/>
              </w:rPr>
            </w:pPr>
            <w:r>
              <w:rPr>
                <w:rFonts w:ascii="Times New Roman" w:cs="Times New Roman" w:eastAsia="Times New Roman" w:hAnsi="Times New Roman"/>
                <w:sz w:val="10"/>
                <w:szCs w:val="10"/>
                <w:color w:val="auto"/>
              </w:rPr>
              <w:t>6.5%</w:t>
            </w:r>
          </w:p>
        </w:tc>
      </w:tr>
      <w:tr>
        <w:trPr>
          <w:trHeight w:val="122"/>
        </w:trPr>
        <w:tc>
          <w:tcPr>
            <w:tcW w:w="3860" w:type="dxa"/>
            <w:vAlign w:val="bottom"/>
          </w:tcPr>
          <w:p>
            <w:pPr>
              <w:ind w:left="60"/>
              <w:spacing w:after="0" w:line="123" w:lineRule="exact"/>
              <w:rPr>
                <w:sz w:val="20"/>
                <w:szCs w:val="20"/>
                <w:color w:val="auto"/>
              </w:rPr>
            </w:pPr>
            <w:r>
              <w:rPr>
                <w:rFonts w:ascii="Times New Roman" w:cs="Times New Roman" w:eastAsia="Times New Roman" w:hAnsi="Times New Roman"/>
                <w:sz w:val="9"/>
                <w:szCs w:val="9"/>
                <w:color w:val="auto"/>
              </w:rPr>
              <w:t xml:space="preserve">Loan Disbursement </w:t>
            </w:r>
            <w:r>
              <w:rPr>
                <w:rFonts w:ascii="Times New Roman" w:cs="Times New Roman" w:eastAsia="Times New Roman" w:hAnsi="Times New Roman"/>
                <w:sz w:val="14"/>
                <w:szCs w:val="14"/>
                <w:color w:val="auto"/>
                <w:vertAlign w:val="superscript"/>
              </w:rPr>
              <w:t>(4)</w:t>
            </w:r>
          </w:p>
        </w:tc>
        <w:tc>
          <w:tcPr>
            <w:tcW w:w="1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98</w:t>
            </w:r>
          </w:p>
        </w:tc>
        <w:tc>
          <w:tcPr>
            <w:tcW w:w="1100" w:type="dxa"/>
            <w:vAlign w:val="bottom"/>
          </w:tcPr>
          <w:p>
            <w:pPr>
              <w:jc w:val="center"/>
              <w:ind w:right="29"/>
              <w:spacing w:after="0"/>
              <w:rPr>
                <w:sz w:val="20"/>
                <w:szCs w:val="20"/>
                <w:color w:val="auto"/>
              </w:rPr>
            </w:pPr>
            <w:r>
              <w:rPr>
                <w:rFonts w:ascii="Times New Roman" w:cs="Times New Roman" w:eastAsia="Times New Roman" w:hAnsi="Times New Roman"/>
                <w:sz w:val="10"/>
                <w:szCs w:val="10"/>
                <w:color w:val="auto"/>
                <w:w w:val="99"/>
              </w:rPr>
              <w:t>98</w:t>
            </w:r>
          </w:p>
        </w:tc>
        <w:tc>
          <w:tcPr>
            <w:tcW w:w="1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112</w:t>
            </w:r>
          </w:p>
        </w:tc>
        <w:tc>
          <w:tcPr>
            <w:tcW w:w="720" w:type="dxa"/>
            <w:vAlign w:val="bottom"/>
          </w:tcPr>
          <w:p>
            <w:pPr>
              <w:jc w:val="center"/>
              <w:ind w:left="289"/>
              <w:spacing w:after="0"/>
              <w:rPr>
                <w:sz w:val="20"/>
                <w:szCs w:val="20"/>
                <w:color w:val="auto"/>
              </w:rPr>
            </w:pPr>
            <w:r>
              <w:rPr>
                <w:rFonts w:ascii="Times New Roman" w:cs="Times New Roman" w:eastAsia="Times New Roman" w:hAnsi="Times New Roman"/>
                <w:sz w:val="10"/>
                <w:szCs w:val="10"/>
                <w:color w:val="auto"/>
              </w:rPr>
              <w:t>14.6%</w:t>
            </w:r>
          </w:p>
        </w:tc>
        <w:tc>
          <w:tcPr>
            <w:tcW w:w="1280" w:type="dxa"/>
            <w:vAlign w:val="bottom"/>
          </w:tcPr>
          <w:p>
            <w:pPr>
              <w:jc w:val="center"/>
              <w:ind w:left="249"/>
              <w:spacing w:after="0"/>
              <w:rPr>
                <w:sz w:val="20"/>
                <w:szCs w:val="20"/>
                <w:color w:val="auto"/>
              </w:rPr>
            </w:pPr>
            <w:r>
              <w:rPr>
                <w:rFonts w:ascii="Times New Roman" w:cs="Times New Roman" w:eastAsia="Times New Roman" w:hAnsi="Times New Roman"/>
                <w:sz w:val="10"/>
                <w:szCs w:val="10"/>
                <w:color w:val="auto"/>
              </w:rPr>
              <w:t>14.6%</w:t>
            </w:r>
          </w:p>
        </w:tc>
      </w:tr>
      <w:tr>
        <w:trPr>
          <w:trHeight w:val="114"/>
        </w:trPr>
        <w:tc>
          <w:tcPr>
            <w:tcW w:w="386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Off-balance sheet</w:t>
            </w:r>
          </w:p>
        </w:tc>
        <w:tc>
          <w:tcPr>
            <w:tcW w:w="1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56</w:t>
            </w:r>
          </w:p>
        </w:tc>
        <w:tc>
          <w:tcPr>
            <w:tcW w:w="1100" w:type="dxa"/>
            <w:vAlign w:val="bottom"/>
          </w:tcPr>
          <w:p>
            <w:pPr>
              <w:jc w:val="center"/>
              <w:ind w:right="29"/>
              <w:spacing w:after="0"/>
              <w:rPr>
                <w:sz w:val="20"/>
                <w:szCs w:val="20"/>
                <w:color w:val="auto"/>
              </w:rPr>
            </w:pPr>
            <w:r>
              <w:rPr>
                <w:rFonts w:ascii="Times New Roman" w:cs="Times New Roman" w:eastAsia="Times New Roman" w:hAnsi="Times New Roman"/>
                <w:sz w:val="10"/>
                <w:szCs w:val="10"/>
                <w:color w:val="auto"/>
                <w:w w:val="99"/>
              </w:rPr>
              <w:t>56</w:t>
            </w:r>
          </w:p>
        </w:tc>
        <w:tc>
          <w:tcPr>
            <w:tcW w:w="1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54</w:t>
            </w:r>
          </w:p>
        </w:tc>
        <w:tc>
          <w:tcPr>
            <w:tcW w:w="720" w:type="dxa"/>
            <w:vAlign w:val="bottom"/>
          </w:tcPr>
          <w:p>
            <w:pPr>
              <w:jc w:val="center"/>
              <w:ind w:left="289"/>
              <w:spacing w:after="0"/>
              <w:rPr>
                <w:sz w:val="20"/>
                <w:szCs w:val="20"/>
                <w:color w:val="auto"/>
              </w:rPr>
            </w:pPr>
            <w:r>
              <w:rPr>
                <w:rFonts w:ascii="Times New Roman" w:cs="Times New Roman" w:eastAsia="Times New Roman" w:hAnsi="Times New Roman"/>
                <w:sz w:val="10"/>
                <w:szCs w:val="10"/>
                <w:color w:val="auto"/>
              </w:rPr>
              <w:t>-4.6%</w:t>
            </w:r>
          </w:p>
        </w:tc>
        <w:tc>
          <w:tcPr>
            <w:tcW w:w="1280" w:type="dxa"/>
            <w:vAlign w:val="bottom"/>
          </w:tcPr>
          <w:p>
            <w:pPr>
              <w:jc w:val="center"/>
              <w:ind w:left="249"/>
              <w:spacing w:after="0"/>
              <w:rPr>
                <w:sz w:val="20"/>
                <w:szCs w:val="20"/>
                <w:color w:val="auto"/>
              </w:rPr>
            </w:pPr>
            <w:r>
              <w:rPr>
                <w:rFonts w:ascii="Times New Roman" w:cs="Times New Roman" w:eastAsia="Times New Roman" w:hAnsi="Times New Roman"/>
                <w:sz w:val="10"/>
                <w:szCs w:val="10"/>
                <w:color w:val="auto"/>
              </w:rPr>
              <w:t>-4.7%</w:t>
            </w:r>
          </w:p>
        </w:tc>
      </w:tr>
      <w:tr>
        <w:trPr>
          <w:trHeight w:val="114"/>
        </w:trPr>
        <w:tc>
          <w:tcPr>
            <w:tcW w:w="386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Insurances</w:t>
            </w:r>
          </w:p>
        </w:tc>
        <w:tc>
          <w:tcPr>
            <w:tcW w:w="1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48</w:t>
            </w:r>
          </w:p>
        </w:tc>
        <w:tc>
          <w:tcPr>
            <w:tcW w:w="1100" w:type="dxa"/>
            <w:vAlign w:val="bottom"/>
          </w:tcPr>
          <w:p>
            <w:pPr>
              <w:jc w:val="center"/>
              <w:ind w:right="29"/>
              <w:spacing w:after="0"/>
              <w:rPr>
                <w:sz w:val="20"/>
                <w:szCs w:val="20"/>
                <w:color w:val="auto"/>
              </w:rPr>
            </w:pPr>
            <w:r>
              <w:rPr>
                <w:rFonts w:ascii="Times New Roman" w:cs="Times New Roman" w:eastAsia="Times New Roman" w:hAnsi="Times New Roman"/>
                <w:sz w:val="10"/>
                <w:szCs w:val="10"/>
                <w:color w:val="auto"/>
                <w:w w:val="99"/>
              </w:rPr>
              <w:t>49</w:t>
            </w:r>
          </w:p>
        </w:tc>
        <w:tc>
          <w:tcPr>
            <w:tcW w:w="1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47</w:t>
            </w:r>
          </w:p>
        </w:tc>
        <w:tc>
          <w:tcPr>
            <w:tcW w:w="720" w:type="dxa"/>
            <w:vAlign w:val="bottom"/>
          </w:tcPr>
          <w:p>
            <w:pPr>
              <w:jc w:val="center"/>
              <w:ind w:left="289"/>
              <w:spacing w:after="0"/>
              <w:rPr>
                <w:sz w:val="20"/>
                <w:szCs w:val="20"/>
                <w:color w:val="auto"/>
              </w:rPr>
            </w:pPr>
            <w:r>
              <w:rPr>
                <w:rFonts w:ascii="Times New Roman" w:cs="Times New Roman" w:eastAsia="Times New Roman" w:hAnsi="Times New Roman"/>
                <w:sz w:val="10"/>
                <w:szCs w:val="10"/>
                <w:color w:val="auto"/>
              </w:rPr>
              <w:t>-4.9%</w:t>
            </w:r>
          </w:p>
        </w:tc>
        <w:tc>
          <w:tcPr>
            <w:tcW w:w="1280" w:type="dxa"/>
            <w:vAlign w:val="bottom"/>
          </w:tcPr>
          <w:p>
            <w:pPr>
              <w:jc w:val="center"/>
              <w:ind w:left="249"/>
              <w:spacing w:after="0"/>
              <w:rPr>
                <w:sz w:val="20"/>
                <w:szCs w:val="20"/>
                <w:color w:val="auto"/>
              </w:rPr>
            </w:pPr>
            <w:r>
              <w:rPr>
                <w:rFonts w:ascii="Times New Roman" w:cs="Times New Roman" w:eastAsia="Times New Roman" w:hAnsi="Times New Roman"/>
                <w:sz w:val="10"/>
                <w:szCs w:val="10"/>
                <w:color w:val="auto"/>
              </w:rPr>
              <w:t>-3.2%</w:t>
            </w:r>
          </w:p>
        </w:tc>
      </w:tr>
      <w:tr>
        <w:trPr>
          <w:trHeight w:val="106"/>
        </w:trPr>
        <w:tc>
          <w:tcPr>
            <w:tcW w:w="3860" w:type="dxa"/>
            <w:vAlign w:val="bottom"/>
          </w:tcPr>
          <w:p>
            <w:pPr>
              <w:ind w:left="60"/>
              <w:spacing w:after="0" w:line="106" w:lineRule="exact"/>
              <w:rPr>
                <w:sz w:val="20"/>
                <w:szCs w:val="20"/>
                <w:color w:val="auto"/>
              </w:rPr>
            </w:pPr>
            <w:r>
              <w:rPr>
                <w:rFonts w:ascii="Times New Roman" w:cs="Times New Roman" w:eastAsia="Times New Roman" w:hAnsi="Times New Roman"/>
                <w:sz w:val="10"/>
                <w:szCs w:val="10"/>
                <w:color w:val="auto"/>
              </w:rPr>
              <w:t>Wealth Management and Corporate Finance</w:t>
            </w:r>
          </w:p>
        </w:tc>
        <w:tc>
          <w:tcPr>
            <w:tcW w:w="1020" w:type="dxa"/>
            <w:vAlign w:val="bottom"/>
          </w:tcPr>
          <w:p>
            <w:pPr>
              <w:jc w:val="center"/>
              <w:spacing w:after="0" w:line="106" w:lineRule="exact"/>
              <w:rPr>
                <w:sz w:val="20"/>
                <w:szCs w:val="20"/>
                <w:color w:val="auto"/>
              </w:rPr>
            </w:pPr>
            <w:r>
              <w:rPr>
                <w:rFonts w:ascii="Times New Roman" w:cs="Times New Roman" w:eastAsia="Times New Roman" w:hAnsi="Times New Roman"/>
                <w:sz w:val="10"/>
                <w:szCs w:val="10"/>
                <w:color w:val="auto"/>
                <w:w w:val="99"/>
              </w:rPr>
              <w:t>15</w:t>
            </w:r>
          </w:p>
        </w:tc>
        <w:tc>
          <w:tcPr>
            <w:tcW w:w="1100" w:type="dxa"/>
            <w:vAlign w:val="bottom"/>
          </w:tcPr>
          <w:p>
            <w:pPr>
              <w:jc w:val="center"/>
              <w:ind w:right="29"/>
              <w:spacing w:after="0" w:line="106" w:lineRule="exact"/>
              <w:rPr>
                <w:sz w:val="20"/>
                <w:szCs w:val="20"/>
                <w:color w:val="auto"/>
              </w:rPr>
            </w:pPr>
            <w:r>
              <w:rPr>
                <w:rFonts w:ascii="Times New Roman" w:cs="Times New Roman" w:eastAsia="Times New Roman" w:hAnsi="Times New Roman"/>
                <w:sz w:val="10"/>
                <w:szCs w:val="10"/>
                <w:color w:val="auto"/>
                <w:w w:val="99"/>
              </w:rPr>
              <w:t>19</w:t>
            </w:r>
          </w:p>
        </w:tc>
        <w:tc>
          <w:tcPr>
            <w:tcW w:w="1000" w:type="dxa"/>
            <w:vAlign w:val="bottom"/>
          </w:tcPr>
          <w:p>
            <w:pPr>
              <w:jc w:val="center"/>
              <w:spacing w:after="0" w:line="106" w:lineRule="exact"/>
              <w:rPr>
                <w:sz w:val="20"/>
                <w:szCs w:val="20"/>
                <w:color w:val="auto"/>
              </w:rPr>
            </w:pPr>
            <w:r>
              <w:rPr>
                <w:rFonts w:ascii="Times New Roman" w:cs="Times New Roman" w:eastAsia="Times New Roman" w:hAnsi="Times New Roman"/>
                <w:sz w:val="10"/>
                <w:szCs w:val="10"/>
                <w:color w:val="auto"/>
                <w:w w:val="99"/>
              </w:rPr>
              <w:t>23</w:t>
            </w:r>
          </w:p>
        </w:tc>
        <w:tc>
          <w:tcPr>
            <w:tcW w:w="720" w:type="dxa"/>
            <w:vAlign w:val="bottom"/>
          </w:tcPr>
          <w:p>
            <w:pPr>
              <w:jc w:val="center"/>
              <w:ind w:left="289"/>
              <w:spacing w:after="0" w:line="106" w:lineRule="exact"/>
              <w:rPr>
                <w:sz w:val="20"/>
                <w:szCs w:val="20"/>
                <w:color w:val="auto"/>
              </w:rPr>
            </w:pPr>
            <w:r>
              <w:rPr>
                <w:rFonts w:ascii="Times New Roman" w:cs="Times New Roman" w:eastAsia="Times New Roman" w:hAnsi="Times New Roman"/>
                <w:sz w:val="10"/>
                <w:szCs w:val="10"/>
                <w:color w:val="auto"/>
              </w:rPr>
              <w:t>19.3%</w:t>
            </w:r>
          </w:p>
        </w:tc>
        <w:tc>
          <w:tcPr>
            <w:tcW w:w="1280" w:type="dxa"/>
            <w:vAlign w:val="bottom"/>
          </w:tcPr>
          <w:p>
            <w:pPr>
              <w:jc w:val="center"/>
              <w:ind w:left="249"/>
              <w:spacing w:after="0" w:line="106" w:lineRule="exact"/>
              <w:rPr>
                <w:sz w:val="20"/>
                <w:szCs w:val="20"/>
                <w:color w:val="auto"/>
              </w:rPr>
            </w:pPr>
            <w:r>
              <w:rPr>
                <w:rFonts w:ascii="Times New Roman" w:cs="Times New Roman" w:eastAsia="Times New Roman" w:hAnsi="Times New Roman"/>
                <w:sz w:val="10"/>
                <w:szCs w:val="10"/>
                <w:color w:val="auto"/>
              </w:rPr>
              <w:t>54.3%</w:t>
            </w:r>
          </w:p>
        </w:tc>
      </w:tr>
      <w:tr>
        <w:trPr>
          <w:trHeight w:val="134"/>
        </w:trPr>
        <w:tc>
          <w:tcPr>
            <w:tcW w:w="3860" w:type="dxa"/>
            <w:vAlign w:val="bottom"/>
            <w:tcBorders>
              <w:bottom w:val="single" w:sz="8" w:color="auto"/>
            </w:tcBorders>
          </w:tcPr>
          <w:p>
            <w:pPr>
              <w:ind w:left="60"/>
              <w:spacing w:after="0" w:line="134" w:lineRule="exact"/>
              <w:rPr>
                <w:sz w:val="20"/>
                <w:szCs w:val="20"/>
                <w:color w:val="auto"/>
              </w:rPr>
            </w:pPr>
            <w:r>
              <w:rPr>
                <w:rFonts w:ascii="Times New Roman" w:cs="Times New Roman" w:eastAsia="Times New Roman" w:hAnsi="Times New Roman"/>
                <w:sz w:val="10"/>
                <w:szCs w:val="10"/>
                <w:color w:val="auto"/>
              </w:rPr>
              <w:t xml:space="preserve">Others </w:t>
            </w:r>
            <w:r>
              <w:rPr>
                <w:rFonts w:ascii="Times New Roman" w:cs="Times New Roman" w:eastAsia="Times New Roman" w:hAnsi="Times New Roman"/>
                <w:sz w:val="15"/>
                <w:szCs w:val="15"/>
                <w:color w:val="auto"/>
                <w:vertAlign w:val="superscript"/>
              </w:rPr>
              <w:t>(5)</w:t>
            </w: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9"/>
              </w:rPr>
              <w:t>14</w:t>
            </w:r>
          </w:p>
        </w:tc>
        <w:tc>
          <w:tcPr>
            <w:tcW w:w="110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0"/>
                <w:szCs w:val="10"/>
                <w:color w:val="auto"/>
                <w:w w:val="99"/>
              </w:rPr>
              <w:t>21</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9"/>
              </w:rPr>
              <w:t>22</w:t>
            </w:r>
          </w:p>
        </w:tc>
        <w:tc>
          <w:tcPr>
            <w:tcW w:w="720" w:type="dxa"/>
            <w:vAlign w:val="bottom"/>
            <w:tcBorders>
              <w:bottom w:val="single" w:sz="8" w:color="auto"/>
            </w:tcBorders>
          </w:tcPr>
          <w:p>
            <w:pPr>
              <w:jc w:val="center"/>
              <w:ind w:left="289"/>
              <w:spacing w:after="0"/>
              <w:rPr>
                <w:sz w:val="20"/>
                <w:szCs w:val="20"/>
                <w:color w:val="auto"/>
              </w:rPr>
            </w:pPr>
            <w:r>
              <w:rPr>
                <w:rFonts w:ascii="Times New Roman" w:cs="Times New Roman" w:eastAsia="Times New Roman" w:hAnsi="Times New Roman"/>
                <w:sz w:val="10"/>
                <w:szCs w:val="10"/>
                <w:color w:val="auto"/>
              </w:rPr>
              <w:t>6.9%</w:t>
            </w:r>
          </w:p>
        </w:tc>
        <w:tc>
          <w:tcPr>
            <w:tcW w:w="1280" w:type="dxa"/>
            <w:vAlign w:val="bottom"/>
            <w:tcBorders>
              <w:bottom w:val="single" w:sz="8" w:color="auto"/>
            </w:tcBorders>
          </w:tcPr>
          <w:p>
            <w:pPr>
              <w:jc w:val="center"/>
              <w:ind w:left="249"/>
              <w:spacing w:after="0"/>
              <w:rPr>
                <w:sz w:val="20"/>
                <w:szCs w:val="20"/>
                <w:color w:val="auto"/>
              </w:rPr>
            </w:pPr>
            <w:r>
              <w:rPr>
                <w:rFonts w:ascii="Times New Roman" w:cs="Times New Roman" w:eastAsia="Times New Roman" w:hAnsi="Times New Roman"/>
                <w:sz w:val="10"/>
                <w:szCs w:val="10"/>
                <w:color w:val="auto"/>
              </w:rPr>
              <w:t>60.2%</w:t>
            </w:r>
          </w:p>
        </w:tc>
      </w:tr>
      <w:tr>
        <w:trPr>
          <w:trHeight w:val="116"/>
        </w:trPr>
        <w:tc>
          <w:tcPr>
            <w:tcW w:w="3860" w:type="dxa"/>
            <w:vAlign w:val="bottom"/>
          </w:tcPr>
          <w:p>
            <w:pPr>
              <w:ind w:left="6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10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831</w:t>
            </w:r>
          </w:p>
        </w:tc>
        <w:tc>
          <w:tcPr>
            <w:tcW w:w="1100" w:type="dxa"/>
            <w:vAlign w:val="bottom"/>
          </w:tcPr>
          <w:p>
            <w:pPr>
              <w:jc w:val="center"/>
              <w:ind w:right="29"/>
              <w:spacing w:after="0"/>
              <w:rPr>
                <w:sz w:val="20"/>
                <w:szCs w:val="20"/>
                <w:color w:val="auto"/>
              </w:rPr>
            </w:pPr>
            <w:r>
              <w:rPr>
                <w:rFonts w:ascii="Times New Roman" w:cs="Times New Roman" w:eastAsia="Times New Roman" w:hAnsi="Times New Roman"/>
                <w:sz w:val="10"/>
                <w:szCs w:val="10"/>
                <w:b w:val="1"/>
                <w:bCs w:val="1"/>
                <w:color w:val="auto"/>
                <w:w w:val="93"/>
              </w:rPr>
              <w:t>924</w:t>
            </w:r>
          </w:p>
        </w:tc>
        <w:tc>
          <w:tcPr>
            <w:tcW w:w="10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3"/>
              </w:rPr>
              <w:t>962</w:t>
            </w:r>
          </w:p>
        </w:tc>
        <w:tc>
          <w:tcPr>
            <w:tcW w:w="720" w:type="dxa"/>
            <w:vAlign w:val="bottom"/>
          </w:tcPr>
          <w:p>
            <w:pPr>
              <w:jc w:val="center"/>
              <w:ind w:left="289"/>
              <w:spacing w:after="0"/>
              <w:rPr>
                <w:sz w:val="20"/>
                <w:szCs w:val="20"/>
                <w:color w:val="auto"/>
              </w:rPr>
            </w:pPr>
            <w:r>
              <w:rPr>
                <w:rFonts w:ascii="Times New Roman" w:cs="Times New Roman" w:eastAsia="Times New Roman" w:hAnsi="Times New Roman"/>
                <w:sz w:val="10"/>
                <w:szCs w:val="10"/>
                <w:b w:val="1"/>
                <w:bCs w:val="1"/>
                <w:color w:val="auto"/>
                <w:w w:val="97"/>
              </w:rPr>
              <w:t>4.0%</w:t>
            </w:r>
          </w:p>
        </w:tc>
        <w:tc>
          <w:tcPr>
            <w:tcW w:w="1280" w:type="dxa"/>
            <w:vAlign w:val="bottom"/>
          </w:tcPr>
          <w:p>
            <w:pPr>
              <w:jc w:val="center"/>
              <w:ind w:left="229"/>
              <w:spacing w:after="0"/>
              <w:rPr>
                <w:sz w:val="20"/>
                <w:szCs w:val="20"/>
                <w:color w:val="auto"/>
              </w:rPr>
            </w:pPr>
            <w:r>
              <w:rPr>
                <w:rFonts w:ascii="Times New Roman" w:cs="Times New Roman" w:eastAsia="Times New Roman" w:hAnsi="Times New Roman"/>
                <w:sz w:val="10"/>
                <w:szCs w:val="10"/>
                <w:b w:val="1"/>
                <w:bCs w:val="1"/>
                <w:color w:val="auto"/>
              </w:rPr>
              <w:t>15.7%</w:t>
            </w:r>
          </w:p>
        </w:tc>
      </w:tr>
    </w:tbl>
    <w:p>
      <w:pPr>
        <w:spacing w:after="0" w:line="220" w:lineRule="auto"/>
        <w:rPr>
          <w:sz w:val="20"/>
          <w:szCs w:val="20"/>
          <w:color w:val="auto"/>
        </w:rPr>
      </w:pPr>
      <w:r>
        <w:rPr>
          <w:rFonts w:ascii="Times New Roman" w:cs="Times New Roman" w:eastAsia="Times New Roman" w:hAnsi="Times New Roman"/>
          <w:sz w:val="12"/>
          <w:szCs w:val="12"/>
          <w:color w:val="auto"/>
        </w:rPr>
        <w:t>(*) Management Figures.</w:t>
      </w:r>
    </w:p>
    <w:p>
      <w:pPr>
        <w:ind w:left="160" w:hanging="158"/>
        <w:spacing w:after="0" w:line="221" w:lineRule="auto"/>
        <w:tabs>
          <w:tab w:leader="none" w:pos="16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Corresponds to fees from credit cards, debit cards, bill payments and services, collections, Culqi, network usage and other services provided to third parties.</w:t>
      </w:r>
    </w:p>
    <w:p>
      <w:pPr>
        <w:ind w:left="160" w:hanging="158"/>
        <w:spacing w:after="0" w:line="220" w:lineRule="auto"/>
        <w:tabs>
          <w:tab w:leader="none" w:pos="16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 includes fees related to E-Commerce. Not includes FX and remittances.</w:t>
      </w:r>
    </w:p>
    <w:p>
      <w:pPr>
        <w:ind w:left="160" w:hanging="158"/>
        <w:spacing w:after="0" w:line="220" w:lineRule="auto"/>
        <w:tabs>
          <w:tab w:leader="none" w:pos="16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Corresponds to fees from Account maintenance, interbank transfers, national transfers, and international transfers.</w:t>
      </w:r>
    </w:p>
    <w:p>
      <w:pPr>
        <w:ind w:left="160" w:hanging="158"/>
        <w:spacing w:after="0" w:line="220" w:lineRule="auto"/>
        <w:tabs>
          <w:tab w:leader="none" w:pos="16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Corresponds to fees from retail and wholesale loan disbursements.</w:t>
      </w:r>
    </w:p>
    <w:p>
      <w:pPr>
        <w:ind w:left="160" w:hanging="158"/>
        <w:spacing w:after="0"/>
        <w:tabs>
          <w:tab w:leader="none" w:pos="16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Use of third-party networks, Other services to third parties, and Commissions in foreign branches.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QoQ</w:t>
      </w:r>
      <w:r>
        <w:rPr>
          <w:rFonts w:ascii="Times New Roman" w:cs="Times New Roman" w:eastAsia="Times New Roman" w:hAnsi="Times New Roman"/>
          <w:sz w:val="17"/>
          <w:szCs w:val="17"/>
          <w:color w:val="auto"/>
        </w:rPr>
        <w:t>, growth of 4.0% was driven mainly by:</w:t>
      </w:r>
    </w:p>
    <w:p>
      <w:pPr>
        <w:spacing w:after="0" w:line="215" w:lineRule="exact"/>
        <w:rPr>
          <w:sz w:val="20"/>
          <w:szCs w:val="20"/>
          <w:color w:val="auto"/>
        </w:rPr>
      </w:pPr>
    </w:p>
    <w:p>
      <w:pPr>
        <w:jc w:val="both"/>
        <w:ind w:left="760" w:right="380" w:hanging="314"/>
        <w:spacing w:after="0" w:line="255" w:lineRule="auto"/>
        <w:tabs>
          <w:tab w:leader="none" w:pos="76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core business, which includes Payment and Transactional Services, Liability and Transactional Accounts, and Loan Disbursements, evolved favorably. The increase in Loan disbursements was driven by an uptick in the dynamism of the loan portfolio, while passive and transactional accounts rose mainly on the back of growth in foreign transfers.</w:t>
      </w:r>
    </w:p>
    <w:p>
      <w:pPr>
        <w:spacing w:after="0" w:line="1" w:lineRule="exact"/>
        <w:rPr>
          <w:rFonts w:ascii="Times New Roman" w:cs="Times New Roman" w:eastAsia="Times New Roman" w:hAnsi="Times New Roman"/>
          <w:sz w:val="17"/>
          <w:szCs w:val="17"/>
          <w:color w:val="auto"/>
        </w:rPr>
      </w:pPr>
    </w:p>
    <w:p>
      <w:pPr>
        <w:jc w:val="both"/>
        <w:ind w:left="760" w:right="380" w:hanging="314"/>
        <w:spacing w:after="0" w:line="253" w:lineRule="auto"/>
        <w:tabs>
          <w:tab w:leader="none" w:pos="76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Yape, which continued to report significant growth, was driven an increase in the use of features, in particular: (i) bill payments, mainly for telecom, financial institutions, electricity and education; (ii) checkout, in line with the increase in transactional activity among active customers; and (iii) QR/POS payments, supported by stronger consumption dynamics.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YoY</w:t>
      </w:r>
      <w:r>
        <w:rPr>
          <w:rFonts w:ascii="Times New Roman" w:cs="Times New Roman" w:eastAsia="Times New Roman" w:hAnsi="Times New Roman"/>
          <w:sz w:val="17"/>
          <w:szCs w:val="17"/>
          <w:color w:val="auto"/>
        </w:rPr>
        <w:t>, fee income rose 15.7% due to:</w:t>
      </w:r>
    </w:p>
    <w:p>
      <w:pPr>
        <w:spacing w:after="0" w:line="215" w:lineRule="exact"/>
        <w:rPr>
          <w:sz w:val="20"/>
          <w:szCs w:val="20"/>
          <w:color w:val="auto"/>
        </w:rPr>
      </w:pPr>
    </w:p>
    <w:p>
      <w:pPr>
        <w:ind w:left="760" w:right="380" w:hanging="314"/>
        <w:spacing w:after="0" w:line="258" w:lineRule="auto"/>
        <w:tabs>
          <w:tab w:leader="none" w:pos="76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Yape, driven by more consolidated features and by sustained growth in the frequency of use. The Remittance business was also a key player, in line with higher coverage of the formal market.</w:t>
      </w:r>
    </w:p>
    <w:p>
      <w:pPr>
        <w:spacing w:after="0" w:line="1" w:lineRule="exact"/>
        <w:rPr>
          <w:rFonts w:ascii="Times New Roman" w:cs="Times New Roman" w:eastAsia="Times New Roman" w:hAnsi="Times New Roman"/>
          <w:sz w:val="17"/>
          <w:szCs w:val="17"/>
          <w:color w:val="auto"/>
        </w:rPr>
      </w:pPr>
    </w:p>
    <w:p>
      <w:pPr>
        <w:jc w:val="both"/>
        <w:ind w:left="760" w:right="380" w:hanging="314"/>
        <w:spacing w:after="0" w:line="253" w:lineRule="auto"/>
        <w:tabs>
          <w:tab w:leader="none" w:pos="76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Core Business was driven, in order of impact, by Loan disbursements, which rose through an upswing in origination; Liabilities and transactional accounts, which reported an uptick in interbank and foreign transactions; and Payment and Transactional Services, which registered an increase in transactions through a larger base of active cards, as we push to implement our strategy to digitalize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937895</wp:posOffset>
            </wp:positionV>
            <wp:extent cx="7140575" cy="1587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0575" cy="15875"/>
                    </a:xfrm>
                    <a:prstGeom prst="rect">
                      <a:avLst/>
                    </a:prstGeom>
                    <a:noFill/>
                  </pic:spPr>
                </pic:pic>
              </a:graphicData>
            </a:graphic>
          </wp:anchor>
        </w:drawing>
        <w:drawing>
          <wp:anchor simplePos="0" relativeHeight="251657728" behindDoc="1" locked="0" layoutInCell="0" allowOverlap="1">
            <wp:simplePos x="0" y="0"/>
            <wp:positionH relativeFrom="column">
              <wp:posOffset>331470</wp:posOffset>
            </wp:positionH>
            <wp:positionV relativeFrom="paragraph">
              <wp:posOffset>123825</wp:posOffset>
            </wp:positionV>
            <wp:extent cx="6447155" cy="5156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447155" cy="515620"/>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33" w:name="page34"/>
    <w:bookmarkEnd w:id="33"/>
    <w:p>
      <w:pPr>
        <w:ind w:left="3200"/>
        <w:spacing w:after="0"/>
        <w:tabs>
          <w:tab w:leader="none" w:pos="3380" w:val="left"/>
          <w:tab w:leader="none" w:pos="9060" w:val="left"/>
        </w:tabs>
        <w:rPr>
          <w:sz w:val="20"/>
          <w:szCs w:val="20"/>
          <w:color w:val="auto"/>
        </w:rPr>
      </w:pPr>
      <w:r>
        <w:rPr>
          <w:rFonts w:ascii="Times New Roman" w:cs="Times New Roman" w:eastAsia="Times New Roman" w:hAnsi="Times New Roman"/>
          <w:sz w:val="17"/>
          <w:szCs w:val="17"/>
          <w:color w:val="A6A6A6"/>
        </w:rPr>
        <w:drawing>
          <wp:anchor simplePos="0" relativeHeight="251657728" behindDoc="1" locked="0" layoutInCell="0" allowOverlap="1">
            <wp:simplePos x="0" y="0"/>
            <wp:positionH relativeFrom="page">
              <wp:posOffset>204470</wp:posOffset>
            </wp:positionH>
            <wp:positionV relativeFrom="page">
              <wp:posOffset>217805</wp:posOffset>
            </wp:positionV>
            <wp:extent cx="7140575" cy="6927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0575" cy="692785"/>
                    </a:xfrm>
                    <a:prstGeom prst="rect">
                      <a:avLst/>
                    </a:prstGeom>
                    <a:noFill/>
                  </pic:spPr>
                </pic:pic>
              </a:graphicData>
            </a:graphic>
          </wp:anchor>
        </w:drawing>
        <w:t>|</w:t>
      </w:r>
      <w:r>
        <w:rPr>
          <w:sz w:val="20"/>
          <w:szCs w:val="20"/>
          <w:color w:val="auto"/>
        </w:rPr>
        <w:tab/>
      </w:r>
      <w:r>
        <w:rPr>
          <w:rFonts w:ascii="Times New Roman" w:cs="Times New Roman" w:eastAsia="Times New Roman" w:hAnsi="Times New Roman"/>
          <w:sz w:val="14"/>
          <w:szCs w:val="14"/>
          <w:color w:val="FFFFFF"/>
        </w:rPr>
        <w:t>Earnings Release 1Q / 2026</w:t>
      </w:r>
      <w:r>
        <w:rPr>
          <w:sz w:val="20"/>
          <w:szCs w:val="20"/>
          <w:color w:val="auto"/>
        </w:rPr>
        <w:tab/>
      </w:r>
      <w:r>
        <w:rPr>
          <w:rFonts w:ascii="Times New Roman" w:cs="Times New Roman" w:eastAsia="Times New Roman" w:hAnsi="Times New Roman"/>
          <w:sz w:val="12"/>
          <w:szCs w:val="12"/>
          <w:color w:val="FF00FF"/>
        </w:rPr>
        <w:t>Analysis of 1Q26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297180</wp:posOffset>
            </wp:positionV>
            <wp:extent cx="7140575" cy="2095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0575" cy="20955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FFFFFF"/>
        </w:rPr>
        <w:t>06. Otros Ingresos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6.2 Other Non-core Income</w:t>
      </w:r>
    </w:p>
    <w:p>
      <w:pPr>
        <w:spacing w:after="0" w:line="211" w:lineRule="exact"/>
        <w:rPr>
          <w:sz w:val="20"/>
          <w:szCs w:val="20"/>
          <w:color w:val="auto"/>
        </w:rPr>
      </w:pPr>
    </w:p>
    <w:tbl>
      <w:tblPr>
        <w:tblLayout w:type="fixed"/>
        <w:tblInd w:w="1150" w:type="dxa"/>
        <w:tblCellMar>
          <w:top w:w="0" w:type="dxa"/>
          <w:left w:w="0" w:type="dxa"/>
          <w:bottom w:w="0" w:type="dxa"/>
          <w:right w:w="0" w:type="dxa"/>
        </w:tblCellMar>
      </w:tblPr>
      <w:tr>
        <w:trPr>
          <w:trHeight w:val="113"/>
        </w:trPr>
        <w:tc>
          <w:tcPr>
            <w:tcW w:w="3700" w:type="dxa"/>
            <w:vAlign w:val="bottom"/>
            <w:tcBorders>
              <w:top w:val="single" w:sz="8" w:color="auto"/>
              <w:left w:val="single" w:sz="8" w:color="auto"/>
              <w:right w:val="single" w:sz="8" w:color="auto"/>
            </w:tcBorders>
            <w:shd w:val="clear" w:color="auto" w:fill="2AD2C9"/>
          </w:tcPr>
          <w:p>
            <w:pPr>
              <w:ind w:left="60"/>
              <w:spacing w:after="0" w:line="114" w:lineRule="exact"/>
              <w:rPr>
                <w:sz w:val="20"/>
                <w:szCs w:val="20"/>
                <w:color w:val="auto"/>
              </w:rPr>
            </w:pPr>
            <w:r>
              <w:rPr>
                <w:rFonts w:ascii="Times New Roman" w:cs="Times New Roman" w:eastAsia="Times New Roman" w:hAnsi="Times New Roman"/>
                <w:sz w:val="10"/>
                <w:szCs w:val="10"/>
                <w:b w:val="1"/>
                <w:bCs w:val="1"/>
                <w:color w:val="FFFFFF"/>
              </w:rPr>
              <w:t>Other Non-Core Income</w:t>
            </w:r>
          </w:p>
        </w:tc>
        <w:tc>
          <w:tcPr>
            <w:tcW w:w="1060" w:type="dxa"/>
            <w:vAlign w:val="bottom"/>
            <w:tcBorders>
              <w:top w:val="single" w:sz="8" w:color="auto"/>
            </w:tcBorders>
            <w:shd w:val="clear" w:color="auto" w:fill="2AD2C9"/>
          </w:tcPr>
          <w:p>
            <w:pPr>
              <w:spacing w:after="0"/>
              <w:rPr>
                <w:sz w:val="9"/>
                <w:szCs w:val="9"/>
                <w:color w:val="auto"/>
              </w:rPr>
            </w:pPr>
          </w:p>
        </w:tc>
        <w:tc>
          <w:tcPr>
            <w:tcW w:w="1060" w:type="dxa"/>
            <w:vAlign w:val="bottom"/>
            <w:tcBorders>
              <w:top w:val="single" w:sz="8" w:color="auto"/>
            </w:tcBorders>
            <w:shd w:val="clear" w:color="auto" w:fill="2AD2C9"/>
          </w:tcPr>
          <w:p>
            <w:pPr>
              <w:ind w:left="360"/>
              <w:spacing w:after="0" w:line="114" w:lineRule="exact"/>
              <w:rPr>
                <w:sz w:val="20"/>
                <w:szCs w:val="20"/>
                <w:color w:val="auto"/>
              </w:rPr>
            </w:pPr>
            <w:r>
              <w:rPr>
                <w:rFonts w:ascii="Times New Roman" w:cs="Times New Roman" w:eastAsia="Times New Roman" w:hAnsi="Times New Roman"/>
                <w:sz w:val="10"/>
                <w:szCs w:val="10"/>
                <w:b w:val="1"/>
                <w:bCs w:val="1"/>
                <w:color w:val="FFFFFF"/>
              </w:rPr>
              <w:t>Quarter</w:t>
            </w:r>
          </w:p>
        </w:tc>
        <w:tc>
          <w:tcPr>
            <w:tcW w:w="1100" w:type="dxa"/>
            <w:vAlign w:val="bottom"/>
            <w:tcBorders>
              <w:top w:val="single" w:sz="8" w:color="auto"/>
              <w:right w:val="single" w:sz="8" w:color="auto"/>
            </w:tcBorders>
            <w:shd w:val="clear" w:color="auto" w:fill="2AD2C9"/>
          </w:tcPr>
          <w:p>
            <w:pPr>
              <w:spacing w:after="0"/>
              <w:rPr>
                <w:sz w:val="9"/>
                <w:szCs w:val="9"/>
                <w:color w:val="auto"/>
              </w:rPr>
            </w:pPr>
          </w:p>
        </w:tc>
        <w:tc>
          <w:tcPr>
            <w:tcW w:w="740" w:type="dxa"/>
            <w:vAlign w:val="bottom"/>
            <w:tcBorders>
              <w:top w:val="single" w:sz="8" w:color="auto"/>
            </w:tcBorders>
            <w:shd w:val="clear" w:color="auto" w:fill="2AD2C9"/>
          </w:tcPr>
          <w:p>
            <w:pPr>
              <w:spacing w:after="0"/>
              <w:rPr>
                <w:sz w:val="9"/>
                <w:szCs w:val="9"/>
                <w:color w:val="auto"/>
              </w:rPr>
            </w:pPr>
          </w:p>
        </w:tc>
        <w:tc>
          <w:tcPr>
            <w:tcW w:w="1320" w:type="dxa"/>
            <w:vAlign w:val="bottom"/>
            <w:tcBorders>
              <w:top w:val="single" w:sz="8" w:color="auto"/>
              <w:right w:val="single" w:sz="8" w:color="auto"/>
            </w:tcBorders>
            <w:shd w:val="clear" w:color="auto" w:fill="2AD2C9"/>
          </w:tcPr>
          <w:p>
            <w:pPr>
              <w:ind w:left="60"/>
              <w:spacing w:after="0" w:line="114" w:lineRule="exact"/>
              <w:rPr>
                <w:sz w:val="20"/>
                <w:szCs w:val="20"/>
                <w:color w:val="auto"/>
              </w:rPr>
            </w:pPr>
            <w:r>
              <w:rPr>
                <w:rFonts w:ascii="Times New Roman" w:cs="Times New Roman" w:eastAsia="Times New Roman" w:hAnsi="Times New Roman"/>
                <w:sz w:val="10"/>
                <w:szCs w:val="10"/>
                <w:b w:val="1"/>
                <w:bCs w:val="1"/>
                <w:color w:val="FFFFFF"/>
              </w:rPr>
              <w:t>% change</w:t>
            </w:r>
          </w:p>
        </w:tc>
      </w:tr>
      <w:tr>
        <w:trPr>
          <w:trHeight w:val="128"/>
        </w:trPr>
        <w:tc>
          <w:tcPr>
            <w:tcW w:w="3700" w:type="dxa"/>
            <w:vAlign w:val="bottom"/>
            <w:tcBorders>
              <w:left w:val="single" w:sz="8" w:color="auto"/>
              <w:bottom w:val="single" w:sz="8" w:color="auto"/>
              <w:right w:val="single" w:sz="8" w:color="auto"/>
            </w:tcBorders>
            <w:shd w:val="clear" w:color="auto" w:fill="2AD2C9"/>
          </w:tcPr>
          <w:p>
            <w:pPr>
              <w:ind w:left="60"/>
              <w:spacing w:after="0"/>
              <w:rPr>
                <w:sz w:val="20"/>
                <w:szCs w:val="20"/>
                <w:color w:val="auto"/>
              </w:rPr>
            </w:pPr>
            <w:r>
              <w:rPr>
                <w:rFonts w:ascii="Times New Roman" w:cs="Times New Roman" w:eastAsia="Times New Roman" w:hAnsi="Times New Roman"/>
                <w:sz w:val="10"/>
                <w:szCs w:val="10"/>
                <w:b w:val="1"/>
                <w:bCs w:val="1"/>
                <w:color w:val="FFFFFF"/>
              </w:rPr>
              <w:t>(S/ 000)</w:t>
            </w:r>
          </w:p>
        </w:tc>
        <w:tc>
          <w:tcPr>
            <w:tcW w:w="1060" w:type="dxa"/>
            <w:vAlign w:val="bottom"/>
            <w:tcBorders>
              <w:bottom w:val="single" w:sz="8" w:color="auto"/>
            </w:tcBorders>
            <w:shd w:val="clear" w:color="auto" w:fill="2AD2C9"/>
          </w:tcPr>
          <w:p>
            <w:pPr>
              <w:jc w:val="center"/>
              <w:spacing w:after="0"/>
              <w:rPr>
                <w:sz w:val="20"/>
                <w:szCs w:val="20"/>
                <w:color w:val="auto"/>
              </w:rPr>
            </w:pPr>
            <w:r>
              <w:rPr>
                <w:rFonts w:ascii="Times New Roman" w:cs="Times New Roman" w:eastAsia="Times New Roman" w:hAnsi="Times New Roman"/>
                <w:sz w:val="10"/>
                <w:szCs w:val="10"/>
                <w:b w:val="1"/>
                <w:bCs w:val="1"/>
                <w:color w:val="FFFFFF"/>
              </w:rPr>
              <w:t>1Q25</w:t>
            </w:r>
          </w:p>
        </w:tc>
        <w:tc>
          <w:tcPr>
            <w:tcW w:w="1060" w:type="dxa"/>
            <w:vAlign w:val="bottom"/>
            <w:tcBorders>
              <w:bottom w:val="single" w:sz="8" w:color="auto"/>
            </w:tcBorders>
            <w:shd w:val="clear" w:color="auto" w:fill="2AD2C9"/>
          </w:tcPr>
          <w:p>
            <w:pPr>
              <w:jc w:val="center"/>
              <w:spacing w:after="0"/>
              <w:rPr>
                <w:sz w:val="20"/>
                <w:szCs w:val="20"/>
                <w:color w:val="auto"/>
              </w:rPr>
            </w:pPr>
            <w:r>
              <w:rPr>
                <w:rFonts w:ascii="Times New Roman" w:cs="Times New Roman" w:eastAsia="Times New Roman" w:hAnsi="Times New Roman"/>
                <w:sz w:val="10"/>
                <w:szCs w:val="10"/>
                <w:b w:val="1"/>
                <w:bCs w:val="1"/>
                <w:color w:val="FFFFFF"/>
                <w:w w:val="96"/>
              </w:rPr>
              <w:t>4Q25</w:t>
            </w:r>
          </w:p>
        </w:tc>
        <w:tc>
          <w:tcPr>
            <w:tcW w:w="110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Times New Roman" w:cs="Times New Roman" w:eastAsia="Times New Roman" w:hAnsi="Times New Roman"/>
                <w:sz w:val="10"/>
                <w:szCs w:val="10"/>
                <w:b w:val="1"/>
                <w:bCs w:val="1"/>
                <w:color w:val="FFFFFF"/>
                <w:w w:val="96"/>
              </w:rPr>
              <w:t>1Q26</w:t>
            </w:r>
          </w:p>
        </w:tc>
        <w:tc>
          <w:tcPr>
            <w:tcW w:w="740" w:type="dxa"/>
            <w:vAlign w:val="bottom"/>
            <w:tcBorders>
              <w:bottom w:val="single" w:sz="8" w:color="auto"/>
            </w:tcBorders>
            <w:shd w:val="clear" w:color="auto" w:fill="2AD2C9"/>
          </w:tcPr>
          <w:p>
            <w:pPr>
              <w:ind w:left="380"/>
              <w:spacing w:after="0"/>
              <w:rPr>
                <w:sz w:val="20"/>
                <w:szCs w:val="20"/>
                <w:color w:val="auto"/>
              </w:rPr>
            </w:pPr>
            <w:r>
              <w:rPr>
                <w:rFonts w:ascii="Times New Roman" w:cs="Times New Roman" w:eastAsia="Times New Roman" w:hAnsi="Times New Roman"/>
                <w:sz w:val="10"/>
                <w:szCs w:val="10"/>
                <w:b w:val="1"/>
                <w:bCs w:val="1"/>
                <w:color w:val="FFFFFF"/>
              </w:rPr>
              <w:t>QoQ</w:t>
            </w:r>
          </w:p>
        </w:tc>
        <w:tc>
          <w:tcPr>
            <w:tcW w:w="1320" w:type="dxa"/>
            <w:vAlign w:val="bottom"/>
            <w:tcBorders>
              <w:bottom w:val="single" w:sz="8" w:color="auto"/>
              <w:right w:val="single" w:sz="8" w:color="auto"/>
            </w:tcBorders>
            <w:shd w:val="clear" w:color="auto" w:fill="2AD2C9"/>
          </w:tcPr>
          <w:p>
            <w:pPr>
              <w:ind w:left="680"/>
              <w:spacing w:after="0"/>
              <w:rPr>
                <w:sz w:val="20"/>
                <w:szCs w:val="20"/>
                <w:color w:val="auto"/>
              </w:rPr>
            </w:pPr>
            <w:r>
              <w:rPr>
                <w:rFonts w:ascii="Times New Roman" w:cs="Times New Roman" w:eastAsia="Times New Roman" w:hAnsi="Times New Roman"/>
                <w:sz w:val="10"/>
                <w:szCs w:val="10"/>
                <w:b w:val="1"/>
                <w:bCs w:val="1"/>
                <w:color w:val="FFFFFF"/>
              </w:rPr>
              <w:t>YoY</w:t>
            </w:r>
          </w:p>
        </w:tc>
      </w:tr>
      <w:tr>
        <w:trPr>
          <w:trHeight w:val="104"/>
        </w:trPr>
        <w:tc>
          <w:tcPr>
            <w:tcW w:w="3700" w:type="dxa"/>
            <w:vAlign w:val="bottom"/>
            <w:tcBorders>
              <w:left w:val="single" w:sz="8" w:color="auto"/>
              <w:right w:val="single" w:sz="8" w:color="auto"/>
            </w:tcBorders>
          </w:tcPr>
          <w:p>
            <w:pPr>
              <w:ind w:left="60"/>
              <w:spacing w:after="0" w:line="104" w:lineRule="exact"/>
              <w:rPr>
                <w:sz w:val="20"/>
                <w:szCs w:val="20"/>
                <w:color w:val="auto"/>
              </w:rPr>
            </w:pPr>
            <w:r>
              <w:rPr>
                <w:rFonts w:ascii="Times New Roman" w:cs="Times New Roman" w:eastAsia="Times New Roman" w:hAnsi="Times New Roman"/>
                <w:sz w:val="12"/>
                <w:szCs w:val="12"/>
                <w:color w:val="auto"/>
              </w:rPr>
              <w:t>Net Gain (Loss) on Securities</w:t>
            </w:r>
          </w:p>
        </w:tc>
        <w:tc>
          <w:tcPr>
            <w:tcW w:w="1060" w:type="dxa"/>
            <w:vAlign w:val="bottom"/>
          </w:tcPr>
          <w:p>
            <w:pPr>
              <w:jc w:val="center"/>
              <w:spacing w:after="0" w:line="104" w:lineRule="exact"/>
              <w:rPr>
                <w:sz w:val="20"/>
                <w:szCs w:val="20"/>
                <w:color w:val="auto"/>
              </w:rPr>
            </w:pPr>
            <w:r>
              <w:rPr>
                <w:rFonts w:ascii="Times New Roman" w:cs="Times New Roman" w:eastAsia="Times New Roman" w:hAnsi="Times New Roman"/>
                <w:sz w:val="12"/>
                <w:szCs w:val="12"/>
                <w:color w:val="auto"/>
                <w:w w:val="97"/>
              </w:rPr>
              <w:t>(28,149)</w:t>
            </w:r>
          </w:p>
        </w:tc>
        <w:tc>
          <w:tcPr>
            <w:tcW w:w="1060" w:type="dxa"/>
            <w:vAlign w:val="bottom"/>
          </w:tcPr>
          <w:p>
            <w:pPr>
              <w:jc w:val="center"/>
              <w:spacing w:after="0" w:line="104" w:lineRule="exact"/>
              <w:rPr>
                <w:sz w:val="20"/>
                <w:szCs w:val="20"/>
                <w:color w:val="auto"/>
              </w:rPr>
            </w:pPr>
            <w:r>
              <w:rPr>
                <w:rFonts w:ascii="Times New Roman" w:cs="Times New Roman" w:eastAsia="Times New Roman" w:hAnsi="Times New Roman"/>
                <w:sz w:val="12"/>
                <w:szCs w:val="12"/>
                <w:color w:val="auto"/>
              </w:rPr>
              <w:t>96,280</w:t>
            </w:r>
          </w:p>
        </w:tc>
        <w:tc>
          <w:tcPr>
            <w:tcW w:w="1100" w:type="dxa"/>
            <w:vAlign w:val="bottom"/>
            <w:tcBorders>
              <w:right w:val="single" w:sz="8" w:color="auto"/>
            </w:tcBorders>
          </w:tcPr>
          <w:p>
            <w:pPr>
              <w:jc w:val="center"/>
              <w:spacing w:after="0" w:line="104" w:lineRule="exact"/>
              <w:rPr>
                <w:sz w:val="20"/>
                <w:szCs w:val="20"/>
                <w:color w:val="auto"/>
              </w:rPr>
            </w:pPr>
            <w:r>
              <w:rPr>
                <w:rFonts w:ascii="Times New Roman" w:cs="Times New Roman" w:eastAsia="Times New Roman" w:hAnsi="Times New Roman"/>
                <w:sz w:val="12"/>
                <w:szCs w:val="12"/>
                <w:color w:val="auto"/>
                <w:w w:val="97"/>
              </w:rPr>
              <w:t>135,637</w:t>
            </w:r>
          </w:p>
        </w:tc>
        <w:tc>
          <w:tcPr>
            <w:tcW w:w="740" w:type="dxa"/>
            <w:vAlign w:val="bottom"/>
          </w:tcPr>
          <w:p>
            <w:pPr>
              <w:jc w:val="center"/>
              <w:ind w:left="182"/>
              <w:spacing w:after="0" w:line="104" w:lineRule="exact"/>
              <w:rPr>
                <w:sz w:val="20"/>
                <w:szCs w:val="20"/>
                <w:color w:val="auto"/>
              </w:rPr>
            </w:pPr>
            <w:r>
              <w:rPr>
                <w:rFonts w:ascii="Times New Roman" w:cs="Times New Roman" w:eastAsia="Times New Roman" w:hAnsi="Times New Roman"/>
                <w:sz w:val="12"/>
                <w:szCs w:val="12"/>
                <w:color w:val="auto"/>
                <w:w w:val="96"/>
              </w:rPr>
              <w:t>40.9%</w:t>
            </w:r>
          </w:p>
        </w:tc>
        <w:tc>
          <w:tcPr>
            <w:tcW w:w="1320" w:type="dxa"/>
            <w:vAlign w:val="bottom"/>
            <w:tcBorders>
              <w:right w:val="single" w:sz="8" w:color="auto"/>
            </w:tcBorders>
          </w:tcPr>
          <w:p>
            <w:pPr>
              <w:jc w:val="center"/>
              <w:ind w:left="163"/>
              <w:spacing w:after="0" w:line="104" w:lineRule="exact"/>
              <w:rPr>
                <w:sz w:val="20"/>
                <w:szCs w:val="20"/>
                <w:color w:val="auto"/>
              </w:rPr>
            </w:pPr>
            <w:r>
              <w:rPr>
                <w:rFonts w:ascii="Times New Roman" w:cs="Times New Roman" w:eastAsia="Times New Roman" w:hAnsi="Times New Roman"/>
                <w:sz w:val="12"/>
                <w:szCs w:val="12"/>
                <w:color w:val="auto"/>
              </w:rPr>
              <w:t>-581.9%</w:t>
            </w:r>
          </w:p>
        </w:tc>
      </w:tr>
      <w:tr>
        <w:trPr>
          <w:trHeight w:val="127"/>
        </w:trPr>
        <w:tc>
          <w:tcPr>
            <w:tcW w:w="3700" w:type="dxa"/>
            <w:vAlign w:val="bottom"/>
            <w:tcBorders>
              <w:left w:val="single" w:sz="8" w:color="auto"/>
              <w:right w:val="single" w:sz="8" w:color="auto"/>
            </w:tcBorders>
          </w:tcPr>
          <w:p>
            <w:pPr>
              <w:ind w:left="60"/>
              <w:spacing w:after="0" w:line="127" w:lineRule="exact"/>
              <w:rPr>
                <w:sz w:val="20"/>
                <w:szCs w:val="20"/>
                <w:color w:val="auto"/>
              </w:rPr>
            </w:pPr>
            <w:r>
              <w:rPr>
                <w:rFonts w:ascii="Times New Roman" w:cs="Times New Roman" w:eastAsia="Times New Roman" w:hAnsi="Times New Roman"/>
                <w:sz w:val="12"/>
                <w:szCs w:val="12"/>
                <w:color w:val="auto"/>
              </w:rPr>
              <w:t>Net Gain from Associates</w:t>
            </w:r>
          </w:p>
        </w:tc>
        <w:tc>
          <w:tcPr>
            <w:tcW w:w="106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6"/>
              </w:rPr>
              <w:t>24,068</w:t>
            </w:r>
          </w:p>
        </w:tc>
        <w:tc>
          <w:tcPr>
            <w:tcW w:w="106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6"/>
              </w:rPr>
              <w:t>5,588</w:t>
            </w:r>
          </w:p>
        </w:tc>
        <w:tc>
          <w:tcPr>
            <w:tcW w:w="1100" w:type="dxa"/>
            <w:vAlign w:val="bottom"/>
            <w:tcBorders>
              <w:right w:val="single" w:sz="8" w:color="auto"/>
            </w:tcBorders>
          </w:tcPr>
          <w:p>
            <w:pPr>
              <w:jc w:val="center"/>
              <w:spacing w:after="0" w:line="127" w:lineRule="exact"/>
              <w:rPr>
                <w:sz w:val="20"/>
                <w:szCs w:val="20"/>
                <w:color w:val="auto"/>
              </w:rPr>
            </w:pPr>
            <w:r>
              <w:rPr>
                <w:rFonts w:ascii="Times New Roman" w:cs="Times New Roman" w:eastAsia="Times New Roman" w:hAnsi="Times New Roman"/>
                <w:sz w:val="12"/>
                <w:szCs w:val="12"/>
                <w:color w:val="auto"/>
                <w:w w:val="96"/>
              </w:rPr>
              <w:t>9,296</w:t>
            </w:r>
          </w:p>
        </w:tc>
        <w:tc>
          <w:tcPr>
            <w:tcW w:w="740" w:type="dxa"/>
            <w:vAlign w:val="bottom"/>
          </w:tcPr>
          <w:p>
            <w:pPr>
              <w:jc w:val="center"/>
              <w:ind w:left="182"/>
              <w:spacing w:after="0" w:line="127" w:lineRule="exact"/>
              <w:rPr>
                <w:sz w:val="20"/>
                <w:szCs w:val="20"/>
                <w:color w:val="auto"/>
              </w:rPr>
            </w:pPr>
            <w:r>
              <w:rPr>
                <w:rFonts w:ascii="Times New Roman" w:cs="Times New Roman" w:eastAsia="Times New Roman" w:hAnsi="Times New Roman"/>
                <w:sz w:val="12"/>
                <w:szCs w:val="12"/>
                <w:color w:val="auto"/>
                <w:w w:val="96"/>
              </w:rPr>
              <w:t>66.4%</w:t>
            </w:r>
          </w:p>
        </w:tc>
        <w:tc>
          <w:tcPr>
            <w:tcW w:w="1320" w:type="dxa"/>
            <w:vAlign w:val="bottom"/>
            <w:tcBorders>
              <w:right w:val="single" w:sz="8" w:color="auto"/>
            </w:tcBorders>
          </w:tcPr>
          <w:p>
            <w:pPr>
              <w:jc w:val="center"/>
              <w:ind w:left="163"/>
              <w:spacing w:after="0" w:line="127" w:lineRule="exact"/>
              <w:rPr>
                <w:sz w:val="20"/>
                <w:szCs w:val="20"/>
                <w:color w:val="auto"/>
              </w:rPr>
            </w:pPr>
            <w:r>
              <w:rPr>
                <w:rFonts w:ascii="Times New Roman" w:cs="Times New Roman" w:eastAsia="Times New Roman" w:hAnsi="Times New Roman"/>
                <w:sz w:val="12"/>
                <w:szCs w:val="12"/>
                <w:color w:val="auto"/>
                <w:w w:val="97"/>
              </w:rPr>
              <w:t>-61.4%</w:t>
            </w:r>
          </w:p>
        </w:tc>
      </w:tr>
      <w:tr>
        <w:trPr>
          <w:trHeight w:val="127"/>
        </w:trPr>
        <w:tc>
          <w:tcPr>
            <w:tcW w:w="3700" w:type="dxa"/>
            <w:vAlign w:val="bottom"/>
            <w:tcBorders>
              <w:left w:val="single" w:sz="8" w:color="auto"/>
              <w:right w:val="single" w:sz="8" w:color="auto"/>
            </w:tcBorders>
          </w:tcPr>
          <w:p>
            <w:pPr>
              <w:ind w:left="60"/>
              <w:spacing w:after="0" w:line="127" w:lineRule="exact"/>
              <w:rPr>
                <w:sz w:val="20"/>
                <w:szCs w:val="20"/>
                <w:color w:val="auto"/>
              </w:rPr>
            </w:pPr>
            <w:r>
              <w:rPr>
                <w:rFonts w:ascii="Times New Roman" w:cs="Times New Roman" w:eastAsia="Times New Roman" w:hAnsi="Times New Roman"/>
                <w:sz w:val="12"/>
                <w:szCs w:val="12"/>
                <w:color w:val="auto"/>
              </w:rPr>
              <w:t>Net Gain (Loss) of Derivatives Held for Trading</w:t>
            </w:r>
          </w:p>
        </w:tc>
        <w:tc>
          <w:tcPr>
            <w:tcW w:w="106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6"/>
              </w:rPr>
              <w:t>18,499</w:t>
            </w:r>
          </w:p>
        </w:tc>
        <w:tc>
          <w:tcPr>
            <w:tcW w:w="106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rPr>
              <w:t>11,756</w:t>
            </w:r>
          </w:p>
        </w:tc>
        <w:tc>
          <w:tcPr>
            <w:tcW w:w="1100" w:type="dxa"/>
            <w:vAlign w:val="bottom"/>
            <w:tcBorders>
              <w:right w:val="single" w:sz="8" w:color="auto"/>
            </w:tcBorders>
          </w:tcPr>
          <w:p>
            <w:pPr>
              <w:jc w:val="center"/>
              <w:spacing w:after="0" w:line="127" w:lineRule="exact"/>
              <w:rPr>
                <w:sz w:val="20"/>
                <w:szCs w:val="20"/>
                <w:color w:val="auto"/>
              </w:rPr>
            </w:pPr>
            <w:r>
              <w:rPr>
                <w:rFonts w:ascii="Times New Roman" w:cs="Times New Roman" w:eastAsia="Times New Roman" w:hAnsi="Times New Roman"/>
                <w:sz w:val="12"/>
                <w:szCs w:val="12"/>
                <w:color w:val="auto"/>
              </w:rPr>
              <w:t>27,463</w:t>
            </w:r>
          </w:p>
        </w:tc>
        <w:tc>
          <w:tcPr>
            <w:tcW w:w="740" w:type="dxa"/>
            <w:vAlign w:val="bottom"/>
          </w:tcPr>
          <w:p>
            <w:pPr>
              <w:jc w:val="center"/>
              <w:ind w:left="182"/>
              <w:spacing w:after="0" w:line="127" w:lineRule="exact"/>
              <w:rPr>
                <w:sz w:val="20"/>
                <w:szCs w:val="20"/>
                <w:color w:val="auto"/>
              </w:rPr>
            </w:pPr>
            <w:r>
              <w:rPr>
                <w:rFonts w:ascii="Times New Roman" w:cs="Times New Roman" w:eastAsia="Times New Roman" w:hAnsi="Times New Roman"/>
                <w:sz w:val="12"/>
                <w:szCs w:val="12"/>
                <w:color w:val="auto"/>
              </w:rPr>
              <w:t>133.6%</w:t>
            </w:r>
          </w:p>
        </w:tc>
        <w:tc>
          <w:tcPr>
            <w:tcW w:w="1320" w:type="dxa"/>
            <w:vAlign w:val="bottom"/>
            <w:tcBorders>
              <w:right w:val="single" w:sz="8" w:color="auto"/>
            </w:tcBorders>
          </w:tcPr>
          <w:p>
            <w:pPr>
              <w:jc w:val="center"/>
              <w:ind w:left="163"/>
              <w:spacing w:after="0" w:line="127" w:lineRule="exact"/>
              <w:rPr>
                <w:sz w:val="20"/>
                <w:szCs w:val="20"/>
                <w:color w:val="auto"/>
              </w:rPr>
            </w:pPr>
            <w:r>
              <w:rPr>
                <w:rFonts w:ascii="Times New Roman" w:cs="Times New Roman" w:eastAsia="Times New Roman" w:hAnsi="Times New Roman"/>
                <w:sz w:val="12"/>
                <w:szCs w:val="12"/>
                <w:color w:val="auto"/>
                <w:w w:val="96"/>
              </w:rPr>
              <w:t>48.5%</w:t>
            </w:r>
          </w:p>
        </w:tc>
      </w:tr>
      <w:tr>
        <w:trPr>
          <w:trHeight w:val="127"/>
        </w:trPr>
        <w:tc>
          <w:tcPr>
            <w:tcW w:w="3700" w:type="dxa"/>
            <w:vAlign w:val="bottom"/>
            <w:tcBorders>
              <w:left w:val="single" w:sz="8" w:color="auto"/>
              <w:right w:val="single" w:sz="8" w:color="auto"/>
            </w:tcBorders>
          </w:tcPr>
          <w:p>
            <w:pPr>
              <w:ind w:left="60"/>
              <w:spacing w:after="0" w:line="127" w:lineRule="exact"/>
              <w:rPr>
                <w:sz w:val="20"/>
                <w:szCs w:val="20"/>
                <w:color w:val="auto"/>
              </w:rPr>
            </w:pPr>
            <w:r>
              <w:rPr>
                <w:rFonts w:ascii="Times New Roman" w:cs="Times New Roman" w:eastAsia="Times New Roman" w:hAnsi="Times New Roman"/>
                <w:sz w:val="12"/>
                <w:szCs w:val="12"/>
                <w:color w:val="auto"/>
              </w:rPr>
              <w:t>Net Gain (Loss) from Exchange Differences</w:t>
            </w:r>
          </w:p>
        </w:tc>
        <w:tc>
          <w:tcPr>
            <w:tcW w:w="106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6"/>
              </w:rPr>
              <w:t>15,959</w:t>
            </w:r>
          </w:p>
        </w:tc>
        <w:tc>
          <w:tcPr>
            <w:tcW w:w="106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6"/>
              </w:rPr>
              <w:t>8,319</w:t>
            </w:r>
          </w:p>
        </w:tc>
        <w:tc>
          <w:tcPr>
            <w:tcW w:w="1100" w:type="dxa"/>
            <w:vAlign w:val="bottom"/>
            <w:tcBorders>
              <w:right w:val="single" w:sz="8" w:color="auto"/>
            </w:tcBorders>
          </w:tcPr>
          <w:p>
            <w:pPr>
              <w:jc w:val="center"/>
              <w:spacing w:after="0" w:line="127" w:lineRule="exact"/>
              <w:rPr>
                <w:sz w:val="20"/>
                <w:szCs w:val="20"/>
                <w:color w:val="auto"/>
              </w:rPr>
            </w:pPr>
            <w:r>
              <w:rPr>
                <w:rFonts w:ascii="Times New Roman" w:cs="Times New Roman" w:eastAsia="Times New Roman" w:hAnsi="Times New Roman"/>
                <w:sz w:val="12"/>
                <w:szCs w:val="12"/>
                <w:color w:val="auto"/>
                <w:w w:val="96"/>
              </w:rPr>
              <w:t>8,557</w:t>
            </w:r>
          </w:p>
        </w:tc>
        <w:tc>
          <w:tcPr>
            <w:tcW w:w="740" w:type="dxa"/>
            <w:vAlign w:val="bottom"/>
          </w:tcPr>
          <w:p>
            <w:pPr>
              <w:jc w:val="center"/>
              <w:ind w:left="182"/>
              <w:spacing w:after="0" w:line="127" w:lineRule="exact"/>
              <w:rPr>
                <w:sz w:val="20"/>
                <w:szCs w:val="20"/>
                <w:color w:val="auto"/>
              </w:rPr>
            </w:pPr>
            <w:r>
              <w:rPr>
                <w:rFonts w:ascii="Times New Roman" w:cs="Times New Roman" w:eastAsia="Times New Roman" w:hAnsi="Times New Roman"/>
                <w:sz w:val="12"/>
                <w:szCs w:val="12"/>
                <w:color w:val="auto"/>
              </w:rPr>
              <w:t>2.9%</w:t>
            </w:r>
          </w:p>
        </w:tc>
        <w:tc>
          <w:tcPr>
            <w:tcW w:w="1320" w:type="dxa"/>
            <w:vAlign w:val="bottom"/>
            <w:tcBorders>
              <w:right w:val="single" w:sz="8" w:color="auto"/>
            </w:tcBorders>
          </w:tcPr>
          <w:p>
            <w:pPr>
              <w:jc w:val="center"/>
              <w:ind w:left="163"/>
              <w:spacing w:after="0" w:line="127" w:lineRule="exact"/>
              <w:rPr>
                <w:sz w:val="20"/>
                <w:szCs w:val="20"/>
                <w:color w:val="auto"/>
              </w:rPr>
            </w:pPr>
            <w:r>
              <w:rPr>
                <w:rFonts w:ascii="Times New Roman" w:cs="Times New Roman" w:eastAsia="Times New Roman" w:hAnsi="Times New Roman"/>
                <w:sz w:val="12"/>
                <w:szCs w:val="12"/>
                <w:color w:val="auto"/>
                <w:w w:val="97"/>
              </w:rPr>
              <w:t>-46.4%</w:t>
            </w:r>
          </w:p>
        </w:tc>
      </w:tr>
      <w:tr>
        <w:trPr>
          <w:trHeight w:val="143"/>
        </w:trPr>
        <w:tc>
          <w:tcPr>
            <w:tcW w:w="370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Other Non-operative Income</w:t>
            </w: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322,001</w:t>
            </w: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132,530</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77,203</w:t>
            </w:r>
          </w:p>
        </w:tc>
        <w:tc>
          <w:tcPr>
            <w:tcW w:w="740" w:type="dxa"/>
            <w:vAlign w:val="bottom"/>
            <w:tcBorders>
              <w:bottom w:val="single" w:sz="8" w:color="auto"/>
            </w:tcBorders>
          </w:tcPr>
          <w:p>
            <w:pPr>
              <w:jc w:val="center"/>
              <w:ind w:left="182"/>
              <w:spacing w:after="0"/>
              <w:rPr>
                <w:sz w:val="20"/>
                <w:szCs w:val="20"/>
                <w:color w:val="auto"/>
              </w:rPr>
            </w:pPr>
            <w:r>
              <w:rPr>
                <w:rFonts w:ascii="Times New Roman" w:cs="Times New Roman" w:eastAsia="Times New Roman" w:hAnsi="Times New Roman"/>
                <w:sz w:val="12"/>
                <w:szCs w:val="12"/>
                <w:color w:val="auto"/>
                <w:w w:val="97"/>
              </w:rPr>
              <w:t>-41.7%</w:t>
            </w:r>
          </w:p>
        </w:tc>
        <w:tc>
          <w:tcPr>
            <w:tcW w:w="1320" w:type="dxa"/>
            <w:vAlign w:val="bottom"/>
            <w:tcBorders>
              <w:bottom w:val="single" w:sz="8" w:color="auto"/>
              <w:right w:val="single" w:sz="8" w:color="auto"/>
            </w:tcBorders>
          </w:tcPr>
          <w:p>
            <w:pPr>
              <w:jc w:val="center"/>
              <w:ind w:left="163"/>
              <w:spacing w:after="0"/>
              <w:rPr>
                <w:sz w:val="20"/>
                <w:szCs w:val="20"/>
                <w:color w:val="auto"/>
              </w:rPr>
            </w:pPr>
            <w:r>
              <w:rPr>
                <w:rFonts w:ascii="Times New Roman" w:cs="Times New Roman" w:eastAsia="Times New Roman" w:hAnsi="Times New Roman"/>
                <w:sz w:val="12"/>
                <w:szCs w:val="12"/>
                <w:color w:val="auto"/>
                <w:w w:val="97"/>
              </w:rPr>
              <w:t>-76.0%</w:t>
            </w:r>
          </w:p>
        </w:tc>
      </w:tr>
      <w:tr>
        <w:trPr>
          <w:trHeight w:val="120"/>
        </w:trPr>
        <w:tc>
          <w:tcPr>
            <w:tcW w:w="3700" w:type="dxa"/>
            <w:vAlign w:val="bottom"/>
            <w:tcBorders>
              <w:left w:val="single" w:sz="8" w:color="auto"/>
              <w:bottom w:val="single" w:sz="8" w:color="auto"/>
              <w:right w:val="single" w:sz="8" w:color="auto"/>
            </w:tcBorders>
          </w:tcPr>
          <w:p>
            <w:pPr>
              <w:ind w:left="60"/>
              <w:spacing w:after="0" w:line="120" w:lineRule="exact"/>
              <w:rPr>
                <w:sz w:val="20"/>
                <w:szCs w:val="20"/>
                <w:color w:val="auto"/>
              </w:rPr>
            </w:pPr>
            <w:r>
              <w:rPr>
                <w:rFonts w:ascii="Times New Roman" w:cs="Times New Roman" w:eastAsia="Times New Roman" w:hAnsi="Times New Roman"/>
                <w:sz w:val="12"/>
                <w:szCs w:val="12"/>
                <w:b w:val="1"/>
                <w:bCs w:val="1"/>
                <w:color w:val="auto"/>
              </w:rPr>
              <w:t>Total Other Non-Core Income</w:t>
            </w:r>
          </w:p>
        </w:tc>
        <w:tc>
          <w:tcPr>
            <w:tcW w:w="1060" w:type="dxa"/>
            <w:vAlign w:val="bottom"/>
            <w:tcBorders>
              <w:bottom w:val="single" w:sz="8" w:color="auto"/>
            </w:tcBorders>
          </w:tcPr>
          <w:p>
            <w:pPr>
              <w:jc w:val="center"/>
              <w:spacing w:after="0" w:line="120" w:lineRule="exact"/>
              <w:rPr>
                <w:sz w:val="20"/>
                <w:szCs w:val="20"/>
                <w:color w:val="auto"/>
              </w:rPr>
            </w:pPr>
            <w:r>
              <w:rPr>
                <w:rFonts w:ascii="Times New Roman" w:cs="Times New Roman" w:eastAsia="Times New Roman" w:hAnsi="Times New Roman"/>
                <w:sz w:val="12"/>
                <w:szCs w:val="12"/>
                <w:b w:val="1"/>
                <w:bCs w:val="1"/>
                <w:color w:val="auto"/>
                <w:w w:val="97"/>
              </w:rPr>
              <w:t>352,378</w:t>
            </w:r>
          </w:p>
        </w:tc>
        <w:tc>
          <w:tcPr>
            <w:tcW w:w="1060" w:type="dxa"/>
            <w:vAlign w:val="bottom"/>
            <w:tcBorders>
              <w:bottom w:val="single" w:sz="8" w:color="auto"/>
            </w:tcBorders>
          </w:tcPr>
          <w:p>
            <w:pPr>
              <w:jc w:val="center"/>
              <w:spacing w:after="0" w:line="120" w:lineRule="exact"/>
              <w:rPr>
                <w:sz w:val="20"/>
                <w:szCs w:val="20"/>
                <w:color w:val="auto"/>
              </w:rPr>
            </w:pPr>
            <w:r>
              <w:rPr>
                <w:rFonts w:ascii="Times New Roman" w:cs="Times New Roman" w:eastAsia="Times New Roman" w:hAnsi="Times New Roman"/>
                <w:sz w:val="12"/>
                <w:szCs w:val="12"/>
                <w:b w:val="1"/>
                <w:bCs w:val="1"/>
                <w:color w:val="auto"/>
                <w:w w:val="97"/>
              </w:rPr>
              <w:t>254,473</w:t>
            </w:r>
          </w:p>
        </w:tc>
        <w:tc>
          <w:tcPr>
            <w:tcW w:w="1100" w:type="dxa"/>
            <w:vAlign w:val="bottom"/>
            <w:tcBorders>
              <w:bottom w:val="single" w:sz="8" w:color="auto"/>
              <w:right w:val="single" w:sz="8" w:color="auto"/>
            </w:tcBorders>
          </w:tcPr>
          <w:p>
            <w:pPr>
              <w:jc w:val="center"/>
              <w:spacing w:after="0" w:line="120" w:lineRule="exact"/>
              <w:rPr>
                <w:sz w:val="20"/>
                <w:szCs w:val="20"/>
                <w:color w:val="auto"/>
              </w:rPr>
            </w:pPr>
            <w:r>
              <w:rPr>
                <w:rFonts w:ascii="Times New Roman" w:cs="Times New Roman" w:eastAsia="Times New Roman" w:hAnsi="Times New Roman"/>
                <w:sz w:val="12"/>
                <w:szCs w:val="12"/>
                <w:b w:val="1"/>
                <w:bCs w:val="1"/>
                <w:color w:val="auto"/>
                <w:w w:val="97"/>
              </w:rPr>
              <w:t>258,156</w:t>
            </w:r>
          </w:p>
        </w:tc>
        <w:tc>
          <w:tcPr>
            <w:tcW w:w="740" w:type="dxa"/>
            <w:vAlign w:val="bottom"/>
            <w:tcBorders>
              <w:bottom w:val="single" w:sz="8" w:color="auto"/>
            </w:tcBorders>
          </w:tcPr>
          <w:p>
            <w:pPr>
              <w:jc w:val="center"/>
              <w:ind w:left="182"/>
              <w:spacing w:after="0" w:line="120" w:lineRule="exact"/>
              <w:rPr>
                <w:sz w:val="20"/>
                <w:szCs w:val="20"/>
                <w:color w:val="auto"/>
              </w:rPr>
            </w:pPr>
            <w:r>
              <w:rPr>
                <w:rFonts w:ascii="Times New Roman" w:cs="Times New Roman" w:eastAsia="Times New Roman" w:hAnsi="Times New Roman"/>
                <w:sz w:val="12"/>
                <w:szCs w:val="12"/>
                <w:b w:val="1"/>
                <w:bCs w:val="1"/>
                <w:color w:val="auto"/>
                <w:w w:val="96"/>
              </w:rPr>
              <w:t>1.4%</w:t>
            </w:r>
          </w:p>
        </w:tc>
        <w:tc>
          <w:tcPr>
            <w:tcW w:w="1320" w:type="dxa"/>
            <w:vAlign w:val="bottom"/>
            <w:tcBorders>
              <w:bottom w:val="single" w:sz="8" w:color="auto"/>
              <w:right w:val="single" w:sz="8" w:color="auto"/>
            </w:tcBorders>
          </w:tcPr>
          <w:p>
            <w:pPr>
              <w:jc w:val="center"/>
              <w:ind w:left="163"/>
              <w:spacing w:after="0" w:line="120" w:lineRule="exact"/>
              <w:rPr>
                <w:sz w:val="20"/>
                <w:szCs w:val="20"/>
                <w:color w:val="auto"/>
              </w:rPr>
            </w:pPr>
            <w:r>
              <w:rPr>
                <w:rFonts w:ascii="Times New Roman" w:cs="Times New Roman" w:eastAsia="Times New Roman" w:hAnsi="Times New Roman"/>
                <w:sz w:val="12"/>
                <w:szCs w:val="12"/>
                <w:b w:val="1"/>
                <w:bCs w:val="1"/>
                <w:color w:val="auto"/>
              </w:rPr>
              <w:t>-26.7%</w:t>
            </w:r>
          </w:p>
        </w:tc>
      </w:tr>
    </w:tbl>
    <w:p>
      <w:pPr>
        <w:spacing w:after="0" w:line="18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Other Non-Core Income rose 1.4% QoQ but fell 26.7% YoY, impacted by a normalization of non-recurring components. Other Non-core Income represents 13.9% of total Other Income at Credicorp (14.1% in 4Q25 and 20.8% in 1Q25). This level falls below the peak reported in 1Q25, and attests to the volatility of these sources of income, which are pegged to one-off events and the changing market conditions.</w:t>
      </w:r>
    </w:p>
    <w:p>
      <w:pPr>
        <w:spacing w:after="0" w:line="166" w:lineRule="exact"/>
        <w:rPr>
          <w:sz w:val="20"/>
          <w:szCs w:val="20"/>
          <w:color w:val="auto"/>
        </w:rPr>
      </w:pPr>
    </w:p>
    <w:p>
      <w:pPr>
        <w:jc w:val="both"/>
        <w:ind w:left="760" w:right="380" w:hanging="314"/>
        <w:spacing w:after="0" w:line="254" w:lineRule="auto"/>
        <w:tabs>
          <w:tab w:leader="none" w:pos="76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QoQ</w:t>
      </w:r>
      <w:r>
        <w:rPr>
          <w:rFonts w:ascii="Times New Roman" w:cs="Times New Roman" w:eastAsia="Times New Roman" w:hAnsi="Times New Roman"/>
          <w:sz w:val="17"/>
          <w:szCs w:val="17"/>
          <w:color w:val="auto"/>
        </w:rPr>
        <w:t>, the result was driven by an uptick in the Net Gain on Securities (+40.9%) and by strong performance in Net Gain of Derivatives held for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trading (+133.6%), which rose on the back of more favorable market conditions. Higher gains on sales of securities was fueled by (i) BCP Stand-alone, which reported the sovereign bond sales under our plan to manage asset durations and rate risk to monetize valuations in a context characterized by significant shifts in the curve, (ii) Credicorp Capital, due to an uptick in the sale of securities after fixed income products registered favorable results in a context marked by low local rates, and (iii) BCP Bolivia, which reconfigured its investment portfolio to favor Central Bank securities, which allowed it to capture better rates, supported by a larger invested volume. These effects were partially offset by a drop in other non-operating income (-41.7%), given that the comparative base normalized after reporting provision reversals at Pacifico and sales of properties at BCP Stand-alone in 4Q25.</w:t>
      </w:r>
    </w:p>
    <w:p>
      <w:pPr>
        <w:spacing w:after="0" w:line="172" w:lineRule="exact"/>
        <w:rPr>
          <w:rFonts w:ascii="Times New Roman" w:cs="Times New Roman" w:eastAsia="Times New Roman" w:hAnsi="Times New Roman"/>
          <w:sz w:val="17"/>
          <w:szCs w:val="17"/>
          <w:color w:val="auto"/>
        </w:rPr>
      </w:pPr>
    </w:p>
    <w:p>
      <w:pPr>
        <w:jc w:val="both"/>
        <w:ind w:left="760" w:right="380" w:hanging="314"/>
        <w:spacing w:after="0" w:line="260" w:lineRule="auto"/>
        <w:tabs>
          <w:tab w:leader="none" w:pos="76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YoY</w:t>
      </w:r>
      <w:r>
        <w:rPr>
          <w:rFonts w:ascii="Times New Roman" w:cs="Times New Roman" w:eastAsia="Times New Roman" w:hAnsi="Times New Roman"/>
          <w:sz w:val="17"/>
          <w:szCs w:val="17"/>
          <w:color w:val="auto"/>
        </w:rPr>
        <w:t>, the drop was driven mainly by a decrease in other non-operating income (-76.0%) and by a reduction in the contribution of Net Gain from</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associates (-61.4%), both linked to Pacífico Salud’s consolidation in March 2025. These drops were partially offset by a recovery in the Net Gain on Securities, which was driven mainly by (i) Pacifico, due to a base effect given that losses were reported in 1Q25 for deterioration of some investments, (ii) BCP Stand-alone, in line with the dynamics in play in the QoQ analysis, and (iii) Prima, due to an increase in the yield on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1062990</wp:posOffset>
            </wp:positionV>
            <wp:extent cx="7140575" cy="1587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0575" cy="15875"/>
                    </a:xfrm>
                    <a:prstGeom prst="rect">
                      <a:avLst/>
                    </a:prstGeom>
                    <a:noFill/>
                  </pic:spPr>
                </pic:pic>
              </a:graphicData>
            </a:graphic>
          </wp:anchor>
        </w:drawing>
        <w:drawing>
          <wp:anchor simplePos="0" relativeHeight="251657728" behindDoc="1" locked="0" layoutInCell="0" allowOverlap="1">
            <wp:simplePos x="0" y="0"/>
            <wp:positionH relativeFrom="column">
              <wp:posOffset>331470</wp:posOffset>
            </wp:positionH>
            <wp:positionV relativeFrom="paragraph">
              <wp:posOffset>120015</wp:posOffset>
            </wp:positionV>
            <wp:extent cx="6447155" cy="5156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447155" cy="515620"/>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34" w:name="page35"/>
    <w:bookmarkEnd w:id="34"/>
    <w:p>
      <w:pPr>
        <w:jc w:val="both"/>
        <w:ind w:left="3180"/>
        <w:spacing w:after="0"/>
        <w:tabs>
          <w:tab w:leader="none" w:pos="3380" w:val="left"/>
          <w:tab w:leader="none" w:pos="9060" w:val="left"/>
        </w:tabs>
        <w:rPr>
          <w:sz w:val="20"/>
          <w:szCs w:val="20"/>
          <w:color w:val="auto"/>
        </w:rPr>
      </w:pPr>
      <w:r>
        <w:rPr>
          <w:rFonts w:ascii="Times New Roman" w:cs="Times New Roman" w:eastAsia="Times New Roman" w:hAnsi="Times New Roman"/>
          <w:sz w:val="17"/>
          <w:szCs w:val="17"/>
          <w:b w:val="1"/>
          <w:bCs w:val="1"/>
          <w:color w:val="A6A6A6"/>
        </w:rPr>
        <w:drawing>
          <wp:anchor simplePos="0" relativeHeight="251657728" behindDoc="1" locked="0" layoutInCell="0" allowOverlap="1">
            <wp:simplePos x="0" y="0"/>
            <wp:positionH relativeFrom="page">
              <wp:posOffset>204470</wp:posOffset>
            </wp:positionH>
            <wp:positionV relativeFrom="page">
              <wp:posOffset>217805</wp:posOffset>
            </wp:positionV>
            <wp:extent cx="7140575" cy="6927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0575" cy="692785"/>
                    </a:xfrm>
                    <a:prstGeom prst="rect">
                      <a:avLst/>
                    </a:prstGeom>
                    <a:noFill/>
                  </pic:spPr>
                </pic:pic>
              </a:graphicData>
            </a:graphic>
          </wp:anchor>
        </w:drawing>
        <w:t>|</w:t>
      </w:r>
      <w:r>
        <w:rPr>
          <w:sz w:val="20"/>
          <w:szCs w:val="20"/>
          <w:color w:val="auto"/>
        </w:rPr>
        <w:tab/>
      </w:r>
      <w:r>
        <w:rPr>
          <w:rFonts w:ascii="Times New Roman" w:cs="Times New Roman" w:eastAsia="Times New Roman" w:hAnsi="Times New Roman"/>
          <w:sz w:val="14"/>
          <w:szCs w:val="14"/>
          <w:color w:val="FFFFFF"/>
        </w:rPr>
        <w:t>Earnings Release 1Q / 2026</w:t>
      </w:r>
      <w:r>
        <w:rPr>
          <w:sz w:val="20"/>
          <w:szCs w:val="20"/>
          <w:color w:val="auto"/>
        </w:rPr>
        <w:tab/>
      </w:r>
      <w:r>
        <w:rPr>
          <w:rFonts w:ascii="Times New Roman" w:cs="Times New Roman" w:eastAsia="Times New Roman" w:hAnsi="Times New Roman"/>
          <w:sz w:val="12"/>
          <w:szCs w:val="12"/>
          <w:color w:val="FF00FF"/>
        </w:rPr>
        <w:t>Analysis of 1Q26 Consolidated Results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49"/>
          <w:szCs w:val="49"/>
          <w:b w:val="1"/>
          <w:bCs w:val="1"/>
          <w:color w:val="E93BAB"/>
        </w:rPr>
        <w:t>07</w:t>
      </w:r>
      <w:r>
        <w:rPr>
          <w:sz w:val="20"/>
          <w:szCs w:val="20"/>
          <w:color w:val="auto"/>
        </w:rPr>
        <w:tab/>
      </w:r>
      <w:r>
        <w:rPr>
          <w:rFonts w:ascii="Times New Roman" w:cs="Times New Roman" w:eastAsia="Times New Roman" w:hAnsi="Times New Roman"/>
          <w:sz w:val="30"/>
          <w:szCs w:val="30"/>
          <w:color w:val="E93BAB"/>
        </w:rPr>
        <w:t>Insurance Underwriting and Medical Services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123190</wp:posOffset>
            </wp:positionV>
            <wp:extent cx="7140575" cy="101536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0575" cy="1015365"/>
                    </a:xfrm>
                    <a:prstGeom prst="rect">
                      <a:avLst/>
                    </a:prstGeom>
                    <a:noFill/>
                  </pic:spPr>
                </pic:pic>
              </a:graphicData>
            </a:graphic>
          </wp:anchor>
        </w:drawing>
      </w:r>
    </w:p>
    <w:p>
      <w:pPr>
        <w:spacing w:after="0" w:line="24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FFFFFF"/>
        </w:rPr>
        <w:t>The Insurance Underwriting Result (IUR) attests to our consistent strategy execution, which is sustained by healthy levels of activity in retail segments.</w:t>
      </w:r>
    </w:p>
    <w:p>
      <w:pPr>
        <w:spacing w:after="0" w:line="23" w:lineRule="exact"/>
        <w:rPr>
          <w:sz w:val="20"/>
          <w:szCs w:val="20"/>
          <w:color w:val="auto"/>
        </w:rPr>
      </w:pPr>
    </w:p>
    <w:p>
      <w:pPr>
        <w:ind w:left="100" w:right="60"/>
        <w:spacing w:after="0" w:line="251" w:lineRule="auto"/>
        <w:rPr>
          <w:sz w:val="20"/>
          <w:szCs w:val="20"/>
          <w:color w:val="auto"/>
        </w:rPr>
      </w:pPr>
      <w:r>
        <w:rPr>
          <w:rFonts w:ascii="Times New Roman" w:cs="Times New Roman" w:eastAsia="Times New Roman" w:hAnsi="Times New Roman"/>
          <w:sz w:val="17"/>
          <w:szCs w:val="17"/>
          <w:color w:val="FFFFFF"/>
        </w:rPr>
        <w:t>QoQ, the IUR dropped 6.8% due to (i) P&amp;C, fueled by a drop in insurance service income in Personal Lines and Cars, and (ii) EPS, which exprienced an uptick in claim. in claims. These dynamics were partially offset by Life, which presented lower levels of claims in D&amp;S. YoY, the IUR decreased 9.1%, driven by (i) P &amp; C, which reported a reduction in premiums in the Commercial Lines and Cars due to fluctuations in the exchange rate, and (ii) Life, due to an inflation-related uptick in claims expenses —which was offset by the evolution of the Interest Income line. However, Credit Life partially offset this lower IUR, by continuing to expand its policy base through bancassurance and retail channels, positioning itself as a channel for structural business growth. Our Medical services Result, in turn, continued to advance with operating and commercial discipline.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7"/>
          <w:szCs w:val="27"/>
          <w:color w:val="E93BAC"/>
        </w:rPr>
        <w:t>Insurance Underwriting Result</w:t>
      </w:r>
    </w:p>
    <w:p>
      <w:pPr>
        <w:spacing w:after="0" w:line="220" w:lineRule="exact"/>
        <w:rPr>
          <w:sz w:val="20"/>
          <w:szCs w:val="20"/>
          <w:color w:val="auto"/>
        </w:rPr>
      </w:pPr>
    </w:p>
    <w:tbl>
      <w:tblPr>
        <w:tblLayout w:type="fixed"/>
        <w:tblInd w:w="1150" w:type="dxa"/>
        <w:tblCellMar>
          <w:top w:w="0" w:type="dxa"/>
          <w:left w:w="0" w:type="dxa"/>
          <w:bottom w:w="0" w:type="dxa"/>
          <w:right w:w="0" w:type="dxa"/>
        </w:tblCellMar>
      </w:tblPr>
      <w:tr>
        <w:trPr>
          <w:trHeight w:val="147"/>
        </w:trPr>
        <w:tc>
          <w:tcPr>
            <w:tcW w:w="4500" w:type="dxa"/>
            <w:vAlign w:val="bottom"/>
            <w:tcBorders>
              <w:top w:val="single" w:sz="8" w:color="auto"/>
              <w:left w:val="single" w:sz="8" w:color="auto"/>
              <w:right w:val="single" w:sz="8" w:color="auto"/>
            </w:tcBorders>
            <w:gridSpan w:val="2"/>
            <w:shd w:val="clear" w:color="auto" w:fill="2AD2C8"/>
          </w:tcPr>
          <w:p>
            <w:pPr>
              <w:ind w:left="100"/>
              <w:spacing w:after="0"/>
              <w:rPr>
                <w:sz w:val="20"/>
                <w:szCs w:val="20"/>
                <w:color w:val="auto"/>
              </w:rPr>
            </w:pPr>
            <w:r>
              <w:rPr>
                <w:rFonts w:ascii="Times New Roman" w:cs="Times New Roman" w:eastAsia="Times New Roman" w:hAnsi="Times New Roman"/>
                <w:sz w:val="12"/>
                <w:szCs w:val="12"/>
                <w:b w:val="1"/>
                <w:bCs w:val="1"/>
                <w:color w:val="FFFFFF"/>
              </w:rPr>
              <w:t>Insurance Underwriting Results</w:t>
            </w:r>
          </w:p>
        </w:tc>
        <w:tc>
          <w:tcPr>
            <w:tcW w:w="840" w:type="dxa"/>
            <w:vAlign w:val="bottom"/>
            <w:tcBorders>
              <w:top w:val="single" w:sz="8" w:color="auto"/>
            </w:tcBorders>
            <w:shd w:val="clear" w:color="auto" w:fill="2AD2C8"/>
          </w:tcPr>
          <w:p>
            <w:pPr>
              <w:spacing w:after="0"/>
              <w:rPr>
                <w:sz w:val="12"/>
                <w:szCs w:val="12"/>
                <w:color w:val="auto"/>
              </w:rPr>
            </w:pPr>
          </w:p>
        </w:tc>
        <w:tc>
          <w:tcPr>
            <w:tcW w:w="960" w:type="dxa"/>
            <w:vAlign w:val="bottom"/>
            <w:tcBorders>
              <w:top w:val="single" w:sz="8" w:color="auto"/>
            </w:tcBorders>
            <w:shd w:val="clear" w:color="auto" w:fill="2AD2C8"/>
          </w:tcPr>
          <w:p>
            <w:pPr>
              <w:ind w:left="220"/>
              <w:spacing w:after="0"/>
              <w:rPr>
                <w:sz w:val="20"/>
                <w:szCs w:val="20"/>
                <w:color w:val="auto"/>
              </w:rPr>
            </w:pPr>
            <w:r>
              <w:rPr>
                <w:rFonts w:ascii="Times New Roman" w:cs="Times New Roman" w:eastAsia="Times New Roman" w:hAnsi="Times New Roman"/>
                <w:sz w:val="12"/>
                <w:szCs w:val="12"/>
                <w:b w:val="1"/>
                <w:bCs w:val="1"/>
                <w:color w:val="FFFFFF"/>
              </w:rPr>
              <w:t>Quarterly</w:t>
            </w:r>
          </w:p>
        </w:tc>
        <w:tc>
          <w:tcPr>
            <w:tcW w:w="880" w:type="dxa"/>
            <w:vAlign w:val="bottom"/>
            <w:tcBorders>
              <w:top w:val="single" w:sz="8" w:color="auto"/>
              <w:right w:val="single" w:sz="8" w:color="auto"/>
            </w:tcBorders>
            <w:shd w:val="clear" w:color="auto" w:fill="2AD2C8"/>
          </w:tcPr>
          <w:p>
            <w:pPr>
              <w:spacing w:after="0"/>
              <w:rPr>
                <w:sz w:val="12"/>
                <w:szCs w:val="12"/>
                <w:color w:val="auto"/>
              </w:rPr>
            </w:pPr>
          </w:p>
        </w:tc>
        <w:tc>
          <w:tcPr>
            <w:tcW w:w="620" w:type="dxa"/>
            <w:vAlign w:val="bottom"/>
            <w:tcBorders>
              <w:top w:val="single" w:sz="8" w:color="auto"/>
            </w:tcBorders>
            <w:shd w:val="clear" w:color="auto" w:fill="2AD2C8"/>
          </w:tcPr>
          <w:p>
            <w:pPr>
              <w:spacing w:after="0"/>
              <w:rPr>
                <w:sz w:val="12"/>
                <w:szCs w:val="12"/>
                <w:color w:val="auto"/>
              </w:rPr>
            </w:pPr>
          </w:p>
        </w:tc>
        <w:tc>
          <w:tcPr>
            <w:tcW w:w="1180" w:type="dxa"/>
            <w:vAlign w:val="bottom"/>
            <w:tcBorders>
              <w:top w:val="single" w:sz="8" w:color="auto"/>
              <w:right w:val="single" w:sz="8" w:color="auto"/>
            </w:tcBorders>
            <w:shd w:val="clear" w:color="auto" w:fill="2AD2C8"/>
          </w:tcPr>
          <w:p>
            <w:pPr>
              <w:spacing w:after="0"/>
              <w:rPr>
                <w:sz w:val="20"/>
                <w:szCs w:val="20"/>
                <w:color w:val="auto"/>
              </w:rPr>
            </w:pPr>
            <w:r>
              <w:rPr>
                <w:rFonts w:ascii="Times New Roman" w:cs="Times New Roman" w:eastAsia="Times New Roman" w:hAnsi="Times New Roman"/>
                <w:sz w:val="12"/>
                <w:szCs w:val="12"/>
                <w:b w:val="1"/>
                <w:bCs w:val="1"/>
                <w:color w:val="FFFFFF"/>
              </w:rPr>
              <w:t>% Change</w:t>
            </w:r>
          </w:p>
        </w:tc>
        <w:tc>
          <w:tcPr>
            <w:tcW w:w="0" w:type="dxa"/>
            <w:vAlign w:val="bottom"/>
          </w:tcPr>
          <w:p>
            <w:pPr>
              <w:spacing w:after="0"/>
              <w:rPr>
                <w:sz w:val="1"/>
                <w:szCs w:val="1"/>
                <w:color w:val="auto"/>
              </w:rPr>
            </w:pPr>
          </w:p>
        </w:tc>
      </w:tr>
      <w:tr>
        <w:trPr>
          <w:trHeight w:val="170"/>
        </w:trPr>
        <w:tc>
          <w:tcPr>
            <w:tcW w:w="1120" w:type="dxa"/>
            <w:vAlign w:val="bottom"/>
            <w:tcBorders>
              <w:left w:val="single" w:sz="8" w:color="auto"/>
              <w:right w:val="single" w:sz="8" w:color="2AD2C8"/>
            </w:tcBorders>
            <w:shd w:val="clear" w:color="auto" w:fill="2AD2C8"/>
          </w:tcPr>
          <w:p>
            <w:pPr>
              <w:ind w:left="120"/>
              <w:spacing w:after="0"/>
              <w:rPr>
                <w:sz w:val="20"/>
                <w:szCs w:val="20"/>
                <w:color w:val="auto"/>
              </w:rPr>
            </w:pPr>
            <w:r>
              <w:rPr>
                <w:rFonts w:ascii="Times New Roman" w:cs="Times New Roman" w:eastAsia="Times New Roman" w:hAnsi="Times New Roman"/>
                <w:sz w:val="12"/>
                <w:szCs w:val="12"/>
                <w:b w:val="1"/>
                <w:bCs w:val="1"/>
                <w:color w:val="FFFFFF"/>
              </w:rPr>
              <w:t>S/ millions</w:t>
            </w:r>
          </w:p>
        </w:tc>
        <w:tc>
          <w:tcPr>
            <w:tcW w:w="3380" w:type="dxa"/>
            <w:vAlign w:val="bottom"/>
            <w:tcBorders>
              <w:right w:val="single" w:sz="8" w:color="auto"/>
            </w:tcBorders>
            <w:shd w:val="clear" w:color="auto" w:fill="2AD2C8"/>
          </w:tcPr>
          <w:p>
            <w:pPr>
              <w:spacing w:after="0"/>
              <w:rPr>
                <w:sz w:val="14"/>
                <w:szCs w:val="14"/>
                <w:color w:val="auto"/>
              </w:rPr>
            </w:pPr>
          </w:p>
        </w:tc>
        <w:tc>
          <w:tcPr>
            <w:tcW w:w="840" w:type="dxa"/>
            <w:vAlign w:val="bottom"/>
            <w:shd w:val="clear" w:color="auto" w:fill="2AD2C8"/>
          </w:tcPr>
          <w:p>
            <w:pPr>
              <w:ind w:left="320"/>
              <w:spacing w:after="0"/>
              <w:rPr>
                <w:sz w:val="20"/>
                <w:szCs w:val="20"/>
                <w:color w:val="auto"/>
              </w:rPr>
            </w:pPr>
            <w:r>
              <w:rPr>
                <w:rFonts w:ascii="Times New Roman" w:cs="Times New Roman" w:eastAsia="Times New Roman" w:hAnsi="Times New Roman"/>
                <w:sz w:val="12"/>
                <w:szCs w:val="12"/>
                <w:b w:val="1"/>
                <w:bCs w:val="1"/>
                <w:color w:val="FFFFFF"/>
              </w:rPr>
              <w:t>1Q25</w:t>
            </w:r>
          </w:p>
        </w:tc>
        <w:tc>
          <w:tcPr>
            <w:tcW w:w="960" w:type="dxa"/>
            <w:vAlign w:val="bottom"/>
            <w:shd w:val="clear" w:color="auto" w:fill="2AD2C8"/>
          </w:tcPr>
          <w:p>
            <w:pPr>
              <w:jc w:val="center"/>
              <w:spacing w:after="0"/>
              <w:rPr>
                <w:sz w:val="20"/>
                <w:szCs w:val="20"/>
                <w:color w:val="auto"/>
              </w:rPr>
            </w:pPr>
            <w:r>
              <w:rPr>
                <w:rFonts w:ascii="Times New Roman" w:cs="Times New Roman" w:eastAsia="Times New Roman" w:hAnsi="Times New Roman"/>
                <w:sz w:val="12"/>
                <w:szCs w:val="12"/>
                <w:b w:val="1"/>
                <w:bCs w:val="1"/>
                <w:color w:val="FFFFFF"/>
              </w:rPr>
              <w:t>4Q25</w:t>
            </w:r>
          </w:p>
        </w:tc>
        <w:tc>
          <w:tcPr>
            <w:tcW w:w="880" w:type="dxa"/>
            <w:vAlign w:val="bottom"/>
            <w:tcBorders>
              <w:right w:val="single" w:sz="8" w:color="auto"/>
            </w:tcBorders>
            <w:shd w:val="clear" w:color="auto" w:fill="2AD2C8"/>
          </w:tcPr>
          <w:p>
            <w:pPr>
              <w:jc w:val="center"/>
              <w:ind w:right="1"/>
              <w:spacing w:after="0"/>
              <w:rPr>
                <w:sz w:val="20"/>
                <w:szCs w:val="20"/>
                <w:color w:val="auto"/>
              </w:rPr>
            </w:pPr>
            <w:r>
              <w:rPr>
                <w:rFonts w:ascii="Times New Roman" w:cs="Times New Roman" w:eastAsia="Times New Roman" w:hAnsi="Times New Roman"/>
                <w:sz w:val="12"/>
                <w:szCs w:val="12"/>
                <w:b w:val="1"/>
                <w:bCs w:val="1"/>
                <w:color w:val="FFFFFF"/>
                <w:w w:val="94"/>
              </w:rPr>
              <w:t>1Q26</w:t>
            </w:r>
          </w:p>
        </w:tc>
        <w:tc>
          <w:tcPr>
            <w:tcW w:w="620" w:type="dxa"/>
            <w:vAlign w:val="bottom"/>
            <w:shd w:val="clear" w:color="auto" w:fill="2AD2C8"/>
          </w:tcPr>
          <w:p>
            <w:pPr>
              <w:ind w:left="320"/>
              <w:spacing w:after="0"/>
              <w:rPr>
                <w:sz w:val="20"/>
                <w:szCs w:val="20"/>
                <w:color w:val="auto"/>
              </w:rPr>
            </w:pPr>
            <w:r>
              <w:rPr>
                <w:rFonts w:ascii="Times New Roman" w:cs="Times New Roman" w:eastAsia="Times New Roman" w:hAnsi="Times New Roman"/>
                <w:sz w:val="12"/>
                <w:szCs w:val="12"/>
                <w:b w:val="1"/>
                <w:bCs w:val="1"/>
                <w:color w:val="FFFFFF"/>
              </w:rPr>
              <w:t>QoQ</w:t>
            </w:r>
          </w:p>
        </w:tc>
        <w:tc>
          <w:tcPr>
            <w:tcW w:w="1180" w:type="dxa"/>
            <w:vAlign w:val="bottom"/>
            <w:tcBorders>
              <w:right w:val="single" w:sz="8" w:color="auto"/>
            </w:tcBorders>
            <w:shd w:val="clear" w:color="auto" w:fill="2AD2C8"/>
          </w:tcPr>
          <w:p>
            <w:pPr>
              <w:jc w:val="center"/>
              <w:ind w:left="181"/>
              <w:spacing w:after="0"/>
              <w:rPr>
                <w:sz w:val="20"/>
                <w:szCs w:val="20"/>
                <w:color w:val="auto"/>
              </w:rPr>
            </w:pPr>
            <w:r>
              <w:rPr>
                <w:rFonts w:ascii="Times New Roman" w:cs="Times New Roman" w:eastAsia="Times New Roman" w:hAnsi="Times New Roman"/>
                <w:sz w:val="12"/>
                <w:szCs w:val="12"/>
                <w:b w:val="1"/>
                <w:bCs w:val="1"/>
                <w:color w:val="FFFFFF"/>
                <w:w w:val="94"/>
              </w:rPr>
              <w:t>YoY</w:t>
            </w:r>
          </w:p>
        </w:tc>
        <w:tc>
          <w:tcPr>
            <w:tcW w:w="0" w:type="dxa"/>
            <w:vAlign w:val="bottom"/>
          </w:tcPr>
          <w:p>
            <w:pPr>
              <w:spacing w:after="0"/>
              <w:rPr>
                <w:sz w:val="1"/>
                <w:szCs w:val="1"/>
                <w:color w:val="auto"/>
              </w:rPr>
            </w:pPr>
          </w:p>
        </w:tc>
      </w:tr>
      <w:tr>
        <w:trPr>
          <w:trHeight w:val="163"/>
        </w:trPr>
        <w:tc>
          <w:tcPr>
            <w:tcW w:w="1120" w:type="dxa"/>
            <w:vAlign w:val="bottom"/>
            <w:tcBorders>
              <w:left w:val="single" w:sz="8" w:color="auto"/>
              <w:right w:val="single" w:sz="8" w:color="auto"/>
            </w:tcBorders>
          </w:tcPr>
          <w:p>
            <w:pPr>
              <w:spacing w:after="0"/>
              <w:rPr>
                <w:sz w:val="14"/>
                <w:szCs w:val="14"/>
                <w:color w:val="auto"/>
              </w:rPr>
            </w:pPr>
          </w:p>
        </w:tc>
        <w:tc>
          <w:tcPr>
            <w:tcW w:w="3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2"/>
                <w:szCs w:val="12"/>
                <w:color w:val="auto"/>
              </w:rPr>
              <w:t>Insurance Service Income</w:t>
            </w:r>
          </w:p>
        </w:tc>
        <w:tc>
          <w:tcPr>
            <w:tcW w:w="8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987.9</w:t>
            </w:r>
          </w:p>
        </w:tc>
        <w:tc>
          <w:tcPr>
            <w:tcW w:w="9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1,262.7</w:t>
            </w:r>
          </w:p>
        </w:tc>
        <w:tc>
          <w:tcPr>
            <w:tcW w:w="880" w:type="dxa"/>
            <w:vAlign w:val="bottom"/>
            <w:tcBorders>
              <w:right w:val="single" w:sz="8" w:color="auto"/>
            </w:tcBorders>
          </w:tcPr>
          <w:p>
            <w:pPr>
              <w:jc w:val="center"/>
              <w:ind w:right="1"/>
              <w:spacing w:after="0"/>
              <w:rPr>
                <w:sz w:val="20"/>
                <w:szCs w:val="20"/>
                <w:color w:val="auto"/>
              </w:rPr>
            </w:pPr>
            <w:r>
              <w:rPr>
                <w:rFonts w:ascii="Times New Roman" w:cs="Times New Roman" w:eastAsia="Times New Roman" w:hAnsi="Times New Roman"/>
                <w:sz w:val="12"/>
                <w:szCs w:val="12"/>
                <w:color w:val="auto"/>
                <w:w w:val="94"/>
              </w:rPr>
              <w:t>1,236.8</w:t>
            </w:r>
          </w:p>
        </w:tc>
        <w:tc>
          <w:tcPr>
            <w:tcW w:w="620" w:type="dxa"/>
            <w:vAlign w:val="bottom"/>
          </w:tcPr>
          <w:p>
            <w:pPr>
              <w:jc w:val="center"/>
              <w:ind w:left="201"/>
              <w:spacing w:after="0"/>
              <w:rPr>
                <w:sz w:val="20"/>
                <w:szCs w:val="20"/>
                <w:color w:val="auto"/>
              </w:rPr>
            </w:pPr>
            <w:r>
              <w:rPr>
                <w:rFonts w:ascii="Times New Roman" w:cs="Times New Roman" w:eastAsia="Times New Roman" w:hAnsi="Times New Roman"/>
                <w:sz w:val="12"/>
                <w:szCs w:val="12"/>
                <w:color w:val="auto"/>
                <w:w w:val="96"/>
              </w:rPr>
              <w:t>-2.1%</w:t>
            </w:r>
          </w:p>
        </w:tc>
        <w:tc>
          <w:tcPr>
            <w:tcW w:w="1180" w:type="dxa"/>
            <w:vAlign w:val="bottom"/>
            <w:tcBorders>
              <w:right w:val="single" w:sz="8" w:color="auto"/>
            </w:tcBorders>
          </w:tcPr>
          <w:p>
            <w:pPr>
              <w:jc w:val="center"/>
              <w:ind w:left="181"/>
              <w:spacing w:after="0"/>
              <w:rPr>
                <w:sz w:val="20"/>
                <w:szCs w:val="20"/>
                <w:color w:val="auto"/>
              </w:rPr>
            </w:pPr>
            <w:r>
              <w:rPr>
                <w:rFonts w:ascii="Times New Roman" w:cs="Times New Roman" w:eastAsia="Times New Roman" w:hAnsi="Times New Roman"/>
                <w:sz w:val="12"/>
                <w:szCs w:val="12"/>
                <w:color w:val="auto"/>
                <w:w w:val="96"/>
              </w:rPr>
              <w:t>25.2%</w:t>
            </w:r>
          </w:p>
        </w:tc>
        <w:tc>
          <w:tcPr>
            <w:tcW w:w="0" w:type="dxa"/>
            <w:vAlign w:val="bottom"/>
          </w:tcPr>
          <w:p>
            <w:pPr>
              <w:spacing w:after="0"/>
              <w:rPr>
                <w:sz w:val="1"/>
                <w:szCs w:val="1"/>
                <w:color w:val="auto"/>
              </w:rPr>
            </w:pPr>
          </w:p>
        </w:tc>
      </w:tr>
      <w:tr>
        <w:trPr>
          <w:trHeight w:val="178"/>
        </w:trPr>
        <w:tc>
          <w:tcPr>
            <w:tcW w:w="11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w w:val="94"/>
              </w:rPr>
              <w:t>Total</w:t>
            </w:r>
          </w:p>
        </w:tc>
        <w:tc>
          <w:tcPr>
            <w:tcW w:w="3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2"/>
                <w:szCs w:val="12"/>
                <w:color w:val="auto"/>
              </w:rPr>
              <w:t>Insurance Service Expenses</w:t>
            </w:r>
          </w:p>
        </w:tc>
        <w:tc>
          <w:tcPr>
            <w:tcW w:w="8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(571.8)</w:t>
            </w:r>
          </w:p>
        </w:tc>
        <w:tc>
          <w:tcPr>
            <w:tcW w:w="9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(743.4)</w:t>
            </w:r>
          </w:p>
        </w:tc>
        <w:tc>
          <w:tcPr>
            <w:tcW w:w="880" w:type="dxa"/>
            <w:vAlign w:val="bottom"/>
            <w:tcBorders>
              <w:right w:val="single" w:sz="8" w:color="auto"/>
            </w:tcBorders>
          </w:tcPr>
          <w:p>
            <w:pPr>
              <w:jc w:val="center"/>
              <w:ind w:right="1"/>
              <w:spacing w:after="0"/>
              <w:rPr>
                <w:sz w:val="20"/>
                <w:szCs w:val="20"/>
                <w:color w:val="auto"/>
              </w:rPr>
            </w:pPr>
            <w:r>
              <w:rPr>
                <w:rFonts w:ascii="Times New Roman" w:cs="Times New Roman" w:eastAsia="Times New Roman" w:hAnsi="Times New Roman"/>
                <w:sz w:val="12"/>
                <w:szCs w:val="12"/>
                <w:color w:val="auto"/>
                <w:w w:val="97"/>
              </w:rPr>
              <w:t>(891.0)</w:t>
            </w:r>
          </w:p>
        </w:tc>
        <w:tc>
          <w:tcPr>
            <w:tcW w:w="620" w:type="dxa"/>
            <w:vAlign w:val="bottom"/>
          </w:tcPr>
          <w:p>
            <w:pPr>
              <w:jc w:val="center"/>
              <w:ind w:left="201"/>
              <w:spacing w:after="0"/>
              <w:rPr>
                <w:sz w:val="20"/>
                <w:szCs w:val="20"/>
                <w:color w:val="auto"/>
              </w:rPr>
            </w:pPr>
            <w:r>
              <w:rPr>
                <w:rFonts w:ascii="Times New Roman" w:cs="Times New Roman" w:eastAsia="Times New Roman" w:hAnsi="Times New Roman"/>
                <w:sz w:val="12"/>
                <w:szCs w:val="12"/>
                <w:color w:val="auto"/>
              </w:rPr>
              <w:t>19.8%</w:t>
            </w:r>
          </w:p>
        </w:tc>
        <w:tc>
          <w:tcPr>
            <w:tcW w:w="1180" w:type="dxa"/>
            <w:vAlign w:val="bottom"/>
            <w:tcBorders>
              <w:right w:val="single" w:sz="8" w:color="auto"/>
            </w:tcBorders>
          </w:tcPr>
          <w:p>
            <w:pPr>
              <w:jc w:val="center"/>
              <w:ind w:left="181"/>
              <w:spacing w:after="0"/>
              <w:rPr>
                <w:sz w:val="20"/>
                <w:szCs w:val="20"/>
                <w:color w:val="auto"/>
              </w:rPr>
            </w:pPr>
            <w:r>
              <w:rPr>
                <w:rFonts w:ascii="Times New Roman" w:cs="Times New Roman" w:eastAsia="Times New Roman" w:hAnsi="Times New Roman"/>
                <w:sz w:val="12"/>
                <w:szCs w:val="12"/>
                <w:color w:val="auto"/>
                <w:w w:val="96"/>
              </w:rPr>
              <w:t>55.8%</w:t>
            </w:r>
          </w:p>
        </w:tc>
        <w:tc>
          <w:tcPr>
            <w:tcW w:w="0" w:type="dxa"/>
            <w:vAlign w:val="bottom"/>
          </w:tcPr>
          <w:p>
            <w:pPr>
              <w:spacing w:after="0"/>
              <w:rPr>
                <w:sz w:val="1"/>
                <w:szCs w:val="1"/>
                <w:color w:val="auto"/>
              </w:rPr>
            </w:pPr>
          </w:p>
        </w:tc>
      </w:tr>
      <w:tr>
        <w:trPr>
          <w:trHeight w:val="89"/>
        </w:trPr>
        <w:tc>
          <w:tcPr>
            <w:tcW w:w="1120" w:type="dxa"/>
            <w:vAlign w:val="bottom"/>
            <w:tcBorders>
              <w:left w:val="single" w:sz="8" w:color="auto"/>
              <w:right w:val="single" w:sz="8" w:color="auto"/>
            </w:tcBorders>
            <w:vMerge w:val="continue"/>
          </w:tcPr>
          <w:p>
            <w:pPr>
              <w:spacing w:after="0"/>
              <w:rPr>
                <w:sz w:val="7"/>
                <w:szCs w:val="7"/>
                <w:color w:val="auto"/>
              </w:rPr>
            </w:pPr>
          </w:p>
        </w:tc>
        <w:tc>
          <w:tcPr>
            <w:tcW w:w="33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2"/>
                <w:szCs w:val="12"/>
                <w:color w:val="auto"/>
              </w:rPr>
              <w:t>Reinsurance Results</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6"/>
              </w:rPr>
              <w:t>(87.0)</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7"/>
              </w:rPr>
              <w:t>(198.5)</w:t>
            </w:r>
          </w:p>
        </w:tc>
        <w:tc>
          <w:tcPr>
            <w:tcW w:w="880" w:type="dxa"/>
            <w:vAlign w:val="bottom"/>
            <w:tcBorders>
              <w:right w:val="single" w:sz="8" w:color="auto"/>
            </w:tcBorders>
            <w:vMerge w:val="restart"/>
          </w:tcPr>
          <w:p>
            <w:pPr>
              <w:jc w:val="center"/>
              <w:ind w:right="1"/>
              <w:spacing w:after="0"/>
              <w:rPr>
                <w:sz w:val="20"/>
                <w:szCs w:val="20"/>
                <w:color w:val="auto"/>
              </w:rPr>
            </w:pPr>
            <w:r>
              <w:rPr>
                <w:rFonts w:ascii="Times New Roman" w:cs="Times New Roman" w:eastAsia="Times New Roman" w:hAnsi="Times New Roman"/>
                <w:sz w:val="12"/>
                <w:szCs w:val="12"/>
                <w:color w:val="auto"/>
              </w:rPr>
              <w:t>(46.8)</w:t>
            </w:r>
          </w:p>
        </w:tc>
        <w:tc>
          <w:tcPr>
            <w:tcW w:w="620" w:type="dxa"/>
            <w:vAlign w:val="bottom"/>
            <w:vMerge w:val="restart"/>
          </w:tcPr>
          <w:p>
            <w:pPr>
              <w:jc w:val="center"/>
              <w:ind w:left="201"/>
              <w:spacing w:after="0"/>
              <w:rPr>
                <w:sz w:val="20"/>
                <w:szCs w:val="20"/>
                <w:color w:val="auto"/>
              </w:rPr>
            </w:pPr>
            <w:r>
              <w:rPr>
                <w:rFonts w:ascii="Times New Roman" w:cs="Times New Roman" w:eastAsia="Times New Roman" w:hAnsi="Times New Roman"/>
                <w:sz w:val="12"/>
                <w:szCs w:val="12"/>
                <w:color w:val="auto"/>
              </w:rPr>
              <w:t>-76.4%</w:t>
            </w:r>
          </w:p>
        </w:tc>
        <w:tc>
          <w:tcPr>
            <w:tcW w:w="1180" w:type="dxa"/>
            <w:vAlign w:val="bottom"/>
            <w:tcBorders>
              <w:right w:val="single" w:sz="8" w:color="auto"/>
            </w:tcBorders>
            <w:vMerge w:val="restart"/>
          </w:tcPr>
          <w:p>
            <w:pPr>
              <w:jc w:val="center"/>
              <w:ind w:left="181"/>
              <w:spacing w:after="0"/>
              <w:rPr>
                <w:sz w:val="20"/>
                <w:szCs w:val="20"/>
                <w:color w:val="auto"/>
              </w:rPr>
            </w:pPr>
            <w:r>
              <w:rPr>
                <w:rFonts w:ascii="Times New Roman" w:cs="Times New Roman" w:eastAsia="Times New Roman" w:hAnsi="Times New Roman"/>
                <w:sz w:val="12"/>
                <w:szCs w:val="12"/>
                <w:color w:val="auto"/>
                <w:w w:val="97"/>
              </w:rPr>
              <w:t>-46.2%</w:t>
            </w:r>
          </w:p>
        </w:tc>
        <w:tc>
          <w:tcPr>
            <w:tcW w:w="0" w:type="dxa"/>
            <w:vAlign w:val="bottom"/>
          </w:tcPr>
          <w:p>
            <w:pPr>
              <w:spacing w:after="0"/>
              <w:rPr>
                <w:sz w:val="1"/>
                <w:szCs w:val="1"/>
                <w:color w:val="auto"/>
              </w:rPr>
            </w:pPr>
          </w:p>
        </w:tc>
      </w:tr>
      <w:tr>
        <w:trPr>
          <w:trHeight w:val="89"/>
        </w:trPr>
        <w:tc>
          <w:tcPr>
            <w:tcW w:w="1120" w:type="dxa"/>
            <w:vAlign w:val="bottom"/>
            <w:tcBorders>
              <w:left w:val="single" w:sz="8" w:color="auto"/>
              <w:right w:val="single" w:sz="8" w:color="auto"/>
            </w:tcBorders>
          </w:tcPr>
          <w:p>
            <w:pPr>
              <w:spacing w:after="0"/>
              <w:rPr>
                <w:sz w:val="7"/>
                <w:szCs w:val="7"/>
                <w:color w:val="auto"/>
              </w:rPr>
            </w:pPr>
          </w:p>
        </w:tc>
        <w:tc>
          <w:tcPr>
            <w:tcW w:w="3380" w:type="dxa"/>
            <w:vAlign w:val="bottom"/>
            <w:tcBorders>
              <w:right w:val="single" w:sz="8" w:color="auto"/>
            </w:tcBorders>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880" w:type="dxa"/>
            <w:vAlign w:val="bottom"/>
            <w:tcBorders>
              <w:right w:val="single" w:sz="8" w:color="auto"/>
            </w:tcBorders>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1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3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2"/>
                <w:szCs w:val="12"/>
                <w:b w:val="1"/>
                <w:bCs w:val="1"/>
                <w:color w:val="auto"/>
              </w:rPr>
              <w:t>Insurance Undewrwriting Result</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329.1</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320.8</w:t>
            </w:r>
          </w:p>
        </w:tc>
        <w:tc>
          <w:tcPr>
            <w:tcW w:w="880" w:type="dxa"/>
            <w:vAlign w:val="bottom"/>
            <w:tcBorders>
              <w:bottom w:val="single" w:sz="8" w:color="auto"/>
              <w:right w:val="single" w:sz="8" w:color="auto"/>
            </w:tcBorders>
          </w:tcPr>
          <w:p>
            <w:pPr>
              <w:jc w:val="center"/>
              <w:ind w:right="1"/>
              <w:spacing w:after="0"/>
              <w:rPr>
                <w:sz w:val="20"/>
                <w:szCs w:val="20"/>
                <w:color w:val="auto"/>
              </w:rPr>
            </w:pPr>
            <w:r>
              <w:rPr>
                <w:rFonts w:ascii="Times New Roman" w:cs="Times New Roman" w:eastAsia="Times New Roman" w:hAnsi="Times New Roman"/>
                <w:sz w:val="12"/>
                <w:szCs w:val="12"/>
                <w:b w:val="1"/>
                <w:bCs w:val="1"/>
                <w:color w:val="auto"/>
                <w:w w:val="96"/>
              </w:rPr>
              <w:t>299.1</w:t>
            </w:r>
          </w:p>
        </w:tc>
        <w:tc>
          <w:tcPr>
            <w:tcW w:w="620" w:type="dxa"/>
            <w:vAlign w:val="bottom"/>
            <w:tcBorders>
              <w:bottom w:val="single" w:sz="8" w:color="auto"/>
            </w:tcBorders>
          </w:tcPr>
          <w:p>
            <w:pPr>
              <w:jc w:val="center"/>
              <w:ind w:left="201"/>
              <w:spacing w:after="0"/>
              <w:rPr>
                <w:sz w:val="20"/>
                <w:szCs w:val="20"/>
                <w:color w:val="auto"/>
              </w:rPr>
            </w:pPr>
            <w:r>
              <w:rPr>
                <w:rFonts w:ascii="Times New Roman" w:cs="Times New Roman" w:eastAsia="Times New Roman" w:hAnsi="Times New Roman"/>
                <w:sz w:val="12"/>
                <w:szCs w:val="12"/>
                <w:b w:val="1"/>
                <w:bCs w:val="1"/>
                <w:color w:val="auto"/>
              </w:rPr>
              <w:t>-6.8%</w:t>
            </w:r>
          </w:p>
        </w:tc>
        <w:tc>
          <w:tcPr>
            <w:tcW w:w="1180" w:type="dxa"/>
            <w:vAlign w:val="bottom"/>
            <w:tcBorders>
              <w:bottom w:val="single" w:sz="8" w:color="auto"/>
              <w:right w:val="single" w:sz="8" w:color="auto"/>
            </w:tcBorders>
          </w:tcPr>
          <w:p>
            <w:pPr>
              <w:jc w:val="center"/>
              <w:ind w:left="181"/>
              <w:spacing w:after="0"/>
              <w:rPr>
                <w:sz w:val="20"/>
                <w:szCs w:val="20"/>
                <w:color w:val="auto"/>
              </w:rPr>
            </w:pPr>
            <w:r>
              <w:rPr>
                <w:rFonts w:ascii="Times New Roman" w:cs="Times New Roman" w:eastAsia="Times New Roman" w:hAnsi="Times New Roman"/>
                <w:sz w:val="12"/>
                <w:szCs w:val="12"/>
                <w:b w:val="1"/>
                <w:bCs w:val="1"/>
                <w:color w:val="auto"/>
                <w:w w:val="96"/>
              </w:rPr>
              <w:t>-9.1%</w:t>
            </w:r>
          </w:p>
        </w:tc>
        <w:tc>
          <w:tcPr>
            <w:tcW w:w="0" w:type="dxa"/>
            <w:vAlign w:val="bottom"/>
          </w:tcPr>
          <w:p>
            <w:pPr>
              <w:spacing w:after="0"/>
              <w:rPr>
                <w:sz w:val="1"/>
                <w:szCs w:val="1"/>
                <w:color w:val="auto"/>
              </w:rPr>
            </w:pPr>
          </w:p>
        </w:tc>
      </w:tr>
      <w:tr>
        <w:trPr>
          <w:trHeight w:val="163"/>
        </w:trPr>
        <w:tc>
          <w:tcPr>
            <w:tcW w:w="1120" w:type="dxa"/>
            <w:vAlign w:val="bottom"/>
            <w:tcBorders>
              <w:left w:val="single" w:sz="8" w:color="auto"/>
              <w:right w:val="single" w:sz="8" w:color="auto"/>
            </w:tcBorders>
          </w:tcPr>
          <w:p>
            <w:pPr>
              <w:spacing w:after="0"/>
              <w:rPr>
                <w:sz w:val="14"/>
                <w:szCs w:val="14"/>
                <w:color w:val="auto"/>
              </w:rPr>
            </w:pPr>
          </w:p>
        </w:tc>
        <w:tc>
          <w:tcPr>
            <w:tcW w:w="3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2"/>
                <w:szCs w:val="12"/>
                <w:color w:val="auto"/>
              </w:rPr>
              <w:t>Insurance Service Income</w:t>
            </w:r>
          </w:p>
        </w:tc>
        <w:tc>
          <w:tcPr>
            <w:tcW w:w="8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490.0</w:t>
            </w:r>
          </w:p>
        </w:tc>
        <w:tc>
          <w:tcPr>
            <w:tcW w:w="9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510.3</w:t>
            </w:r>
          </w:p>
        </w:tc>
        <w:tc>
          <w:tcPr>
            <w:tcW w:w="880" w:type="dxa"/>
            <w:vAlign w:val="bottom"/>
            <w:tcBorders>
              <w:right w:val="single" w:sz="8" w:color="auto"/>
            </w:tcBorders>
          </w:tcPr>
          <w:p>
            <w:pPr>
              <w:jc w:val="center"/>
              <w:ind w:right="1"/>
              <w:spacing w:after="0"/>
              <w:rPr>
                <w:sz w:val="20"/>
                <w:szCs w:val="20"/>
                <w:color w:val="auto"/>
              </w:rPr>
            </w:pPr>
            <w:r>
              <w:rPr>
                <w:rFonts w:ascii="Times New Roman" w:cs="Times New Roman" w:eastAsia="Times New Roman" w:hAnsi="Times New Roman"/>
                <w:sz w:val="12"/>
                <w:szCs w:val="12"/>
                <w:color w:val="auto"/>
                <w:w w:val="96"/>
              </w:rPr>
              <w:t>463.2</w:t>
            </w:r>
          </w:p>
        </w:tc>
        <w:tc>
          <w:tcPr>
            <w:tcW w:w="620" w:type="dxa"/>
            <w:vAlign w:val="bottom"/>
          </w:tcPr>
          <w:p>
            <w:pPr>
              <w:jc w:val="center"/>
              <w:ind w:left="201"/>
              <w:spacing w:after="0"/>
              <w:rPr>
                <w:sz w:val="20"/>
                <w:szCs w:val="20"/>
                <w:color w:val="auto"/>
              </w:rPr>
            </w:pPr>
            <w:r>
              <w:rPr>
                <w:rFonts w:ascii="Times New Roman" w:cs="Times New Roman" w:eastAsia="Times New Roman" w:hAnsi="Times New Roman"/>
                <w:sz w:val="12"/>
                <w:szCs w:val="12"/>
                <w:color w:val="auto"/>
                <w:w w:val="96"/>
              </w:rPr>
              <w:t>-9.2%</w:t>
            </w:r>
          </w:p>
        </w:tc>
        <w:tc>
          <w:tcPr>
            <w:tcW w:w="1180" w:type="dxa"/>
            <w:vAlign w:val="bottom"/>
            <w:tcBorders>
              <w:right w:val="single" w:sz="8" w:color="auto"/>
            </w:tcBorders>
          </w:tcPr>
          <w:p>
            <w:pPr>
              <w:jc w:val="center"/>
              <w:ind w:left="201"/>
              <w:spacing w:after="0"/>
              <w:rPr>
                <w:sz w:val="20"/>
                <w:szCs w:val="20"/>
                <w:color w:val="auto"/>
              </w:rPr>
            </w:pPr>
            <w:r>
              <w:rPr>
                <w:rFonts w:ascii="Times New Roman" w:cs="Times New Roman" w:eastAsia="Times New Roman" w:hAnsi="Times New Roman"/>
                <w:sz w:val="12"/>
                <w:szCs w:val="12"/>
                <w:color w:val="auto"/>
                <w:w w:val="96"/>
              </w:rPr>
              <w:t>-5.5%</w:t>
            </w:r>
          </w:p>
        </w:tc>
        <w:tc>
          <w:tcPr>
            <w:tcW w:w="0" w:type="dxa"/>
            <w:vAlign w:val="bottom"/>
          </w:tcPr>
          <w:p>
            <w:pPr>
              <w:spacing w:after="0"/>
              <w:rPr>
                <w:sz w:val="1"/>
                <w:szCs w:val="1"/>
                <w:color w:val="auto"/>
              </w:rPr>
            </w:pPr>
          </w:p>
        </w:tc>
      </w:tr>
      <w:tr>
        <w:trPr>
          <w:trHeight w:val="178"/>
        </w:trPr>
        <w:tc>
          <w:tcPr>
            <w:tcW w:w="11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P&amp;C</w:t>
            </w:r>
          </w:p>
        </w:tc>
        <w:tc>
          <w:tcPr>
            <w:tcW w:w="3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2"/>
                <w:szCs w:val="12"/>
                <w:color w:val="auto"/>
              </w:rPr>
              <w:t>Insurance Service Expenses</w:t>
            </w:r>
          </w:p>
        </w:tc>
        <w:tc>
          <w:tcPr>
            <w:tcW w:w="8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(325.3)</w:t>
            </w:r>
          </w:p>
        </w:tc>
        <w:tc>
          <w:tcPr>
            <w:tcW w:w="9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(248.5)</w:t>
            </w:r>
          </w:p>
        </w:tc>
        <w:tc>
          <w:tcPr>
            <w:tcW w:w="880" w:type="dxa"/>
            <w:vAlign w:val="bottom"/>
            <w:tcBorders>
              <w:right w:val="single" w:sz="8" w:color="auto"/>
            </w:tcBorders>
          </w:tcPr>
          <w:p>
            <w:pPr>
              <w:jc w:val="center"/>
              <w:ind w:right="1"/>
              <w:spacing w:after="0"/>
              <w:rPr>
                <w:sz w:val="20"/>
                <w:szCs w:val="20"/>
                <w:color w:val="auto"/>
              </w:rPr>
            </w:pPr>
            <w:r>
              <w:rPr>
                <w:rFonts w:ascii="Times New Roman" w:cs="Times New Roman" w:eastAsia="Times New Roman" w:hAnsi="Times New Roman"/>
                <w:sz w:val="12"/>
                <w:szCs w:val="12"/>
                <w:color w:val="auto"/>
                <w:w w:val="97"/>
              </w:rPr>
              <w:t>(358.2)</w:t>
            </w:r>
          </w:p>
        </w:tc>
        <w:tc>
          <w:tcPr>
            <w:tcW w:w="620" w:type="dxa"/>
            <w:vAlign w:val="bottom"/>
          </w:tcPr>
          <w:p>
            <w:pPr>
              <w:jc w:val="center"/>
              <w:ind w:left="201"/>
              <w:spacing w:after="0"/>
              <w:rPr>
                <w:sz w:val="20"/>
                <w:szCs w:val="20"/>
                <w:color w:val="auto"/>
              </w:rPr>
            </w:pPr>
            <w:r>
              <w:rPr>
                <w:rFonts w:ascii="Times New Roman" w:cs="Times New Roman" w:eastAsia="Times New Roman" w:hAnsi="Times New Roman"/>
                <w:sz w:val="12"/>
                <w:szCs w:val="12"/>
                <w:color w:val="auto"/>
              </w:rPr>
              <w:t>44.1%</w:t>
            </w:r>
          </w:p>
        </w:tc>
        <w:tc>
          <w:tcPr>
            <w:tcW w:w="1180" w:type="dxa"/>
            <w:vAlign w:val="bottom"/>
            <w:tcBorders>
              <w:right w:val="single" w:sz="8" w:color="auto"/>
            </w:tcBorders>
          </w:tcPr>
          <w:p>
            <w:pPr>
              <w:jc w:val="center"/>
              <w:ind w:left="181"/>
              <w:spacing w:after="0"/>
              <w:rPr>
                <w:sz w:val="20"/>
                <w:szCs w:val="20"/>
                <w:color w:val="auto"/>
              </w:rPr>
            </w:pPr>
            <w:r>
              <w:rPr>
                <w:rFonts w:ascii="Times New Roman" w:cs="Times New Roman" w:eastAsia="Times New Roman" w:hAnsi="Times New Roman"/>
                <w:sz w:val="12"/>
                <w:szCs w:val="12"/>
                <w:color w:val="auto"/>
                <w:w w:val="96"/>
              </w:rPr>
              <w:t>10.1%</w:t>
            </w:r>
          </w:p>
        </w:tc>
        <w:tc>
          <w:tcPr>
            <w:tcW w:w="0" w:type="dxa"/>
            <w:vAlign w:val="bottom"/>
          </w:tcPr>
          <w:p>
            <w:pPr>
              <w:spacing w:after="0"/>
              <w:rPr>
                <w:sz w:val="1"/>
                <w:szCs w:val="1"/>
                <w:color w:val="auto"/>
              </w:rPr>
            </w:pPr>
          </w:p>
        </w:tc>
      </w:tr>
      <w:tr>
        <w:trPr>
          <w:trHeight w:val="89"/>
        </w:trPr>
        <w:tc>
          <w:tcPr>
            <w:tcW w:w="1120" w:type="dxa"/>
            <w:vAlign w:val="bottom"/>
            <w:tcBorders>
              <w:left w:val="single" w:sz="8" w:color="auto"/>
              <w:right w:val="single" w:sz="8" w:color="auto"/>
            </w:tcBorders>
            <w:vMerge w:val="continue"/>
          </w:tcPr>
          <w:p>
            <w:pPr>
              <w:spacing w:after="0"/>
              <w:rPr>
                <w:sz w:val="7"/>
                <w:szCs w:val="7"/>
                <w:color w:val="auto"/>
              </w:rPr>
            </w:pPr>
          </w:p>
        </w:tc>
        <w:tc>
          <w:tcPr>
            <w:tcW w:w="33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2"/>
                <w:szCs w:val="12"/>
                <w:color w:val="auto"/>
              </w:rPr>
              <w:t>Reinsurance Results</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6"/>
              </w:rPr>
              <w:t>(72.4)</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7"/>
              </w:rPr>
              <w:t>(159.7)</w:t>
            </w:r>
          </w:p>
        </w:tc>
        <w:tc>
          <w:tcPr>
            <w:tcW w:w="880" w:type="dxa"/>
            <w:vAlign w:val="bottom"/>
            <w:tcBorders>
              <w:right w:val="single" w:sz="8" w:color="auto"/>
            </w:tcBorders>
            <w:vMerge w:val="restart"/>
          </w:tcPr>
          <w:p>
            <w:pPr>
              <w:jc w:val="center"/>
              <w:ind w:right="1"/>
              <w:spacing w:after="0"/>
              <w:rPr>
                <w:sz w:val="20"/>
                <w:szCs w:val="20"/>
                <w:color w:val="auto"/>
              </w:rPr>
            </w:pPr>
            <w:r>
              <w:rPr>
                <w:rFonts w:ascii="Times New Roman" w:cs="Times New Roman" w:eastAsia="Times New Roman" w:hAnsi="Times New Roman"/>
                <w:sz w:val="12"/>
                <w:szCs w:val="12"/>
                <w:color w:val="auto"/>
              </w:rPr>
              <w:t>(25.3)</w:t>
            </w:r>
          </w:p>
        </w:tc>
        <w:tc>
          <w:tcPr>
            <w:tcW w:w="620" w:type="dxa"/>
            <w:vAlign w:val="bottom"/>
            <w:vMerge w:val="restart"/>
          </w:tcPr>
          <w:p>
            <w:pPr>
              <w:jc w:val="center"/>
              <w:ind w:left="201"/>
              <w:spacing w:after="0"/>
              <w:rPr>
                <w:sz w:val="20"/>
                <w:szCs w:val="20"/>
                <w:color w:val="auto"/>
              </w:rPr>
            </w:pPr>
            <w:r>
              <w:rPr>
                <w:rFonts w:ascii="Times New Roman" w:cs="Times New Roman" w:eastAsia="Times New Roman" w:hAnsi="Times New Roman"/>
                <w:sz w:val="12"/>
                <w:szCs w:val="12"/>
                <w:color w:val="auto"/>
              </w:rPr>
              <w:t>-84.2%</w:t>
            </w:r>
          </w:p>
        </w:tc>
        <w:tc>
          <w:tcPr>
            <w:tcW w:w="1180" w:type="dxa"/>
            <w:vAlign w:val="bottom"/>
            <w:tcBorders>
              <w:right w:val="single" w:sz="8" w:color="auto"/>
            </w:tcBorders>
            <w:vMerge w:val="restart"/>
          </w:tcPr>
          <w:p>
            <w:pPr>
              <w:jc w:val="center"/>
              <w:ind w:left="181"/>
              <w:spacing w:after="0"/>
              <w:rPr>
                <w:sz w:val="20"/>
                <w:szCs w:val="20"/>
                <w:color w:val="auto"/>
              </w:rPr>
            </w:pPr>
            <w:r>
              <w:rPr>
                <w:rFonts w:ascii="Times New Roman" w:cs="Times New Roman" w:eastAsia="Times New Roman" w:hAnsi="Times New Roman"/>
                <w:sz w:val="12"/>
                <w:szCs w:val="12"/>
                <w:color w:val="auto"/>
                <w:w w:val="97"/>
              </w:rPr>
              <w:t>-65.1%</w:t>
            </w:r>
          </w:p>
        </w:tc>
        <w:tc>
          <w:tcPr>
            <w:tcW w:w="0" w:type="dxa"/>
            <w:vAlign w:val="bottom"/>
          </w:tcPr>
          <w:p>
            <w:pPr>
              <w:spacing w:after="0"/>
              <w:rPr>
                <w:sz w:val="1"/>
                <w:szCs w:val="1"/>
                <w:color w:val="auto"/>
              </w:rPr>
            </w:pPr>
          </w:p>
        </w:tc>
      </w:tr>
      <w:tr>
        <w:trPr>
          <w:trHeight w:val="89"/>
        </w:trPr>
        <w:tc>
          <w:tcPr>
            <w:tcW w:w="1120" w:type="dxa"/>
            <w:vAlign w:val="bottom"/>
            <w:tcBorders>
              <w:left w:val="single" w:sz="8" w:color="auto"/>
              <w:right w:val="single" w:sz="8" w:color="auto"/>
            </w:tcBorders>
          </w:tcPr>
          <w:p>
            <w:pPr>
              <w:spacing w:after="0"/>
              <w:rPr>
                <w:sz w:val="7"/>
                <w:szCs w:val="7"/>
                <w:color w:val="auto"/>
              </w:rPr>
            </w:pPr>
          </w:p>
        </w:tc>
        <w:tc>
          <w:tcPr>
            <w:tcW w:w="3380" w:type="dxa"/>
            <w:vAlign w:val="bottom"/>
            <w:tcBorders>
              <w:right w:val="single" w:sz="8" w:color="auto"/>
            </w:tcBorders>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880" w:type="dxa"/>
            <w:vAlign w:val="bottom"/>
            <w:tcBorders>
              <w:right w:val="single" w:sz="8" w:color="auto"/>
            </w:tcBorders>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1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3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2"/>
                <w:szCs w:val="12"/>
                <w:b w:val="1"/>
                <w:bCs w:val="1"/>
                <w:color w:val="auto"/>
              </w:rPr>
              <w:t>Insurance Undewrwriting Result</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92.3</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102.1</w:t>
            </w:r>
          </w:p>
        </w:tc>
        <w:tc>
          <w:tcPr>
            <w:tcW w:w="880" w:type="dxa"/>
            <w:vAlign w:val="bottom"/>
            <w:tcBorders>
              <w:bottom w:val="single" w:sz="8" w:color="auto"/>
              <w:right w:val="single" w:sz="8" w:color="auto"/>
            </w:tcBorders>
          </w:tcPr>
          <w:p>
            <w:pPr>
              <w:jc w:val="center"/>
              <w:ind w:right="1"/>
              <w:spacing w:after="0"/>
              <w:rPr>
                <w:sz w:val="20"/>
                <w:szCs w:val="20"/>
                <w:color w:val="auto"/>
              </w:rPr>
            </w:pPr>
            <w:r>
              <w:rPr>
                <w:rFonts w:ascii="Times New Roman" w:cs="Times New Roman" w:eastAsia="Times New Roman" w:hAnsi="Times New Roman"/>
                <w:sz w:val="12"/>
                <w:szCs w:val="12"/>
                <w:b w:val="1"/>
                <w:bCs w:val="1"/>
                <w:color w:val="auto"/>
              </w:rPr>
              <w:t>79.7</w:t>
            </w:r>
          </w:p>
        </w:tc>
        <w:tc>
          <w:tcPr>
            <w:tcW w:w="620" w:type="dxa"/>
            <w:vAlign w:val="bottom"/>
            <w:tcBorders>
              <w:bottom w:val="single" w:sz="8" w:color="auto"/>
            </w:tcBorders>
          </w:tcPr>
          <w:p>
            <w:pPr>
              <w:jc w:val="center"/>
              <w:ind w:left="201"/>
              <w:spacing w:after="0"/>
              <w:rPr>
                <w:sz w:val="20"/>
                <w:szCs w:val="20"/>
                <w:color w:val="auto"/>
              </w:rPr>
            </w:pPr>
            <w:r>
              <w:rPr>
                <w:rFonts w:ascii="Times New Roman" w:cs="Times New Roman" w:eastAsia="Times New Roman" w:hAnsi="Times New Roman"/>
                <w:sz w:val="12"/>
                <w:szCs w:val="12"/>
                <w:b w:val="1"/>
                <w:bCs w:val="1"/>
                <w:color w:val="auto"/>
                <w:w w:val="97"/>
              </w:rPr>
              <w:t>-22.0%</w:t>
            </w:r>
          </w:p>
        </w:tc>
        <w:tc>
          <w:tcPr>
            <w:tcW w:w="1180" w:type="dxa"/>
            <w:vAlign w:val="bottom"/>
            <w:tcBorders>
              <w:bottom w:val="single" w:sz="8" w:color="auto"/>
              <w:right w:val="single" w:sz="8" w:color="auto"/>
            </w:tcBorders>
          </w:tcPr>
          <w:p>
            <w:pPr>
              <w:jc w:val="center"/>
              <w:ind w:left="201"/>
              <w:spacing w:after="0"/>
              <w:rPr>
                <w:sz w:val="20"/>
                <w:szCs w:val="20"/>
                <w:color w:val="auto"/>
              </w:rPr>
            </w:pPr>
            <w:r>
              <w:rPr>
                <w:rFonts w:ascii="Times New Roman" w:cs="Times New Roman" w:eastAsia="Times New Roman" w:hAnsi="Times New Roman"/>
                <w:sz w:val="12"/>
                <w:szCs w:val="12"/>
                <w:b w:val="1"/>
                <w:bCs w:val="1"/>
                <w:color w:val="auto"/>
                <w:w w:val="97"/>
              </w:rPr>
              <w:t>-13.7%</w:t>
            </w:r>
          </w:p>
        </w:tc>
        <w:tc>
          <w:tcPr>
            <w:tcW w:w="0" w:type="dxa"/>
            <w:vAlign w:val="bottom"/>
          </w:tcPr>
          <w:p>
            <w:pPr>
              <w:spacing w:after="0"/>
              <w:rPr>
                <w:sz w:val="1"/>
                <w:szCs w:val="1"/>
                <w:color w:val="auto"/>
              </w:rPr>
            </w:pPr>
          </w:p>
        </w:tc>
      </w:tr>
      <w:tr>
        <w:trPr>
          <w:trHeight w:val="163"/>
        </w:trPr>
        <w:tc>
          <w:tcPr>
            <w:tcW w:w="1120" w:type="dxa"/>
            <w:vAlign w:val="bottom"/>
            <w:tcBorders>
              <w:left w:val="single" w:sz="8" w:color="auto"/>
              <w:right w:val="single" w:sz="8" w:color="auto"/>
            </w:tcBorders>
          </w:tcPr>
          <w:p>
            <w:pPr>
              <w:spacing w:after="0"/>
              <w:rPr>
                <w:sz w:val="14"/>
                <w:szCs w:val="14"/>
                <w:color w:val="auto"/>
              </w:rPr>
            </w:pPr>
          </w:p>
        </w:tc>
        <w:tc>
          <w:tcPr>
            <w:tcW w:w="3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2"/>
                <w:szCs w:val="12"/>
                <w:color w:val="auto"/>
              </w:rPr>
              <w:t>Insurance Service Income</w:t>
            </w:r>
          </w:p>
        </w:tc>
        <w:tc>
          <w:tcPr>
            <w:tcW w:w="8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332.9</w:t>
            </w:r>
          </w:p>
        </w:tc>
        <w:tc>
          <w:tcPr>
            <w:tcW w:w="9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334.5</w:t>
            </w:r>
          </w:p>
        </w:tc>
        <w:tc>
          <w:tcPr>
            <w:tcW w:w="880" w:type="dxa"/>
            <w:vAlign w:val="bottom"/>
            <w:tcBorders>
              <w:right w:val="single" w:sz="8" w:color="auto"/>
            </w:tcBorders>
          </w:tcPr>
          <w:p>
            <w:pPr>
              <w:jc w:val="center"/>
              <w:ind w:right="1"/>
              <w:spacing w:after="0"/>
              <w:rPr>
                <w:sz w:val="20"/>
                <w:szCs w:val="20"/>
                <w:color w:val="auto"/>
              </w:rPr>
            </w:pPr>
            <w:r>
              <w:rPr>
                <w:rFonts w:ascii="Times New Roman" w:cs="Times New Roman" w:eastAsia="Times New Roman" w:hAnsi="Times New Roman"/>
                <w:sz w:val="12"/>
                <w:szCs w:val="12"/>
                <w:color w:val="auto"/>
                <w:w w:val="96"/>
              </w:rPr>
              <w:t>332.0</w:t>
            </w:r>
          </w:p>
        </w:tc>
        <w:tc>
          <w:tcPr>
            <w:tcW w:w="620" w:type="dxa"/>
            <w:vAlign w:val="bottom"/>
          </w:tcPr>
          <w:p>
            <w:pPr>
              <w:jc w:val="center"/>
              <w:ind w:left="201"/>
              <w:spacing w:after="0"/>
              <w:rPr>
                <w:sz w:val="20"/>
                <w:szCs w:val="20"/>
                <w:color w:val="auto"/>
              </w:rPr>
            </w:pPr>
            <w:r>
              <w:rPr>
                <w:rFonts w:ascii="Times New Roman" w:cs="Times New Roman" w:eastAsia="Times New Roman" w:hAnsi="Times New Roman"/>
                <w:sz w:val="12"/>
                <w:szCs w:val="12"/>
                <w:color w:val="auto"/>
                <w:w w:val="96"/>
              </w:rPr>
              <w:t>-0.7%</w:t>
            </w:r>
          </w:p>
        </w:tc>
        <w:tc>
          <w:tcPr>
            <w:tcW w:w="1180" w:type="dxa"/>
            <w:vAlign w:val="bottom"/>
            <w:tcBorders>
              <w:right w:val="single" w:sz="8" w:color="auto"/>
            </w:tcBorders>
          </w:tcPr>
          <w:p>
            <w:pPr>
              <w:jc w:val="center"/>
              <w:ind w:left="201"/>
              <w:spacing w:after="0"/>
              <w:rPr>
                <w:sz w:val="20"/>
                <w:szCs w:val="20"/>
                <w:color w:val="auto"/>
              </w:rPr>
            </w:pPr>
            <w:r>
              <w:rPr>
                <w:rFonts w:ascii="Times New Roman" w:cs="Times New Roman" w:eastAsia="Times New Roman" w:hAnsi="Times New Roman"/>
                <w:sz w:val="12"/>
                <w:szCs w:val="12"/>
                <w:color w:val="auto"/>
                <w:w w:val="96"/>
              </w:rPr>
              <w:t>-0.3%</w:t>
            </w:r>
          </w:p>
        </w:tc>
        <w:tc>
          <w:tcPr>
            <w:tcW w:w="0" w:type="dxa"/>
            <w:vAlign w:val="bottom"/>
          </w:tcPr>
          <w:p>
            <w:pPr>
              <w:spacing w:after="0"/>
              <w:rPr>
                <w:sz w:val="1"/>
                <w:szCs w:val="1"/>
                <w:color w:val="auto"/>
              </w:rPr>
            </w:pPr>
          </w:p>
        </w:tc>
      </w:tr>
      <w:tr>
        <w:trPr>
          <w:trHeight w:val="178"/>
        </w:trPr>
        <w:tc>
          <w:tcPr>
            <w:tcW w:w="11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Life</w:t>
            </w:r>
          </w:p>
        </w:tc>
        <w:tc>
          <w:tcPr>
            <w:tcW w:w="3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2"/>
                <w:szCs w:val="12"/>
                <w:color w:val="auto"/>
              </w:rPr>
              <w:t>Insurance Service Expenses</w:t>
            </w:r>
          </w:p>
        </w:tc>
        <w:tc>
          <w:tcPr>
            <w:tcW w:w="8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(112.3)</w:t>
            </w:r>
          </w:p>
        </w:tc>
        <w:tc>
          <w:tcPr>
            <w:tcW w:w="9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(131.2)</w:t>
            </w:r>
          </w:p>
        </w:tc>
        <w:tc>
          <w:tcPr>
            <w:tcW w:w="880" w:type="dxa"/>
            <w:vAlign w:val="bottom"/>
            <w:tcBorders>
              <w:right w:val="single" w:sz="8" w:color="auto"/>
            </w:tcBorders>
          </w:tcPr>
          <w:p>
            <w:pPr>
              <w:jc w:val="center"/>
              <w:ind w:right="1"/>
              <w:spacing w:after="0"/>
              <w:rPr>
                <w:sz w:val="20"/>
                <w:szCs w:val="20"/>
                <w:color w:val="auto"/>
              </w:rPr>
            </w:pPr>
            <w:r>
              <w:rPr>
                <w:rFonts w:ascii="Times New Roman" w:cs="Times New Roman" w:eastAsia="Times New Roman" w:hAnsi="Times New Roman"/>
                <w:sz w:val="12"/>
                <w:szCs w:val="12"/>
                <w:color w:val="auto"/>
                <w:w w:val="97"/>
              </w:rPr>
              <w:t>(112.5)</w:t>
            </w:r>
          </w:p>
        </w:tc>
        <w:tc>
          <w:tcPr>
            <w:tcW w:w="620" w:type="dxa"/>
            <w:vAlign w:val="bottom"/>
          </w:tcPr>
          <w:p>
            <w:pPr>
              <w:jc w:val="center"/>
              <w:ind w:left="201"/>
              <w:spacing w:after="0"/>
              <w:rPr>
                <w:sz w:val="20"/>
                <w:szCs w:val="20"/>
                <w:color w:val="auto"/>
              </w:rPr>
            </w:pPr>
            <w:r>
              <w:rPr>
                <w:rFonts w:ascii="Times New Roman" w:cs="Times New Roman" w:eastAsia="Times New Roman" w:hAnsi="Times New Roman"/>
                <w:sz w:val="12"/>
                <w:szCs w:val="12"/>
                <w:color w:val="auto"/>
              </w:rPr>
              <w:t>-14.2%</w:t>
            </w:r>
          </w:p>
        </w:tc>
        <w:tc>
          <w:tcPr>
            <w:tcW w:w="1180" w:type="dxa"/>
            <w:vAlign w:val="bottom"/>
            <w:tcBorders>
              <w:right w:val="single" w:sz="8" w:color="auto"/>
            </w:tcBorders>
          </w:tcPr>
          <w:p>
            <w:pPr>
              <w:jc w:val="center"/>
              <w:ind w:left="201"/>
              <w:spacing w:after="0"/>
              <w:rPr>
                <w:sz w:val="20"/>
                <w:szCs w:val="20"/>
                <w:color w:val="auto"/>
              </w:rPr>
            </w:pPr>
            <w:r>
              <w:rPr>
                <w:rFonts w:ascii="Times New Roman" w:cs="Times New Roman" w:eastAsia="Times New Roman" w:hAnsi="Times New Roman"/>
                <w:sz w:val="12"/>
                <w:szCs w:val="12"/>
                <w:color w:val="auto"/>
                <w:w w:val="95"/>
              </w:rPr>
              <w:t>0.2%</w:t>
            </w:r>
          </w:p>
        </w:tc>
        <w:tc>
          <w:tcPr>
            <w:tcW w:w="0" w:type="dxa"/>
            <w:vAlign w:val="bottom"/>
          </w:tcPr>
          <w:p>
            <w:pPr>
              <w:spacing w:after="0"/>
              <w:rPr>
                <w:sz w:val="1"/>
                <w:szCs w:val="1"/>
                <w:color w:val="auto"/>
              </w:rPr>
            </w:pPr>
          </w:p>
        </w:tc>
      </w:tr>
      <w:tr>
        <w:trPr>
          <w:trHeight w:val="89"/>
        </w:trPr>
        <w:tc>
          <w:tcPr>
            <w:tcW w:w="1120" w:type="dxa"/>
            <w:vAlign w:val="bottom"/>
            <w:tcBorders>
              <w:left w:val="single" w:sz="8" w:color="auto"/>
              <w:right w:val="single" w:sz="8" w:color="auto"/>
            </w:tcBorders>
            <w:vMerge w:val="continue"/>
          </w:tcPr>
          <w:p>
            <w:pPr>
              <w:spacing w:after="0"/>
              <w:rPr>
                <w:sz w:val="7"/>
                <w:szCs w:val="7"/>
                <w:color w:val="auto"/>
              </w:rPr>
            </w:pPr>
          </w:p>
        </w:tc>
        <w:tc>
          <w:tcPr>
            <w:tcW w:w="33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2"/>
                <w:szCs w:val="12"/>
                <w:color w:val="auto"/>
              </w:rPr>
              <w:t>Reinsurance Results</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6"/>
              </w:rPr>
              <w:t>(13.3)</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6"/>
              </w:rPr>
              <w:t>(10.6)</w:t>
            </w:r>
          </w:p>
        </w:tc>
        <w:tc>
          <w:tcPr>
            <w:tcW w:w="880" w:type="dxa"/>
            <w:vAlign w:val="bottom"/>
            <w:tcBorders>
              <w:right w:val="single" w:sz="8" w:color="auto"/>
            </w:tcBorders>
            <w:vMerge w:val="restart"/>
          </w:tcPr>
          <w:p>
            <w:pPr>
              <w:jc w:val="center"/>
              <w:ind w:right="1"/>
              <w:spacing w:after="0"/>
              <w:rPr>
                <w:sz w:val="20"/>
                <w:szCs w:val="20"/>
                <w:color w:val="auto"/>
              </w:rPr>
            </w:pPr>
            <w:r>
              <w:rPr>
                <w:rFonts w:ascii="Times New Roman" w:cs="Times New Roman" w:eastAsia="Times New Roman" w:hAnsi="Times New Roman"/>
                <w:sz w:val="12"/>
                <w:szCs w:val="12"/>
                <w:color w:val="auto"/>
              </w:rPr>
              <w:t>(17.4)</w:t>
            </w:r>
          </w:p>
        </w:tc>
        <w:tc>
          <w:tcPr>
            <w:tcW w:w="620" w:type="dxa"/>
            <w:vAlign w:val="bottom"/>
            <w:vMerge w:val="restart"/>
          </w:tcPr>
          <w:p>
            <w:pPr>
              <w:jc w:val="center"/>
              <w:ind w:left="201"/>
              <w:spacing w:after="0"/>
              <w:rPr>
                <w:sz w:val="20"/>
                <w:szCs w:val="20"/>
                <w:color w:val="auto"/>
              </w:rPr>
            </w:pPr>
            <w:r>
              <w:rPr>
                <w:rFonts w:ascii="Times New Roman" w:cs="Times New Roman" w:eastAsia="Times New Roman" w:hAnsi="Times New Roman"/>
                <w:sz w:val="12"/>
                <w:szCs w:val="12"/>
                <w:color w:val="auto"/>
              </w:rPr>
              <w:t>64.1%</w:t>
            </w:r>
          </w:p>
        </w:tc>
        <w:tc>
          <w:tcPr>
            <w:tcW w:w="1180" w:type="dxa"/>
            <w:vAlign w:val="bottom"/>
            <w:tcBorders>
              <w:right w:val="single" w:sz="8" w:color="auto"/>
            </w:tcBorders>
            <w:vMerge w:val="restart"/>
          </w:tcPr>
          <w:p>
            <w:pPr>
              <w:jc w:val="center"/>
              <w:ind w:left="181"/>
              <w:spacing w:after="0"/>
              <w:rPr>
                <w:sz w:val="20"/>
                <w:szCs w:val="20"/>
                <w:color w:val="auto"/>
              </w:rPr>
            </w:pPr>
            <w:r>
              <w:rPr>
                <w:rFonts w:ascii="Times New Roman" w:cs="Times New Roman" w:eastAsia="Times New Roman" w:hAnsi="Times New Roman"/>
                <w:sz w:val="12"/>
                <w:szCs w:val="12"/>
                <w:color w:val="auto"/>
                <w:w w:val="96"/>
              </w:rPr>
              <w:t>30.9%</w:t>
            </w:r>
          </w:p>
        </w:tc>
        <w:tc>
          <w:tcPr>
            <w:tcW w:w="0" w:type="dxa"/>
            <w:vAlign w:val="bottom"/>
          </w:tcPr>
          <w:p>
            <w:pPr>
              <w:spacing w:after="0"/>
              <w:rPr>
                <w:sz w:val="1"/>
                <w:szCs w:val="1"/>
                <w:color w:val="auto"/>
              </w:rPr>
            </w:pPr>
          </w:p>
        </w:tc>
      </w:tr>
      <w:tr>
        <w:trPr>
          <w:trHeight w:val="89"/>
        </w:trPr>
        <w:tc>
          <w:tcPr>
            <w:tcW w:w="1120" w:type="dxa"/>
            <w:vAlign w:val="bottom"/>
            <w:tcBorders>
              <w:left w:val="single" w:sz="8" w:color="auto"/>
              <w:right w:val="single" w:sz="8" w:color="auto"/>
            </w:tcBorders>
          </w:tcPr>
          <w:p>
            <w:pPr>
              <w:spacing w:after="0"/>
              <w:rPr>
                <w:sz w:val="7"/>
                <w:szCs w:val="7"/>
                <w:color w:val="auto"/>
              </w:rPr>
            </w:pPr>
          </w:p>
        </w:tc>
        <w:tc>
          <w:tcPr>
            <w:tcW w:w="3380" w:type="dxa"/>
            <w:vAlign w:val="bottom"/>
            <w:tcBorders>
              <w:right w:val="single" w:sz="8" w:color="auto"/>
            </w:tcBorders>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880" w:type="dxa"/>
            <w:vAlign w:val="bottom"/>
            <w:tcBorders>
              <w:right w:val="single" w:sz="8" w:color="auto"/>
            </w:tcBorders>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1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3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2"/>
                <w:szCs w:val="12"/>
                <w:b w:val="1"/>
                <w:bCs w:val="1"/>
                <w:color w:val="auto"/>
              </w:rPr>
              <w:t>Insurance Undewrwriting Result</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207.2</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192.7</w:t>
            </w:r>
          </w:p>
        </w:tc>
        <w:tc>
          <w:tcPr>
            <w:tcW w:w="880" w:type="dxa"/>
            <w:vAlign w:val="bottom"/>
            <w:tcBorders>
              <w:bottom w:val="single" w:sz="8" w:color="auto"/>
              <w:right w:val="single" w:sz="8" w:color="auto"/>
            </w:tcBorders>
          </w:tcPr>
          <w:p>
            <w:pPr>
              <w:jc w:val="center"/>
              <w:ind w:right="1"/>
              <w:spacing w:after="0"/>
              <w:rPr>
                <w:sz w:val="20"/>
                <w:szCs w:val="20"/>
                <w:color w:val="auto"/>
              </w:rPr>
            </w:pPr>
            <w:r>
              <w:rPr>
                <w:rFonts w:ascii="Times New Roman" w:cs="Times New Roman" w:eastAsia="Times New Roman" w:hAnsi="Times New Roman"/>
                <w:sz w:val="12"/>
                <w:szCs w:val="12"/>
                <w:b w:val="1"/>
                <w:bCs w:val="1"/>
                <w:color w:val="auto"/>
                <w:w w:val="96"/>
              </w:rPr>
              <w:t>202.1</w:t>
            </w:r>
          </w:p>
        </w:tc>
        <w:tc>
          <w:tcPr>
            <w:tcW w:w="620" w:type="dxa"/>
            <w:vAlign w:val="bottom"/>
            <w:tcBorders>
              <w:bottom w:val="single" w:sz="8" w:color="auto"/>
            </w:tcBorders>
          </w:tcPr>
          <w:p>
            <w:pPr>
              <w:jc w:val="center"/>
              <w:ind w:left="201"/>
              <w:spacing w:after="0"/>
              <w:rPr>
                <w:sz w:val="20"/>
                <w:szCs w:val="20"/>
                <w:color w:val="auto"/>
              </w:rPr>
            </w:pPr>
            <w:r>
              <w:rPr>
                <w:rFonts w:ascii="Times New Roman" w:cs="Times New Roman" w:eastAsia="Times New Roman" w:hAnsi="Times New Roman"/>
                <w:sz w:val="12"/>
                <w:szCs w:val="12"/>
                <w:b w:val="1"/>
                <w:bCs w:val="1"/>
                <w:color w:val="auto"/>
              </w:rPr>
              <w:t>4.9%</w:t>
            </w:r>
          </w:p>
        </w:tc>
        <w:tc>
          <w:tcPr>
            <w:tcW w:w="1180" w:type="dxa"/>
            <w:vAlign w:val="bottom"/>
            <w:tcBorders>
              <w:bottom w:val="single" w:sz="8" w:color="auto"/>
              <w:right w:val="single" w:sz="8" w:color="auto"/>
            </w:tcBorders>
          </w:tcPr>
          <w:p>
            <w:pPr>
              <w:jc w:val="center"/>
              <w:ind w:left="181"/>
              <w:spacing w:after="0"/>
              <w:rPr>
                <w:sz w:val="20"/>
                <w:szCs w:val="20"/>
                <w:color w:val="auto"/>
              </w:rPr>
            </w:pPr>
            <w:r>
              <w:rPr>
                <w:rFonts w:ascii="Times New Roman" w:cs="Times New Roman" w:eastAsia="Times New Roman" w:hAnsi="Times New Roman"/>
                <w:sz w:val="12"/>
                <w:szCs w:val="12"/>
                <w:b w:val="1"/>
                <w:bCs w:val="1"/>
                <w:color w:val="auto"/>
                <w:w w:val="96"/>
              </w:rPr>
              <w:t>-2.5%</w:t>
            </w:r>
          </w:p>
        </w:tc>
        <w:tc>
          <w:tcPr>
            <w:tcW w:w="0" w:type="dxa"/>
            <w:vAlign w:val="bottom"/>
          </w:tcPr>
          <w:p>
            <w:pPr>
              <w:spacing w:after="0"/>
              <w:rPr>
                <w:sz w:val="1"/>
                <w:szCs w:val="1"/>
                <w:color w:val="auto"/>
              </w:rPr>
            </w:pPr>
          </w:p>
        </w:tc>
      </w:tr>
      <w:tr>
        <w:trPr>
          <w:trHeight w:val="163"/>
        </w:trPr>
        <w:tc>
          <w:tcPr>
            <w:tcW w:w="1120" w:type="dxa"/>
            <w:vAlign w:val="bottom"/>
            <w:tcBorders>
              <w:left w:val="single" w:sz="8" w:color="auto"/>
              <w:right w:val="single" w:sz="8" w:color="auto"/>
            </w:tcBorders>
          </w:tcPr>
          <w:p>
            <w:pPr>
              <w:spacing w:after="0"/>
              <w:rPr>
                <w:sz w:val="14"/>
                <w:szCs w:val="14"/>
                <w:color w:val="auto"/>
              </w:rPr>
            </w:pPr>
          </w:p>
        </w:tc>
        <w:tc>
          <w:tcPr>
            <w:tcW w:w="3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2"/>
                <w:szCs w:val="12"/>
                <w:color w:val="auto"/>
              </w:rPr>
              <w:t>Insurance Service Income</w:t>
            </w:r>
          </w:p>
        </w:tc>
        <w:tc>
          <w:tcPr>
            <w:tcW w:w="8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22.9</w:t>
            </w:r>
          </w:p>
        </w:tc>
        <w:tc>
          <w:tcPr>
            <w:tcW w:w="9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18.2</w:t>
            </w:r>
          </w:p>
        </w:tc>
        <w:tc>
          <w:tcPr>
            <w:tcW w:w="880" w:type="dxa"/>
            <w:vAlign w:val="bottom"/>
            <w:tcBorders>
              <w:right w:val="single" w:sz="8" w:color="auto"/>
            </w:tcBorders>
          </w:tcPr>
          <w:p>
            <w:pPr>
              <w:jc w:val="center"/>
              <w:ind w:right="1"/>
              <w:spacing w:after="0"/>
              <w:rPr>
                <w:sz w:val="20"/>
                <w:szCs w:val="20"/>
                <w:color w:val="auto"/>
              </w:rPr>
            </w:pPr>
            <w:r>
              <w:rPr>
                <w:rFonts w:ascii="Times New Roman" w:cs="Times New Roman" w:eastAsia="Times New Roman" w:hAnsi="Times New Roman"/>
                <w:sz w:val="12"/>
                <w:szCs w:val="12"/>
                <w:color w:val="auto"/>
              </w:rPr>
              <w:t>18.7</w:t>
            </w:r>
          </w:p>
        </w:tc>
        <w:tc>
          <w:tcPr>
            <w:tcW w:w="620" w:type="dxa"/>
            <w:vAlign w:val="bottom"/>
          </w:tcPr>
          <w:p>
            <w:pPr>
              <w:jc w:val="center"/>
              <w:ind w:left="201"/>
              <w:spacing w:after="0"/>
              <w:rPr>
                <w:sz w:val="20"/>
                <w:szCs w:val="20"/>
                <w:color w:val="auto"/>
              </w:rPr>
            </w:pPr>
            <w:r>
              <w:rPr>
                <w:rFonts w:ascii="Times New Roman" w:cs="Times New Roman" w:eastAsia="Times New Roman" w:hAnsi="Times New Roman"/>
                <w:sz w:val="12"/>
                <w:szCs w:val="12"/>
                <w:color w:val="auto"/>
                <w:w w:val="95"/>
              </w:rPr>
              <w:t>2.6%</w:t>
            </w:r>
          </w:p>
        </w:tc>
        <w:tc>
          <w:tcPr>
            <w:tcW w:w="1180" w:type="dxa"/>
            <w:vAlign w:val="bottom"/>
            <w:tcBorders>
              <w:right w:val="single" w:sz="8" w:color="auto"/>
            </w:tcBorders>
          </w:tcPr>
          <w:p>
            <w:pPr>
              <w:jc w:val="center"/>
              <w:ind w:left="181"/>
              <w:spacing w:after="0"/>
              <w:rPr>
                <w:sz w:val="20"/>
                <w:szCs w:val="20"/>
                <w:color w:val="auto"/>
              </w:rPr>
            </w:pPr>
            <w:r>
              <w:rPr>
                <w:rFonts w:ascii="Times New Roman" w:cs="Times New Roman" w:eastAsia="Times New Roman" w:hAnsi="Times New Roman"/>
                <w:sz w:val="12"/>
                <w:szCs w:val="12"/>
                <w:color w:val="auto"/>
                <w:w w:val="97"/>
              </w:rPr>
              <w:t>-18.2%</w:t>
            </w:r>
          </w:p>
        </w:tc>
        <w:tc>
          <w:tcPr>
            <w:tcW w:w="0" w:type="dxa"/>
            <w:vAlign w:val="bottom"/>
          </w:tcPr>
          <w:p>
            <w:pPr>
              <w:spacing w:after="0"/>
              <w:rPr>
                <w:sz w:val="1"/>
                <w:szCs w:val="1"/>
                <w:color w:val="auto"/>
              </w:rPr>
            </w:pPr>
          </w:p>
        </w:tc>
      </w:tr>
      <w:tr>
        <w:trPr>
          <w:trHeight w:val="178"/>
        </w:trPr>
        <w:tc>
          <w:tcPr>
            <w:tcW w:w="11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w w:val="97"/>
              </w:rPr>
              <w:t>Crediseguros</w:t>
            </w:r>
          </w:p>
        </w:tc>
        <w:tc>
          <w:tcPr>
            <w:tcW w:w="3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2"/>
                <w:szCs w:val="12"/>
                <w:color w:val="auto"/>
              </w:rPr>
              <w:t>Insurance Service Expenses</w:t>
            </w:r>
          </w:p>
        </w:tc>
        <w:tc>
          <w:tcPr>
            <w:tcW w:w="8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(5.8)</w:t>
            </w:r>
          </w:p>
        </w:tc>
        <w:tc>
          <w:tcPr>
            <w:tcW w:w="9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(3.6)</w:t>
            </w:r>
          </w:p>
        </w:tc>
        <w:tc>
          <w:tcPr>
            <w:tcW w:w="880" w:type="dxa"/>
            <w:vAlign w:val="bottom"/>
            <w:tcBorders>
              <w:right w:val="single" w:sz="8" w:color="auto"/>
            </w:tcBorders>
          </w:tcPr>
          <w:p>
            <w:pPr>
              <w:jc w:val="center"/>
              <w:ind w:right="1"/>
              <w:spacing w:after="0"/>
              <w:rPr>
                <w:sz w:val="20"/>
                <w:szCs w:val="20"/>
                <w:color w:val="auto"/>
              </w:rPr>
            </w:pPr>
            <w:r>
              <w:rPr>
                <w:rFonts w:ascii="Times New Roman" w:cs="Times New Roman" w:eastAsia="Times New Roman" w:hAnsi="Times New Roman"/>
                <w:sz w:val="12"/>
                <w:szCs w:val="12"/>
                <w:color w:val="auto"/>
                <w:w w:val="95"/>
              </w:rPr>
              <w:t>(3.9)</w:t>
            </w:r>
          </w:p>
        </w:tc>
        <w:tc>
          <w:tcPr>
            <w:tcW w:w="620" w:type="dxa"/>
            <w:vAlign w:val="bottom"/>
          </w:tcPr>
          <w:p>
            <w:pPr>
              <w:jc w:val="center"/>
              <w:ind w:left="201"/>
              <w:spacing w:after="0"/>
              <w:rPr>
                <w:sz w:val="20"/>
                <w:szCs w:val="20"/>
                <w:color w:val="auto"/>
              </w:rPr>
            </w:pPr>
            <w:r>
              <w:rPr>
                <w:rFonts w:ascii="Times New Roman" w:cs="Times New Roman" w:eastAsia="Times New Roman" w:hAnsi="Times New Roman"/>
                <w:sz w:val="12"/>
                <w:szCs w:val="12"/>
                <w:color w:val="auto"/>
                <w:w w:val="95"/>
              </w:rPr>
              <w:t>7.9%</w:t>
            </w:r>
          </w:p>
        </w:tc>
        <w:tc>
          <w:tcPr>
            <w:tcW w:w="1180" w:type="dxa"/>
            <w:vAlign w:val="bottom"/>
            <w:tcBorders>
              <w:right w:val="single" w:sz="8" w:color="auto"/>
            </w:tcBorders>
          </w:tcPr>
          <w:p>
            <w:pPr>
              <w:jc w:val="center"/>
              <w:ind w:left="181"/>
              <w:spacing w:after="0"/>
              <w:rPr>
                <w:sz w:val="20"/>
                <w:szCs w:val="20"/>
                <w:color w:val="auto"/>
              </w:rPr>
            </w:pPr>
            <w:r>
              <w:rPr>
                <w:rFonts w:ascii="Times New Roman" w:cs="Times New Roman" w:eastAsia="Times New Roman" w:hAnsi="Times New Roman"/>
                <w:sz w:val="12"/>
                <w:szCs w:val="12"/>
                <w:color w:val="auto"/>
                <w:w w:val="97"/>
              </w:rPr>
              <w:t>-32.5%</w:t>
            </w:r>
          </w:p>
        </w:tc>
        <w:tc>
          <w:tcPr>
            <w:tcW w:w="0" w:type="dxa"/>
            <w:vAlign w:val="bottom"/>
          </w:tcPr>
          <w:p>
            <w:pPr>
              <w:spacing w:after="0"/>
              <w:rPr>
                <w:sz w:val="1"/>
                <w:szCs w:val="1"/>
                <w:color w:val="auto"/>
              </w:rPr>
            </w:pPr>
          </w:p>
        </w:tc>
      </w:tr>
      <w:tr>
        <w:trPr>
          <w:trHeight w:val="89"/>
        </w:trPr>
        <w:tc>
          <w:tcPr>
            <w:tcW w:w="1120" w:type="dxa"/>
            <w:vAlign w:val="bottom"/>
            <w:tcBorders>
              <w:left w:val="single" w:sz="8" w:color="auto"/>
              <w:right w:val="single" w:sz="8" w:color="auto"/>
            </w:tcBorders>
            <w:vMerge w:val="continue"/>
          </w:tcPr>
          <w:p>
            <w:pPr>
              <w:spacing w:after="0"/>
              <w:rPr>
                <w:sz w:val="7"/>
                <w:szCs w:val="7"/>
                <w:color w:val="auto"/>
              </w:rPr>
            </w:pPr>
          </w:p>
        </w:tc>
        <w:tc>
          <w:tcPr>
            <w:tcW w:w="33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2"/>
                <w:szCs w:val="12"/>
                <w:color w:val="auto"/>
              </w:rPr>
              <w:t>Reinsurance Results</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5"/>
              </w:rPr>
              <w:t>(8.3)</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rPr>
              <w:t>(4.0)</w:t>
            </w:r>
          </w:p>
        </w:tc>
        <w:tc>
          <w:tcPr>
            <w:tcW w:w="880" w:type="dxa"/>
            <w:vAlign w:val="bottom"/>
            <w:tcBorders>
              <w:right w:val="single" w:sz="8" w:color="auto"/>
            </w:tcBorders>
            <w:vMerge w:val="restart"/>
          </w:tcPr>
          <w:p>
            <w:pPr>
              <w:jc w:val="center"/>
              <w:ind w:right="1"/>
              <w:spacing w:after="0"/>
              <w:rPr>
                <w:sz w:val="20"/>
                <w:szCs w:val="20"/>
                <w:color w:val="auto"/>
              </w:rPr>
            </w:pPr>
            <w:r>
              <w:rPr>
                <w:rFonts w:ascii="Times New Roman" w:cs="Times New Roman" w:eastAsia="Times New Roman" w:hAnsi="Times New Roman"/>
                <w:sz w:val="12"/>
                <w:szCs w:val="12"/>
                <w:color w:val="auto"/>
                <w:w w:val="95"/>
              </w:rPr>
              <w:t>(3.9)</w:t>
            </w:r>
          </w:p>
        </w:tc>
        <w:tc>
          <w:tcPr>
            <w:tcW w:w="620" w:type="dxa"/>
            <w:vAlign w:val="bottom"/>
            <w:vMerge w:val="restart"/>
          </w:tcPr>
          <w:p>
            <w:pPr>
              <w:jc w:val="center"/>
              <w:ind w:left="201"/>
              <w:spacing w:after="0"/>
              <w:rPr>
                <w:sz w:val="20"/>
                <w:szCs w:val="20"/>
                <w:color w:val="auto"/>
              </w:rPr>
            </w:pPr>
            <w:r>
              <w:rPr>
                <w:rFonts w:ascii="Times New Roman" w:cs="Times New Roman" w:eastAsia="Times New Roman" w:hAnsi="Times New Roman"/>
                <w:sz w:val="12"/>
                <w:szCs w:val="12"/>
                <w:color w:val="auto"/>
                <w:w w:val="96"/>
              </w:rPr>
              <w:t>-4.0%</w:t>
            </w:r>
          </w:p>
        </w:tc>
        <w:tc>
          <w:tcPr>
            <w:tcW w:w="1180" w:type="dxa"/>
            <w:vAlign w:val="bottom"/>
            <w:tcBorders>
              <w:right w:val="single" w:sz="8" w:color="auto"/>
            </w:tcBorders>
            <w:vMerge w:val="restart"/>
          </w:tcPr>
          <w:p>
            <w:pPr>
              <w:jc w:val="center"/>
              <w:ind w:left="181"/>
              <w:spacing w:after="0"/>
              <w:rPr>
                <w:sz w:val="20"/>
                <w:szCs w:val="20"/>
                <w:color w:val="auto"/>
              </w:rPr>
            </w:pPr>
            <w:r>
              <w:rPr>
                <w:rFonts w:ascii="Times New Roman" w:cs="Times New Roman" w:eastAsia="Times New Roman" w:hAnsi="Times New Roman"/>
                <w:sz w:val="12"/>
                <w:szCs w:val="12"/>
                <w:color w:val="auto"/>
                <w:w w:val="97"/>
              </w:rPr>
              <w:t>-53.6%</w:t>
            </w:r>
          </w:p>
        </w:tc>
        <w:tc>
          <w:tcPr>
            <w:tcW w:w="0" w:type="dxa"/>
            <w:vAlign w:val="bottom"/>
          </w:tcPr>
          <w:p>
            <w:pPr>
              <w:spacing w:after="0"/>
              <w:rPr>
                <w:sz w:val="1"/>
                <w:szCs w:val="1"/>
                <w:color w:val="auto"/>
              </w:rPr>
            </w:pPr>
          </w:p>
        </w:tc>
      </w:tr>
      <w:tr>
        <w:trPr>
          <w:trHeight w:val="89"/>
        </w:trPr>
        <w:tc>
          <w:tcPr>
            <w:tcW w:w="1120" w:type="dxa"/>
            <w:vAlign w:val="bottom"/>
            <w:tcBorders>
              <w:left w:val="single" w:sz="8" w:color="auto"/>
              <w:right w:val="single" w:sz="8" w:color="auto"/>
            </w:tcBorders>
          </w:tcPr>
          <w:p>
            <w:pPr>
              <w:spacing w:after="0"/>
              <w:rPr>
                <w:sz w:val="7"/>
                <w:szCs w:val="7"/>
                <w:color w:val="auto"/>
              </w:rPr>
            </w:pPr>
          </w:p>
        </w:tc>
        <w:tc>
          <w:tcPr>
            <w:tcW w:w="3380" w:type="dxa"/>
            <w:vAlign w:val="bottom"/>
            <w:tcBorders>
              <w:right w:val="single" w:sz="8" w:color="auto"/>
            </w:tcBorders>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880" w:type="dxa"/>
            <w:vAlign w:val="bottom"/>
            <w:tcBorders>
              <w:right w:val="single" w:sz="8" w:color="auto"/>
            </w:tcBorders>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1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3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2"/>
                <w:szCs w:val="12"/>
                <w:b w:val="1"/>
                <w:bCs w:val="1"/>
                <w:color w:val="auto"/>
              </w:rPr>
              <w:t>Insurance Undewrwriting Result</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3"/>
              </w:rPr>
              <w:t>8.7</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10.5</w:t>
            </w:r>
          </w:p>
        </w:tc>
        <w:tc>
          <w:tcPr>
            <w:tcW w:w="880" w:type="dxa"/>
            <w:vAlign w:val="bottom"/>
            <w:tcBorders>
              <w:bottom w:val="single" w:sz="8" w:color="auto"/>
              <w:right w:val="single" w:sz="8" w:color="auto"/>
            </w:tcBorders>
          </w:tcPr>
          <w:p>
            <w:pPr>
              <w:jc w:val="center"/>
              <w:ind w:right="1"/>
              <w:spacing w:after="0"/>
              <w:rPr>
                <w:sz w:val="20"/>
                <w:szCs w:val="20"/>
                <w:color w:val="auto"/>
              </w:rPr>
            </w:pPr>
            <w:r>
              <w:rPr>
                <w:rFonts w:ascii="Times New Roman" w:cs="Times New Roman" w:eastAsia="Times New Roman" w:hAnsi="Times New Roman"/>
                <w:sz w:val="12"/>
                <w:szCs w:val="12"/>
                <w:b w:val="1"/>
                <w:bCs w:val="1"/>
                <w:color w:val="auto"/>
              </w:rPr>
              <w:t>10.9</w:t>
            </w:r>
          </w:p>
        </w:tc>
        <w:tc>
          <w:tcPr>
            <w:tcW w:w="620" w:type="dxa"/>
            <w:vAlign w:val="bottom"/>
            <w:tcBorders>
              <w:bottom w:val="single" w:sz="8" w:color="auto"/>
            </w:tcBorders>
          </w:tcPr>
          <w:p>
            <w:pPr>
              <w:jc w:val="center"/>
              <w:ind w:left="201"/>
              <w:spacing w:after="0"/>
              <w:rPr>
                <w:sz w:val="20"/>
                <w:szCs w:val="20"/>
                <w:color w:val="auto"/>
              </w:rPr>
            </w:pPr>
            <w:r>
              <w:rPr>
                <w:rFonts w:ascii="Times New Roman" w:cs="Times New Roman" w:eastAsia="Times New Roman" w:hAnsi="Times New Roman"/>
                <w:sz w:val="12"/>
                <w:szCs w:val="12"/>
                <w:b w:val="1"/>
                <w:bCs w:val="1"/>
                <w:color w:val="auto"/>
              </w:rPr>
              <w:t>3.3%</w:t>
            </w:r>
          </w:p>
        </w:tc>
        <w:tc>
          <w:tcPr>
            <w:tcW w:w="1180" w:type="dxa"/>
            <w:vAlign w:val="bottom"/>
            <w:tcBorders>
              <w:bottom w:val="single" w:sz="8" w:color="auto"/>
              <w:right w:val="single" w:sz="8" w:color="auto"/>
            </w:tcBorders>
          </w:tcPr>
          <w:p>
            <w:pPr>
              <w:jc w:val="center"/>
              <w:ind w:left="201"/>
              <w:spacing w:after="0"/>
              <w:rPr>
                <w:sz w:val="20"/>
                <w:szCs w:val="20"/>
                <w:color w:val="auto"/>
              </w:rPr>
            </w:pPr>
            <w:r>
              <w:rPr>
                <w:rFonts w:ascii="Times New Roman" w:cs="Times New Roman" w:eastAsia="Times New Roman" w:hAnsi="Times New Roman"/>
                <w:sz w:val="12"/>
                <w:szCs w:val="12"/>
                <w:b w:val="1"/>
                <w:bCs w:val="1"/>
                <w:color w:val="auto"/>
                <w:w w:val="96"/>
              </w:rPr>
              <w:t>25.2%</w:t>
            </w:r>
          </w:p>
        </w:tc>
        <w:tc>
          <w:tcPr>
            <w:tcW w:w="0" w:type="dxa"/>
            <w:vAlign w:val="bottom"/>
          </w:tcPr>
          <w:p>
            <w:pPr>
              <w:spacing w:after="0"/>
              <w:rPr>
                <w:sz w:val="1"/>
                <w:szCs w:val="1"/>
                <w:color w:val="auto"/>
              </w:rPr>
            </w:pPr>
          </w:p>
        </w:tc>
      </w:tr>
      <w:tr>
        <w:trPr>
          <w:trHeight w:val="163"/>
        </w:trPr>
        <w:tc>
          <w:tcPr>
            <w:tcW w:w="1120" w:type="dxa"/>
            <w:vAlign w:val="bottom"/>
            <w:tcBorders>
              <w:left w:val="single" w:sz="8" w:color="auto"/>
              <w:right w:val="single" w:sz="8" w:color="auto"/>
            </w:tcBorders>
          </w:tcPr>
          <w:p>
            <w:pPr>
              <w:spacing w:after="0"/>
              <w:rPr>
                <w:sz w:val="14"/>
                <w:szCs w:val="14"/>
                <w:color w:val="auto"/>
              </w:rPr>
            </w:pPr>
          </w:p>
        </w:tc>
        <w:tc>
          <w:tcPr>
            <w:tcW w:w="3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2"/>
                <w:szCs w:val="12"/>
                <w:color w:val="auto"/>
              </w:rPr>
              <w:t>Insurance Service Income</w:t>
            </w:r>
          </w:p>
        </w:tc>
        <w:tc>
          <w:tcPr>
            <w:tcW w:w="8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130.1</w:t>
            </w:r>
          </w:p>
        </w:tc>
        <w:tc>
          <w:tcPr>
            <w:tcW w:w="9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406.6</w:t>
            </w:r>
          </w:p>
        </w:tc>
        <w:tc>
          <w:tcPr>
            <w:tcW w:w="880" w:type="dxa"/>
            <w:vAlign w:val="bottom"/>
            <w:tcBorders>
              <w:right w:val="single" w:sz="8" w:color="auto"/>
            </w:tcBorders>
          </w:tcPr>
          <w:p>
            <w:pPr>
              <w:jc w:val="center"/>
              <w:ind w:right="1"/>
              <w:spacing w:after="0"/>
              <w:rPr>
                <w:sz w:val="20"/>
                <w:szCs w:val="20"/>
                <w:color w:val="auto"/>
              </w:rPr>
            </w:pPr>
            <w:r>
              <w:rPr>
                <w:rFonts w:ascii="Times New Roman" w:cs="Times New Roman" w:eastAsia="Times New Roman" w:hAnsi="Times New Roman"/>
                <w:sz w:val="12"/>
                <w:szCs w:val="12"/>
                <w:color w:val="auto"/>
                <w:w w:val="96"/>
              </w:rPr>
              <w:t>415.2</w:t>
            </w:r>
          </w:p>
        </w:tc>
        <w:tc>
          <w:tcPr>
            <w:tcW w:w="620" w:type="dxa"/>
            <w:vAlign w:val="bottom"/>
          </w:tcPr>
          <w:p>
            <w:pPr>
              <w:jc w:val="center"/>
              <w:ind w:left="201"/>
              <w:spacing w:after="0"/>
              <w:rPr>
                <w:sz w:val="20"/>
                <w:szCs w:val="20"/>
                <w:color w:val="auto"/>
              </w:rPr>
            </w:pPr>
            <w:r>
              <w:rPr>
                <w:rFonts w:ascii="Times New Roman" w:cs="Times New Roman" w:eastAsia="Times New Roman" w:hAnsi="Times New Roman"/>
                <w:sz w:val="12"/>
                <w:szCs w:val="12"/>
                <w:color w:val="auto"/>
                <w:w w:val="95"/>
              </w:rPr>
              <w:t>2.1%</w:t>
            </w:r>
          </w:p>
        </w:tc>
        <w:tc>
          <w:tcPr>
            <w:tcW w:w="1180" w:type="dxa"/>
            <w:vAlign w:val="bottom"/>
            <w:tcBorders>
              <w:right w:val="single" w:sz="8" w:color="auto"/>
            </w:tcBorders>
          </w:tcPr>
          <w:p>
            <w:pPr>
              <w:jc w:val="center"/>
              <w:ind w:left="181"/>
              <w:spacing w:after="0"/>
              <w:rPr>
                <w:sz w:val="20"/>
                <w:szCs w:val="20"/>
                <w:color w:val="auto"/>
              </w:rPr>
            </w:pPr>
            <w:r>
              <w:rPr>
                <w:rFonts w:ascii="Times New Roman" w:cs="Times New Roman" w:eastAsia="Times New Roman" w:hAnsi="Times New Roman"/>
                <w:sz w:val="12"/>
                <w:szCs w:val="12"/>
                <w:color w:val="auto"/>
              </w:rPr>
              <w:t>n.a.</w:t>
            </w:r>
          </w:p>
        </w:tc>
        <w:tc>
          <w:tcPr>
            <w:tcW w:w="0" w:type="dxa"/>
            <w:vAlign w:val="bottom"/>
          </w:tcPr>
          <w:p>
            <w:pPr>
              <w:spacing w:after="0"/>
              <w:rPr>
                <w:sz w:val="1"/>
                <w:szCs w:val="1"/>
                <w:color w:val="auto"/>
              </w:rPr>
            </w:pPr>
          </w:p>
        </w:tc>
      </w:tr>
      <w:tr>
        <w:trPr>
          <w:trHeight w:val="178"/>
        </w:trPr>
        <w:tc>
          <w:tcPr>
            <w:tcW w:w="11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w w:val="96"/>
              </w:rPr>
              <w:t>EPS</w:t>
            </w:r>
          </w:p>
        </w:tc>
        <w:tc>
          <w:tcPr>
            <w:tcW w:w="3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2"/>
                <w:szCs w:val="12"/>
                <w:color w:val="auto"/>
              </w:rPr>
              <w:t>Insurance Service Expenses</w:t>
            </w:r>
          </w:p>
        </w:tc>
        <w:tc>
          <w:tcPr>
            <w:tcW w:w="8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(122.9)</w:t>
            </w:r>
          </w:p>
        </w:tc>
        <w:tc>
          <w:tcPr>
            <w:tcW w:w="9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(374.1)</w:t>
            </w:r>
          </w:p>
        </w:tc>
        <w:tc>
          <w:tcPr>
            <w:tcW w:w="880" w:type="dxa"/>
            <w:vAlign w:val="bottom"/>
            <w:tcBorders>
              <w:right w:val="single" w:sz="8" w:color="auto"/>
            </w:tcBorders>
          </w:tcPr>
          <w:p>
            <w:pPr>
              <w:jc w:val="center"/>
              <w:ind w:right="1"/>
              <w:spacing w:after="0"/>
              <w:rPr>
                <w:sz w:val="20"/>
                <w:szCs w:val="20"/>
                <w:color w:val="auto"/>
              </w:rPr>
            </w:pPr>
            <w:r>
              <w:rPr>
                <w:rFonts w:ascii="Times New Roman" w:cs="Times New Roman" w:eastAsia="Times New Roman" w:hAnsi="Times New Roman"/>
                <w:sz w:val="12"/>
                <w:szCs w:val="12"/>
                <w:color w:val="auto"/>
                <w:w w:val="97"/>
              </w:rPr>
              <w:t>(409.5)</w:t>
            </w:r>
          </w:p>
        </w:tc>
        <w:tc>
          <w:tcPr>
            <w:tcW w:w="620" w:type="dxa"/>
            <w:vAlign w:val="bottom"/>
          </w:tcPr>
          <w:p>
            <w:pPr>
              <w:jc w:val="center"/>
              <w:ind w:left="201"/>
              <w:spacing w:after="0"/>
              <w:rPr>
                <w:sz w:val="20"/>
                <w:szCs w:val="20"/>
                <w:color w:val="auto"/>
              </w:rPr>
            </w:pPr>
            <w:r>
              <w:rPr>
                <w:rFonts w:ascii="Times New Roman" w:cs="Times New Roman" w:eastAsia="Times New Roman" w:hAnsi="Times New Roman"/>
                <w:sz w:val="12"/>
                <w:szCs w:val="12"/>
                <w:color w:val="auto"/>
                <w:w w:val="95"/>
              </w:rPr>
              <w:t>9.4%</w:t>
            </w:r>
          </w:p>
        </w:tc>
        <w:tc>
          <w:tcPr>
            <w:tcW w:w="1180" w:type="dxa"/>
            <w:vAlign w:val="bottom"/>
            <w:tcBorders>
              <w:right w:val="single" w:sz="8" w:color="auto"/>
            </w:tcBorders>
          </w:tcPr>
          <w:p>
            <w:pPr>
              <w:jc w:val="center"/>
              <w:ind w:left="181"/>
              <w:spacing w:after="0"/>
              <w:rPr>
                <w:sz w:val="20"/>
                <w:szCs w:val="20"/>
                <w:color w:val="auto"/>
              </w:rPr>
            </w:pPr>
            <w:r>
              <w:rPr>
                <w:rFonts w:ascii="Times New Roman" w:cs="Times New Roman" w:eastAsia="Times New Roman" w:hAnsi="Times New Roman"/>
                <w:sz w:val="12"/>
                <w:szCs w:val="12"/>
                <w:color w:val="auto"/>
              </w:rPr>
              <w:t>n.a.</w:t>
            </w:r>
          </w:p>
        </w:tc>
        <w:tc>
          <w:tcPr>
            <w:tcW w:w="0" w:type="dxa"/>
            <w:vAlign w:val="bottom"/>
          </w:tcPr>
          <w:p>
            <w:pPr>
              <w:spacing w:after="0"/>
              <w:rPr>
                <w:sz w:val="1"/>
                <w:szCs w:val="1"/>
                <w:color w:val="auto"/>
              </w:rPr>
            </w:pPr>
          </w:p>
        </w:tc>
      </w:tr>
      <w:tr>
        <w:trPr>
          <w:trHeight w:val="89"/>
        </w:trPr>
        <w:tc>
          <w:tcPr>
            <w:tcW w:w="1120" w:type="dxa"/>
            <w:vAlign w:val="bottom"/>
            <w:tcBorders>
              <w:left w:val="single" w:sz="8" w:color="auto"/>
              <w:right w:val="single" w:sz="8" w:color="auto"/>
            </w:tcBorders>
            <w:vMerge w:val="continue"/>
          </w:tcPr>
          <w:p>
            <w:pPr>
              <w:spacing w:after="0"/>
              <w:rPr>
                <w:sz w:val="7"/>
                <w:szCs w:val="7"/>
                <w:color w:val="auto"/>
              </w:rPr>
            </w:pPr>
          </w:p>
        </w:tc>
        <w:tc>
          <w:tcPr>
            <w:tcW w:w="33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2"/>
                <w:szCs w:val="12"/>
                <w:color w:val="auto"/>
              </w:rPr>
              <w:t>Reinsurance Results</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5"/>
              </w:rPr>
              <w:t>(0.4)</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rPr>
              <w:t>0.0</w:t>
            </w:r>
          </w:p>
        </w:tc>
        <w:tc>
          <w:tcPr>
            <w:tcW w:w="880" w:type="dxa"/>
            <w:vAlign w:val="bottom"/>
            <w:tcBorders>
              <w:right w:val="single" w:sz="8" w:color="auto"/>
            </w:tcBorders>
            <w:vMerge w:val="restart"/>
          </w:tcPr>
          <w:p>
            <w:pPr>
              <w:jc w:val="center"/>
              <w:ind w:right="1"/>
              <w:spacing w:after="0"/>
              <w:rPr>
                <w:sz w:val="20"/>
                <w:szCs w:val="20"/>
                <w:color w:val="auto"/>
              </w:rPr>
            </w:pPr>
            <w:r>
              <w:rPr>
                <w:rFonts w:ascii="Times New Roman" w:cs="Times New Roman" w:eastAsia="Times New Roman" w:hAnsi="Times New Roman"/>
                <w:sz w:val="12"/>
                <w:szCs w:val="12"/>
                <w:color w:val="auto"/>
                <w:w w:val="93"/>
              </w:rPr>
              <w:t>0.0</w:t>
            </w:r>
          </w:p>
        </w:tc>
        <w:tc>
          <w:tcPr>
            <w:tcW w:w="620" w:type="dxa"/>
            <w:vAlign w:val="bottom"/>
            <w:vMerge w:val="restart"/>
          </w:tcPr>
          <w:p>
            <w:pPr>
              <w:jc w:val="center"/>
              <w:ind w:left="201"/>
              <w:spacing w:after="0"/>
              <w:rPr>
                <w:sz w:val="20"/>
                <w:szCs w:val="20"/>
                <w:color w:val="auto"/>
              </w:rPr>
            </w:pPr>
            <w:r>
              <w:rPr>
                <w:rFonts w:ascii="Times New Roman" w:cs="Times New Roman" w:eastAsia="Times New Roman" w:hAnsi="Times New Roman"/>
                <w:sz w:val="12"/>
                <w:szCs w:val="12"/>
                <w:color w:val="auto"/>
                <w:w w:val="95"/>
              </w:rPr>
              <w:t>0.0%</w:t>
            </w:r>
          </w:p>
        </w:tc>
        <w:tc>
          <w:tcPr>
            <w:tcW w:w="1180" w:type="dxa"/>
            <w:vAlign w:val="bottom"/>
            <w:tcBorders>
              <w:right w:val="single" w:sz="8" w:color="auto"/>
            </w:tcBorders>
            <w:vMerge w:val="restart"/>
          </w:tcPr>
          <w:p>
            <w:pPr>
              <w:jc w:val="center"/>
              <w:ind w:left="181"/>
              <w:spacing w:after="0"/>
              <w:rPr>
                <w:sz w:val="20"/>
                <w:szCs w:val="20"/>
                <w:color w:val="auto"/>
              </w:rPr>
            </w:pPr>
            <w:r>
              <w:rPr>
                <w:rFonts w:ascii="Times New Roman" w:cs="Times New Roman" w:eastAsia="Times New Roman" w:hAnsi="Times New Roman"/>
                <w:sz w:val="12"/>
                <w:szCs w:val="12"/>
                <w:color w:val="auto"/>
              </w:rPr>
              <w:t>n.a.</w:t>
            </w:r>
          </w:p>
        </w:tc>
        <w:tc>
          <w:tcPr>
            <w:tcW w:w="0" w:type="dxa"/>
            <w:vAlign w:val="bottom"/>
          </w:tcPr>
          <w:p>
            <w:pPr>
              <w:spacing w:after="0"/>
              <w:rPr>
                <w:sz w:val="1"/>
                <w:szCs w:val="1"/>
                <w:color w:val="auto"/>
              </w:rPr>
            </w:pPr>
          </w:p>
        </w:tc>
      </w:tr>
      <w:tr>
        <w:trPr>
          <w:trHeight w:val="89"/>
        </w:trPr>
        <w:tc>
          <w:tcPr>
            <w:tcW w:w="1120" w:type="dxa"/>
            <w:vAlign w:val="bottom"/>
            <w:tcBorders>
              <w:left w:val="single" w:sz="8" w:color="auto"/>
              <w:right w:val="single" w:sz="8" w:color="auto"/>
            </w:tcBorders>
          </w:tcPr>
          <w:p>
            <w:pPr>
              <w:spacing w:after="0"/>
              <w:rPr>
                <w:sz w:val="7"/>
                <w:szCs w:val="7"/>
                <w:color w:val="auto"/>
              </w:rPr>
            </w:pPr>
          </w:p>
        </w:tc>
        <w:tc>
          <w:tcPr>
            <w:tcW w:w="3380" w:type="dxa"/>
            <w:vAlign w:val="bottom"/>
            <w:tcBorders>
              <w:right w:val="single" w:sz="8" w:color="auto"/>
            </w:tcBorders>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880" w:type="dxa"/>
            <w:vAlign w:val="bottom"/>
            <w:tcBorders>
              <w:right w:val="single" w:sz="8" w:color="auto"/>
            </w:tcBorders>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1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3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2"/>
                <w:szCs w:val="12"/>
                <w:b w:val="1"/>
                <w:bCs w:val="1"/>
                <w:color w:val="auto"/>
              </w:rPr>
              <w:t>Insurance Undewrwriting Result</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3"/>
              </w:rPr>
              <w:t>6.8</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32.4</w:t>
            </w:r>
          </w:p>
        </w:tc>
        <w:tc>
          <w:tcPr>
            <w:tcW w:w="880" w:type="dxa"/>
            <w:vAlign w:val="bottom"/>
            <w:tcBorders>
              <w:bottom w:val="single" w:sz="8" w:color="auto"/>
              <w:right w:val="single" w:sz="8" w:color="auto"/>
            </w:tcBorders>
          </w:tcPr>
          <w:p>
            <w:pPr>
              <w:jc w:val="center"/>
              <w:ind w:right="1"/>
              <w:spacing w:after="0"/>
              <w:rPr>
                <w:sz w:val="20"/>
                <w:szCs w:val="20"/>
                <w:color w:val="auto"/>
              </w:rPr>
            </w:pPr>
            <w:r>
              <w:rPr>
                <w:rFonts w:ascii="Times New Roman" w:cs="Times New Roman" w:eastAsia="Times New Roman" w:hAnsi="Times New Roman"/>
                <w:sz w:val="12"/>
                <w:szCs w:val="12"/>
                <w:b w:val="1"/>
                <w:bCs w:val="1"/>
                <w:color w:val="auto"/>
                <w:w w:val="93"/>
              </w:rPr>
              <w:t>5.7</w:t>
            </w:r>
          </w:p>
        </w:tc>
        <w:tc>
          <w:tcPr>
            <w:tcW w:w="620" w:type="dxa"/>
            <w:vAlign w:val="bottom"/>
            <w:tcBorders>
              <w:bottom w:val="single" w:sz="8" w:color="auto"/>
            </w:tcBorders>
          </w:tcPr>
          <w:p>
            <w:pPr>
              <w:jc w:val="center"/>
              <w:ind w:left="201"/>
              <w:spacing w:after="0"/>
              <w:rPr>
                <w:sz w:val="20"/>
                <w:szCs w:val="20"/>
                <w:color w:val="auto"/>
              </w:rPr>
            </w:pPr>
            <w:r>
              <w:rPr>
                <w:rFonts w:ascii="Times New Roman" w:cs="Times New Roman" w:eastAsia="Times New Roman" w:hAnsi="Times New Roman"/>
                <w:sz w:val="12"/>
                <w:szCs w:val="12"/>
                <w:b w:val="1"/>
                <w:bCs w:val="1"/>
                <w:color w:val="auto"/>
                <w:w w:val="97"/>
              </w:rPr>
              <w:t>-82.4%</w:t>
            </w:r>
          </w:p>
        </w:tc>
        <w:tc>
          <w:tcPr>
            <w:tcW w:w="1180" w:type="dxa"/>
            <w:vAlign w:val="bottom"/>
            <w:tcBorders>
              <w:bottom w:val="single" w:sz="8" w:color="auto"/>
              <w:right w:val="single" w:sz="8" w:color="auto"/>
            </w:tcBorders>
          </w:tcPr>
          <w:p>
            <w:pPr>
              <w:jc w:val="center"/>
              <w:ind w:left="181"/>
              <w:spacing w:after="0"/>
              <w:rPr>
                <w:sz w:val="20"/>
                <w:szCs w:val="20"/>
                <w:color w:val="auto"/>
              </w:rPr>
            </w:pPr>
            <w:r>
              <w:rPr>
                <w:rFonts w:ascii="Times New Roman" w:cs="Times New Roman" w:eastAsia="Times New Roman" w:hAnsi="Times New Roman"/>
                <w:sz w:val="12"/>
                <w:szCs w:val="12"/>
                <w:b w:val="1"/>
                <w:bCs w:val="1"/>
                <w:color w:val="auto"/>
                <w:w w:val="96"/>
              </w:rPr>
              <w:t>n.a.</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7"/>
          <w:szCs w:val="17"/>
          <w:color w:val="auto"/>
        </w:rPr>
        <w:t>QoQ, the Insurance Underwriting Result dropped 6.8%, driven by an uptick in Insurance Service Expenses (+19.8%) and a reduction in Insurance Service Income (-2.1%). This evolution was partially offset by a more favorable reinsurance result (-76.4%).</w:t>
      </w:r>
    </w:p>
    <w:p>
      <w:pPr>
        <w:spacing w:after="0" w:line="2" w:lineRule="exact"/>
        <w:rPr>
          <w:sz w:val="20"/>
          <w:szCs w:val="20"/>
          <w:color w:val="auto"/>
        </w:rPr>
      </w:pPr>
    </w:p>
    <w:p>
      <w:pPr>
        <w:ind w:right="660"/>
        <w:spacing w:after="0" w:line="258" w:lineRule="auto"/>
        <w:rPr>
          <w:sz w:val="20"/>
          <w:szCs w:val="20"/>
          <w:color w:val="auto"/>
        </w:rPr>
      </w:pPr>
      <w:r>
        <w:rPr>
          <w:rFonts w:ascii="Times New Roman" w:cs="Times New Roman" w:eastAsia="Times New Roman" w:hAnsi="Times New Roman"/>
          <w:sz w:val="17"/>
          <w:szCs w:val="17"/>
          <w:color w:val="auto"/>
        </w:rPr>
        <w:t>YoY, the Insurance Underwriting Result fell 9.1%, fueled by an uptick in Insurance Service Expenses (+55.8%), which was partially offset by an increase in Insurance Service Income (+25.2%) and a more favorable Reinsurance Result (-46.2%).</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 &amp;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3225165</wp:posOffset>
            </wp:positionV>
            <wp:extent cx="7140575" cy="1587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0575" cy="15875"/>
                    </a:xfrm>
                    <a:prstGeom prst="rect">
                      <a:avLst/>
                    </a:prstGeom>
                    <a:noFill/>
                  </pic:spPr>
                </pic:pic>
              </a:graphicData>
            </a:graphic>
          </wp:anchor>
        </w:drawing>
        <w:drawing>
          <wp:anchor simplePos="0" relativeHeight="251657728" behindDoc="1" locked="0" layoutInCell="0" allowOverlap="1">
            <wp:simplePos x="0" y="0"/>
            <wp:positionH relativeFrom="column">
              <wp:posOffset>331470</wp:posOffset>
            </wp:positionH>
            <wp:positionV relativeFrom="paragraph">
              <wp:posOffset>146685</wp:posOffset>
            </wp:positionV>
            <wp:extent cx="6447155" cy="28124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447155" cy="2812415"/>
                    </a:xfrm>
                    <a:prstGeom prst="rect">
                      <a:avLst/>
                    </a:prstGeom>
                    <a:noFill/>
                  </pic:spPr>
                </pic:pic>
              </a:graphicData>
            </a:graphic>
          </wp:anchor>
        </w:drawing>
      </w:r>
    </w:p>
    <w:p>
      <w:pPr>
        <w:sectPr>
          <w:pgSz w:w="11900" w:h="16838" w:orient="portrait"/>
          <w:cols w:equalWidth="0" w:num="1">
            <w:col w:w="11220"/>
          </w:cols>
          <w:pgMar w:left="320" w:top="745" w:right="359" w:bottom="1440" w:gutter="0" w:footer="0" w:header="0"/>
        </w:sectPr>
      </w:pPr>
    </w:p>
    <w:bookmarkStart w:id="35" w:name="page36"/>
    <w:bookmarkEnd w:id="35"/>
    <w:p>
      <w:pPr>
        <w:ind w:left="3180"/>
        <w:spacing w:after="0"/>
        <w:tabs>
          <w:tab w:leader="none" w:pos="3380" w:val="left"/>
          <w:tab w:leader="none" w:pos="9060" w:val="left"/>
        </w:tabs>
        <w:rPr>
          <w:sz w:val="20"/>
          <w:szCs w:val="20"/>
          <w:color w:val="auto"/>
        </w:rPr>
      </w:pPr>
      <w:r>
        <w:rPr>
          <w:rFonts w:ascii="Times New Roman" w:cs="Times New Roman" w:eastAsia="Times New Roman" w:hAnsi="Times New Roman"/>
          <w:sz w:val="17"/>
          <w:szCs w:val="17"/>
          <w:b w:val="1"/>
          <w:bCs w:val="1"/>
          <w:color w:val="A6A6A6"/>
        </w:rPr>
        <w:drawing>
          <wp:anchor simplePos="0" relativeHeight="251657728" behindDoc="1" locked="0" layoutInCell="0" allowOverlap="1">
            <wp:simplePos x="0" y="0"/>
            <wp:positionH relativeFrom="page">
              <wp:posOffset>204470</wp:posOffset>
            </wp:positionH>
            <wp:positionV relativeFrom="page">
              <wp:posOffset>346710</wp:posOffset>
            </wp:positionV>
            <wp:extent cx="7140575" cy="6927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0575" cy="692785"/>
                    </a:xfrm>
                    <a:prstGeom prst="rect">
                      <a:avLst/>
                    </a:prstGeom>
                    <a:noFill/>
                  </pic:spPr>
                </pic:pic>
              </a:graphicData>
            </a:graphic>
          </wp:anchor>
        </w:drawing>
        <w:t>|</w:t>
      </w:r>
      <w:r>
        <w:rPr>
          <w:sz w:val="20"/>
          <w:szCs w:val="20"/>
          <w:color w:val="auto"/>
        </w:rPr>
        <w:tab/>
      </w:r>
      <w:r>
        <w:rPr>
          <w:rFonts w:ascii="Times New Roman" w:cs="Times New Roman" w:eastAsia="Times New Roman" w:hAnsi="Times New Roman"/>
          <w:sz w:val="14"/>
          <w:szCs w:val="14"/>
          <w:color w:val="FFFFFF"/>
        </w:rPr>
        <w:t>Earnings Release 1Q / 2026</w:t>
      </w:r>
      <w:r>
        <w:rPr>
          <w:sz w:val="20"/>
          <w:szCs w:val="20"/>
          <w:color w:val="auto"/>
        </w:rPr>
        <w:tab/>
      </w:r>
      <w:r>
        <w:rPr>
          <w:rFonts w:ascii="Times New Roman" w:cs="Times New Roman" w:eastAsia="Times New Roman" w:hAnsi="Times New Roman"/>
          <w:sz w:val="12"/>
          <w:szCs w:val="12"/>
          <w:color w:val="FF00FF"/>
        </w:rPr>
        <w:t>Analysis of 1Q26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313055</wp:posOffset>
            </wp:positionV>
            <wp:extent cx="7140575" cy="2578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0575" cy="25781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FFFFFF"/>
        </w:rPr>
        <w:t>07. Insurance Underwriting and Medical Services Results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QoQ, the Insurance Underwriting Result fell 22.0%, driven by the following dynamics:</w:t>
      </w:r>
    </w:p>
    <w:p>
      <w:pPr>
        <w:spacing w:after="0" w:line="23" w:lineRule="exact"/>
        <w:rPr>
          <w:sz w:val="20"/>
          <w:szCs w:val="20"/>
          <w:color w:val="auto"/>
        </w:rPr>
      </w:pPr>
    </w:p>
    <w:p>
      <w:pPr>
        <w:jc w:val="both"/>
        <w:ind w:left="760" w:hanging="314"/>
        <w:spacing w:after="0" w:line="249" w:lineRule="auto"/>
        <w:tabs>
          <w:tab w:leader="none" w:pos="76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Insurance Service Income dropped 9.2%, fueled mainly by (i) Personal lines, which reported a drop in premiums for the Card Protection Product due to a base effect in 4Q25, when extraordinary premiums were recorded, (ii) Commercial lines and Cars, which registered a reduction in premiums due to seasonality, and (iii) Medical Assistance.</w:t>
      </w:r>
    </w:p>
    <w:p>
      <w:pPr>
        <w:ind w:left="760" w:hanging="314"/>
        <w:spacing w:after="0" w:line="249" w:lineRule="auto"/>
        <w:tabs>
          <w:tab w:leader="none" w:pos="76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Insurance Service Expenses increased 44.1%, driven primarily by Commercial lines, which reported growth in claims in the Third-party Liability and Fire lines (100% ceded to reinsurer).</w:t>
      </w:r>
    </w:p>
    <w:p>
      <w:pPr>
        <w:ind w:left="760" w:hanging="314"/>
        <w:spacing w:after="0" w:line="258" w:lineRule="auto"/>
        <w:tabs>
          <w:tab w:leader="none" w:pos="76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Reinsurance result improved, after an uptick was recorded in claims recovered from the reinsurer in Commercial Lines, which rose on the back of higher claims.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YoY, the Insurance Underwriting Result dropped 13.7%, fueled by the following dynamics:</w:t>
      </w:r>
    </w:p>
    <w:p>
      <w:pPr>
        <w:spacing w:after="0" w:line="23" w:lineRule="exact"/>
        <w:rPr>
          <w:sz w:val="20"/>
          <w:szCs w:val="20"/>
          <w:color w:val="auto"/>
        </w:rPr>
      </w:pPr>
    </w:p>
    <w:p>
      <w:pPr>
        <w:ind w:left="760" w:right="440" w:hanging="314"/>
        <w:spacing w:after="0" w:line="249" w:lineRule="auto"/>
        <w:tabs>
          <w:tab w:leader="none" w:pos="76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Insurance Service Income dropped 5.5%, led mainly by (i) Commercial lines, and (ii) Cars, both impacted by a drop in premium renewals and in the exchange rate.</w:t>
      </w:r>
    </w:p>
    <w:p>
      <w:pPr>
        <w:ind w:left="760" w:hanging="314"/>
        <w:spacing w:after="0"/>
        <w:tabs>
          <w:tab w:leader="none" w:pos="76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Insurance Underwriting Expenses rose 10.1%, driven by the same dynamics seen QoQ.</w:t>
      </w:r>
    </w:p>
    <w:p>
      <w:pPr>
        <w:spacing w:after="0" w:line="7" w:lineRule="exact"/>
        <w:rPr>
          <w:rFonts w:ascii="Times New Roman" w:cs="Times New Roman" w:eastAsia="Times New Roman" w:hAnsi="Times New Roman"/>
          <w:sz w:val="17"/>
          <w:szCs w:val="17"/>
          <w:color w:val="auto"/>
        </w:rPr>
      </w:pPr>
    </w:p>
    <w:p>
      <w:pPr>
        <w:ind w:left="760" w:hanging="314"/>
        <w:spacing w:after="0"/>
        <w:tabs>
          <w:tab w:leader="none" w:pos="76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Reinsurance Result improved, fueled by the same dynamics in play QoQ.</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Life</w:t>
      </w:r>
    </w:p>
    <w:p>
      <w:pPr>
        <w:spacing w:after="0" w:line="211" w:lineRule="exact"/>
        <w:rPr>
          <w:sz w:val="20"/>
          <w:szCs w:val="20"/>
          <w:color w:val="auto"/>
        </w:rPr>
      </w:pPr>
    </w:p>
    <w:p>
      <w:pPr>
        <w:ind w:left="1760"/>
        <w:spacing w:after="0"/>
        <w:tabs>
          <w:tab w:leader="none" w:pos="7520" w:val="left"/>
        </w:tabs>
        <w:rPr>
          <w:sz w:val="20"/>
          <w:szCs w:val="20"/>
          <w:color w:val="auto"/>
        </w:rPr>
      </w:pPr>
      <w:r>
        <w:rPr>
          <w:rFonts w:ascii="Times New Roman" w:cs="Times New Roman" w:eastAsia="Times New Roman" w:hAnsi="Times New Roman"/>
          <w:sz w:val="17"/>
          <w:szCs w:val="17"/>
          <w:b w:val="1"/>
          <w:bCs w:val="1"/>
          <w:color w:val="auto"/>
        </w:rPr>
        <w:t>Insurance Service Income</w:t>
      </w:r>
      <w:r>
        <w:rPr>
          <w:sz w:val="20"/>
          <w:szCs w:val="20"/>
          <w:color w:val="auto"/>
        </w:rPr>
        <w:tab/>
      </w:r>
      <w:r>
        <w:rPr>
          <w:rFonts w:ascii="Times New Roman" w:cs="Times New Roman" w:eastAsia="Times New Roman" w:hAnsi="Times New Roman"/>
          <w:sz w:val="16"/>
          <w:szCs w:val="16"/>
          <w:b w:val="1"/>
          <w:bCs w:val="1"/>
          <w:color w:val="auto"/>
        </w:rPr>
        <w:t>Insurance Service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6915150" cy="23450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915150" cy="2345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QoQ, the Insurance Underwriting Result increased 4.9%, driven by the following dynamics:</w:t>
      </w:r>
    </w:p>
    <w:p>
      <w:pPr>
        <w:spacing w:after="0" w:line="23" w:lineRule="exact"/>
        <w:rPr>
          <w:sz w:val="20"/>
          <w:szCs w:val="20"/>
          <w:color w:val="auto"/>
        </w:rPr>
      </w:pPr>
    </w:p>
    <w:p>
      <w:pPr>
        <w:ind w:left="760" w:hanging="314"/>
        <w:spacing w:after="0" w:line="249" w:lineRule="auto"/>
        <w:tabs>
          <w:tab w:leader="none" w:pos="76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Insurance Service Income dropped 0.7%, fueled mainly by the evolution in Individual Life and D&amp;S. The aforementioned was attenuated by Credit Life, which registered higher premiums in the Bancassurance and Alliance channel.</w:t>
      </w:r>
    </w:p>
    <w:p>
      <w:pPr>
        <w:jc w:val="both"/>
        <w:ind w:left="760" w:hanging="314"/>
        <w:spacing w:after="0" w:line="249" w:lineRule="auto"/>
        <w:tabs>
          <w:tab w:leader="none" w:pos="76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Insurance Service Expenses dropped 14.2%, due primarily to (i) D&amp;S, which reported an uptick in releases of reserves for claims under SISCO, and (ii) Annuities, due to a base effect associated with onerous contracts in 4Q25. These dynamics were partially offset by Group Life, which registered an increase in claims costs due to inflation in SCTR (excluding this inflation-related costs, lower claims were recorded).</w:t>
      </w:r>
    </w:p>
    <w:p>
      <w:pPr>
        <w:ind w:left="760" w:hanging="314"/>
        <w:spacing w:after="0" w:line="258" w:lineRule="auto"/>
        <w:tabs>
          <w:tab w:leader="none" w:pos="76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Insurance Underwriting Result dropped due to the evolution of D&amp;S, which reported a decrease in claims recovered from the reinsurer (as indicated above).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YoY, the Insurance Underwriting Result decreased 2.5%, fueled by the following:</w:t>
      </w:r>
    </w:p>
    <w:p>
      <w:pPr>
        <w:spacing w:after="0" w:line="23" w:lineRule="exact"/>
        <w:rPr>
          <w:sz w:val="20"/>
          <w:szCs w:val="20"/>
          <w:color w:val="auto"/>
        </w:rPr>
      </w:pPr>
    </w:p>
    <w:p>
      <w:pPr>
        <w:jc w:val="both"/>
        <w:ind w:left="760" w:hanging="314"/>
        <w:spacing w:after="0" w:line="249" w:lineRule="auto"/>
        <w:tabs>
          <w:tab w:leader="none" w:pos="76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Insurance Service Income dropped 0.3%, primarily due to (i) D&amp;S, due to lower income from the SISCO VII contract (run off), and (ii) Group Life, which reported a drop in premiums from D&amp;S. The aforementioned was attenuated by Credit Life, which reported significant growth in premiums allotted to the period, which were distributed through the Bancassurance and Alliances channel.</w:t>
      </w:r>
    </w:p>
    <w:p>
      <w:pPr>
        <w:jc w:val="both"/>
        <w:ind w:left="760" w:hanging="314"/>
        <w:spacing w:after="0" w:line="249" w:lineRule="auto"/>
        <w:tabs>
          <w:tab w:leader="none" w:pos="76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Insurance Service Expenses increased 0.2%, primarily on the back of Group Life, driven by inflation’s impact on D &amp; S -if we isolate the effect of inflation, we registered lower claims. The aforementioned was attenuated by D&amp;S, which reflects releases of incurred but not reported reserves, and (ii) Credit Life, which registered a decrease in reported cases.</w:t>
      </w:r>
    </w:p>
    <w:p>
      <w:pPr>
        <w:ind w:left="740" w:hanging="294"/>
        <w:spacing w:after="0"/>
        <w:tabs>
          <w:tab w:leader="none" w:pos="7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Reinsurance Result decreased, which reflects a reduction in the claims recovered from the reinsurer.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1036955</wp:posOffset>
            </wp:positionV>
            <wp:extent cx="7140575" cy="1587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0575" cy="15875"/>
                    </a:xfrm>
                    <a:prstGeom prst="rect">
                      <a:avLst/>
                    </a:prstGeom>
                    <a:noFill/>
                  </pic:spPr>
                </pic:pic>
              </a:graphicData>
            </a:graphic>
          </wp:anchor>
        </w:drawing>
        <w:drawing>
          <wp:anchor simplePos="0" relativeHeight="251657728" behindDoc="1" locked="0" layoutInCell="0" allowOverlap="1">
            <wp:simplePos x="0" y="0"/>
            <wp:positionH relativeFrom="column">
              <wp:posOffset>331470</wp:posOffset>
            </wp:positionH>
            <wp:positionV relativeFrom="paragraph">
              <wp:posOffset>133985</wp:posOffset>
            </wp:positionV>
            <wp:extent cx="6447155" cy="5080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447155" cy="508000"/>
                    </a:xfrm>
                    <a:prstGeom prst="rect">
                      <a:avLst/>
                    </a:prstGeom>
                    <a:noFill/>
                  </pic:spPr>
                </pic:pic>
              </a:graphicData>
            </a:graphic>
          </wp:anchor>
        </w:drawing>
      </w:r>
    </w:p>
    <w:p>
      <w:pPr>
        <w:sectPr>
          <w:pgSz w:w="11900" w:h="16838" w:orient="portrait"/>
          <w:cols w:equalWidth="0" w:num="1">
            <w:col w:w="11240"/>
          </w:cols>
          <w:pgMar w:left="320" w:top="948" w:right="339" w:bottom="1440" w:gutter="0" w:footer="0" w:header="0"/>
        </w:sectPr>
      </w:pPr>
    </w:p>
    <w:bookmarkStart w:id="36" w:name="page37"/>
    <w:bookmarkEnd w:id="36"/>
    <w:p>
      <w:pPr>
        <w:ind w:left="3180"/>
        <w:spacing w:after="0"/>
        <w:tabs>
          <w:tab w:leader="none" w:pos="3380" w:val="left"/>
          <w:tab w:leader="none" w:pos="9060" w:val="left"/>
        </w:tabs>
        <w:rPr>
          <w:sz w:val="20"/>
          <w:szCs w:val="20"/>
          <w:color w:val="auto"/>
        </w:rPr>
      </w:pPr>
      <w:r>
        <w:rPr>
          <w:rFonts w:ascii="Times New Roman" w:cs="Times New Roman" w:eastAsia="Times New Roman" w:hAnsi="Times New Roman"/>
          <w:sz w:val="17"/>
          <w:szCs w:val="17"/>
          <w:b w:val="1"/>
          <w:bCs w:val="1"/>
          <w:color w:val="A6A6A6"/>
        </w:rPr>
        <w:drawing>
          <wp:anchor simplePos="0" relativeHeight="251657728" behindDoc="1" locked="0" layoutInCell="0" allowOverlap="1">
            <wp:simplePos x="0" y="0"/>
            <wp:positionH relativeFrom="page">
              <wp:posOffset>204470</wp:posOffset>
            </wp:positionH>
            <wp:positionV relativeFrom="page">
              <wp:posOffset>217805</wp:posOffset>
            </wp:positionV>
            <wp:extent cx="7140575" cy="6927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0575" cy="692785"/>
                    </a:xfrm>
                    <a:prstGeom prst="rect">
                      <a:avLst/>
                    </a:prstGeom>
                    <a:noFill/>
                  </pic:spPr>
                </pic:pic>
              </a:graphicData>
            </a:graphic>
          </wp:anchor>
        </w:drawing>
        <w:t>|</w:t>
      </w:r>
      <w:r>
        <w:rPr>
          <w:sz w:val="20"/>
          <w:szCs w:val="20"/>
          <w:color w:val="auto"/>
        </w:rPr>
        <w:tab/>
      </w:r>
      <w:r>
        <w:rPr>
          <w:rFonts w:ascii="Times New Roman" w:cs="Times New Roman" w:eastAsia="Times New Roman" w:hAnsi="Times New Roman"/>
          <w:sz w:val="14"/>
          <w:szCs w:val="14"/>
          <w:color w:val="FFFFFF"/>
        </w:rPr>
        <w:t>Earnings Release 1Q / 2026</w:t>
      </w:r>
      <w:r>
        <w:rPr>
          <w:sz w:val="20"/>
          <w:szCs w:val="20"/>
          <w:color w:val="auto"/>
        </w:rPr>
        <w:tab/>
      </w:r>
      <w:r>
        <w:rPr>
          <w:rFonts w:ascii="Times New Roman" w:cs="Times New Roman" w:eastAsia="Times New Roman" w:hAnsi="Times New Roman"/>
          <w:sz w:val="12"/>
          <w:szCs w:val="12"/>
          <w:color w:val="FF00FF"/>
        </w:rPr>
        <w:t>Analysis of 1Q26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313055</wp:posOffset>
            </wp:positionV>
            <wp:extent cx="7140575" cy="2578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0575" cy="25781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FFFFFF"/>
        </w:rPr>
        <w:t>07. Insurance Underwriting and Medical Services Results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7"/>
          <w:szCs w:val="27"/>
          <w:color w:val="E93BAC"/>
        </w:rPr>
        <w:t>Medical Services Result</w:t>
      </w:r>
    </w:p>
    <w:p>
      <w:pPr>
        <w:spacing w:after="0" w:line="22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QoQ, the Medical Services Result dropped slightly by 0.7%, due to the increased cost of sales associated with higher medical expenses. These higher costs were partially offset by revenue growth from increased outpatient and inpatient services. YoY, the result increased given that 1Q26 contemplates three months of reporting versus the result in 1Q25, which includes only one month given that Pacifico Salud was consolidated in March.</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Notwithstanding, the Medical Services business continues to report solid commercial performance as it exercises prudent control of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3141980</wp:posOffset>
            </wp:positionV>
            <wp:extent cx="7140575" cy="1587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0575" cy="15875"/>
                    </a:xfrm>
                    <a:prstGeom prst="rect">
                      <a:avLst/>
                    </a:prstGeom>
                    <a:noFill/>
                  </pic:spPr>
                </pic:pic>
              </a:graphicData>
            </a:graphic>
          </wp:anchor>
        </w:drawing>
        <w:drawing>
          <wp:anchor simplePos="0" relativeHeight="251657728" behindDoc="1" locked="0" layoutInCell="0" allowOverlap="1">
            <wp:simplePos x="0" y="0"/>
            <wp:positionH relativeFrom="column">
              <wp:posOffset>363855</wp:posOffset>
            </wp:positionH>
            <wp:positionV relativeFrom="paragraph">
              <wp:posOffset>144145</wp:posOffset>
            </wp:positionV>
            <wp:extent cx="6447155" cy="28613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447155" cy="2861310"/>
                    </a:xfrm>
                    <a:prstGeom prst="rect">
                      <a:avLst/>
                    </a:prstGeom>
                    <a:noFill/>
                  </pic:spPr>
                </pic:pic>
              </a:graphicData>
            </a:graphic>
          </wp:anchor>
        </w:drawing>
      </w:r>
    </w:p>
    <w:p>
      <w:pPr>
        <w:sectPr>
          <w:pgSz w:w="11900" w:h="16838" w:orient="portrait"/>
          <w:cols w:equalWidth="0" w:num="1">
            <w:col w:w="11240"/>
          </w:cols>
          <w:pgMar w:left="320" w:top="745" w:right="339" w:bottom="1440" w:gutter="0" w:footer="0" w:header="0"/>
        </w:sectPr>
      </w:pPr>
    </w:p>
    <w:bookmarkStart w:id="37" w:name="page38"/>
    <w:bookmarkEnd w:id="37"/>
    <w:p>
      <w:pPr>
        <w:ind w:left="3180"/>
        <w:spacing w:after="0"/>
        <w:tabs>
          <w:tab w:leader="none" w:pos="3380" w:val="left"/>
          <w:tab w:leader="none" w:pos="9060" w:val="left"/>
        </w:tabs>
        <w:rPr>
          <w:sz w:val="20"/>
          <w:szCs w:val="20"/>
          <w:color w:val="auto"/>
        </w:rPr>
      </w:pPr>
      <w:r>
        <w:rPr>
          <w:rFonts w:ascii="Times New Roman" w:cs="Times New Roman" w:eastAsia="Times New Roman" w:hAnsi="Times New Roman"/>
          <w:sz w:val="17"/>
          <w:szCs w:val="17"/>
          <w:b w:val="1"/>
          <w:bCs w:val="1"/>
          <w:color w:val="A6A6A6"/>
        </w:rPr>
        <w:drawing>
          <wp:anchor simplePos="0" relativeHeight="251657728" behindDoc="1" locked="0" layoutInCell="0" allowOverlap="1">
            <wp:simplePos x="0" y="0"/>
            <wp:positionH relativeFrom="page">
              <wp:posOffset>204470</wp:posOffset>
            </wp:positionH>
            <wp:positionV relativeFrom="page">
              <wp:posOffset>346710</wp:posOffset>
            </wp:positionV>
            <wp:extent cx="7140575" cy="85407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0575" cy="854075"/>
                    </a:xfrm>
                    <a:prstGeom prst="rect">
                      <a:avLst/>
                    </a:prstGeom>
                    <a:noFill/>
                  </pic:spPr>
                </pic:pic>
              </a:graphicData>
            </a:graphic>
          </wp:anchor>
        </w:drawing>
        <w:t>|</w:t>
      </w:r>
      <w:r>
        <w:rPr>
          <w:sz w:val="20"/>
          <w:szCs w:val="20"/>
          <w:color w:val="auto"/>
        </w:rPr>
        <w:tab/>
      </w:r>
      <w:r>
        <w:rPr>
          <w:rFonts w:ascii="Times New Roman" w:cs="Times New Roman" w:eastAsia="Times New Roman" w:hAnsi="Times New Roman"/>
          <w:sz w:val="14"/>
          <w:szCs w:val="14"/>
          <w:color w:val="FFFFFF"/>
        </w:rPr>
        <w:t>Earnings Release 1Q / 2026</w:t>
      </w:r>
      <w:r>
        <w:rPr>
          <w:sz w:val="20"/>
          <w:szCs w:val="20"/>
          <w:color w:val="auto"/>
        </w:rPr>
        <w:tab/>
      </w:r>
      <w:r>
        <w:rPr>
          <w:rFonts w:ascii="Times New Roman" w:cs="Times New Roman" w:eastAsia="Times New Roman" w:hAnsi="Times New Roman"/>
          <w:sz w:val="12"/>
          <w:szCs w:val="12"/>
          <w:color w:val="FF00FF"/>
        </w:rPr>
        <w:t>Analysis of 1Q26 Consolidated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49"/>
          <w:szCs w:val="49"/>
          <w:b w:val="1"/>
          <w:bCs w:val="1"/>
          <w:color w:val="EA3BAD"/>
        </w:rPr>
        <w:t>08</w:t>
      </w:r>
      <w:r>
        <w:rPr>
          <w:sz w:val="20"/>
          <w:szCs w:val="20"/>
          <w:color w:val="auto"/>
        </w:rPr>
        <w:tab/>
      </w:r>
      <w:r>
        <w:rPr>
          <w:rFonts w:ascii="Times New Roman" w:cs="Times New Roman" w:eastAsia="Times New Roman" w:hAnsi="Times New Roman"/>
          <w:sz w:val="30"/>
          <w:szCs w:val="30"/>
          <w:color w:val="EA3BAD"/>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123190</wp:posOffset>
            </wp:positionV>
            <wp:extent cx="7140575" cy="88646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0575" cy="886460"/>
                    </a:xfrm>
                    <a:prstGeom prst="rect">
                      <a:avLst/>
                    </a:prstGeom>
                    <a:noFill/>
                  </pic:spPr>
                </pic:pic>
              </a:graphicData>
            </a:graphic>
          </wp:anchor>
        </w:drawing>
      </w:r>
    </w:p>
    <w:p>
      <w:pPr>
        <w:spacing w:after="0" w:line="246" w:lineRule="exact"/>
        <w:rPr>
          <w:sz w:val="20"/>
          <w:szCs w:val="20"/>
          <w:color w:val="auto"/>
        </w:rPr>
      </w:pPr>
    </w:p>
    <w:p>
      <w:pPr>
        <w:jc w:val="both"/>
        <w:ind w:left="100" w:right="80"/>
        <w:spacing w:after="0" w:line="255" w:lineRule="auto"/>
        <w:rPr>
          <w:sz w:val="20"/>
          <w:szCs w:val="20"/>
          <w:color w:val="auto"/>
        </w:rPr>
      </w:pPr>
      <w:r>
        <w:rPr>
          <w:rFonts w:ascii="Times New Roman" w:cs="Times New Roman" w:eastAsia="Times New Roman" w:hAnsi="Times New Roman"/>
          <w:sz w:val="17"/>
          <w:szCs w:val="17"/>
          <w:color w:val="FFFFFF"/>
        </w:rPr>
        <w:t>Operating expenses increased 13.1% YoY, mainly driven by the core businesses of BCP, Mibanco and Pacífico, as well as by initiatives within Credicorp’s innovation portfolio. Expenses in the ordinary businesses increased primarily due to: (i) BCP, reflecting higher personnel expenses, associated with increased headcount to support new initiatives aimed at strengthening commercial, technological and transactional capabilities; (ii) Mibanco, due mainly to higher expenses related to the rollout of strategic projects; and (iii) Pacífico, reflecting the consolidation of 100% of the operations of the joint venture previously held with Empresas Banmédica. Expenses related to Credicorp’s innovation portfolio initiatives increased 40.2%, mainly driven by Yape, reflecting higher cloud usage due to increased transaction volumes.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Total Operating Expenses</w:t>
      </w:r>
    </w:p>
    <w:p>
      <w:pPr>
        <w:spacing w:after="0" w:line="211" w:lineRule="exact"/>
        <w:rPr>
          <w:sz w:val="20"/>
          <w:szCs w:val="20"/>
          <w:color w:val="auto"/>
        </w:rPr>
      </w:pPr>
    </w:p>
    <w:tbl>
      <w:tblPr>
        <w:tblLayout w:type="fixed"/>
        <w:tblInd w:w="1690" w:type="dxa"/>
        <w:tblCellMar>
          <w:top w:w="0" w:type="dxa"/>
          <w:left w:w="0" w:type="dxa"/>
          <w:bottom w:w="0" w:type="dxa"/>
          <w:right w:w="0" w:type="dxa"/>
        </w:tblCellMar>
      </w:tblPr>
      <w:tr>
        <w:trPr>
          <w:trHeight w:val="183"/>
        </w:trPr>
        <w:tc>
          <w:tcPr>
            <w:tcW w:w="3340" w:type="dxa"/>
            <w:vAlign w:val="bottom"/>
            <w:tcBorders>
              <w:top w:val="single" w:sz="8" w:color="auto"/>
              <w:left w:val="single" w:sz="8" w:color="auto"/>
              <w:right w:val="single" w:sz="8" w:color="auto"/>
            </w:tcBorders>
            <w:shd w:val="clear" w:color="auto" w:fill="2AD2C8"/>
          </w:tcPr>
          <w:p>
            <w:pPr>
              <w:ind w:left="140"/>
              <w:spacing w:after="0"/>
              <w:rPr>
                <w:sz w:val="20"/>
                <w:szCs w:val="20"/>
                <w:color w:val="auto"/>
              </w:rPr>
            </w:pPr>
            <w:r>
              <w:rPr>
                <w:rFonts w:ascii="Times New Roman" w:cs="Times New Roman" w:eastAsia="Times New Roman" w:hAnsi="Times New Roman"/>
                <w:sz w:val="12"/>
                <w:szCs w:val="12"/>
                <w:b w:val="1"/>
                <w:bCs w:val="1"/>
                <w:color w:val="FFFFFF"/>
              </w:rPr>
              <w:t>Operating expenses</w:t>
            </w:r>
          </w:p>
        </w:tc>
        <w:tc>
          <w:tcPr>
            <w:tcW w:w="1000" w:type="dxa"/>
            <w:vAlign w:val="bottom"/>
            <w:tcBorders>
              <w:top w:val="single" w:sz="8" w:color="auto"/>
            </w:tcBorders>
            <w:shd w:val="clear" w:color="auto" w:fill="2AD2C8"/>
          </w:tcPr>
          <w:p>
            <w:pPr>
              <w:spacing w:after="0"/>
              <w:rPr>
                <w:sz w:val="15"/>
                <w:szCs w:val="15"/>
                <w:color w:val="auto"/>
              </w:rPr>
            </w:pPr>
          </w:p>
        </w:tc>
        <w:tc>
          <w:tcPr>
            <w:tcW w:w="940" w:type="dxa"/>
            <w:vAlign w:val="bottom"/>
            <w:tcBorders>
              <w:top w:val="single" w:sz="8" w:color="auto"/>
            </w:tcBorders>
            <w:shd w:val="clear" w:color="auto" w:fill="2AD2C8"/>
          </w:tcPr>
          <w:p>
            <w:pPr>
              <w:jc w:val="right"/>
              <w:ind w:right="301"/>
              <w:spacing w:after="0"/>
              <w:rPr>
                <w:sz w:val="20"/>
                <w:szCs w:val="20"/>
                <w:color w:val="auto"/>
              </w:rPr>
            </w:pPr>
            <w:r>
              <w:rPr>
                <w:rFonts w:ascii="Times New Roman" w:cs="Times New Roman" w:eastAsia="Times New Roman" w:hAnsi="Times New Roman"/>
                <w:sz w:val="12"/>
                <w:szCs w:val="12"/>
                <w:b w:val="1"/>
                <w:bCs w:val="1"/>
                <w:color w:val="FFFFFF"/>
              </w:rPr>
              <w:t>Quarter</w:t>
            </w:r>
          </w:p>
        </w:tc>
        <w:tc>
          <w:tcPr>
            <w:tcW w:w="820" w:type="dxa"/>
            <w:vAlign w:val="bottom"/>
            <w:tcBorders>
              <w:top w:val="single" w:sz="8" w:color="auto"/>
              <w:right w:val="single" w:sz="8" w:color="auto"/>
            </w:tcBorders>
            <w:shd w:val="clear" w:color="auto" w:fill="2AD2C8"/>
          </w:tcPr>
          <w:p>
            <w:pPr>
              <w:spacing w:after="0"/>
              <w:rPr>
                <w:sz w:val="15"/>
                <w:szCs w:val="15"/>
                <w:color w:val="auto"/>
              </w:rPr>
            </w:pPr>
          </w:p>
        </w:tc>
        <w:tc>
          <w:tcPr>
            <w:tcW w:w="640" w:type="dxa"/>
            <w:vAlign w:val="bottom"/>
            <w:tcBorders>
              <w:top w:val="single" w:sz="8" w:color="auto"/>
            </w:tcBorders>
            <w:shd w:val="clear" w:color="auto" w:fill="2AD2C8"/>
          </w:tcPr>
          <w:p>
            <w:pPr>
              <w:spacing w:after="0"/>
              <w:rPr>
                <w:sz w:val="15"/>
                <w:szCs w:val="15"/>
                <w:color w:val="auto"/>
              </w:rPr>
            </w:pPr>
          </w:p>
        </w:tc>
        <w:tc>
          <w:tcPr>
            <w:tcW w:w="1140" w:type="dxa"/>
            <w:vAlign w:val="bottom"/>
            <w:tcBorders>
              <w:top w:val="single" w:sz="8" w:color="auto"/>
              <w:right w:val="single" w:sz="8" w:color="auto"/>
            </w:tcBorders>
            <w:shd w:val="clear" w:color="auto" w:fill="2AD2C8"/>
          </w:tcPr>
          <w:p>
            <w:pPr>
              <w:spacing w:after="0"/>
              <w:rPr>
                <w:sz w:val="20"/>
                <w:szCs w:val="20"/>
                <w:color w:val="auto"/>
              </w:rPr>
            </w:pPr>
            <w:r>
              <w:rPr>
                <w:rFonts w:ascii="Times New Roman" w:cs="Times New Roman" w:eastAsia="Times New Roman" w:hAnsi="Times New Roman"/>
                <w:sz w:val="12"/>
                <w:szCs w:val="12"/>
                <w:b w:val="1"/>
                <w:bCs w:val="1"/>
                <w:color w:val="FFFFFF"/>
              </w:rPr>
              <w:t>% change</w:t>
            </w:r>
          </w:p>
        </w:tc>
      </w:tr>
      <w:tr>
        <w:trPr>
          <w:trHeight w:val="178"/>
        </w:trPr>
        <w:tc>
          <w:tcPr>
            <w:tcW w:w="3340" w:type="dxa"/>
            <w:vAlign w:val="bottom"/>
            <w:tcBorders>
              <w:left w:val="single" w:sz="8" w:color="auto"/>
              <w:bottom w:val="single" w:sz="8" w:color="auto"/>
              <w:right w:val="single" w:sz="8" w:color="auto"/>
            </w:tcBorders>
            <w:shd w:val="clear" w:color="auto" w:fill="29D2C8"/>
          </w:tcPr>
          <w:p>
            <w:pPr>
              <w:ind w:left="120"/>
              <w:spacing w:after="0"/>
              <w:rPr>
                <w:sz w:val="20"/>
                <w:szCs w:val="20"/>
                <w:color w:val="auto"/>
              </w:rPr>
            </w:pPr>
            <w:r>
              <w:rPr>
                <w:rFonts w:ascii="Times New Roman" w:cs="Times New Roman" w:eastAsia="Times New Roman" w:hAnsi="Times New Roman"/>
                <w:sz w:val="12"/>
                <w:szCs w:val="12"/>
                <w:b w:val="1"/>
                <w:bCs w:val="1"/>
                <w:color w:val="FFFFFF"/>
              </w:rPr>
              <w:t>S/ 000</w:t>
            </w:r>
          </w:p>
        </w:tc>
        <w:tc>
          <w:tcPr>
            <w:tcW w:w="1000" w:type="dxa"/>
            <w:vAlign w:val="bottom"/>
            <w:tcBorders>
              <w:bottom w:val="single" w:sz="8" w:color="auto"/>
            </w:tcBorders>
            <w:shd w:val="clear" w:color="auto" w:fill="29D2C8"/>
          </w:tcPr>
          <w:p>
            <w:pPr>
              <w:jc w:val="right"/>
              <w:ind w:right="361"/>
              <w:spacing w:after="0"/>
              <w:rPr>
                <w:sz w:val="20"/>
                <w:szCs w:val="20"/>
                <w:color w:val="auto"/>
              </w:rPr>
            </w:pPr>
            <w:r>
              <w:rPr>
                <w:rFonts w:ascii="Times New Roman" w:cs="Times New Roman" w:eastAsia="Times New Roman" w:hAnsi="Times New Roman"/>
                <w:sz w:val="12"/>
                <w:szCs w:val="12"/>
                <w:b w:val="1"/>
                <w:bCs w:val="1"/>
                <w:color w:val="FFFFFF"/>
              </w:rPr>
              <w:t>1Q25</w:t>
            </w:r>
          </w:p>
        </w:tc>
        <w:tc>
          <w:tcPr>
            <w:tcW w:w="940" w:type="dxa"/>
            <w:vAlign w:val="bottom"/>
            <w:tcBorders>
              <w:bottom w:val="single" w:sz="8" w:color="auto"/>
            </w:tcBorders>
            <w:shd w:val="clear" w:color="auto" w:fill="29D2C8"/>
          </w:tcPr>
          <w:p>
            <w:pPr>
              <w:jc w:val="right"/>
              <w:ind w:right="381"/>
              <w:spacing w:after="0"/>
              <w:rPr>
                <w:sz w:val="20"/>
                <w:szCs w:val="20"/>
                <w:color w:val="auto"/>
              </w:rPr>
            </w:pPr>
            <w:r>
              <w:rPr>
                <w:rFonts w:ascii="Times New Roman" w:cs="Times New Roman" w:eastAsia="Times New Roman" w:hAnsi="Times New Roman"/>
                <w:sz w:val="12"/>
                <w:szCs w:val="12"/>
                <w:b w:val="1"/>
                <w:bCs w:val="1"/>
                <w:color w:val="FFFFFF"/>
              </w:rPr>
              <w:t>4Q25</w:t>
            </w:r>
          </w:p>
        </w:tc>
        <w:tc>
          <w:tcPr>
            <w:tcW w:w="820" w:type="dxa"/>
            <w:vAlign w:val="bottom"/>
            <w:tcBorders>
              <w:bottom w:val="single" w:sz="8" w:color="auto"/>
              <w:right w:val="single" w:sz="8" w:color="auto"/>
            </w:tcBorders>
            <w:shd w:val="clear" w:color="auto" w:fill="29D2C8"/>
          </w:tcPr>
          <w:p>
            <w:pPr>
              <w:jc w:val="right"/>
              <w:ind w:right="281"/>
              <w:spacing w:after="0"/>
              <w:rPr>
                <w:sz w:val="20"/>
                <w:szCs w:val="20"/>
                <w:color w:val="auto"/>
              </w:rPr>
            </w:pPr>
            <w:r>
              <w:rPr>
                <w:rFonts w:ascii="Times New Roman" w:cs="Times New Roman" w:eastAsia="Times New Roman" w:hAnsi="Times New Roman"/>
                <w:sz w:val="12"/>
                <w:szCs w:val="12"/>
                <w:b w:val="1"/>
                <w:bCs w:val="1"/>
                <w:color w:val="FFFFFF"/>
              </w:rPr>
              <w:t>1Q26</w:t>
            </w:r>
          </w:p>
        </w:tc>
        <w:tc>
          <w:tcPr>
            <w:tcW w:w="640" w:type="dxa"/>
            <w:vAlign w:val="bottom"/>
            <w:tcBorders>
              <w:bottom w:val="single" w:sz="8" w:color="auto"/>
            </w:tcBorders>
            <w:shd w:val="clear" w:color="auto" w:fill="29D2C8"/>
          </w:tcPr>
          <w:p>
            <w:pPr>
              <w:ind w:left="320"/>
              <w:spacing w:after="0"/>
              <w:rPr>
                <w:sz w:val="20"/>
                <w:szCs w:val="20"/>
                <w:color w:val="auto"/>
              </w:rPr>
            </w:pPr>
            <w:r>
              <w:rPr>
                <w:rFonts w:ascii="Times New Roman" w:cs="Times New Roman" w:eastAsia="Times New Roman" w:hAnsi="Times New Roman"/>
                <w:sz w:val="12"/>
                <w:szCs w:val="12"/>
                <w:b w:val="1"/>
                <w:bCs w:val="1"/>
                <w:color w:val="FFFFFF"/>
              </w:rPr>
              <w:t>QoQ</w:t>
            </w:r>
          </w:p>
        </w:tc>
        <w:tc>
          <w:tcPr>
            <w:tcW w:w="1140" w:type="dxa"/>
            <w:vAlign w:val="bottom"/>
            <w:tcBorders>
              <w:bottom w:val="single" w:sz="8" w:color="auto"/>
              <w:right w:val="single" w:sz="8" w:color="auto"/>
            </w:tcBorders>
            <w:shd w:val="clear" w:color="auto" w:fill="29D2C8"/>
          </w:tcPr>
          <w:p>
            <w:pPr>
              <w:ind w:left="580"/>
              <w:spacing w:after="0"/>
              <w:rPr>
                <w:sz w:val="20"/>
                <w:szCs w:val="20"/>
                <w:color w:val="auto"/>
              </w:rPr>
            </w:pPr>
            <w:r>
              <w:rPr>
                <w:rFonts w:ascii="Times New Roman" w:cs="Times New Roman" w:eastAsia="Times New Roman" w:hAnsi="Times New Roman"/>
                <w:sz w:val="12"/>
                <w:szCs w:val="12"/>
                <w:b w:val="1"/>
                <w:bCs w:val="1"/>
                <w:color w:val="FFFFFF"/>
              </w:rPr>
              <w:t>YoY</w:t>
            </w:r>
          </w:p>
        </w:tc>
      </w:tr>
      <w:tr>
        <w:trPr>
          <w:trHeight w:val="163"/>
        </w:trPr>
        <w:tc>
          <w:tcPr>
            <w:tcW w:w="3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2"/>
                <w:szCs w:val="12"/>
                <w:color w:val="auto"/>
              </w:rPr>
              <w:t>Salaries and employees benefits</w:t>
            </w:r>
          </w:p>
        </w:tc>
        <w:tc>
          <w:tcPr>
            <w:tcW w:w="1000" w:type="dxa"/>
            <w:vAlign w:val="bottom"/>
          </w:tcPr>
          <w:p>
            <w:pPr>
              <w:jc w:val="right"/>
              <w:ind w:right="121"/>
              <w:spacing w:after="0"/>
              <w:rPr>
                <w:sz w:val="20"/>
                <w:szCs w:val="20"/>
                <w:color w:val="auto"/>
              </w:rPr>
            </w:pPr>
            <w:r>
              <w:rPr>
                <w:rFonts w:ascii="Times New Roman" w:cs="Times New Roman" w:eastAsia="Times New Roman" w:hAnsi="Times New Roman"/>
                <w:sz w:val="12"/>
                <w:szCs w:val="12"/>
                <w:color w:val="auto"/>
              </w:rPr>
              <w:t>1,361,690</w:t>
            </w:r>
          </w:p>
        </w:tc>
        <w:tc>
          <w:tcPr>
            <w:tcW w:w="940" w:type="dxa"/>
            <w:vAlign w:val="bottom"/>
          </w:tcPr>
          <w:p>
            <w:pPr>
              <w:jc w:val="right"/>
              <w:ind w:right="141"/>
              <w:spacing w:after="0"/>
              <w:rPr>
                <w:sz w:val="20"/>
                <w:szCs w:val="20"/>
                <w:color w:val="auto"/>
              </w:rPr>
            </w:pPr>
            <w:r>
              <w:rPr>
                <w:rFonts w:ascii="Times New Roman" w:cs="Times New Roman" w:eastAsia="Times New Roman" w:hAnsi="Times New Roman"/>
                <w:sz w:val="12"/>
                <w:szCs w:val="12"/>
                <w:color w:val="auto"/>
              </w:rPr>
              <w:t>1,428,178</w:t>
            </w:r>
          </w:p>
        </w:tc>
        <w:tc>
          <w:tcPr>
            <w:tcW w:w="820" w:type="dxa"/>
            <w:vAlign w:val="bottom"/>
            <w:tcBorders>
              <w:right w:val="single" w:sz="8" w:color="auto"/>
            </w:tcBorders>
          </w:tcPr>
          <w:p>
            <w:pPr>
              <w:jc w:val="right"/>
              <w:ind w:right="41"/>
              <w:spacing w:after="0"/>
              <w:rPr>
                <w:sz w:val="20"/>
                <w:szCs w:val="20"/>
                <w:color w:val="auto"/>
              </w:rPr>
            </w:pPr>
            <w:r>
              <w:rPr>
                <w:rFonts w:ascii="Times New Roman" w:cs="Times New Roman" w:eastAsia="Times New Roman" w:hAnsi="Times New Roman"/>
                <w:sz w:val="12"/>
                <w:szCs w:val="12"/>
                <w:color w:val="auto"/>
              </w:rPr>
              <w:t>1,459,421</w:t>
            </w:r>
          </w:p>
        </w:tc>
        <w:tc>
          <w:tcPr>
            <w:tcW w:w="640" w:type="dxa"/>
            <w:vAlign w:val="bottom"/>
          </w:tcPr>
          <w:p>
            <w:pPr>
              <w:jc w:val="center"/>
              <w:ind w:left="181"/>
              <w:spacing w:after="0"/>
              <w:rPr>
                <w:sz w:val="20"/>
                <w:szCs w:val="20"/>
                <w:color w:val="auto"/>
              </w:rPr>
            </w:pPr>
            <w:r>
              <w:rPr>
                <w:rFonts w:ascii="Times New Roman" w:cs="Times New Roman" w:eastAsia="Times New Roman" w:hAnsi="Times New Roman"/>
                <w:sz w:val="12"/>
                <w:szCs w:val="12"/>
                <w:color w:val="auto"/>
                <w:w w:val="95"/>
              </w:rPr>
              <w:t>2.2%</w:t>
            </w:r>
          </w:p>
        </w:tc>
        <w:tc>
          <w:tcPr>
            <w:tcW w:w="1140" w:type="dxa"/>
            <w:vAlign w:val="bottom"/>
            <w:tcBorders>
              <w:right w:val="single" w:sz="8" w:color="auto"/>
            </w:tcBorders>
          </w:tcPr>
          <w:p>
            <w:pPr>
              <w:jc w:val="center"/>
              <w:ind w:left="161"/>
              <w:spacing w:after="0"/>
              <w:rPr>
                <w:sz w:val="20"/>
                <w:szCs w:val="20"/>
                <w:color w:val="auto"/>
              </w:rPr>
            </w:pPr>
            <w:r>
              <w:rPr>
                <w:rFonts w:ascii="Times New Roman" w:cs="Times New Roman" w:eastAsia="Times New Roman" w:hAnsi="Times New Roman"/>
                <w:sz w:val="12"/>
                <w:szCs w:val="12"/>
                <w:color w:val="auto"/>
                <w:w w:val="95"/>
              </w:rPr>
              <w:t>7.2%</w:t>
            </w:r>
          </w:p>
        </w:tc>
      </w:tr>
      <w:tr>
        <w:trPr>
          <w:trHeight w:val="178"/>
        </w:trPr>
        <w:tc>
          <w:tcPr>
            <w:tcW w:w="3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2"/>
                <w:szCs w:val="12"/>
                <w:color w:val="auto"/>
              </w:rPr>
              <w:t>Administrative and general expenses</w:t>
            </w:r>
          </w:p>
        </w:tc>
        <w:tc>
          <w:tcPr>
            <w:tcW w:w="1000" w:type="dxa"/>
            <w:vAlign w:val="bottom"/>
          </w:tcPr>
          <w:p>
            <w:pPr>
              <w:jc w:val="right"/>
              <w:ind w:right="121"/>
              <w:spacing w:after="0"/>
              <w:rPr>
                <w:sz w:val="20"/>
                <w:szCs w:val="20"/>
                <w:color w:val="auto"/>
              </w:rPr>
            </w:pPr>
            <w:r>
              <w:rPr>
                <w:rFonts w:ascii="Times New Roman" w:cs="Times New Roman" w:eastAsia="Times New Roman" w:hAnsi="Times New Roman"/>
                <w:sz w:val="12"/>
                <w:szCs w:val="12"/>
                <w:color w:val="auto"/>
              </w:rPr>
              <w:t>869,834</w:t>
            </w:r>
          </w:p>
        </w:tc>
        <w:tc>
          <w:tcPr>
            <w:tcW w:w="940" w:type="dxa"/>
            <w:vAlign w:val="bottom"/>
          </w:tcPr>
          <w:p>
            <w:pPr>
              <w:jc w:val="right"/>
              <w:ind w:right="141"/>
              <w:spacing w:after="0"/>
              <w:rPr>
                <w:sz w:val="20"/>
                <w:szCs w:val="20"/>
                <w:color w:val="auto"/>
              </w:rPr>
            </w:pPr>
            <w:r>
              <w:rPr>
                <w:rFonts w:ascii="Times New Roman" w:cs="Times New Roman" w:eastAsia="Times New Roman" w:hAnsi="Times New Roman"/>
                <w:sz w:val="12"/>
                <w:szCs w:val="12"/>
                <w:color w:val="auto"/>
              </w:rPr>
              <w:t>1,186,497</w:t>
            </w:r>
          </w:p>
        </w:tc>
        <w:tc>
          <w:tcPr>
            <w:tcW w:w="820" w:type="dxa"/>
            <w:vAlign w:val="bottom"/>
            <w:tcBorders>
              <w:right w:val="single" w:sz="8" w:color="auto"/>
            </w:tcBorders>
          </w:tcPr>
          <w:p>
            <w:pPr>
              <w:jc w:val="right"/>
              <w:ind w:right="41"/>
              <w:spacing w:after="0"/>
              <w:rPr>
                <w:sz w:val="20"/>
                <w:szCs w:val="20"/>
                <w:color w:val="auto"/>
              </w:rPr>
            </w:pPr>
            <w:r>
              <w:rPr>
                <w:rFonts w:ascii="Times New Roman" w:cs="Times New Roman" w:eastAsia="Times New Roman" w:hAnsi="Times New Roman"/>
                <w:sz w:val="12"/>
                <w:szCs w:val="12"/>
                <w:color w:val="auto"/>
              </w:rPr>
              <w:t>1,061,666</w:t>
            </w:r>
          </w:p>
        </w:tc>
        <w:tc>
          <w:tcPr>
            <w:tcW w:w="640" w:type="dxa"/>
            <w:vAlign w:val="bottom"/>
          </w:tcPr>
          <w:p>
            <w:pPr>
              <w:jc w:val="center"/>
              <w:ind w:left="181"/>
              <w:spacing w:after="0"/>
              <w:rPr>
                <w:sz w:val="20"/>
                <w:szCs w:val="20"/>
                <w:color w:val="auto"/>
              </w:rPr>
            </w:pPr>
            <w:r>
              <w:rPr>
                <w:rFonts w:ascii="Times New Roman" w:cs="Times New Roman" w:eastAsia="Times New Roman" w:hAnsi="Times New Roman"/>
                <w:sz w:val="12"/>
                <w:szCs w:val="12"/>
                <w:color w:val="auto"/>
              </w:rPr>
              <w:t>-10.5%</w:t>
            </w:r>
          </w:p>
        </w:tc>
        <w:tc>
          <w:tcPr>
            <w:tcW w:w="1140" w:type="dxa"/>
            <w:vAlign w:val="bottom"/>
            <w:tcBorders>
              <w:right w:val="single" w:sz="8" w:color="auto"/>
            </w:tcBorders>
          </w:tcPr>
          <w:p>
            <w:pPr>
              <w:jc w:val="center"/>
              <w:ind w:left="161"/>
              <w:spacing w:after="0"/>
              <w:rPr>
                <w:sz w:val="20"/>
                <w:szCs w:val="20"/>
                <w:color w:val="auto"/>
              </w:rPr>
            </w:pPr>
            <w:r>
              <w:rPr>
                <w:rFonts w:ascii="Times New Roman" w:cs="Times New Roman" w:eastAsia="Times New Roman" w:hAnsi="Times New Roman"/>
                <w:sz w:val="12"/>
                <w:szCs w:val="12"/>
                <w:color w:val="auto"/>
              </w:rPr>
              <w:t>22.1%</w:t>
            </w:r>
          </w:p>
        </w:tc>
      </w:tr>
      <w:tr>
        <w:trPr>
          <w:trHeight w:val="178"/>
        </w:trPr>
        <w:tc>
          <w:tcPr>
            <w:tcW w:w="3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000" w:type="dxa"/>
            <w:vAlign w:val="bottom"/>
          </w:tcPr>
          <w:p>
            <w:pPr>
              <w:jc w:val="right"/>
              <w:ind w:right="121"/>
              <w:spacing w:after="0"/>
              <w:rPr>
                <w:sz w:val="20"/>
                <w:szCs w:val="20"/>
                <w:color w:val="auto"/>
              </w:rPr>
            </w:pPr>
            <w:r>
              <w:rPr>
                <w:rFonts w:ascii="Times New Roman" w:cs="Times New Roman" w:eastAsia="Times New Roman" w:hAnsi="Times New Roman"/>
                <w:sz w:val="12"/>
                <w:szCs w:val="12"/>
                <w:color w:val="auto"/>
              </w:rPr>
              <w:t>203,766</w:t>
            </w:r>
          </w:p>
        </w:tc>
        <w:tc>
          <w:tcPr>
            <w:tcW w:w="940" w:type="dxa"/>
            <w:vAlign w:val="bottom"/>
          </w:tcPr>
          <w:p>
            <w:pPr>
              <w:jc w:val="right"/>
              <w:ind w:right="141"/>
              <w:spacing w:after="0"/>
              <w:rPr>
                <w:sz w:val="20"/>
                <w:szCs w:val="20"/>
                <w:color w:val="auto"/>
              </w:rPr>
            </w:pPr>
            <w:r>
              <w:rPr>
                <w:rFonts w:ascii="Times New Roman" w:cs="Times New Roman" w:eastAsia="Times New Roman" w:hAnsi="Times New Roman"/>
                <w:sz w:val="12"/>
                <w:szCs w:val="12"/>
                <w:color w:val="auto"/>
              </w:rPr>
              <w:t>256,914</w:t>
            </w:r>
          </w:p>
        </w:tc>
        <w:tc>
          <w:tcPr>
            <w:tcW w:w="820" w:type="dxa"/>
            <w:vAlign w:val="bottom"/>
            <w:tcBorders>
              <w:right w:val="single" w:sz="8" w:color="auto"/>
            </w:tcBorders>
          </w:tcPr>
          <w:p>
            <w:pPr>
              <w:jc w:val="right"/>
              <w:ind w:right="41"/>
              <w:spacing w:after="0"/>
              <w:rPr>
                <w:sz w:val="20"/>
                <w:szCs w:val="20"/>
                <w:color w:val="auto"/>
              </w:rPr>
            </w:pPr>
            <w:r>
              <w:rPr>
                <w:rFonts w:ascii="Times New Roman" w:cs="Times New Roman" w:eastAsia="Times New Roman" w:hAnsi="Times New Roman"/>
                <w:sz w:val="12"/>
                <w:szCs w:val="12"/>
                <w:color w:val="auto"/>
              </w:rPr>
              <w:t>241,368</w:t>
            </w:r>
          </w:p>
        </w:tc>
        <w:tc>
          <w:tcPr>
            <w:tcW w:w="640" w:type="dxa"/>
            <w:vAlign w:val="bottom"/>
          </w:tcPr>
          <w:p>
            <w:pPr>
              <w:jc w:val="center"/>
              <w:ind w:left="181"/>
              <w:spacing w:after="0"/>
              <w:rPr>
                <w:sz w:val="20"/>
                <w:szCs w:val="20"/>
                <w:color w:val="auto"/>
              </w:rPr>
            </w:pPr>
            <w:r>
              <w:rPr>
                <w:rFonts w:ascii="Times New Roman" w:cs="Times New Roman" w:eastAsia="Times New Roman" w:hAnsi="Times New Roman"/>
                <w:sz w:val="12"/>
                <w:szCs w:val="12"/>
                <w:color w:val="auto"/>
                <w:w w:val="96"/>
              </w:rPr>
              <w:t>-6.1%</w:t>
            </w:r>
          </w:p>
        </w:tc>
        <w:tc>
          <w:tcPr>
            <w:tcW w:w="1140" w:type="dxa"/>
            <w:vAlign w:val="bottom"/>
            <w:tcBorders>
              <w:right w:val="single" w:sz="8" w:color="auto"/>
            </w:tcBorders>
          </w:tcPr>
          <w:p>
            <w:pPr>
              <w:jc w:val="center"/>
              <w:ind w:left="161"/>
              <w:spacing w:after="0"/>
              <w:rPr>
                <w:sz w:val="20"/>
                <w:szCs w:val="20"/>
                <w:color w:val="auto"/>
              </w:rPr>
            </w:pPr>
            <w:r>
              <w:rPr>
                <w:rFonts w:ascii="Times New Roman" w:cs="Times New Roman" w:eastAsia="Times New Roman" w:hAnsi="Times New Roman"/>
                <w:sz w:val="12"/>
                <w:szCs w:val="12"/>
                <w:color w:val="auto"/>
              </w:rPr>
              <w:t>18.5%</w:t>
            </w:r>
          </w:p>
        </w:tc>
      </w:tr>
      <w:tr>
        <w:trPr>
          <w:trHeight w:val="185"/>
        </w:trPr>
        <w:tc>
          <w:tcPr>
            <w:tcW w:w="33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2"/>
                <w:szCs w:val="12"/>
                <w:color w:val="auto"/>
              </w:rPr>
              <w:t>Association in participation</w:t>
            </w:r>
          </w:p>
        </w:tc>
        <w:tc>
          <w:tcPr>
            <w:tcW w:w="10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2"/>
                <w:szCs w:val="12"/>
                <w:color w:val="auto"/>
              </w:rPr>
              <w:t>6,799</w:t>
            </w:r>
          </w:p>
        </w:tc>
        <w:tc>
          <w:tcPr>
            <w:tcW w:w="94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2"/>
                <w:szCs w:val="12"/>
                <w:color w:val="auto"/>
              </w:rPr>
              <w:t>120</w:t>
            </w:r>
          </w:p>
        </w:tc>
        <w:tc>
          <w:tcPr>
            <w:tcW w:w="820" w:type="dxa"/>
            <w:vAlign w:val="bottom"/>
            <w:tcBorders>
              <w:bottom w:val="single" w:sz="8" w:color="auto"/>
              <w:right w:val="single" w:sz="8" w:color="auto"/>
            </w:tcBorders>
          </w:tcPr>
          <w:p>
            <w:pPr>
              <w:jc w:val="right"/>
              <w:ind w:right="41"/>
              <w:spacing w:after="0"/>
              <w:rPr>
                <w:sz w:val="20"/>
                <w:szCs w:val="20"/>
                <w:color w:val="auto"/>
              </w:rPr>
            </w:pPr>
            <w:r>
              <w:rPr>
                <w:rFonts w:ascii="Times New Roman" w:cs="Times New Roman" w:eastAsia="Times New Roman" w:hAnsi="Times New Roman"/>
                <w:sz w:val="12"/>
                <w:szCs w:val="12"/>
                <w:color w:val="auto"/>
              </w:rPr>
              <w:t>173</w:t>
            </w:r>
          </w:p>
        </w:tc>
        <w:tc>
          <w:tcPr>
            <w:tcW w:w="640" w:type="dxa"/>
            <w:vAlign w:val="bottom"/>
            <w:tcBorders>
              <w:bottom w:val="single" w:sz="8" w:color="auto"/>
            </w:tcBorders>
          </w:tcPr>
          <w:p>
            <w:pPr>
              <w:jc w:val="center"/>
              <w:ind w:left="181"/>
              <w:spacing w:after="0"/>
              <w:rPr>
                <w:sz w:val="20"/>
                <w:szCs w:val="20"/>
                <w:color w:val="auto"/>
              </w:rPr>
            </w:pPr>
            <w:r>
              <w:rPr>
                <w:rFonts w:ascii="Times New Roman" w:cs="Times New Roman" w:eastAsia="Times New Roman" w:hAnsi="Times New Roman"/>
                <w:sz w:val="12"/>
                <w:szCs w:val="12"/>
                <w:color w:val="auto"/>
              </w:rPr>
              <w:t>44.2%</w:t>
            </w:r>
          </w:p>
        </w:tc>
        <w:tc>
          <w:tcPr>
            <w:tcW w:w="1140" w:type="dxa"/>
            <w:vAlign w:val="bottom"/>
            <w:tcBorders>
              <w:bottom w:val="single" w:sz="8" w:color="auto"/>
              <w:right w:val="single" w:sz="8" w:color="auto"/>
            </w:tcBorders>
          </w:tcPr>
          <w:p>
            <w:pPr>
              <w:jc w:val="center"/>
              <w:ind w:left="161"/>
              <w:spacing w:after="0"/>
              <w:rPr>
                <w:sz w:val="20"/>
                <w:szCs w:val="20"/>
                <w:color w:val="auto"/>
              </w:rPr>
            </w:pPr>
            <w:r>
              <w:rPr>
                <w:rFonts w:ascii="Times New Roman" w:cs="Times New Roman" w:eastAsia="Times New Roman" w:hAnsi="Times New Roman"/>
                <w:sz w:val="12"/>
                <w:szCs w:val="12"/>
                <w:color w:val="auto"/>
              </w:rPr>
              <w:t>-97.5%</w:t>
            </w:r>
          </w:p>
        </w:tc>
      </w:tr>
      <w:tr>
        <w:trPr>
          <w:trHeight w:val="170"/>
        </w:trPr>
        <w:tc>
          <w:tcPr>
            <w:tcW w:w="33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2"/>
                <w:szCs w:val="12"/>
                <w:b w:val="1"/>
                <w:bCs w:val="1"/>
                <w:color w:val="auto"/>
              </w:rPr>
              <w:t>Operating expenses</w:t>
            </w:r>
          </w:p>
        </w:tc>
        <w:tc>
          <w:tcPr>
            <w:tcW w:w="10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2"/>
                <w:szCs w:val="12"/>
                <w:b w:val="1"/>
                <w:bCs w:val="1"/>
                <w:color w:val="auto"/>
              </w:rPr>
              <w:t>2,442,089</w:t>
            </w:r>
          </w:p>
        </w:tc>
        <w:tc>
          <w:tcPr>
            <w:tcW w:w="94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2"/>
                <w:szCs w:val="12"/>
                <w:b w:val="1"/>
                <w:bCs w:val="1"/>
                <w:color w:val="auto"/>
              </w:rPr>
              <w:t>2,871,709</w:t>
            </w:r>
          </w:p>
        </w:tc>
        <w:tc>
          <w:tcPr>
            <w:tcW w:w="820" w:type="dxa"/>
            <w:vAlign w:val="bottom"/>
            <w:tcBorders>
              <w:bottom w:val="single" w:sz="8" w:color="auto"/>
              <w:right w:val="single" w:sz="8" w:color="auto"/>
            </w:tcBorders>
          </w:tcPr>
          <w:p>
            <w:pPr>
              <w:jc w:val="right"/>
              <w:ind w:right="41"/>
              <w:spacing w:after="0"/>
              <w:rPr>
                <w:sz w:val="20"/>
                <w:szCs w:val="20"/>
                <w:color w:val="auto"/>
              </w:rPr>
            </w:pPr>
            <w:r>
              <w:rPr>
                <w:rFonts w:ascii="Times New Roman" w:cs="Times New Roman" w:eastAsia="Times New Roman" w:hAnsi="Times New Roman"/>
                <w:sz w:val="12"/>
                <w:szCs w:val="12"/>
                <w:b w:val="1"/>
                <w:bCs w:val="1"/>
                <w:color w:val="auto"/>
              </w:rPr>
              <w:t>2,762,628</w:t>
            </w:r>
          </w:p>
        </w:tc>
        <w:tc>
          <w:tcPr>
            <w:tcW w:w="640" w:type="dxa"/>
            <w:vAlign w:val="bottom"/>
            <w:tcBorders>
              <w:bottom w:val="single" w:sz="8" w:color="auto"/>
            </w:tcBorders>
          </w:tcPr>
          <w:p>
            <w:pPr>
              <w:jc w:val="center"/>
              <w:ind w:left="181"/>
              <w:spacing w:after="0"/>
              <w:rPr>
                <w:sz w:val="20"/>
                <w:szCs w:val="20"/>
                <w:color w:val="auto"/>
              </w:rPr>
            </w:pPr>
            <w:r>
              <w:rPr>
                <w:rFonts w:ascii="Times New Roman" w:cs="Times New Roman" w:eastAsia="Times New Roman" w:hAnsi="Times New Roman"/>
                <w:sz w:val="12"/>
                <w:szCs w:val="12"/>
                <w:b w:val="1"/>
                <w:bCs w:val="1"/>
                <w:color w:val="auto"/>
              </w:rPr>
              <w:t>-3.8%</w:t>
            </w:r>
          </w:p>
        </w:tc>
        <w:tc>
          <w:tcPr>
            <w:tcW w:w="1140" w:type="dxa"/>
            <w:vAlign w:val="bottom"/>
            <w:tcBorders>
              <w:bottom w:val="single" w:sz="8" w:color="auto"/>
              <w:right w:val="single" w:sz="8" w:color="auto"/>
            </w:tcBorders>
          </w:tcPr>
          <w:p>
            <w:pPr>
              <w:jc w:val="center"/>
              <w:ind w:left="161"/>
              <w:spacing w:after="0"/>
              <w:rPr>
                <w:sz w:val="20"/>
                <w:szCs w:val="20"/>
                <w:color w:val="auto"/>
              </w:rPr>
            </w:pPr>
            <w:r>
              <w:rPr>
                <w:rFonts w:ascii="Times New Roman" w:cs="Times New Roman" w:eastAsia="Times New Roman" w:hAnsi="Times New Roman"/>
                <w:sz w:val="12"/>
                <w:szCs w:val="12"/>
                <w:b w:val="1"/>
                <w:bCs w:val="1"/>
                <w:color w:val="auto"/>
                <w:w w:val="96"/>
              </w:rPr>
              <w:t>13.1%</w:t>
            </w: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analyze expenses, we focus on YoY movements to eliminate seasonal effects between quarters.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Operating Expenses rose 13.1%, driven mainly by:</w:t>
      </w:r>
    </w:p>
    <w:p>
      <w:pPr>
        <w:spacing w:after="0" w:line="211" w:lineRule="exact"/>
        <w:rPr>
          <w:sz w:val="20"/>
          <w:szCs w:val="20"/>
          <w:color w:val="auto"/>
        </w:rPr>
      </w:pPr>
    </w:p>
    <w:p>
      <w:pPr>
        <w:jc w:val="both"/>
        <w:ind w:left="300" w:hanging="298"/>
        <w:spacing w:after="0" w:line="256" w:lineRule="auto"/>
        <w:tabs>
          <w:tab w:leader="none" w:pos="3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increase in Administrative Expenses, which was led by BCP Stand-alone, Mibanco and Pacifico. At BCP Stand-alone, Yape reported growth in transactions, which generated an uptick in expenses for use of infrastructure in the cloud and other IT-related services. At Mibanco, growth in expenses was driven mainly by strategic project roll out to develop technological and distribution capacities. At Pacifico, administrative expenses rose on the back of a change in the consolidation perimeter following Credicorp’s acquisition of 50% Empresa Banmedica’s stake in a joint venture with Pacífico Compañía de Seguros y Reaseguros S.A., which took effect in March 2025.</w:t>
      </w:r>
    </w:p>
    <w:p>
      <w:pPr>
        <w:spacing w:after="0" w:line="175" w:lineRule="exact"/>
        <w:rPr>
          <w:rFonts w:ascii="Times New Roman" w:cs="Times New Roman" w:eastAsia="Times New Roman" w:hAnsi="Times New Roman"/>
          <w:sz w:val="17"/>
          <w:szCs w:val="17"/>
          <w:color w:val="auto"/>
        </w:rPr>
      </w:pPr>
    </w:p>
    <w:p>
      <w:pPr>
        <w:ind w:left="300" w:hanging="298"/>
        <w:spacing w:after="0" w:line="277" w:lineRule="auto"/>
        <w:tabs>
          <w:tab w:leader="none" w:pos="3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Growth in Employee Salaries and Benefits, which was led mainly by (i) BCP Stand-alone, where higher expenses were reported to increase headcount, primarily for new projects to develop commercial, technological and transactional capacities, and (ii) Pacífico, which registered an uptick in compensation.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Administrative Expenses</w:t>
      </w:r>
    </w:p>
    <w:p>
      <w:pPr>
        <w:spacing w:after="0" w:line="211" w:lineRule="exact"/>
        <w:rPr>
          <w:sz w:val="20"/>
          <w:szCs w:val="20"/>
          <w:color w:val="auto"/>
        </w:rPr>
      </w:pPr>
    </w:p>
    <w:tbl>
      <w:tblPr>
        <w:tblLayout w:type="fixed"/>
        <w:tblInd w:w="1690" w:type="dxa"/>
        <w:tblCellMar>
          <w:top w:w="0" w:type="dxa"/>
          <w:left w:w="0" w:type="dxa"/>
          <w:bottom w:w="0" w:type="dxa"/>
          <w:right w:w="0" w:type="dxa"/>
        </w:tblCellMar>
      </w:tblPr>
      <w:tr>
        <w:trPr>
          <w:trHeight w:val="158"/>
        </w:trPr>
        <w:tc>
          <w:tcPr>
            <w:tcW w:w="3400" w:type="dxa"/>
            <w:vAlign w:val="bottom"/>
            <w:tcBorders>
              <w:top w:val="single" w:sz="8" w:color="auto"/>
              <w:left w:val="single" w:sz="8" w:color="auto"/>
              <w:bottom w:val="single" w:sz="8" w:color="2AD2C8"/>
              <w:right w:val="single" w:sz="8" w:color="auto"/>
            </w:tcBorders>
            <w:shd w:val="clear" w:color="auto" w:fill="2AD2C8"/>
          </w:tcPr>
          <w:p>
            <w:pPr>
              <w:ind w:left="140"/>
              <w:spacing w:after="0"/>
              <w:rPr>
                <w:sz w:val="20"/>
                <w:szCs w:val="20"/>
                <w:color w:val="auto"/>
              </w:rPr>
            </w:pPr>
            <w:r>
              <w:rPr>
                <w:rFonts w:ascii="Times New Roman" w:cs="Times New Roman" w:eastAsia="Times New Roman" w:hAnsi="Times New Roman"/>
                <w:sz w:val="10"/>
                <w:szCs w:val="10"/>
                <w:b w:val="1"/>
                <w:bCs w:val="1"/>
                <w:color w:val="FFFFFF"/>
              </w:rPr>
              <w:t>Administrative and General Expenses</w:t>
            </w:r>
          </w:p>
        </w:tc>
        <w:tc>
          <w:tcPr>
            <w:tcW w:w="860" w:type="dxa"/>
            <w:vAlign w:val="bottom"/>
            <w:tcBorders>
              <w:top w:val="single" w:sz="8" w:color="auto"/>
              <w:bottom w:val="single" w:sz="8" w:color="2AD2C8"/>
            </w:tcBorders>
            <w:shd w:val="clear" w:color="auto" w:fill="2AD2C8"/>
          </w:tcPr>
          <w:p>
            <w:pPr>
              <w:spacing w:after="0"/>
              <w:rPr>
                <w:sz w:val="13"/>
                <w:szCs w:val="13"/>
                <w:color w:val="auto"/>
              </w:rPr>
            </w:pPr>
          </w:p>
        </w:tc>
        <w:tc>
          <w:tcPr>
            <w:tcW w:w="900" w:type="dxa"/>
            <w:vAlign w:val="bottom"/>
            <w:tcBorders>
              <w:top w:val="single" w:sz="8" w:color="auto"/>
              <w:bottom w:val="single" w:sz="8" w:color="2AD2C8"/>
            </w:tcBorders>
            <w:shd w:val="clear" w:color="auto" w:fill="2AD2C8"/>
          </w:tcPr>
          <w:p>
            <w:pPr>
              <w:ind w:left="300"/>
              <w:spacing w:after="0"/>
              <w:rPr>
                <w:sz w:val="20"/>
                <w:szCs w:val="20"/>
                <w:color w:val="auto"/>
              </w:rPr>
            </w:pPr>
            <w:r>
              <w:rPr>
                <w:rFonts w:ascii="Times New Roman" w:cs="Times New Roman" w:eastAsia="Times New Roman" w:hAnsi="Times New Roman"/>
                <w:sz w:val="10"/>
                <w:szCs w:val="10"/>
                <w:b w:val="1"/>
                <w:bCs w:val="1"/>
                <w:color w:val="FFFFFF"/>
              </w:rPr>
              <w:t>Quarter</w:t>
            </w:r>
          </w:p>
        </w:tc>
        <w:tc>
          <w:tcPr>
            <w:tcW w:w="920" w:type="dxa"/>
            <w:vAlign w:val="bottom"/>
            <w:tcBorders>
              <w:top w:val="single" w:sz="8" w:color="auto"/>
              <w:bottom w:val="single" w:sz="8" w:color="2AD2C8"/>
              <w:right w:val="single" w:sz="8" w:color="auto"/>
            </w:tcBorders>
            <w:shd w:val="clear" w:color="auto" w:fill="2AD2C8"/>
          </w:tcPr>
          <w:p>
            <w:pPr>
              <w:spacing w:after="0"/>
              <w:rPr>
                <w:sz w:val="13"/>
                <w:szCs w:val="13"/>
                <w:color w:val="auto"/>
              </w:rPr>
            </w:pPr>
          </w:p>
        </w:tc>
        <w:tc>
          <w:tcPr>
            <w:tcW w:w="640" w:type="dxa"/>
            <w:vAlign w:val="bottom"/>
            <w:tcBorders>
              <w:top w:val="single" w:sz="8" w:color="auto"/>
              <w:bottom w:val="single" w:sz="8" w:color="2AD2C8"/>
            </w:tcBorders>
            <w:shd w:val="clear" w:color="auto" w:fill="2AD2C8"/>
          </w:tcPr>
          <w:p>
            <w:pPr>
              <w:spacing w:after="0"/>
              <w:rPr>
                <w:sz w:val="13"/>
                <w:szCs w:val="13"/>
                <w:color w:val="auto"/>
              </w:rPr>
            </w:pPr>
          </w:p>
        </w:tc>
        <w:tc>
          <w:tcPr>
            <w:tcW w:w="1160" w:type="dxa"/>
            <w:vAlign w:val="bottom"/>
            <w:tcBorders>
              <w:top w:val="single" w:sz="8" w:color="auto"/>
              <w:bottom w:val="single" w:sz="8" w:color="2AD2C8"/>
              <w:right w:val="single" w:sz="8" w:color="auto"/>
            </w:tcBorders>
            <w:shd w:val="clear" w:color="auto" w:fill="2AD2C8"/>
          </w:tcPr>
          <w:p>
            <w:pPr>
              <w:ind w:left="40"/>
              <w:spacing w:after="0"/>
              <w:rPr>
                <w:sz w:val="20"/>
                <w:szCs w:val="20"/>
                <w:color w:val="auto"/>
              </w:rPr>
            </w:pPr>
            <w:r>
              <w:rPr>
                <w:rFonts w:ascii="Times New Roman" w:cs="Times New Roman" w:eastAsia="Times New Roman" w:hAnsi="Times New Roman"/>
                <w:sz w:val="10"/>
                <w:szCs w:val="10"/>
                <w:b w:val="1"/>
                <w:bCs w:val="1"/>
                <w:color w:val="FFFFFF"/>
              </w:rPr>
              <w:t>% change</w:t>
            </w:r>
          </w:p>
        </w:tc>
      </w:tr>
      <w:tr>
        <w:trPr>
          <w:trHeight w:val="170"/>
        </w:trPr>
        <w:tc>
          <w:tcPr>
            <w:tcW w:w="3400" w:type="dxa"/>
            <w:vAlign w:val="bottom"/>
            <w:tcBorders>
              <w:left w:val="single" w:sz="8" w:color="auto"/>
              <w:bottom w:val="single" w:sz="8" w:color="29D2C8"/>
              <w:right w:val="single" w:sz="8" w:color="auto"/>
            </w:tcBorders>
            <w:shd w:val="clear" w:color="auto" w:fill="29D2C8"/>
          </w:tcPr>
          <w:p>
            <w:pPr>
              <w:ind w:left="120"/>
              <w:spacing w:after="0"/>
              <w:rPr>
                <w:sz w:val="20"/>
                <w:szCs w:val="20"/>
                <w:color w:val="auto"/>
              </w:rPr>
            </w:pPr>
            <w:r>
              <w:rPr>
                <w:rFonts w:ascii="Times New Roman" w:cs="Times New Roman" w:eastAsia="Times New Roman" w:hAnsi="Times New Roman"/>
                <w:sz w:val="10"/>
                <w:szCs w:val="10"/>
                <w:color w:val="FFFFFF"/>
              </w:rPr>
              <w:t>S/ 000</w:t>
            </w:r>
          </w:p>
        </w:tc>
        <w:tc>
          <w:tcPr>
            <w:tcW w:w="860" w:type="dxa"/>
            <w:vAlign w:val="bottom"/>
            <w:tcBorders>
              <w:bottom w:val="single" w:sz="8" w:color="29D2C8"/>
            </w:tcBorders>
            <w:shd w:val="clear" w:color="auto" w:fill="29D2C8"/>
          </w:tcPr>
          <w:p>
            <w:pPr>
              <w:jc w:val="center"/>
              <w:spacing w:after="0"/>
              <w:rPr>
                <w:sz w:val="20"/>
                <w:szCs w:val="20"/>
                <w:color w:val="auto"/>
              </w:rPr>
            </w:pPr>
            <w:r>
              <w:rPr>
                <w:rFonts w:ascii="Times New Roman" w:cs="Times New Roman" w:eastAsia="Times New Roman" w:hAnsi="Times New Roman"/>
                <w:sz w:val="10"/>
                <w:szCs w:val="10"/>
                <w:color w:val="FFFFFF"/>
                <w:w w:val="98"/>
              </w:rPr>
              <w:t>1Q25</w:t>
            </w:r>
          </w:p>
        </w:tc>
        <w:tc>
          <w:tcPr>
            <w:tcW w:w="900" w:type="dxa"/>
            <w:vAlign w:val="bottom"/>
            <w:tcBorders>
              <w:bottom w:val="single" w:sz="8" w:color="29D2C8"/>
            </w:tcBorders>
            <w:shd w:val="clear" w:color="auto" w:fill="29D2C8"/>
          </w:tcPr>
          <w:p>
            <w:pPr>
              <w:jc w:val="center"/>
              <w:spacing w:after="0"/>
              <w:rPr>
                <w:sz w:val="20"/>
                <w:szCs w:val="20"/>
                <w:color w:val="auto"/>
              </w:rPr>
            </w:pPr>
            <w:r>
              <w:rPr>
                <w:rFonts w:ascii="Times New Roman" w:cs="Times New Roman" w:eastAsia="Times New Roman" w:hAnsi="Times New Roman"/>
                <w:sz w:val="10"/>
                <w:szCs w:val="10"/>
                <w:color w:val="FFFFFF"/>
              </w:rPr>
              <w:t>4Q25</w:t>
            </w:r>
          </w:p>
        </w:tc>
        <w:tc>
          <w:tcPr>
            <w:tcW w:w="920" w:type="dxa"/>
            <w:vAlign w:val="bottom"/>
            <w:tcBorders>
              <w:bottom w:val="single" w:sz="8" w:color="29D2C8"/>
              <w:right w:val="single" w:sz="8" w:color="auto"/>
            </w:tcBorders>
            <w:shd w:val="clear" w:color="auto" w:fill="29D2C8"/>
          </w:tcPr>
          <w:p>
            <w:pPr>
              <w:jc w:val="center"/>
              <w:spacing w:after="0"/>
              <w:rPr>
                <w:sz w:val="20"/>
                <w:szCs w:val="20"/>
                <w:color w:val="auto"/>
              </w:rPr>
            </w:pPr>
            <w:r>
              <w:rPr>
                <w:rFonts w:ascii="Times New Roman" w:cs="Times New Roman" w:eastAsia="Times New Roman" w:hAnsi="Times New Roman"/>
                <w:sz w:val="10"/>
                <w:szCs w:val="10"/>
                <w:color w:val="FFFFFF"/>
                <w:w w:val="98"/>
              </w:rPr>
              <w:t>1Q26</w:t>
            </w:r>
          </w:p>
        </w:tc>
        <w:tc>
          <w:tcPr>
            <w:tcW w:w="640" w:type="dxa"/>
            <w:vAlign w:val="bottom"/>
            <w:tcBorders>
              <w:bottom w:val="single" w:sz="8" w:color="29D2C8"/>
            </w:tcBorders>
            <w:shd w:val="clear" w:color="auto" w:fill="29D2C8"/>
          </w:tcPr>
          <w:p>
            <w:pPr>
              <w:ind w:left="340"/>
              <w:spacing w:after="0"/>
              <w:rPr>
                <w:sz w:val="20"/>
                <w:szCs w:val="20"/>
                <w:color w:val="auto"/>
              </w:rPr>
            </w:pPr>
            <w:r>
              <w:rPr>
                <w:rFonts w:ascii="Times New Roman" w:cs="Times New Roman" w:eastAsia="Times New Roman" w:hAnsi="Times New Roman"/>
                <w:sz w:val="10"/>
                <w:szCs w:val="10"/>
                <w:color w:val="FFFFFF"/>
              </w:rPr>
              <w:t>QoQ</w:t>
            </w:r>
          </w:p>
        </w:tc>
        <w:tc>
          <w:tcPr>
            <w:tcW w:w="1160" w:type="dxa"/>
            <w:vAlign w:val="bottom"/>
            <w:tcBorders>
              <w:bottom w:val="single" w:sz="8" w:color="29D2C8"/>
              <w:right w:val="single" w:sz="8" w:color="auto"/>
            </w:tcBorders>
            <w:shd w:val="clear" w:color="auto" w:fill="29D2C8"/>
          </w:tcPr>
          <w:p>
            <w:pPr>
              <w:ind w:left="600"/>
              <w:spacing w:after="0"/>
              <w:rPr>
                <w:sz w:val="20"/>
                <w:szCs w:val="20"/>
                <w:color w:val="auto"/>
              </w:rPr>
            </w:pPr>
            <w:r>
              <w:rPr>
                <w:rFonts w:ascii="Times New Roman" w:cs="Times New Roman" w:eastAsia="Times New Roman" w:hAnsi="Times New Roman"/>
                <w:sz w:val="10"/>
                <w:szCs w:val="10"/>
                <w:b w:val="1"/>
                <w:bCs w:val="1"/>
                <w:color w:val="FFFFFF"/>
              </w:rPr>
              <w:t>YoY</w:t>
            </w:r>
          </w:p>
        </w:tc>
      </w:tr>
      <w:tr>
        <w:trPr>
          <w:trHeight w:val="137"/>
        </w:trPr>
        <w:tc>
          <w:tcPr>
            <w:tcW w:w="340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0"/>
                <w:szCs w:val="10"/>
                <w:color w:val="auto"/>
              </w:rPr>
              <w:t>IT expenses and IT third-party services</w:t>
            </w:r>
          </w:p>
        </w:tc>
        <w:tc>
          <w:tcPr>
            <w:tcW w:w="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8"/>
              </w:rPr>
              <w:t>302,029</w:t>
            </w:r>
          </w:p>
        </w:tc>
        <w:tc>
          <w:tcPr>
            <w:tcW w:w="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8"/>
              </w:rPr>
              <w:t>422,856</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rPr>
              <w:t>392,131</w:t>
            </w:r>
          </w:p>
        </w:tc>
        <w:tc>
          <w:tcPr>
            <w:tcW w:w="640" w:type="dxa"/>
            <w:vAlign w:val="bottom"/>
            <w:tcBorders>
              <w:top w:val="single" w:sz="8" w:color="auto"/>
            </w:tcBorders>
          </w:tcPr>
          <w:p>
            <w:pPr>
              <w:jc w:val="center"/>
              <w:ind w:left="189"/>
              <w:spacing w:after="0"/>
              <w:rPr>
                <w:sz w:val="20"/>
                <w:szCs w:val="20"/>
                <w:color w:val="auto"/>
              </w:rPr>
            </w:pPr>
            <w:r>
              <w:rPr>
                <w:rFonts w:ascii="Times New Roman" w:cs="Times New Roman" w:eastAsia="Times New Roman" w:hAnsi="Times New Roman"/>
                <w:sz w:val="10"/>
                <w:szCs w:val="10"/>
                <w:color w:val="auto"/>
                <w:w w:val="99"/>
              </w:rPr>
              <w:t>-7.3%</w:t>
            </w:r>
          </w:p>
        </w:tc>
        <w:tc>
          <w:tcPr>
            <w:tcW w:w="1160" w:type="dxa"/>
            <w:vAlign w:val="bottom"/>
            <w:tcBorders>
              <w:top w:val="single" w:sz="8" w:color="auto"/>
              <w:right w:val="single" w:sz="8" w:color="auto"/>
            </w:tcBorders>
          </w:tcPr>
          <w:p>
            <w:pPr>
              <w:jc w:val="center"/>
              <w:ind w:left="169"/>
              <w:spacing w:after="0"/>
              <w:rPr>
                <w:sz w:val="20"/>
                <w:szCs w:val="20"/>
                <w:color w:val="auto"/>
              </w:rPr>
            </w:pPr>
            <w:r>
              <w:rPr>
                <w:rFonts w:ascii="Times New Roman" w:cs="Times New Roman" w:eastAsia="Times New Roman" w:hAnsi="Times New Roman"/>
                <w:sz w:val="10"/>
                <w:szCs w:val="10"/>
                <w:color w:val="auto"/>
              </w:rPr>
              <w:t>29.8%</w:t>
            </w:r>
          </w:p>
        </w:tc>
      </w:tr>
      <w:tr>
        <w:trPr>
          <w:trHeight w:val="165"/>
        </w:trPr>
        <w:tc>
          <w:tcPr>
            <w:tcW w:w="34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0"/>
                <w:szCs w:val="10"/>
                <w:color w:val="auto"/>
              </w:rPr>
              <w:t>Advertising and customer loyalty programs</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85,390</w:t>
            </w:r>
          </w:p>
        </w:tc>
        <w:tc>
          <w:tcPr>
            <w:tcW w:w="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183,504</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rPr>
              <w:t>122,989</w:t>
            </w:r>
          </w:p>
        </w:tc>
        <w:tc>
          <w:tcPr>
            <w:tcW w:w="640" w:type="dxa"/>
            <w:vAlign w:val="bottom"/>
          </w:tcPr>
          <w:p>
            <w:pPr>
              <w:jc w:val="center"/>
              <w:ind w:left="189"/>
              <w:spacing w:after="0"/>
              <w:rPr>
                <w:sz w:val="20"/>
                <w:szCs w:val="20"/>
                <w:color w:val="auto"/>
              </w:rPr>
            </w:pPr>
            <w:r>
              <w:rPr>
                <w:rFonts w:ascii="Times New Roman" w:cs="Times New Roman" w:eastAsia="Times New Roman" w:hAnsi="Times New Roman"/>
                <w:sz w:val="10"/>
                <w:szCs w:val="10"/>
                <w:color w:val="auto"/>
                <w:w w:val="95"/>
              </w:rPr>
              <w:t>-33.0%</w:t>
            </w:r>
          </w:p>
        </w:tc>
        <w:tc>
          <w:tcPr>
            <w:tcW w:w="1160" w:type="dxa"/>
            <w:vAlign w:val="bottom"/>
            <w:tcBorders>
              <w:right w:val="single" w:sz="8" w:color="auto"/>
            </w:tcBorders>
          </w:tcPr>
          <w:p>
            <w:pPr>
              <w:jc w:val="center"/>
              <w:ind w:left="169"/>
              <w:spacing w:after="0"/>
              <w:rPr>
                <w:sz w:val="20"/>
                <w:szCs w:val="20"/>
                <w:color w:val="auto"/>
              </w:rPr>
            </w:pPr>
            <w:r>
              <w:rPr>
                <w:rFonts w:ascii="Times New Roman" w:cs="Times New Roman" w:eastAsia="Times New Roman" w:hAnsi="Times New Roman"/>
                <w:sz w:val="10"/>
                <w:szCs w:val="10"/>
                <w:color w:val="auto"/>
              </w:rPr>
              <w:t>44.0%</w:t>
            </w:r>
          </w:p>
        </w:tc>
      </w:tr>
      <w:tr>
        <w:trPr>
          <w:trHeight w:val="165"/>
        </w:trPr>
        <w:tc>
          <w:tcPr>
            <w:tcW w:w="34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0"/>
                <w:szCs w:val="10"/>
                <w:color w:val="auto"/>
              </w:rPr>
              <w:t>Taxes and contributions</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83,347</w:t>
            </w:r>
          </w:p>
        </w:tc>
        <w:tc>
          <w:tcPr>
            <w:tcW w:w="90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93,975</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rPr>
              <w:t>110,168</w:t>
            </w:r>
          </w:p>
        </w:tc>
        <w:tc>
          <w:tcPr>
            <w:tcW w:w="640" w:type="dxa"/>
            <w:vAlign w:val="bottom"/>
          </w:tcPr>
          <w:p>
            <w:pPr>
              <w:jc w:val="center"/>
              <w:ind w:left="189"/>
              <w:spacing w:after="0"/>
              <w:rPr>
                <w:sz w:val="20"/>
                <w:szCs w:val="20"/>
                <w:color w:val="auto"/>
              </w:rPr>
            </w:pPr>
            <w:r>
              <w:rPr>
                <w:rFonts w:ascii="Times New Roman" w:cs="Times New Roman" w:eastAsia="Times New Roman" w:hAnsi="Times New Roman"/>
                <w:sz w:val="10"/>
                <w:szCs w:val="10"/>
                <w:color w:val="auto"/>
              </w:rPr>
              <w:t>17.2%</w:t>
            </w:r>
          </w:p>
        </w:tc>
        <w:tc>
          <w:tcPr>
            <w:tcW w:w="1160" w:type="dxa"/>
            <w:vAlign w:val="bottom"/>
            <w:tcBorders>
              <w:right w:val="single" w:sz="8" w:color="auto"/>
            </w:tcBorders>
          </w:tcPr>
          <w:p>
            <w:pPr>
              <w:jc w:val="center"/>
              <w:ind w:left="169"/>
              <w:spacing w:after="0"/>
              <w:rPr>
                <w:sz w:val="20"/>
                <w:szCs w:val="20"/>
                <w:color w:val="auto"/>
              </w:rPr>
            </w:pPr>
            <w:r>
              <w:rPr>
                <w:rFonts w:ascii="Times New Roman" w:cs="Times New Roman" w:eastAsia="Times New Roman" w:hAnsi="Times New Roman"/>
                <w:sz w:val="10"/>
                <w:szCs w:val="10"/>
                <w:color w:val="auto"/>
              </w:rPr>
              <w:t>32.2%</w:t>
            </w:r>
          </w:p>
        </w:tc>
      </w:tr>
      <w:tr>
        <w:trPr>
          <w:trHeight w:val="165"/>
        </w:trPr>
        <w:tc>
          <w:tcPr>
            <w:tcW w:w="34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0"/>
                <w:szCs w:val="10"/>
                <w:color w:val="auto"/>
              </w:rPr>
              <w:t>Audit Services, Consulting and professional fees</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71,072</w:t>
            </w:r>
          </w:p>
        </w:tc>
        <w:tc>
          <w:tcPr>
            <w:tcW w:w="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165,592</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rPr>
              <w:t>87,825</w:t>
            </w:r>
          </w:p>
        </w:tc>
        <w:tc>
          <w:tcPr>
            <w:tcW w:w="640" w:type="dxa"/>
            <w:vAlign w:val="bottom"/>
          </w:tcPr>
          <w:p>
            <w:pPr>
              <w:jc w:val="center"/>
              <w:ind w:left="189"/>
              <w:spacing w:after="0"/>
              <w:rPr>
                <w:sz w:val="20"/>
                <w:szCs w:val="20"/>
                <w:color w:val="auto"/>
              </w:rPr>
            </w:pPr>
            <w:r>
              <w:rPr>
                <w:rFonts w:ascii="Times New Roman" w:cs="Times New Roman" w:eastAsia="Times New Roman" w:hAnsi="Times New Roman"/>
                <w:sz w:val="10"/>
                <w:szCs w:val="10"/>
                <w:color w:val="auto"/>
                <w:w w:val="95"/>
              </w:rPr>
              <w:t>-47.0%</w:t>
            </w:r>
          </w:p>
        </w:tc>
        <w:tc>
          <w:tcPr>
            <w:tcW w:w="1160" w:type="dxa"/>
            <w:vAlign w:val="bottom"/>
            <w:tcBorders>
              <w:right w:val="single" w:sz="8" w:color="auto"/>
            </w:tcBorders>
          </w:tcPr>
          <w:p>
            <w:pPr>
              <w:jc w:val="center"/>
              <w:ind w:left="169"/>
              <w:spacing w:after="0"/>
              <w:rPr>
                <w:sz w:val="20"/>
                <w:szCs w:val="20"/>
                <w:color w:val="auto"/>
              </w:rPr>
            </w:pPr>
            <w:r>
              <w:rPr>
                <w:rFonts w:ascii="Times New Roman" w:cs="Times New Roman" w:eastAsia="Times New Roman" w:hAnsi="Times New Roman"/>
                <w:sz w:val="10"/>
                <w:szCs w:val="10"/>
                <w:color w:val="auto"/>
              </w:rPr>
              <w:t>23.6%</w:t>
            </w:r>
          </w:p>
        </w:tc>
      </w:tr>
      <w:tr>
        <w:trPr>
          <w:trHeight w:val="165"/>
        </w:trPr>
        <w:tc>
          <w:tcPr>
            <w:tcW w:w="34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0"/>
                <w:szCs w:val="10"/>
                <w:color w:val="auto"/>
              </w:rPr>
              <w:t>Transport and communications</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52,810</w:t>
            </w:r>
          </w:p>
        </w:tc>
        <w:tc>
          <w:tcPr>
            <w:tcW w:w="90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74,704</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rPr>
              <w:t>48,515</w:t>
            </w:r>
          </w:p>
        </w:tc>
        <w:tc>
          <w:tcPr>
            <w:tcW w:w="640" w:type="dxa"/>
            <w:vAlign w:val="bottom"/>
          </w:tcPr>
          <w:p>
            <w:pPr>
              <w:jc w:val="center"/>
              <w:ind w:left="189"/>
              <w:spacing w:after="0"/>
              <w:rPr>
                <w:sz w:val="20"/>
                <w:szCs w:val="20"/>
                <w:color w:val="auto"/>
              </w:rPr>
            </w:pPr>
            <w:r>
              <w:rPr>
                <w:rFonts w:ascii="Times New Roman" w:cs="Times New Roman" w:eastAsia="Times New Roman" w:hAnsi="Times New Roman"/>
                <w:sz w:val="10"/>
                <w:szCs w:val="10"/>
                <w:color w:val="auto"/>
                <w:w w:val="95"/>
              </w:rPr>
              <w:t>-35.1%</w:t>
            </w:r>
          </w:p>
        </w:tc>
        <w:tc>
          <w:tcPr>
            <w:tcW w:w="1160" w:type="dxa"/>
            <w:vAlign w:val="bottom"/>
            <w:tcBorders>
              <w:right w:val="single" w:sz="8" w:color="auto"/>
            </w:tcBorders>
          </w:tcPr>
          <w:p>
            <w:pPr>
              <w:jc w:val="center"/>
              <w:ind w:left="189"/>
              <w:spacing w:after="0"/>
              <w:rPr>
                <w:sz w:val="20"/>
                <w:szCs w:val="20"/>
                <w:color w:val="auto"/>
              </w:rPr>
            </w:pPr>
            <w:r>
              <w:rPr>
                <w:rFonts w:ascii="Times New Roman" w:cs="Times New Roman" w:eastAsia="Times New Roman" w:hAnsi="Times New Roman"/>
                <w:sz w:val="10"/>
                <w:szCs w:val="10"/>
                <w:color w:val="auto"/>
                <w:w w:val="99"/>
              </w:rPr>
              <w:t>-8.1%</w:t>
            </w:r>
          </w:p>
        </w:tc>
      </w:tr>
      <w:tr>
        <w:trPr>
          <w:trHeight w:val="165"/>
        </w:trPr>
        <w:tc>
          <w:tcPr>
            <w:tcW w:w="34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0"/>
                <w:szCs w:val="10"/>
                <w:color w:val="auto"/>
              </w:rPr>
              <w:t>Repair and maintenance</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31,635</w:t>
            </w:r>
          </w:p>
        </w:tc>
        <w:tc>
          <w:tcPr>
            <w:tcW w:w="90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57,177</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rPr>
              <w:t>28,381</w:t>
            </w:r>
          </w:p>
        </w:tc>
        <w:tc>
          <w:tcPr>
            <w:tcW w:w="640" w:type="dxa"/>
            <w:vAlign w:val="bottom"/>
          </w:tcPr>
          <w:p>
            <w:pPr>
              <w:jc w:val="center"/>
              <w:ind w:left="189"/>
              <w:spacing w:after="0"/>
              <w:rPr>
                <w:sz w:val="20"/>
                <w:szCs w:val="20"/>
                <w:color w:val="auto"/>
              </w:rPr>
            </w:pPr>
            <w:r>
              <w:rPr>
                <w:rFonts w:ascii="Times New Roman" w:cs="Times New Roman" w:eastAsia="Times New Roman" w:hAnsi="Times New Roman"/>
                <w:sz w:val="10"/>
                <w:szCs w:val="10"/>
                <w:color w:val="auto"/>
                <w:w w:val="95"/>
              </w:rPr>
              <w:t>-50.4%</w:t>
            </w:r>
          </w:p>
        </w:tc>
        <w:tc>
          <w:tcPr>
            <w:tcW w:w="1160" w:type="dxa"/>
            <w:vAlign w:val="bottom"/>
            <w:tcBorders>
              <w:right w:val="single" w:sz="8" w:color="auto"/>
            </w:tcBorders>
          </w:tcPr>
          <w:p>
            <w:pPr>
              <w:jc w:val="center"/>
              <w:ind w:left="169"/>
              <w:spacing w:after="0"/>
              <w:rPr>
                <w:sz w:val="20"/>
                <w:szCs w:val="20"/>
                <w:color w:val="auto"/>
              </w:rPr>
            </w:pPr>
            <w:r>
              <w:rPr>
                <w:rFonts w:ascii="Times New Roman" w:cs="Times New Roman" w:eastAsia="Times New Roman" w:hAnsi="Times New Roman"/>
                <w:sz w:val="10"/>
                <w:szCs w:val="10"/>
                <w:color w:val="auto"/>
              </w:rPr>
              <w:t>-10.3%</w:t>
            </w:r>
          </w:p>
        </w:tc>
      </w:tr>
      <w:tr>
        <w:trPr>
          <w:trHeight w:val="165"/>
        </w:trPr>
        <w:tc>
          <w:tcPr>
            <w:tcW w:w="34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0"/>
                <w:szCs w:val="10"/>
                <w:color w:val="auto"/>
              </w:rPr>
              <w:t>Agents’ Fees</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26,102</w:t>
            </w:r>
          </w:p>
        </w:tc>
        <w:tc>
          <w:tcPr>
            <w:tcW w:w="90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26,734</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rPr>
              <w:t>24,074</w:t>
            </w:r>
          </w:p>
        </w:tc>
        <w:tc>
          <w:tcPr>
            <w:tcW w:w="640" w:type="dxa"/>
            <w:vAlign w:val="bottom"/>
          </w:tcPr>
          <w:p>
            <w:pPr>
              <w:jc w:val="center"/>
              <w:ind w:left="189"/>
              <w:spacing w:after="0"/>
              <w:rPr>
                <w:sz w:val="20"/>
                <w:szCs w:val="20"/>
                <w:color w:val="auto"/>
              </w:rPr>
            </w:pPr>
            <w:r>
              <w:rPr>
                <w:rFonts w:ascii="Times New Roman" w:cs="Times New Roman" w:eastAsia="Times New Roman" w:hAnsi="Times New Roman"/>
                <w:sz w:val="10"/>
                <w:szCs w:val="10"/>
                <w:color w:val="auto"/>
                <w:w w:val="99"/>
              </w:rPr>
              <w:t>-9.9%</w:t>
            </w:r>
          </w:p>
        </w:tc>
        <w:tc>
          <w:tcPr>
            <w:tcW w:w="1160" w:type="dxa"/>
            <w:vAlign w:val="bottom"/>
            <w:tcBorders>
              <w:right w:val="single" w:sz="8" w:color="auto"/>
            </w:tcBorders>
          </w:tcPr>
          <w:p>
            <w:pPr>
              <w:jc w:val="center"/>
              <w:ind w:left="189"/>
              <w:spacing w:after="0"/>
              <w:rPr>
                <w:sz w:val="20"/>
                <w:szCs w:val="20"/>
                <w:color w:val="auto"/>
              </w:rPr>
            </w:pPr>
            <w:r>
              <w:rPr>
                <w:rFonts w:ascii="Times New Roman" w:cs="Times New Roman" w:eastAsia="Times New Roman" w:hAnsi="Times New Roman"/>
                <w:sz w:val="10"/>
                <w:szCs w:val="10"/>
                <w:color w:val="auto"/>
                <w:w w:val="99"/>
              </w:rPr>
              <w:t>-7.8%</w:t>
            </w:r>
          </w:p>
        </w:tc>
      </w:tr>
      <w:tr>
        <w:trPr>
          <w:trHeight w:val="165"/>
        </w:trPr>
        <w:tc>
          <w:tcPr>
            <w:tcW w:w="34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0"/>
                <w:szCs w:val="10"/>
                <w:color w:val="auto"/>
              </w:rPr>
              <w:t>Services by third-party</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21,436</w:t>
            </w:r>
          </w:p>
        </w:tc>
        <w:tc>
          <w:tcPr>
            <w:tcW w:w="90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37,126</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rPr>
              <w:t>23,428</w:t>
            </w:r>
          </w:p>
        </w:tc>
        <w:tc>
          <w:tcPr>
            <w:tcW w:w="640" w:type="dxa"/>
            <w:vAlign w:val="bottom"/>
          </w:tcPr>
          <w:p>
            <w:pPr>
              <w:jc w:val="center"/>
              <w:ind w:left="189"/>
              <w:spacing w:after="0"/>
              <w:rPr>
                <w:sz w:val="20"/>
                <w:szCs w:val="20"/>
                <w:color w:val="auto"/>
              </w:rPr>
            </w:pPr>
            <w:r>
              <w:rPr>
                <w:rFonts w:ascii="Times New Roman" w:cs="Times New Roman" w:eastAsia="Times New Roman" w:hAnsi="Times New Roman"/>
                <w:sz w:val="10"/>
                <w:szCs w:val="10"/>
                <w:color w:val="auto"/>
                <w:w w:val="95"/>
              </w:rPr>
              <w:t>-36.9%</w:t>
            </w:r>
          </w:p>
        </w:tc>
        <w:tc>
          <w:tcPr>
            <w:tcW w:w="1160" w:type="dxa"/>
            <w:vAlign w:val="bottom"/>
            <w:tcBorders>
              <w:right w:val="single" w:sz="8" w:color="auto"/>
            </w:tcBorders>
          </w:tcPr>
          <w:p>
            <w:pPr>
              <w:jc w:val="center"/>
              <w:ind w:left="169"/>
              <w:spacing w:after="0"/>
              <w:rPr>
                <w:sz w:val="20"/>
                <w:szCs w:val="20"/>
                <w:color w:val="auto"/>
              </w:rPr>
            </w:pPr>
            <w:r>
              <w:rPr>
                <w:rFonts w:ascii="Times New Roman" w:cs="Times New Roman" w:eastAsia="Times New Roman" w:hAnsi="Times New Roman"/>
                <w:sz w:val="10"/>
                <w:szCs w:val="10"/>
                <w:color w:val="auto"/>
              </w:rPr>
              <w:t>9.3%</w:t>
            </w:r>
          </w:p>
        </w:tc>
      </w:tr>
      <w:tr>
        <w:trPr>
          <w:trHeight w:val="165"/>
        </w:trPr>
        <w:tc>
          <w:tcPr>
            <w:tcW w:w="34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0"/>
                <w:szCs w:val="10"/>
                <w:color w:val="auto"/>
              </w:rPr>
              <w:t>Leases of low value and short-term</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33,177</w:t>
            </w:r>
          </w:p>
        </w:tc>
        <w:tc>
          <w:tcPr>
            <w:tcW w:w="90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40,883</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rPr>
              <w:t>41,329</w:t>
            </w:r>
          </w:p>
        </w:tc>
        <w:tc>
          <w:tcPr>
            <w:tcW w:w="640" w:type="dxa"/>
            <w:vAlign w:val="bottom"/>
          </w:tcPr>
          <w:p>
            <w:pPr>
              <w:jc w:val="center"/>
              <w:ind w:left="189"/>
              <w:spacing w:after="0"/>
              <w:rPr>
                <w:sz w:val="20"/>
                <w:szCs w:val="20"/>
                <w:color w:val="auto"/>
              </w:rPr>
            </w:pPr>
            <w:r>
              <w:rPr>
                <w:rFonts w:ascii="Times New Roman" w:cs="Times New Roman" w:eastAsia="Times New Roman" w:hAnsi="Times New Roman"/>
                <w:sz w:val="10"/>
                <w:szCs w:val="10"/>
                <w:color w:val="auto"/>
                <w:w w:val="95"/>
              </w:rPr>
              <w:t>1.1%</w:t>
            </w:r>
          </w:p>
        </w:tc>
        <w:tc>
          <w:tcPr>
            <w:tcW w:w="1160" w:type="dxa"/>
            <w:vAlign w:val="bottom"/>
            <w:tcBorders>
              <w:right w:val="single" w:sz="8" w:color="auto"/>
            </w:tcBorders>
          </w:tcPr>
          <w:p>
            <w:pPr>
              <w:jc w:val="center"/>
              <w:ind w:left="169"/>
              <w:spacing w:after="0"/>
              <w:rPr>
                <w:sz w:val="20"/>
                <w:szCs w:val="20"/>
                <w:color w:val="auto"/>
              </w:rPr>
            </w:pPr>
            <w:r>
              <w:rPr>
                <w:rFonts w:ascii="Times New Roman" w:cs="Times New Roman" w:eastAsia="Times New Roman" w:hAnsi="Times New Roman"/>
                <w:sz w:val="10"/>
                <w:szCs w:val="10"/>
                <w:color w:val="auto"/>
              </w:rPr>
              <w:t>24.6%</w:t>
            </w:r>
          </w:p>
        </w:tc>
      </w:tr>
      <w:tr>
        <w:trPr>
          <w:trHeight w:val="165"/>
        </w:trPr>
        <w:tc>
          <w:tcPr>
            <w:tcW w:w="34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0"/>
                <w:szCs w:val="10"/>
                <w:color w:val="auto"/>
              </w:rPr>
              <w:t>Miscellaneous supplies</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19,383</w:t>
            </w:r>
          </w:p>
        </w:tc>
        <w:tc>
          <w:tcPr>
            <w:tcW w:w="90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15,014</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rPr>
              <w:t>16,772</w:t>
            </w:r>
          </w:p>
        </w:tc>
        <w:tc>
          <w:tcPr>
            <w:tcW w:w="640" w:type="dxa"/>
            <w:vAlign w:val="bottom"/>
          </w:tcPr>
          <w:p>
            <w:pPr>
              <w:jc w:val="center"/>
              <w:ind w:left="189"/>
              <w:spacing w:after="0"/>
              <w:rPr>
                <w:sz w:val="20"/>
                <w:szCs w:val="20"/>
                <w:color w:val="auto"/>
              </w:rPr>
            </w:pPr>
            <w:r>
              <w:rPr>
                <w:rFonts w:ascii="Times New Roman" w:cs="Times New Roman" w:eastAsia="Times New Roman" w:hAnsi="Times New Roman"/>
                <w:sz w:val="10"/>
                <w:szCs w:val="10"/>
                <w:color w:val="auto"/>
                <w:w w:val="92"/>
              </w:rPr>
              <w:t>11.7%</w:t>
            </w:r>
          </w:p>
        </w:tc>
        <w:tc>
          <w:tcPr>
            <w:tcW w:w="1160" w:type="dxa"/>
            <w:vAlign w:val="bottom"/>
            <w:tcBorders>
              <w:right w:val="single" w:sz="8" w:color="auto"/>
            </w:tcBorders>
          </w:tcPr>
          <w:p>
            <w:pPr>
              <w:jc w:val="center"/>
              <w:ind w:left="169"/>
              <w:spacing w:after="0"/>
              <w:rPr>
                <w:sz w:val="20"/>
                <w:szCs w:val="20"/>
                <w:color w:val="auto"/>
              </w:rPr>
            </w:pPr>
            <w:r>
              <w:rPr>
                <w:rFonts w:ascii="Times New Roman" w:cs="Times New Roman" w:eastAsia="Times New Roman" w:hAnsi="Times New Roman"/>
                <w:sz w:val="10"/>
                <w:szCs w:val="10"/>
                <w:color w:val="auto"/>
              </w:rPr>
              <w:t>-13.5%</w:t>
            </w:r>
          </w:p>
        </w:tc>
      </w:tr>
      <w:tr>
        <w:trPr>
          <w:trHeight w:val="165"/>
        </w:trPr>
        <w:tc>
          <w:tcPr>
            <w:tcW w:w="34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0"/>
                <w:szCs w:val="10"/>
                <w:color w:val="auto"/>
              </w:rPr>
              <w:t>Security and protection</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16,946</w:t>
            </w:r>
          </w:p>
        </w:tc>
        <w:tc>
          <w:tcPr>
            <w:tcW w:w="90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18,905</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rPr>
              <w:t>18,007</w:t>
            </w:r>
          </w:p>
        </w:tc>
        <w:tc>
          <w:tcPr>
            <w:tcW w:w="640" w:type="dxa"/>
            <w:vAlign w:val="bottom"/>
          </w:tcPr>
          <w:p>
            <w:pPr>
              <w:jc w:val="center"/>
              <w:ind w:left="189"/>
              <w:spacing w:after="0"/>
              <w:rPr>
                <w:sz w:val="20"/>
                <w:szCs w:val="20"/>
                <w:color w:val="auto"/>
              </w:rPr>
            </w:pPr>
            <w:r>
              <w:rPr>
                <w:rFonts w:ascii="Times New Roman" w:cs="Times New Roman" w:eastAsia="Times New Roman" w:hAnsi="Times New Roman"/>
                <w:sz w:val="10"/>
                <w:szCs w:val="10"/>
                <w:color w:val="auto"/>
                <w:w w:val="99"/>
              </w:rPr>
              <w:t>-4.8%</w:t>
            </w:r>
          </w:p>
        </w:tc>
        <w:tc>
          <w:tcPr>
            <w:tcW w:w="1160" w:type="dxa"/>
            <w:vAlign w:val="bottom"/>
            <w:tcBorders>
              <w:right w:val="single" w:sz="8" w:color="auto"/>
            </w:tcBorders>
          </w:tcPr>
          <w:p>
            <w:pPr>
              <w:jc w:val="center"/>
              <w:ind w:left="169"/>
              <w:spacing w:after="0"/>
              <w:rPr>
                <w:sz w:val="20"/>
                <w:szCs w:val="20"/>
                <w:color w:val="auto"/>
              </w:rPr>
            </w:pPr>
            <w:r>
              <w:rPr>
                <w:rFonts w:ascii="Times New Roman" w:cs="Times New Roman" w:eastAsia="Times New Roman" w:hAnsi="Times New Roman"/>
                <w:sz w:val="10"/>
                <w:szCs w:val="10"/>
                <w:color w:val="auto"/>
              </w:rPr>
              <w:t>6.3%</w:t>
            </w:r>
          </w:p>
        </w:tc>
      </w:tr>
      <w:tr>
        <w:trPr>
          <w:trHeight w:val="165"/>
        </w:trPr>
        <w:tc>
          <w:tcPr>
            <w:tcW w:w="34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0"/>
                <w:szCs w:val="10"/>
                <w:color w:val="auto"/>
              </w:rPr>
              <w:t>Subscriptions and quotes</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18,330</w:t>
            </w:r>
          </w:p>
        </w:tc>
        <w:tc>
          <w:tcPr>
            <w:tcW w:w="90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19,525</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rPr>
              <w:t>20,849</w:t>
            </w:r>
          </w:p>
        </w:tc>
        <w:tc>
          <w:tcPr>
            <w:tcW w:w="640" w:type="dxa"/>
            <w:vAlign w:val="bottom"/>
          </w:tcPr>
          <w:p>
            <w:pPr>
              <w:jc w:val="center"/>
              <w:ind w:left="189"/>
              <w:spacing w:after="0"/>
              <w:rPr>
                <w:sz w:val="20"/>
                <w:szCs w:val="20"/>
                <w:color w:val="auto"/>
              </w:rPr>
            </w:pPr>
            <w:r>
              <w:rPr>
                <w:rFonts w:ascii="Times New Roman" w:cs="Times New Roman" w:eastAsia="Times New Roman" w:hAnsi="Times New Roman"/>
                <w:sz w:val="10"/>
                <w:szCs w:val="10"/>
                <w:color w:val="auto"/>
                <w:w w:val="95"/>
              </w:rPr>
              <w:t>6.8%</w:t>
            </w:r>
          </w:p>
        </w:tc>
        <w:tc>
          <w:tcPr>
            <w:tcW w:w="1160" w:type="dxa"/>
            <w:vAlign w:val="bottom"/>
            <w:tcBorders>
              <w:right w:val="single" w:sz="8" w:color="auto"/>
            </w:tcBorders>
          </w:tcPr>
          <w:p>
            <w:pPr>
              <w:jc w:val="center"/>
              <w:ind w:left="169"/>
              <w:spacing w:after="0"/>
              <w:rPr>
                <w:sz w:val="20"/>
                <w:szCs w:val="20"/>
                <w:color w:val="auto"/>
              </w:rPr>
            </w:pPr>
            <w:r>
              <w:rPr>
                <w:rFonts w:ascii="Times New Roman" w:cs="Times New Roman" w:eastAsia="Times New Roman" w:hAnsi="Times New Roman"/>
                <w:sz w:val="10"/>
                <w:szCs w:val="10"/>
                <w:color w:val="auto"/>
              </w:rPr>
              <w:t>13.7%</w:t>
            </w:r>
          </w:p>
        </w:tc>
      </w:tr>
      <w:tr>
        <w:trPr>
          <w:trHeight w:val="165"/>
        </w:trPr>
        <w:tc>
          <w:tcPr>
            <w:tcW w:w="34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0"/>
                <w:szCs w:val="10"/>
                <w:color w:val="auto"/>
              </w:rPr>
              <w:t>Electricity and water</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10,275</w:t>
            </w:r>
          </w:p>
        </w:tc>
        <w:tc>
          <w:tcPr>
            <w:tcW w:w="90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13,972</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rPr>
              <w:t>10,177</w:t>
            </w:r>
          </w:p>
        </w:tc>
        <w:tc>
          <w:tcPr>
            <w:tcW w:w="640" w:type="dxa"/>
            <w:vAlign w:val="bottom"/>
          </w:tcPr>
          <w:p>
            <w:pPr>
              <w:jc w:val="center"/>
              <w:ind w:left="189"/>
              <w:spacing w:after="0"/>
              <w:rPr>
                <w:sz w:val="20"/>
                <w:szCs w:val="20"/>
                <w:color w:val="auto"/>
              </w:rPr>
            </w:pPr>
            <w:r>
              <w:rPr>
                <w:rFonts w:ascii="Times New Roman" w:cs="Times New Roman" w:eastAsia="Times New Roman" w:hAnsi="Times New Roman"/>
                <w:sz w:val="10"/>
                <w:szCs w:val="10"/>
                <w:color w:val="auto"/>
                <w:w w:val="95"/>
              </w:rPr>
              <w:t>-27.2%</w:t>
            </w:r>
          </w:p>
        </w:tc>
        <w:tc>
          <w:tcPr>
            <w:tcW w:w="1160" w:type="dxa"/>
            <w:vAlign w:val="bottom"/>
            <w:tcBorders>
              <w:right w:val="single" w:sz="8" w:color="auto"/>
            </w:tcBorders>
          </w:tcPr>
          <w:p>
            <w:pPr>
              <w:jc w:val="center"/>
              <w:ind w:left="189"/>
              <w:spacing w:after="0"/>
              <w:rPr>
                <w:sz w:val="20"/>
                <w:szCs w:val="20"/>
                <w:color w:val="auto"/>
              </w:rPr>
            </w:pPr>
            <w:r>
              <w:rPr>
                <w:rFonts w:ascii="Times New Roman" w:cs="Times New Roman" w:eastAsia="Times New Roman" w:hAnsi="Times New Roman"/>
                <w:sz w:val="10"/>
                <w:szCs w:val="10"/>
                <w:color w:val="auto"/>
                <w:w w:val="99"/>
              </w:rPr>
              <w:t>-1.0%</w:t>
            </w:r>
          </w:p>
        </w:tc>
      </w:tr>
      <w:tr>
        <w:trPr>
          <w:trHeight w:val="165"/>
        </w:trPr>
        <w:tc>
          <w:tcPr>
            <w:tcW w:w="34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0"/>
                <w:szCs w:val="10"/>
                <w:color w:val="auto"/>
              </w:rPr>
              <w:t>Electronic processing</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7,635</w:t>
            </w:r>
          </w:p>
        </w:tc>
        <w:tc>
          <w:tcPr>
            <w:tcW w:w="90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9,247</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rPr>
              <w:t>10,067</w:t>
            </w:r>
          </w:p>
        </w:tc>
        <w:tc>
          <w:tcPr>
            <w:tcW w:w="640" w:type="dxa"/>
            <w:vAlign w:val="bottom"/>
          </w:tcPr>
          <w:p>
            <w:pPr>
              <w:jc w:val="center"/>
              <w:ind w:left="189"/>
              <w:spacing w:after="0"/>
              <w:rPr>
                <w:sz w:val="20"/>
                <w:szCs w:val="20"/>
                <w:color w:val="auto"/>
              </w:rPr>
            </w:pPr>
            <w:r>
              <w:rPr>
                <w:rFonts w:ascii="Times New Roman" w:cs="Times New Roman" w:eastAsia="Times New Roman" w:hAnsi="Times New Roman"/>
                <w:sz w:val="10"/>
                <w:szCs w:val="10"/>
                <w:color w:val="auto"/>
                <w:w w:val="95"/>
              </w:rPr>
              <w:t>8.9%</w:t>
            </w:r>
          </w:p>
        </w:tc>
        <w:tc>
          <w:tcPr>
            <w:tcW w:w="1160" w:type="dxa"/>
            <w:vAlign w:val="bottom"/>
            <w:tcBorders>
              <w:right w:val="single" w:sz="8" w:color="auto"/>
            </w:tcBorders>
          </w:tcPr>
          <w:p>
            <w:pPr>
              <w:jc w:val="center"/>
              <w:ind w:left="169"/>
              <w:spacing w:after="0"/>
              <w:rPr>
                <w:sz w:val="20"/>
                <w:szCs w:val="20"/>
                <w:color w:val="auto"/>
              </w:rPr>
            </w:pPr>
            <w:r>
              <w:rPr>
                <w:rFonts w:ascii="Times New Roman" w:cs="Times New Roman" w:eastAsia="Times New Roman" w:hAnsi="Times New Roman"/>
                <w:sz w:val="10"/>
                <w:szCs w:val="10"/>
                <w:color w:val="auto"/>
              </w:rPr>
              <w:t>31.9%</w:t>
            </w:r>
          </w:p>
        </w:tc>
      </w:tr>
      <w:tr>
        <w:trPr>
          <w:trHeight w:val="165"/>
        </w:trPr>
        <w:tc>
          <w:tcPr>
            <w:tcW w:w="34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0"/>
                <w:szCs w:val="10"/>
                <w:color w:val="auto"/>
              </w:rPr>
              <w:t>Insurance</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11,719</w:t>
            </w:r>
          </w:p>
        </w:tc>
        <w:tc>
          <w:tcPr>
            <w:tcW w:w="90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-18,515</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rPr>
              <w:t>23,102</w:t>
            </w:r>
          </w:p>
        </w:tc>
        <w:tc>
          <w:tcPr>
            <w:tcW w:w="640" w:type="dxa"/>
            <w:vAlign w:val="bottom"/>
          </w:tcPr>
          <w:p>
            <w:pPr>
              <w:jc w:val="center"/>
              <w:ind w:left="189"/>
              <w:spacing w:after="0"/>
              <w:rPr>
                <w:sz w:val="20"/>
                <w:szCs w:val="20"/>
                <w:color w:val="auto"/>
              </w:rPr>
            </w:pPr>
            <w:r>
              <w:rPr>
                <w:rFonts w:ascii="Times New Roman" w:cs="Times New Roman" w:eastAsia="Times New Roman" w:hAnsi="Times New Roman"/>
                <w:sz w:val="10"/>
                <w:szCs w:val="10"/>
                <w:color w:val="auto"/>
              </w:rPr>
              <w:t>-224.8%</w:t>
            </w:r>
          </w:p>
        </w:tc>
        <w:tc>
          <w:tcPr>
            <w:tcW w:w="1160" w:type="dxa"/>
            <w:vAlign w:val="bottom"/>
            <w:tcBorders>
              <w:right w:val="single" w:sz="8" w:color="auto"/>
            </w:tcBorders>
          </w:tcPr>
          <w:p>
            <w:pPr>
              <w:jc w:val="center"/>
              <w:ind w:left="169"/>
              <w:spacing w:after="0"/>
              <w:rPr>
                <w:sz w:val="20"/>
                <w:szCs w:val="20"/>
                <w:color w:val="auto"/>
              </w:rPr>
            </w:pPr>
            <w:r>
              <w:rPr>
                <w:rFonts w:ascii="Times New Roman" w:cs="Times New Roman" w:eastAsia="Times New Roman" w:hAnsi="Times New Roman"/>
                <w:sz w:val="10"/>
                <w:szCs w:val="10"/>
                <w:color w:val="auto"/>
              </w:rPr>
              <w:t>97.1%</w:t>
            </w:r>
          </w:p>
        </w:tc>
      </w:tr>
      <w:tr>
        <w:trPr>
          <w:trHeight w:val="165"/>
        </w:trPr>
        <w:tc>
          <w:tcPr>
            <w:tcW w:w="34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0"/>
                <w:szCs w:val="10"/>
                <w:color w:val="auto"/>
              </w:rPr>
              <w:t>Cleaning</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6,558</w:t>
            </w:r>
          </w:p>
        </w:tc>
        <w:tc>
          <w:tcPr>
            <w:tcW w:w="90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7,208</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7"/>
              </w:rPr>
              <w:t>7,163</w:t>
            </w:r>
          </w:p>
        </w:tc>
        <w:tc>
          <w:tcPr>
            <w:tcW w:w="640" w:type="dxa"/>
            <w:vAlign w:val="bottom"/>
          </w:tcPr>
          <w:p>
            <w:pPr>
              <w:jc w:val="center"/>
              <w:ind w:left="189"/>
              <w:spacing w:after="0"/>
              <w:rPr>
                <w:sz w:val="20"/>
                <w:szCs w:val="20"/>
                <w:color w:val="auto"/>
              </w:rPr>
            </w:pPr>
            <w:r>
              <w:rPr>
                <w:rFonts w:ascii="Times New Roman" w:cs="Times New Roman" w:eastAsia="Times New Roman" w:hAnsi="Times New Roman"/>
                <w:sz w:val="10"/>
                <w:szCs w:val="10"/>
                <w:color w:val="auto"/>
                <w:w w:val="99"/>
              </w:rPr>
              <w:t>-0.6%</w:t>
            </w:r>
          </w:p>
        </w:tc>
        <w:tc>
          <w:tcPr>
            <w:tcW w:w="1160" w:type="dxa"/>
            <w:vAlign w:val="bottom"/>
            <w:tcBorders>
              <w:right w:val="single" w:sz="8" w:color="auto"/>
            </w:tcBorders>
          </w:tcPr>
          <w:p>
            <w:pPr>
              <w:jc w:val="center"/>
              <w:ind w:left="169"/>
              <w:spacing w:after="0"/>
              <w:rPr>
                <w:sz w:val="20"/>
                <w:szCs w:val="20"/>
                <w:color w:val="auto"/>
              </w:rPr>
            </w:pPr>
            <w:r>
              <w:rPr>
                <w:rFonts w:ascii="Times New Roman" w:cs="Times New Roman" w:eastAsia="Times New Roman" w:hAnsi="Times New Roman"/>
                <w:sz w:val="10"/>
                <w:szCs w:val="10"/>
                <w:color w:val="auto"/>
              </w:rPr>
              <w:t>9.2%</w:t>
            </w:r>
          </w:p>
        </w:tc>
      </w:tr>
      <w:tr>
        <w:trPr>
          <w:trHeight w:val="165"/>
        </w:trPr>
        <w:tc>
          <w:tcPr>
            <w:tcW w:w="34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0"/>
                <w:szCs w:val="10"/>
                <w:color w:val="auto"/>
              </w:rPr>
              <w:t>Others</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71,990</w:t>
            </w:r>
          </w:p>
        </w:tc>
        <w:tc>
          <w:tcPr>
            <w:tcW w:w="90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18,590</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rPr>
              <w:t>76,689</w:t>
            </w:r>
          </w:p>
        </w:tc>
        <w:tc>
          <w:tcPr>
            <w:tcW w:w="640" w:type="dxa"/>
            <w:vAlign w:val="bottom"/>
          </w:tcPr>
          <w:p>
            <w:pPr>
              <w:jc w:val="center"/>
              <w:ind w:left="189"/>
              <w:spacing w:after="0"/>
              <w:rPr>
                <w:sz w:val="20"/>
                <w:szCs w:val="20"/>
                <w:color w:val="auto"/>
              </w:rPr>
            </w:pPr>
            <w:r>
              <w:rPr>
                <w:rFonts w:ascii="Times New Roman" w:cs="Times New Roman" w:eastAsia="Times New Roman" w:hAnsi="Times New Roman"/>
                <w:sz w:val="10"/>
                <w:szCs w:val="10"/>
                <w:color w:val="auto"/>
              </w:rPr>
              <w:t>312.5%</w:t>
            </w:r>
          </w:p>
        </w:tc>
        <w:tc>
          <w:tcPr>
            <w:tcW w:w="1160" w:type="dxa"/>
            <w:vAlign w:val="bottom"/>
            <w:tcBorders>
              <w:right w:val="single" w:sz="8" w:color="auto"/>
            </w:tcBorders>
          </w:tcPr>
          <w:p>
            <w:pPr>
              <w:jc w:val="center"/>
              <w:ind w:left="169"/>
              <w:spacing w:after="0"/>
              <w:rPr>
                <w:sz w:val="20"/>
                <w:szCs w:val="20"/>
                <w:color w:val="auto"/>
              </w:rPr>
            </w:pPr>
            <w:r>
              <w:rPr>
                <w:rFonts w:ascii="Times New Roman" w:cs="Times New Roman" w:eastAsia="Times New Roman" w:hAnsi="Times New Roman"/>
                <w:sz w:val="10"/>
                <w:szCs w:val="10"/>
                <w:color w:val="auto"/>
              </w:rPr>
              <w:t>6.5%</w:t>
            </w:r>
          </w:p>
        </w:tc>
      </w:tr>
      <w:tr>
        <w:trPr>
          <w:trHeight w:val="21"/>
        </w:trPr>
        <w:tc>
          <w:tcPr>
            <w:tcW w:w="3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r>
      <w:tr>
        <w:trPr>
          <w:trHeight w:val="137"/>
        </w:trPr>
        <w:tc>
          <w:tcPr>
            <w:tcW w:w="34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869,834</w:t>
            </w:r>
          </w:p>
        </w:tc>
        <w:tc>
          <w:tcPr>
            <w:tcW w:w="9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1,186,497</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1,061,666</w:t>
            </w:r>
          </w:p>
        </w:tc>
        <w:tc>
          <w:tcPr>
            <w:tcW w:w="640" w:type="dxa"/>
            <w:vAlign w:val="bottom"/>
          </w:tcPr>
          <w:p>
            <w:pPr>
              <w:jc w:val="center"/>
              <w:ind w:left="189"/>
              <w:spacing w:after="0"/>
              <w:rPr>
                <w:sz w:val="20"/>
                <w:szCs w:val="20"/>
                <w:color w:val="auto"/>
              </w:rPr>
            </w:pPr>
            <w:r>
              <w:rPr>
                <w:rFonts w:ascii="Times New Roman" w:cs="Times New Roman" w:eastAsia="Times New Roman" w:hAnsi="Times New Roman"/>
                <w:sz w:val="10"/>
                <w:szCs w:val="10"/>
                <w:b w:val="1"/>
                <w:bCs w:val="1"/>
                <w:color w:val="auto"/>
              </w:rPr>
              <w:t>-10.5%</w:t>
            </w:r>
          </w:p>
        </w:tc>
        <w:tc>
          <w:tcPr>
            <w:tcW w:w="1160" w:type="dxa"/>
            <w:vAlign w:val="bottom"/>
            <w:tcBorders>
              <w:right w:val="single" w:sz="8" w:color="auto"/>
            </w:tcBorders>
          </w:tcPr>
          <w:p>
            <w:pPr>
              <w:jc w:val="center"/>
              <w:ind w:left="189"/>
              <w:spacing w:after="0"/>
              <w:rPr>
                <w:sz w:val="20"/>
                <w:szCs w:val="20"/>
                <w:color w:val="auto"/>
              </w:rPr>
            </w:pPr>
            <w:r>
              <w:rPr>
                <w:rFonts w:ascii="Times New Roman" w:cs="Times New Roman" w:eastAsia="Times New Roman" w:hAnsi="Times New Roman"/>
                <w:sz w:val="10"/>
                <w:szCs w:val="10"/>
                <w:b w:val="1"/>
                <w:bCs w:val="1"/>
                <w:color w:val="auto"/>
              </w:rPr>
              <w:t>22.1%</w:t>
            </w:r>
          </w:p>
        </w:tc>
      </w:tr>
      <w:tr>
        <w:trPr>
          <w:trHeight w:val="21"/>
        </w:trPr>
        <w:tc>
          <w:tcPr>
            <w:tcW w:w="3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r>
    </w:tbl>
    <w:p>
      <w:pPr>
        <w:spacing w:after="0" w:line="187"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YoY, administrative expenses increased 22.1%. Growth in operating expenses corresponds primarily to BCP Stand-alone, which reported higher expenses for IT, systems outsourcing, as well as Advertising and Fidelity Programs. Mibanco and Pacifico also drove growth, albeit to a lesser extent.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1029335</wp:posOffset>
            </wp:positionV>
            <wp:extent cx="7140575" cy="1587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0575" cy="15875"/>
                    </a:xfrm>
                    <a:prstGeom prst="rect">
                      <a:avLst/>
                    </a:prstGeom>
                    <a:noFill/>
                  </pic:spPr>
                </pic:pic>
              </a:graphicData>
            </a:graphic>
          </wp:anchor>
        </w:drawing>
        <w:drawing>
          <wp:anchor simplePos="0" relativeHeight="251657728" behindDoc="1" locked="0" layoutInCell="0" allowOverlap="1">
            <wp:simplePos x="0" y="0"/>
            <wp:positionH relativeFrom="column">
              <wp:posOffset>331470</wp:posOffset>
            </wp:positionH>
            <wp:positionV relativeFrom="paragraph">
              <wp:posOffset>110490</wp:posOffset>
            </wp:positionV>
            <wp:extent cx="6447155" cy="52387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447155" cy="523875"/>
                    </a:xfrm>
                    <a:prstGeom prst="rect">
                      <a:avLst/>
                    </a:prstGeom>
                    <a:noFill/>
                  </pic:spPr>
                </pic:pic>
              </a:graphicData>
            </a:graphic>
          </wp:anchor>
        </w:drawing>
      </w:r>
    </w:p>
    <w:p>
      <w:pPr>
        <w:sectPr>
          <w:pgSz w:w="11900" w:h="16838" w:orient="portrait"/>
          <w:cols w:equalWidth="0" w:num="1">
            <w:col w:w="11240"/>
          </w:cols>
          <w:pgMar w:left="320" w:top="948" w:right="339" w:bottom="1440" w:gutter="0" w:footer="0" w:header="0"/>
        </w:sectPr>
      </w:pPr>
    </w:p>
    <w:bookmarkStart w:id="38" w:name="page39"/>
    <w:bookmarkEnd w:id="38"/>
    <w:p>
      <w:pPr>
        <w:ind w:left="3180"/>
        <w:spacing w:after="0"/>
        <w:tabs>
          <w:tab w:leader="none" w:pos="3380" w:val="left"/>
          <w:tab w:leader="none" w:pos="9060" w:val="left"/>
        </w:tabs>
        <w:rPr>
          <w:sz w:val="20"/>
          <w:szCs w:val="20"/>
          <w:color w:val="auto"/>
        </w:rPr>
      </w:pPr>
      <w:r>
        <w:rPr>
          <w:rFonts w:ascii="Times New Roman" w:cs="Times New Roman" w:eastAsia="Times New Roman" w:hAnsi="Times New Roman"/>
          <w:sz w:val="17"/>
          <w:szCs w:val="17"/>
          <w:b w:val="1"/>
          <w:bCs w:val="1"/>
          <w:color w:val="A6A6A6"/>
        </w:rPr>
        <w:drawing>
          <wp:anchor simplePos="0" relativeHeight="251657728" behindDoc="1" locked="0" layoutInCell="0" allowOverlap="1">
            <wp:simplePos x="0" y="0"/>
            <wp:positionH relativeFrom="page">
              <wp:posOffset>204470</wp:posOffset>
            </wp:positionH>
            <wp:positionV relativeFrom="page">
              <wp:posOffset>217805</wp:posOffset>
            </wp:positionV>
            <wp:extent cx="7140575" cy="6927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0575" cy="692785"/>
                    </a:xfrm>
                    <a:prstGeom prst="rect">
                      <a:avLst/>
                    </a:prstGeom>
                    <a:noFill/>
                  </pic:spPr>
                </pic:pic>
              </a:graphicData>
            </a:graphic>
          </wp:anchor>
        </w:drawing>
        <w:t>|</w:t>
      </w:r>
      <w:r>
        <w:rPr>
          <w:sz w:val="20"/>
          <w:szCs w:val="20"/>
          <w:color w:val="auto"/>
        </w:rPr>
        <w:tab/>
      </w:r>
      <w:r>
        <w:rPr>
          <w:rFonts w:ascii="Times New Roman" w:cs="Times New Roman" w:eastAsia="Times New Roman" w:hAnsi="Times New Roman"/>
          <w:sz w:val="14"/>
          <w:szCs w:val="14"/>
          <w:color w:val="FFFFFF"/>
        </w:rPr>
        <w:t>Earnings Release 1Q / 2026</w:t>
      </w:r>
      <w:r>
        <w:rPr>
          <w:sz w:val="20"/>
          <w:szCs w:val="20"/>
          <w:color w:val="auto"/>
        </w:rPr>
        <w:tab/>
      </w:r>
      <w:r>
        <w:rPr>
          <w:rFonts w:ascii="Times New Roman" w:cs="Times New Roman" w:eastAsia="Times New Roman" w:hAnsi="Times New Roman"/>
          <w:sz w:val="12"/>
          <w:szCs w:val="12"/>
          <w:color w:val="FF00FF"/>
        </w:rPr>
        <w:t>Analysis of 1Q26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313055</wp:posOffset>
            </wp:positionV>
            <wp:extent cx="7140575" cy="2578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0575" cy="25781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FFFFFF"/>
        </w:rPr>
        <w:t>08.  Operating Expenses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Operating Expenses for Core Businesses and the Innovation Portfolio</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80" w:type="dxa"/>
            <w:vAlign w:val="bottom"/>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3300" w:type="dxa"/>
            <w:vAlign w:val="bottom"/>
            <w:tcBorders>
              <w:top w:val="single" w:sz="8" w:color="auto"/>
              <w:right w:val="single" w:sz="8" w:color="auto"/>
            </w:tcBorders>
            <w:shd w:val="clear" w:color="auto" w:fill="2AD2C8"/>
          </w:tcPr>
          <w:p>
            <w:pPr>
              <w:ind w:left="100"/>
              <w:spacing w:after="0" w:line="191" w:lineRule="exact"/>
              <w:rPr>
                <w:sz w:val="20"/>
                <w:szCs w:val="20"/>
                <w:color w:val="auto"/>
              </w:rPr>
            </w:pPr>
            <w:r>
              <w:rPr>
                <w:rFonts w:ascii="Times New Roman" w:cs="Times New Roman" w:eastAsia="Times New Roman" w:hAnsi="Times New Roman"/>
                <w:sz w:val="12"/>
                <w:szCs w:val="12"/>
                <w:b w:val="1"/>
                <w:bCs w:val="1"/>
                <w:color w:val="FFFFFF"/>
              </w:rPr>
              <w:t xml:space="preserve">Operating Expenses </w:t>
            </w:r>
            <w:r>
              <w:rPr>
                <w:rFonts w:ascii="Times New Roman" w:cs="Times New Roman" w:eastAsia="Times New Roman" w:hAnsi="Times New Roman"/>
                <w:sz w:val="19"/>
                <w:szCs w:val="19"/>
                <w:b w:val="1"/>
                <w:bCs w:val="1"/>
                <w:color w:val="FFFFFF"/>
                <w:vertAlign w:val="superscript"/>
              </w:rPr>
              <w:t>(1)</w:t>
            </w:r>
          </w:p>
        </w:tc>
        <w:tc>
          <w:tcPr>
            <w:tcW w:w="980" w:type="dxa"/>
            <w:vAlign w:val="bottom"/>
            <w:tcBorders>
              <w:top w:val="single" w:sz="8" w:color="auto"/>
            </w:tcBorders>
            <w:shd w:val="clear" w:color="auto" w:fill="2AD2C8"/>
          </w:tcPr>
          <w:p>
            <w:pPr>
              <w:spacing w:after="0"/>
              <w:rPr>
                <w:sz w:val="16"/>
                <w:szCs w:val="16"/>
                <w:color w:val="auto"/>
              </w:rPr>
            </w:pPr>
          </w:p>
        </w:tc>
        <w:tc>
          <w:tcPr>
            <w:tcW w:w="900" w:type="dxa"/>
            <w:vAlign w:val="bottom"/>
            <w:tcBorders>
              <w:top w:val="single" w:sz="8" w:color="auto"/>
            </w:tcBorders>
            <w:shd w:val="clear" w:color="auto" w:fill="2AD2C8"/>
          </w:tcPr>
          <w:p>
            <w:pPr>
              <w:ind w:left="180"/>
              <w:spacing w:after="0"/>
              <w:rPr>
                <w:sz w:val="20"/>
                <w:szCs w:val="20"/>
                <w:color w:val="auto"/>
              </w:rPr>
            </w:pPr>
            <w:r>
              <w:rPr>
                <w:rFonts w:ascii="Times New Roman" w:cs="Times New Roman" w:eastAsia="Times New Roman" w:hAnsi="Times New Roman"/>
                <w:sz w:val="12"/>
                <w:szCs w:val="12"/>
                <w:b w:val="1"/>
                <w:bCs w:val="1"/>
                <w:color w:val="FFFFFF"/>
              </w:rPr>
              <w:t>Quarter</w:t>
            </w:r>
          </w:p>
        </w:tc>
        <w:tc>
          <w:tcPr>
            <w:tcW w:w="880" w:type="dxa"/>
            <w:vAlign w:val="bottom"/>
            <w:tcBorders>
              <w:top w:val="single" w:sz="8" w:color="auto"/>
              <w:right w:val="single" w:sz="8" w:color="auto"/>
            </w:tcBorders>
            <w:shd w:val="clear" w:color="auto" w:fill="2AD2C8"/>
          </w:tcPr>
          <w:p>
            <w:pPr>
              <w:spacing w:after="0"/>
              <w:rPr>
                <w:sz w:val="16"/>
                <w:szCs w:val="16"/>
                <w:color w:val="auto"/>
              </w:rPr>
            </w:pPr>
          </w:p>
        </w:tc>
        <w:tc>
          <w:tcPr>
            <w:tcW w:w="620" w:type="dxa"/>
            <w:vAlign w:val="bottom"/>
            <w:tcBorders>
              <w:top w:val="single" w:sz="8" w:color="auto"/>
            </w:tcBorders>
            <w:shd w:val="clear" w:color="auto" w:fill="2AD2C8"/>
          </w:tcPr>
          <w:p>
            <w:pPr>
              <w:spacing w:after="0"/>
              <w:rPr>
                <w:sz w:val="16"/>
                <w:szCs w:val="16"/>
                <w:color w:val="auto"/>
              </w:rPr>
            </w:pPr>
          </w:p>
        </w:tc>
        <w:tc>
          <w:tcPr>
            <w:tcW w:w="1160" w:type="dxa"/>
            <w:vAlign w:val="bottom"/>
            <w:tcBorders>
              <w:top w:val="single" w:sz="8" w:color="auto"/>
              <w:right w:val="single" w:sz="8" w:color="auto"/>
            </w:tcBorders>
            <w:shd w:val="clear" w:color="auto" w:fill="2AD2C8"/>
          </w:tcPr>
          <w:p>
            <w:pPr>
              <w:ind w:left="20"/>
              <w:spacing w:after="0"/>
              <w:rPr>
                <w:sz w:val="20"/>
                <w:szCs w:val="20"/>
                <w:color w:val="auto"/>
              </w:rPr>
            </w:pPr>
            <w:r>
              <w:rPr>
                <w:rFonts w:ascii="Times New Roman" w:cs="Times New Roman" w:eastAsia="Times New Roman" w:hAnsi="Times New Roman"/>
                <w:sz w:val="12"/>
                <w:szCs w:val="12"/>
                <w:b w:val="1"/>
                <w:bCs w:val="1"/>
                <w:color w:val="FFFFFF"/>
              </w:rPr>
              <w:t>% change</w:t>
            </w:r>
          </w:p>
        </w:tc>
      </w:tr>
      <w:tr>
        <w:trPr>
          <w:trHeight w:val="170"/>
        </w:trPr>
        <w:tc>
          <w:tcPr>
            <w:tcW w:w="180" w:type="dxa"/>
            <w:vAlign w:val="bottom"/>
          </w:tcPr>
          <w:p>
            <w:pPr>
              <w:spacing w:after="0"/>
              <w:rPr>
                <w:sz w:val="14"/>
                <w:szCs w:val="14"/>
                <w:color w:val="auto"/>
              </w:rPr>
            </w:pPr>
          </w:p>
        </w:tc>
        <w:tc>
          <w:tcPr>
            <w:tcW w:w="1540" w:type="dxa"/>
            <w:vAlign w:val="bottom"/>
            <w:tcBorders>
              <w:right w:val="single" w:sz="8" w:color="auto"/>
            </w:tcBorders>
          </w:tcPr>
          <w:p>
            <w:pPr>
              <w:spacing w:after="0"/>
              <w:rPr>
                <w:sz w:val="14"/>
                <w:szCs w:val="14"/>
                <w:color w:val="auto"/>
              </w:rPr>
            </w:pPr>
          </w:p>
        </w:tc>
        <w:tc>
          <w:tcPr>
            <w:tcW w:w="3300" w:type="dxa"/>
            <w:vAlign w:val="bottom"/>
            <w:tcBorders>
              <w:bottom w:val="single" w:sz="8" w:color="auto"/>
              <w:right w:val="single" w:sz="8" w:color="auto"/>
            </w:tcBorders>
            <w:shd w:val="clear" w:color="auto" w:fill="29D2C8"/>
          </w:tcPr>
          <w:p>
            <w:pPr>
              <w:ind w:left="80"/>
              <w:spacing w:after="0"/>
              <w:rPr>
                <w:sz w:val="20"/>
                <w:szCs w:val="20"/>
                <w:color w:val="auto"/>
              </w:rPr>
            </w:pPr>
            <w:r>
              <w:rPr>
                <w:rFonts w:ascii="Times New Roman" w:cs="Times New Roman" w:eastAsia="Times New Roman" w:hAnsi="Times New Roman"/>
                <w:sz w:val="12"/>
                <w:szCs w:val="12"/>
                <w:color w:val="FFFFFF"/>
              </w:rPr>
              <w:t>S/ 000</w:t>
            </w:r>
          </w:p>
        </w:tc>
        <w:tc>
          <w:tcPr>
            <w:tcW w:w="980" w:type="dxa"/>
            <w:vAlign w:val="bottom"/>
            <w:tcBorders>
              <w:bottom w:val="single" w:sz="8" w:color="auto"/>
            </w:tcBorders>
            <w:shd w:val="clear" w:color="auto" w:fill="29D2C8"/>
          </w:tcPr>
          <w:p>
            <w:pPr>
              <w:jc w:val="right"/>
              <w:ind w:right="341"/>
              <w:spacing w:after="0"/>
              <w:rPr>
                <w:sz w:val="20"/>
                <w:szCs w:val="20"/>
                <w:color w:val="auto"/>
              </w:rPr>
            </w:pPr>
            <w:r>
              <w:rPr>
                <w:rFonts w:ascii="Times New Roman" w:cs="Times New Roman" w:eastAsia="Times New Roman" w:hAnsi="Times New Roman"/>
                <w:sz w:val="12"/>
                <w:szCs w:val="12"/>
                <w:color w:val="FFFFFF"/>
              </w:rPr>
              <w:t>1Q25</w:t>
            </w:r>
          </w:p>
        </w:tc>
        <w:tc>
          <w:tcPr>
            <w:tcW w:w="900" w:type="dxa"/>
            <w:vAlign w:val="bottom"/>
            <w:tcBorders>
              <w:bottom w:val="single" w:sz="8" w:color="auto"/>
            </w:tcBorders>
            <w:shd w:val="clear" w:color="auto" w:fill="29D2C8"/>
          </w:tcPr>
          <w:p>
            <w:pPr>
              <w:jc w:val="center"/>
              <w:ind w:right="61"/>
              <w:spacing w:after="0"/>
              <w:rPr>
                <w:sz w:val="20"/>
                <w:szCs w:val="20"/>
                <w:color w:val="auto"/>
              </w:rPr>
            </w:pPr>
            <w:r>
              <w:rPr>
                <w:rFonts w:ascii="Times New Roman" w:cs="Times New Roman" w:eastAsia="Times New Roman" w:hAnsi="Times New Roman"/>
                <w:sz w:val="12"/>
                <w:szCs w:val="12"/>
                <w:color w:val="FFFFFF"/>
                <w:w w:val="97"/>
              </w:rPr>
              <w:t>4Q25</w:t>
            </w:r>
          </w:p>
        </w:tc>
        <w:tc>
          <w:tcPr>
            <w:tcW w:w="880" w:type="dxa"/>
            <w:vAlign w:val="bottom"/>
            <w:tcBorders>
              <w:bottom w:val="single" w:sz="8" w:color="auto"/>
              <w:right w:val="single" w:sz="8" w:color="auto"/>
            </w:tcBorders>
            <w:shd w:val="clear" w:color="auto" w:fill="29D2C8"/>
          </w:tcPr>
          <w:p>
            <w:pPr>
              <w:jc w:val="right"/>
              <w:ind w:right="281"/>
              <w:spacing w:after="0"/>
              <w:rPr>
                <w:sz w:val="20"/>
                <w:szCs w:val="20"/>
                <w:color w:val="auto"/>
              </w:rPr>
            </w:pPr>
            <w:r>
              <w:rPr>
                <w:rFonts w:ascii="Times New Roman" w:cs="Times New Roman" w:eastAsia="Times New Roman" w:hAnsi="Times New Roman"/>
                <w:sz w:val="12"/>
                <w:szCs w:val="12"/>
                <w:color w:val="FFFFFF"/>
              </w:rPr>
              <w:t>1Q26</w:t>
            </w:r>
          </w:p>
        </w:tc>
        <w:tc>
          <w:tcPr>
            <w:tcW w:w="620" w:type="dxa"/>
            <w:vAlign w:val="bottom"/>
            <w:tcBorders>
              <w:bottom w:val="single" w:sz="8" w:color="auto"/>
            </w:tcBorders>
            <w:shd w:val="clear" w:color="auto" w:fill="29D2C8"/>
          </w:tcPr>
          <w:p>
            <w:pPr>
              <w:ind w:left="320"/>
              <w:spacing w:after="0"/>
              <w:rPr>
                <w:sz w:val="20"/>
                <w:szCs w:val="20"/>
                <w:color w:val="auto"/>
              </w:rPr>
            </w:pPr>
            <w:r>
              <w:rPr>
                <w:rFonts w:ascii="Times New Roman" w:cs="Times New Roman" w:eastAsia="Times New Roman" w:hAnsi="Times New Roman"/>
                <w:sz w:val="12"/>
                <w:szCs w:val="12"/>
                <w:color w:val="FFFFFF"/>
              </w:rPr>
              <w:t>QoQ</w:t>
            </w:r>
          </w:p>
        </w:tc>
        <w:tc>
          <w:tcPr>
            <w:tcW w:w="1160" w:type="dxa"/>
            <w:vAlign w:val="bottom"/>
            <w:tcBorders>
              <w:bottom w:val="single" w:sz="8" w:color="auto"/>
              <w:right w:val="single" w:sz="8" w:color="auto"/>
            </w:tcBorders>
            <w:shd w:val="clear" w:color="auto" w:fill="29D2C8"/>
          </w:tcPr>
          <w:p>
            <w:pPr>
              <w:ind w:left="600"/>
              <w:spacing w:after="0"/>
              <w:rPr>
                <w:sz w:val="20"/>
                <w:szCs w:val="20"/>
                <w:color w:val="auto"/>
              </w:rPr>
            </w:pPr>
            <w:r>
              <w:rPr>
                <w:rFonts w:ascii="Times New Roman" w:cs="Times New Roman" w:eastAsia="Times New Roman" w:hAnsi="Times New Roman"/>
                <w:sz w:val="12"/>
                <w:szCs w:val="12"/>
                <w:color w:val="FFFFFF"/>
              </w:rPr>
              <w:t>YoY</w:t>
            </w:r>
          </w:p>
        </w:tc>
      </w:tr>
      <w:tr>
        <w:trPr>
          <w:trHeight w:val="163"/>
        </w:trPr>
        <w:tc>
          <w:tcPr>
            <w:tcW w:w="180" w:type="dxa"/>
            <w:vAlign w:val="bottom"/>
          </w:tcPr>
          <w:p>
            <w:pPr>
              <w:spacing w:after="0"/>
              <w:rPr>
                <w:sz w:val="14"/>
                <w:szCs w:val="14"/>
                <w:color w:val="auto"/>
              </w:rPr>
            </w:pPr>
          </w:p>
        </w:tc>
        <w:tc>
          <w:tcPr>
            <w:tcW w:w="1540" w:type="dxa"/>
            <w:vAlign w:val="bottom"/>
            <w:tcBorders>
              <w:right w:val="single" w:sz="8" w:color="auto"/>
            </w:tcBorders>
          </w:tcPr>
          <w:p>
            <w:pPr>
              <w:spacing w:after="0"/>
              <w:rPr>
                <w:sz w:val="14"/>
                <w:szCs w:val="14"/>
                <w:color w:val="auto"/>
              </w:rPr>
            </w:pPr>
          </w:p>
        </w:tc>
        <w:tc>
          <w:tcPr>
            <w:tcW w:w="33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Operating Expenses Ex Innovation</w:t>
            </w:r>
          </w:p>
        </w:tc>
        <w:tc>
          <w:tcPr>
            <w:tcW w:w="980" w:type="dxa"/>
            <w:vAlign w:val="bottom"/>
          </w:tcPr>
          <w:p>
            <w:pPr>
              <w:jc w:val="right"/>
              <w:ind w:right="101"/>
              <w:spacing w:after="0"/>
              <w:rPr>
                <w:sz w:val="20"/>
                <w:szCs w:val="20"/>
                <w:color w:val="auto"/>
              </w:rPr>
            </w:pPr>
            <w:r>
              <w:rPr>
                <w:rFonts w:ascii="Times New Roman" w:cs="Times New Roman" w:eastAsia="Times New Roman" w:hAnsi="Times New Roman"/>
                <w:sz w:val="12"/>
                <w:szCs w:val="12"/>
                <w:color w:val="auto"/>
              </w:rPr>
              <w:t>2,134,620</w:t>
            </w:r>
          </w:p>
        </w:tc>
        <w:tc>
          <w:tcPr>
            <w:tcW w:w="900" w:type="dxa"/>
            <w:vAlign w:val="bottom"/>
          </w:tcPr>
          <w:p>
            <w:pPr>
              <w:jc w:val="center"/>
              <w:ind w:right="81"/>
              <w:spacing w:after="0"/>
              <w:rPr>
                <w:sz w:val="20"/>
                <w:szCs w:val="20"/>
                <w:color w:val="auto"/>
              </w:rPr>
            </w:pPr>
            <w:r>
              <w:rPr>
                <w:rFonts w:ascii="Times New Roman" w:cs="Times New Roman" w:eastAsia="Times New Roman" w:hAnsi="Times New Roman"/>
                <w:sz w:val="12"/>
                <w:szCs w:val="12"/>
                <w:color w:val="auto"/>
                <w:w w:val="99"/>
              </w:rPr>
              <w:t>2,431,092</w:t>
            </w:r>
          </w:p>
        </w:tc>
        <w:tc>
          <w:tcPr>
            <w:tcW w:w="880" w:type="dxa"/>
            <w:vAlign w:val="bottom"/>
            <w:tcBorders>
              <w:right w:val="single" w:sz="8" w:color="auto"/>
            </w:tcBorders>
          </w:tcPr>
          <w:p>
            <w:pPr>
              <w:jc w:val="right"/>
              <w:ind w:right="41"/>
              <w:spacing w:after="0"/>
              <w:rPr>
                <w:sz w:val="20"/>
                <w:szCs w:val="20"/>
                <w:color w:val="auto"/>
              </w:rPr>
            </w:pPr>
            <w:r>
              <w:rPr>
                <w:rFonts w:ascii="Times New Roman" w:cs="Times New Roman" w:eastAsia="Times New Roman" w:hAnsi="Times New Roman"/>
                <w:sz w:val="12"/>
                <w:szCs w:val="12"/>
                <w:color w:val="auto"/>
              </w:rPr>
              <w:t>2,331,614</w:t>
            </w:r>
          </w:p>
        </w:tc>
        <w:tc>
          <w:tcPr>
            <w:tcW w:w="620" w:type="dxa"/>
            <w:vAlign w:val="bottom"/>
          </w:tcPr>
          <w:p>
            <w:pPr>
              <w:jc w:val="center"/>
              <w:ind w:left="201"/>
              <w:spacing w:after="0"/>
              <w:rPr>
                <w:sz w:val="20"/>
                <w:szCs w:val="20"/>
                <w:color w:val="auto"/>
              </w:rPr>
            </w:pPr>
            <w:r>
              <w:rPr>
                <w:rFonts w:ascii="Times New Roman" w:cs="Times New Roman" w:eastAsia="Times New Roman" w:hAnsi="Times New Roman"/>
                <w:sz w:val="12"/>
                <w:szCs w:val="12"/>
                <w:color w:val="auto"/>
                <w:w w:val="96"/>
              </w:rPr>
              <w:t>-4.1%</w:t>
            </w:r>
          </w:p>
        </w:tc>
        <w:tc>
          <w:tcPr>
            <w:tcW w:w="1160" w:type="dxa"/>
            <w:vAlign w:val="bottom"/>
            <w:tcBorders>
              <w:right w:val="single" w:sz="8" w:color="auto"/>
            </w:tcBorders>
          </w:tcPr>
          <w:p>
            <w:pPr>
              <w:jc w:val="center"/>
              <w:ind w:left="181"/>
              <w:spacing w:after="0"/>
              <w:rPr>
                <w:sz w:val="20"/>
                <w:szCs w:val="20"/>
                <w:color w:val="auto"/>
              </w:rPr>
            </w:pPr>
            <w:r>
              <w:rPr>
                <w:rFonts w:ascii="Times New Roman" w:cs="Times New Roman" w:eastAsia="Times New Roman" w:hAnsi="Times New Roman"/>
                <w:sz w:val="12"/>
                <w:szCs w:val="12"/>
                <w:color w:val="auto"/>
                <w:w w:val="95"/>
              </w:rPr>
              <w:t>9.2%</w:t>
            </w:r>
          </w:p>
        </w:tc>
      </w:tr>
      <w:tr>
        <w:trPr>
          <w:trHeight w:val="192"/>
        </w:trPr>
        <w:tc>
          <w:tcPr>
            <w:tcW w:w="180" w:type="dxa"/>
            <w:vAlign w:val="bottom"/>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3300" w:type="dxa"/>
            <w:vAlign w:val="bottom"/>
            <w:tcBorders>
              <w:bottom w:val="single" w:sz="8" w:color="auto"/>
              <w:right w:val="single" w:sz="8" w:color="auto"/>
            </w:tcBorders>
          </w:tcPr>
          <w:p>
            <w:pPr>
              <w:ind w:left="80"/>
              <w:spacing w:after="0" w:line="193" w:lineRule="exact"/>
              <w:rPr>
                <w:sz w:val="20"/>
                <w:szCs w:val="20"/>
                <w:color w:val="auto"/>
              </w:rPr>
            </w:pPr>
            <w:r>
              <w:rPr>
                <w:rFonts w:ascii="Times New Roman" w:cs="Times New Roman" w:eastAsia="Times New Roman" w:hAnsi="Times New Roman"/>
                <w:sz w:val="12"/>
                <w:szCs w:val="12"/>
                <w:color w:val="auto"/>
              </w:rPr>
              <w:t xml:space="preserve">Innovation Portafolio </w:t>
            </w:r>
            <w:r>
              <w:rPr>
                <w:rFonts w:ascii="Times New Roman" w:cs="Times New Roman" w:eastAsia="Times New Roman" w:hAnsi="Times New Roman"/>
                <w:sz w:val="19"/>
                <w:szCs w:val="19"/>
                <w:color w:val="auto"/>
                <w:vertAlign w:val="superscript"/>
              </w:rPr>
              <w:t>(2)</w:t>
            </w:r>
          </w:p>
        </w:tc>
        <w:tc>
          <w:tcPr>
            <w:tcW w:w="9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2"/>
                <w:szCs w:val="12"/>
                <w:color w:val="auto"/>
              </w:rPr>
              <w:t>307,469</w:t>
            </w:r>
          </w:p>
        </w:tc>
        <w:tc>
          <w:tcPr>
            <w:tcW w:w="90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2"/>
                <w:szCs w:val="12"/>
                <w:color w:val="auto"/>
                <w:w w:val="97"/>
              </w:rPr>
              <w:t>440,617</w:t>
            </w:r>
          </w:p>
        </w:tc>
        <w:tc>
          <w:tcPr>
            <w:tcW w:w="880" w:type="dxa"/>
            <w:vAlign w:val="bottom"/>
            <w:tcBorders>
              <w:bottom w:val="single" w:sz="8" w:color="auto"/>
              <w:right w:val="single" w:sz="8" w:color="auto"/>
            </w:tcBorders>
          </w:tcPr>
          <w:p>
            <w:pPr>
              <w:jc w:val="right"/>
              <w:ind w:right="41"/>
              <w:spacing w:after="0"/>
              <w:rPr>
                <w:sz w:val="20"/>
                <w:szCs w:val="20"/>
                <w:color w:val="auto"/>
              </w:rPr>
            </w:pPr>
            <w:r>
              <w:rPr>
                <w:rFonts w:ascii="Times New Roman" w:cs="Times New Roman" w:eastAsia="Times New Roman" w:hAnsi="Times New Roman"/>
                <w:sz w:val="12"/>
                <w:szCs w:val="12"/>
                <w:color w:val="auto"/>
              </w:rPr>
              <w:t>431,014</w:t>
            </w:r>
          </w:p>
        </w:tc>
        <w:tc>
          <w:tcPr>
            <w:tcW w:w="620" w:type="dxa"/>
            <w:vAlign w:val="bottom"/>
            <w:tcBorders>
              <w:bottom w:val="single" w:sz="8" w:color="auto"/>
            </w:tcBorders>
          </w:tcPr>
          <w:p>
            <w:pPr>
              <w:jc w:val="center"/>
              <w:ind w:left="201"/>
              <w:spacing w:after="0"/>
              <w:rPr>
                <w:sz w:val="20"/>
                <w:szCs w:val="20"/>
                <w:color w:val="auto"/>
              </w:rPr>
            </w:pPr>
            <w:r>
              <w:rPr>
                <w:rFonts w:ascii="Times New Roman" w:cs="Times New Roman" w:eastAsia="Times New Roman" w:hAnsi="Times New Roman"/>
                <w:sz w:val="12"/>
                <w:szCs w:val="12"/>
                <w:color w:val="auto"/>
                <w:w w:val="96"/>
              </w:rPr>
              <w:t>-2.2%</w:t>
            </w:r>
          </w:p>
        </w:tc>
        <w:tc>
          <w:tcPr>
            <w:tcW w:w="1160" w:type="dxa"/>
            <w:vAlign w:val="bottom"/>
            <w:tcBorders>
              <w:bottom w:val="single" w:sz="8" w:color="auto"/>
              <w:right w:val="single" w:sz="8" w:color="auto"/>
            </w:tcBorders>
          </w:tcPr>
          <w:p>
            <w:pPr>
              <w:jc w:val="center"/>
              <w:ind w:left="181"/>
              <w:spacing w:after="0"/>
              <w:rPr>
                <w:sz w:val="20"/>
                <w:szCs w:val="20"/>
                <w:color w:val="auto"/>
              </w:rPr>
            </w:pPr>
            <w:r>
              <w:rPr>
                <w:rFonts w:ascii="Times New Roman" w:cs="Times New Roman" w:eastAsia="Times New Roman" w:hAnsi="Times New Roman"/>
                <w:sz w:val="12"/>
                <w:szCs w:val="12"/>
                <w:color w:val="auto"/>
              </w:rPr>
              <w:t>40.2%</w:t>
            </w:r>
          </w:p>
        </w:tc>
      </w:tr>
      <w:tr>
        <w:trPr>
          <w:trHeight w:val="163"/>
        </w:trPr>
        <w:tc>
          <w:tcPr>
            <w:tcW w:w="180" w:type="dxa"/>
            <w:vAlign w:val="bottom"/>
          </w:tcPr>
          <w:p>
            <w:pPr>
              <w:spacing w:after="0"/>
              <w:rPr>
                <w:sz w:val="14"/>
                <w:szCs w:val="14"/>
                <w:color w:val="auto"/>
              </w:rPr>
            </w:pPr>
          </w:p>
        </w:tc>
        <w:tc>
          <w:tcPr>
            <w:tcW w:w="1540" w:type="dxa"/>
            <w:vAlign w:val="bottom"/>
            <w:tcBorders>
              <w:right w:val="single" w:sz="8" w:color="auto"/>
            </w:tcBorders>
          </w:tcPr>
          <w:p>
            <w:pPr>
              <w:spacing w:after="0"/>
              <w:rPr>
                <w:sz w:val="14"/>
                <w:szCs w:val="14"/>
                <w:color w:val="auto"/>
              </w:rPr>
            </w:pPr>
          </w:p>
        </w:tc>
        <w:tc>
          <w:tcPr>
            <w:tcW w:w="33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2"/>
                <w:szCs w:val="12"/>
                <w:b w:val="1"/>
                <w:bCs w:val="1"/>
                <w:color w:val="auto"/>
              </w:rPr>
              <w:t>Total Operating Expenses</w:t>
            </w:r>
          </w:p>
        </w:tc>
        <w:tc>
          <w:tcPr>
            <w:tcW w:w="9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2"/>
                <w:szCs w:val="12"/>
                <w:b w:val="1"/>
                <w:bCs w:val="1"/>
                <w:color w:val="auto"/>
              </w:rPr>
              <w:t>2,442,089</w:t>
            </w:r>
          </w:p>
        </w:tc>
        <w:tc>
          <w:tcPr>
            <w:tcW w:w="90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2"/>
                <w:szCs w:val="12"/>
                <w:b w:val="1"/>
                <w:bCs w:val="1"/>
                <w:color w:val="auto"/>
                <w:w w:val="99"/>
              </w:rPr>
              <w:t>2,871,709</w:t>
            </w:r>
          </w:p>
        </w:tc>
        <w:tc>
          <w:tcPr>
            <w:tcW w:w="880" w:type="dxa"/>
            <w:vAlign w:val="bottom"/>
            <w:tcBorders>
              <w:bottom w:val="single" w:sz="8" w:color="auto"/>
              <w:right w:val="single" w:sz="8" w:color="auto"/>
            </w:tcBorders>
          </w:tcPr>
          <w:p>
            <w:pPr>
              <w:jc w:val="right"/>
              <w:ind w:right="41"/>
              <w:spacing w:after="0"/>
              <w:rPr>
                <w:sz w:val="20"/>
                <w:szCs w:val="20"/>
                <w:color w:val="auto"/>
              </w:rPr>
            </w:pPr>
            <w:r>
              <w:rPr>
                <w:rFonts w:ascii="Times New Roman" w:cs="Times New Roman" w:eastAsia="Times New Roman" w:hAnsi="Times New Roman"/>
                <w:sz w:val="12"/>
                <w:szCs w:val="12"/>
                <w:b w:val="1"/>
                <w:bCs w:val="1"/>
                <w:color w:val="auto"/>
              </w:rPr>
              <w:t>2,762,628</w:t>
            </w:r>
          </w:p>
        </w:tc>
        <w:tc>
          <w:tcPr>
            <w:tcW w:w="620" w:type="dxa"/>
            <w:vAlign w:val="bottom"/>
            <w:tcBorders>
              <w:bottom w:val="single" w:sz="8" w:color="auto"/>
            </w:tcBorders>
          </w:tcPr>
          <w:p>
            <w:pPr>
              <w:jc w:val="center"/>
              <w:ind w:left="201"/>
              <w:spacing w:after="0"/>
              <w:rPr>
                <w:sz w:val="20"/>
                <w:szCs w:val="20"/>
                <w:color w:val="auto"/>
              </w:rPr>
            </w:pPr>
            <w:r>
              <w:rPr>
                <w:rFonts w:ascii="Times New Roman" w:cs="Times New Roman" w:eastAsia="Times New Roman" w:hAnsi="Times New Roman"/>
                <w:sz w:val="12"/>
                <w:szCs w:val="12"/>
                <w:b w:val="1"/>
                <w:bCs w:val="1"/>
                <w:color w:val="auto"/>
              </w:rPr>
              <w:t>-3.8%</w:t>
            </w:r>
          </w:p>
        </w:tc>
        <w:tc>
          <w:tcPr>
            <w:tcW w:w="1160" w:type="dxa"/>
            <w:vAlign w:val="bottom"/>
            <w:tcBorders>
              <w:bottom w:val="single" w:sz="8" w:color="auto"/>
              <w:right w:val="single" w:sz="8" w:color="auto"/>
            </w:tcBorders>
          </w:tcPr>
          <w:p>
            <w:pPr>
              <w:jc w:val="center"/>
              <w:ind w:left="181"/>
              <w:spacing w:after="0"/>
              <w:rPr>
                <w:sz w:val="20"/>
                <w:szCs w:val="20"/>
                <w:color w:val="auto"/>
              </w:rPr>
            </w:pPr>
            <w:r>
              <w:rPr>
                <w:rFonts w:ascii="Times New Roman" w:cs="Times New Roman" w:eastAsia="Times New Roman" w:hAnsi="Times New Roman"/>
                <w:sz w:val="12"/>
                <w:szCs w:val="12"/>
                <w:b w:val="1"/>
                <w:bCs w:val="1"/>
                <w:color w:val="auto"/>
                <w:w w:val="96"/>
              </w:rPr>
              <w:t>13.1%</w:t>
            </w:r>
          </w:p>
        </w:tc>
      </w:tr>
      <w:tr>
        <w:trPr>
          <w:trHeight w:val="314"/>
        </w:trPr>
        <w:tc>
          <w:tcPr>
            <w:tcW w:w="1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85"/>
              </w:rPr>
              <w:t>(1)</w:t>
            </w:r>
          </w:p>
        </w:tc>
        <w:tc>
          <w:tcPr>
            <w:tcW w:w="48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Management figures.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54"/>
        </w:trPr>
        <w:tc>
          <w:tcPr>
            <w:tcW w:w="1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85"/>
              </w:rPr>
              <w:t>(2)</w:t>
            </w:r>
          </w:p>
        </w:tc>
        <w:tc>
          <w:tcPr>
            <w:tcW w:w="48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Includes innovation portfolio initiatives in subsidiaries and Krealo.</w:t>
            </w: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60" w:type="dxa"/>
            <w:vAlign w:val="bottom"/>
          </w:tcPr>
          <w:p>
            <w:pPr>
              <w:spacing w:after="0"/>
              <w:rPr>
                <w:sz w:val="13"/>
                <w:szCs w:val="13"/>
                <w:color w:val="auto"/>
              </w:rPr>
            </w:pPr>
          </w:p>
        </w:tc>
      </w:tr>
    </w:tbl>
    <w:p>
      <w:pPr>
        <w:spacing w:after="0" w:line="17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YoY, operating expenses rose 13.1%, driven mainly by core business at BCP Stand-alone and our innovation portfolio at the Credicorp level. Disruption expenses represented 15.6% of total expenses and rose 40.2% YoY. Yape, Tenpo and Culqi were the main drivers of disruption expenses, and represented 84% of total expenses for disruptive initiatives.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Growth in expenses for core businesses at BCP Stand-alone was fueled by:</w:t>
      </w:r>
    </w:p>
    <w:p>
      <w:pPr>
        <w:spacing w:after="0" w:line="207" w:lineRule="exact"/>
        <w:rPr>
          <w:sz w:val="20"/>
          <w:szCs w:val="20"/>
          <w:color w:val="auto"/>
        </w:rPr>
      </w:pPr>
    </w:p>
    <w:p>
      <w:pPr>
        <w:ind w:left="740" w:hanging="294"/>
        <w:spacing w:after="0"/>
        <w:tabs>
          <w:tab w:leader="none" w:pos="7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Core expenses excluding IT</w:t>
      </w:r>
    </w:p>
    <w:p>
      <w:pPr>
        <w:spacing w:after="0" w:line="27" w:lineRule="exact"/>
        <w:rPr>
          <w:rFonts w:ascii="Times New Roman" w:cs="Times New Roman" w:eastAsia="Times New Roman" w:hAnsi="Times New Roman"/>
          <w:sz w:val="17"/>
          <w:szCs w:val="17"/>
          <w:color w:val="auto"/>
        </w:rPr>
      </w:pPr>
    </w:p>
    <w:p>
      <w:pPr>
        <w:jc w:val="both"/>
        <w:ind w:left="1520" w:hanging="300"/>
        <w:spacing w:after="0" w:line="249" w:lineRule="auto"/>
        <w:tabs>
          <w:tab w:leader="none" w:pos="1520"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Growth in expenses for Employee Salaries and Benefits, due to (i) hiring of additional headcount for initiatives to develop commercial, technological and transactional capacities, and (ii) a significant increase in the share price, which led to expenses for the Stock Award program to rise.</w:t>
      </w:r>
    </w:p>
    <w:p>
      <w:pPr>
        <w:ind w:left="740" w:hanging="294"/>
        <w:spacing w:after="0"/>
        <w:tabs>
          <w:tab w:leader="none" w:pos="7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Technology expenses (IT)</w:t>
      </w:r>
    </w:p>
    <w:p>
      <w:pPr>
        <w:spacing w:after="0" w:line="7" w:lineRule="exact"/>
        <w:rPr>
          <w:rFonts w:ascii="Times New Roman" w:cs="Times New Roman" w:eastAsia="Times New Roman" w:hAnsi="Times New Roman"/>
          <w:sz w:val="17"/>
          <w:szCs w:val="17"/>
          <w:color w:val="auto"/>
        </w:rPr>
      </w:pPr>
    </w:p>
    <w:p>
      <w:pPr>
        <w:ind w:left="1520" w:hanging="300"/>
        <w:spacing w:after="0"/>
        <w:tabs>
          <w:tab w:leader="none" w:pos="1520"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 in spending for licenses and third-party IT services, in line with an uptick in hiring of specialized personnel.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1045210</wp:posOffset>
            </wp:positionV>
            <wp:extent cx="7140575" cy="1587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0575" cy="15875"/>
                    </a:xfrm>
                    <a:prstGeom prst="rect">
                      <a:avLst/>
                    </a:prstGeom>
                    <a:noFill/>
                  </pic:spPr>
                </pic:pic>
              </a:graphicData>
            </a:graphic>
          </wp:anchor>
        </w:drawing>
        <w:drawing>
          <wp:anchor simplePos="0" relativeHeight="251657728" behindDoc="1" locked="0" layoutInCell="0" allowOverlap="1">
            <wp:simplePos x="0" y="0"/>
            <wp:positionH relativeFrom="column">
              <wp:posOffset>331470</wp:posOffset>
            </wp:positionH>
            <wp:positionV relativeFrom="paragraph">
              <wp:posOffset>133985</wp:posOffset>
            </wp:positionV>
            <wp:extent cx="6447155" cy="5156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447155" cy="515620"/>
                    </a:xfrm>
                    <a:prstGeom prst="rect">
                      <a:avLst/>
                    </a:prstGeom>
                    <a:noFill/>
                  </pic:spPr>
                </pic:pic>
              </a:graphicData>
            </a:graphic>
          </wp:anchor>
        </w:drawing>
      </w:r>
    </w:p>
    <w:p>
      <w:pPr>
        <w:sectPr>
          <w:pgSz w:w="11900" w:h="16838" w:orient="portrait"/>
          <w:cols w:equalWidth="0" w:num="1">
            <w:col w:w="11240"/>
          </w:cols>
          <w:pgMar w:left="320" w:top="745" w:right="339" w:bottom="1440" w:gutter="0" w:footer="0" w:header="0"/>
        </w:sectPr>
      </w:pPr>
    </w:p>
    <w:bookmarkStart w:id="39" w:name="page40"/>
    <w:bookmarkEnd w:id="39"/>
    <w:p>
      <w:pPr>
        <w:ind w:left="3200"/>
        <w:spacing w:after="0"/>
        <w:tabs>
          <w:tab w:leader="none" w:pos="3380" w:val="left"/>
          <w:tab w:leader="none" w:pos="9060" w:val="left"/>
        </w:tabs>
        <w:rPr>
          <w:sz w:val="20"/>
          <w:szCs w:val="20"/>
          <w:color w:val="auto"/>
        </w:rPr>
      </w:pPr>
      <w:r>
        <w:rPr>
          <w:rFonts w:ascii="Times New Roman" w:cs="Times New Roman" w:eastAsia="Times New Roman" w:hAnsi="Times New Roman"/>
          <w:sz w:val="17"/>
          <w:szCs w:val="17"/>
          <w:color w:val="A6A6A6"/>
        </w:rPr>
        <w:drawing>
          <wp:anchor simplePos="0" relativeHeight="251657728" behindDoc="1" locked="0" layoutInCell="0" allowOverlap="1">
            <wp:simplePos x="0" y="0"/>
            <wp:positionH relativeFrom="page">
              <wp:posOffset>204470</wp:posOffset>
            </wp:positionH>
            <wp:positionV relativeFrom="page">
              <wp:posOffset>217805</wp:posOffset>
            </wp:positionV>
            <wp:extent cx="7140575" cy="6927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0575" cy="692785"/>
                    </a:xfrm>
                    <a:prstGeom prst="rect">
                      <a:avLst/>
                    </a:prstGeom>
                    <a:noFill/>
                  </pic:spPr>
                </pic:pic>
              </a:graphicData>
            </a:graphic>
          </wp:anchor>
        </w:drawing>
        <w:t>|</w:t>
      </w:r>
      <w:r>
        <w:rPr>
          <w:sz w:val="20"/>
          <w:szCs w:val="20"/>
          <w:color w:val="auto"/>
        </w:rPr>
        <w:tab/>
      </w:r>
      <w:r>
        <w:rPr>
          <w:rFonts w:ascii="Times New Roman" w:cs="Times New Roman" w:eastAsia="Times New Roman" w:hAnsi="Times New Roman"/>
          <w:sz w:val="14"/>
          <w:szCs w:val="14"/>
          <w:color w:val="FFFFFF"/>
        </w:rPr>
        <w:t>Earnings Release 1Q / 2026</w:t>
      </w:r>
      <w:r>
        <w:rPr>
          <w:sz w:val="20"/>
          <w:szCs w:val="20"/>
          <w:color w:val="auto"/>
        </w:rPr>
        <w:tab/>
      </w:r>
      <w:r>
        <w:rPr>
          <w:rFonts w:ascii="Times New Roman" w:cs="Times New Roman" w:eastAsia="Times New Roman" w:hAnsi="Times New Roman"/>
          <w:sz w:val="12"/>
          <w:szCs w:val="12"/>
          <w:color w:val="FF00FF"/>
        </w:rPr>
        <w:t>Analysis of 1Q26 Consolidated Results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49"/>
          <w:szCs w:val="49"/>
          <w:b w:val="1"/>
          <w:bCs w:val="1"/>
          <w:color w:val="E93BAC"/>
        </w:rPr>
        <w:t>09</w:t>
      </w:r>
      <w:r>
        <w:rPr>
          <w:sz w:val="20"/>
          <w:szCs w:val="20"/>
          <w:color w:val="auto"/>
        </w:rPr>
        <w:tab/>
      </w:r>
      <w:r>
        <w:rPr>
          <w:rFonts w:ascii="Times New Roman" w:cs="Times New Roman" w:eastAsia="Times New Roman" w:hAnsi="Times New Roman"/>
          <w:sz w:val="30"/>
          <w:szCs w:val="30"/>
          <w:color w:val="E93BAC"/>
        </w:rPr>
        <w:t>Operating Efficiency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114935</wp:posOffset>
            </wp:positionV>
            <wp:extent cx="7140575" cy="70929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0575" cy="709295"/>
                    </a:xfrm>
                    <a:prstGeom prst="rect">
                      <a:avLst/>
                    </a:prstGeom>
                    <a:noFill/>
                  </pic:spPr>
                </pic:pic>
              </a:graphicData>
            </a:graphic>
          </wp:anchor>
        </w:drawing>
      </w:r>
    </w:p>
    <w:p>
      <w:pPr>
        <w:spacing w:after="0" w:line="195" w:lineRule="exact"/>
        <w:rPr>
          <w:sz w:val="20"/>
          <w:szCs w:val="20"/>
          <w:color w:val="auto"/>
        </w:rPr>
      </w:pPr>
    </w:p>
    <w:p>
      <w:pPr>
        <w:jc w:val="both"/>
        <w:ind w:left="120" w:right="100"/>
        <w:spacing w:after="0" w:line="258" w:lineRule="auto"/>
        <w:rPr>
          <w:sz w:val="20"/>
          <w:szCs w:val="20"/>
          <w:color w:val="auto"/>
        </w:rPr>
      </w:pPr>
      <w:r>
        <w:rPr>
          <w:rFonts w:ascii="Times New Roman" w:cs="Times New Roman" w:eastAsia="Times New Roman" w:hAnsi="Times New Roman"/>
          <w:sz w:val="17"/>
          <w:szCs w:val="17"/>
          <w:color w:val="FFFFFF"/>
        </w:rPr>
        <w:t>The efficiency ratio evolved in line with expectations and remains within the projected range. YoY, the efficiency ratio increased by 9 bps after growth in operating expenses outpaced the expansion reported for operating income. This evolution reflects an uptick in expenses for core businesses at BCP Stand-alone and innovation initiatives at the Credicorp level, where the objective is to strengthen capacities, drive future efficiency and ensure sustainable competitive advantages in the long term.</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Efficiency Ratio</w:t>
      </w:r>
      <w:r>
        <w:rPr>
          <w:rFonts w:ascii="Times New Roman" w:cs="Times New Roman" w:eastAsia="Times New Roman" w:hAnsi="Times New Roman"/>
          <w:sz w:val="28"/>
          <w:szCs w:val="28"/>
          <w:b w:val="1"/>
          <w:bCs w:val="1"/>
          <w:color w:val="auto"/>
          <w:vertAlign w:val="superscript"/>
        </w:rPr>
        <w:t>(1)</w:t>
      </w:r>
      <w:r>
        <w:rPr>
          <w:rFonts w:ascii="Times New Roman" w:cs="Times New Roman" w:eastAsia="Times New Roman" w:hAnsi="Times New Roman"/>
          <w:sz w:val="17"/>
          <w:szCs w:val="17"/>
          <w:b w:val="1"/>
          <w:bCs w:val="1"/>
          <w:color w:val="auto"/>
        </w:rPr>
        <w:t xml:space="preserve"> reported by subsidiary</w:t>
      </w:r>
    </w:p>
    <w:p>
      <w:pPr>
        <w:spacing w:after="0" w:line="94" w:lineRule="exact"/>
        <w:rPr>
          <w:sz w:val="20"/>
          <w:szCs w:val="20"/>
          <w:color w:val="auto"/>
        </w:rPr>
      </w:pPr>
    </w:p>
    <w:tbl>
      <w:tblPr>
        <w:tblLayout w:type="fixed"/>
        <w:tblInd w:w="1150" w:type="dxa"/>
        <w:tblCellMar>
          <w:top w:w="0" w:type="dxa"/>
          <w:left w:w="0" w:type="dxa"/>
          <w:bottom w:w="0" w:type="dxa"/>
          <w:right w:w="0" w:type="dxa"/>
        </w:tblCellMar>
      </w:tblPr>
      <w:tr>
        <w:trPr>
          <w:trHeight w:val="128"/>
        </w:trPr>
        <w:tc>
          <w:tcPr>
            <w:tcW w:w="1080" w:type="dxa"/>
            <w:vAlign w:val="bottom"/>
            <w:tcBorders>
              <w:top w:val="single" w:sz="8" w:color="auto"/>
              <w:left w:val="single" w:sz="8" w:color="auto"/>
            </w:tcBorders>
            <w:shd w:val="clear" w:color="auto" w:fill="2AD2C9"/>
          </w:tcPr>
          <w:p>
            <w:pPr>
              <w:spacing w:after="0"/>
              <w:rPr>
                <w:sz w:val="11"/>
                <w:szCs w:val="11"/>
                <w:color w:val="auto"/>
              </w:rPr>
            </w:pPr>
          </w:p>
        </w:tc>
        <w:tc>
          <w:tcPr>
            <w:tcW w:w="1740" w:type="dxa"/>
            <w:vAlign w:val="bottom"/>
            <w:tcBorders>
              <w:top w:val="single" w:sz="8" w:color="auto"/>
              <w:right w:val="single" w:sz="8" w:color="auto"/>
            </w:tcBorders>
            <w:vMerge w:val="restart"/>
            <w:shd w:val="clear" w:color="auto" w:fill="2AD2C9"/>
          </w:tcPr>
          <w:p>
            <w:pPr>
              <w:spacing w:after="0"/>
              <w:rPr>
                <w:sz w:val="20"/>
                <w:szCs w:val="20"/>
                <w:color w:val="auto"/>
              </w:rPr>
            </w:pPr>
            <w:r>
              <w:rPr>
                <w:rFonts w:ascii="Times New Roman" w:cs="Times New Roman" w:eastAsia="Times New Roman" w:hAnsi="Times New Roman"/>
                <w:sz w:val="14"/>
                <w:szCs w:val="14"/>
                <w:b w:val="1"/>
                <w:bCs w:val="1"/>
                <w:color w:val="FFFFFF"/>
              </w:rPr>
              <w:t>Subsidiary</w:t>
            </w:r>
          </w:p>
        </w:tc>
        <w:tc>
          <w:tcPr>
            <w:tcW w:w="1180" w:type="dxa"/>
            <w:vAlign w:val="bottom"/>
            <w:tcBorders>
              <w:top w:val="single" w:sz="8" w:color="auto"/>
            </w:tcBorders>
            <w:shd w:val="clear" w:color="auto" w:fill="2AD2C9"/>
          </w:tcPr>
          <w:p>
            <w:pPr>
              <w:spacing w:after="0"/>
              <w:rPr>
                <w:sz w:val="11"/>
                <w:szCs w:val="11"/>
                <w:color w:val="auto"/>
              </w:rPr>
            </w:pPr>
          </w:p>
        </w:tc>
        <w:tc>
          <w:tcPr>
            <w:tcW w:w="1280" w:type="dxa"/>
            <w:vAlign w:val="bottom"/>
            <w:tcBorders>
              <w:top w:val="single" w:sz="8" w:color="auto"/>
            </w:tcBorders>
            <w:shd w:val="clear" w:color="auto" w:fill="2AD2C9"/>
          </w:tcPr>
          <w:p>
            <w:pPr>
              <w:ind w:left="420"/>
              <w:spacing w:after="0" w:line="128" w:lineRule="exact"/>
              <w:rPr>
                <w:sz w:val="20"/>
                <w:szCs w:val="20"/>
                <w:color w:val="auto"/>
              </w:rPr>
            </w:pPr>
            <w:r>
              <w:rPr>
                <w:rFonts w:ascii="Times New Roman" w:cs="Times New Roman" w:eastAsia="Times New Roman" w:hAnsi="Times New Roman"/>
                <w:sz w:val="14"/>
                <w:szCs w:val="14"/>
                <w:b w:val="1"/>
                <w:bCs w:val="1"/>
                <w:color w:val="FFFFFF"/>
              </w:rPr>
              <w:t>Quarter</w:t>
            </w:r>
          </w:p>
        </w:tc>
        <w:tc>
          <w:tcPr>
            <w:tcW w:w="1220" w:type="dxa"/>
            <w:vAlign w:val="bottom"/>
            <w:tcBorders>
              <w:top w:val="single" w:sz="8" w:color="auto"/>
              <w:right w:val="single" w:sz="8" w:color="auto"/>
            </w:tcBorders>
            <w:shd w:val="clear" w:color="auto" w:fill="2AD2C9"/>
          </w:tcPr>
          <w:p>
            <w:pPr>
              <w:spacing w:after="0"/>
              <w:rPr>
                <w:sz w:val="11"/>
                <w:szCs w:val="11"/>
                <w:color w:val="auto"/>
              </w:rPr>
            </w:pPr>
          </w:p>
        </w:tc>
        <w:tc>
          <w:tcPr>
            <w:tcW w:w="900" w:type="dxa"/>
            <w:vAlign w:val="bottom"/>
            <w:tcBorders>
              <w:top w:val="single" w:sz="8" w:color="auto"/>
            </w:tcBorders>
            <w:shd w:val="clear" w:color="auto" w:fill="2AD2C9"/>
          </w:tcPr>
          <w:p>
            <w:pPr>
              <w:spacing w:after="0"/>
              <w:rPr>
                <w:sz w:val="11"/>
                <w:szCs w:val="11"/>
                <w:color w:val="auto"/>
              </w:rPr>
            </w:pPr>
          </w:p>
        </w:tc>
        <w:tc>
          <w:tcPr>
            <w:tcW w:w="1580" w:type="dxa"/>
            <w:vAlign w:val="bottom"/>
            <w:tcBorders>
              <w:top w:val="single" w:sz="8" w:color="auto"/>
              <w:right w:val="single" w:sz="8" w:color="auto"/>
            </w:tcBorders>
            <w:shd w:val="clear" w:color="auto" w:fill="2AD2C9"/>
          </w:tcPr>
          <w:p>
            <w:pPr>
              <w:ind w:left="40"/>
              <w:spacing w:after="0" w:line="128" w:lineRule="exact"/>
              <w:rPr>
                <w:sz w:val="20"/>
                <w:szCs w:val="20"/>
                <w:color w:val="auto"/>
              </w:rPr>
            </w:pPr>
            <w:r>
              <w:rPr>
                <w:rFonts w:ascii="Times New Roman" w:cs="Times New Roman" w:eastAsia="Times New Roman" w:hAnsi="Times New Roman"/>
                <w:sz w:val="14"/>
                <w:szCs w:val="14"/>
                <w:b w:val="1"/>
                <w:bCs w:val="1"/>
                <w:color w:val="FFFFFF"/>
              </w:rPr>
              <w:t>% change</w:t>
            </w:r>
          </w:p>
        </w:tc>
        <w:tc>
          <w:tcPr>
            <w:tcW w:w="0" w:type="dxa"/>
            <w:vAlign w:val="bottom"/>
          </w:tcPr>
          <w:p>
            <w:pPr>
              <w:spacing w:after="0"/>
              <w:rPr>
                <w:sz w:val="1"/>
                <w:szCs w:val="1"/>
                <w:color w:val="auto"/>
              </w:rPr>
            </w:pPr>
          </w:p>
        </w:tc>
      </w:tr>
      <w:tr>
        <w:trPr>
          <w:trHeight w:val="102"/>
        </w:trPr>
        <w:tc>
          <w:tcPr>
            <w:tcW w:w="1080" w:type="dxa"/>
            <w:vAlign w:val="bottom"/>
            <w:tcBorders>
              <w:left w:val="single" w:sz="8" w:color="auto"/>
            </w:tcBorders>
            <w:shd w:val="clear" w:color="auto" w:fill="2AD2C9"/>
          </w:tcPr>
          <w:p>
            <w:pPr>
              <w:spacing w:after="0"/>
              <w:rPr>
                <w:sz w:val="8"/>
                <w:szCs w:val="8"/>
                <w:color w:val="auto"/>
              </w:rPr>
            </w:pPr>
          </w:p>
        </w:tc>
        <w:tc>
          <w:tcPr>
            <w:tcW w:w="1740" w:type="dxa"/>
            <w:vAlign w:val="bottom"/>
            <w:tcBorders>
              <w:right w:val="single" w:sz="8" w:color="auto"/>
            </w:tcBorders>
            <w:vMerge w:val="continue"/>
            <w:shd w:val="clear" w:color="auto" w:fill="2AD2C9"/>
          </w:tcPr>
          <w:p>
            <w:pPr>
              <w:spacing w:after="0"/>
              <w:rPr>
                <w:sz w:val="8"/>
                <w:szCs w:val="8"/>
                <w:color w:val="auto"/>
              </w:rPr>
            </w:pPr>
          </w:p>
        </w:tc>
        <w:tc>
          <w:tcPr>
            <w:tcW w:w="1180" w:type="dxa"/>
            <w:vAlign w:val="bottom"/>
            <w:vMerge w:val="restart"/>
            <w:shd w:val="clear" w:color="auto" w:fill="2AD2C9"/>
          </w:tcPr>
          <w:p>
            <w:pPr>
              <w:jc w:val="center"/>
              <w:spacing w:after="0"/>
              <w:rPr>
                <w:sz w:val="20"/>
                <w:szCs w:val="20"/>
                <w:color w:val="auto"/>
              </w:rPr>
            </w:pPr>
            <w:r>
              <w:rPr>
                <w:rFonts w:ascii="Times New Roman" w:cs="Times New Roman" w:eastAsia="Times New Roman" w:hAnsi="Times New Roman"/>
                <w:sz w:val="14"/>
                <w:szCs w:val="14"/>
                <w:b w:val="1"/>
                <w:bCs w:val="1"/>
                <w:color w:val="FFFFFF"/>
              </w:rPr>
              <w:t>1Q25</w:t>
            </w:r>
          </w:p>
        </w:tc>
        <w:tc>
          <w:tcPr>
            <w:tcW w:w="1280" w:type="dxa"/>
            <w:vAlign w:val="bottom"/>
            <w:vMerge w:val="restart"/>
            <w:shd w:val="clear" w:color="auto" w:fill="2AD2C9"/>
          </w:tcPr>
          <w:p>
            <w:pPr>
              <w:jc w:val="center"/>
              <w:spacing w:after="0"/>
              <w:rPr>
                <w:sz w:val="20"/>
                <w:szCs w:val="20"/>
                <w:color w:val="auto"/>
              </w:rPr>
            </w:pPr>
            <w:r>
              <w:rPr>
                <w:rFonts w:ascii="Times New Roman" w:cs="Times New Roman" w:eastAsia="Times New Roman" w:hAnsi="Times New Roman"/>
                <w:sz w:val="14"/>
                <w:szCs w:val="14"/>
                <w:b w:val="1"/>
                <w:bCs w:val="1"/>
                <w:color w:val="FFFFFF"/>
              </w:rPr>
              <w:t>4Q25</w:t>
            </w:r>
          </w:p>
        </w:tc>
        <w:tc>
          <w:tcPr>
            <w:tcW w:w="1220" w:type="dxa"/>
            <w:vAlign w:val="bottom"/>
            <w:tcBorders>
              <w:right w:val="single" w:sz="8" w:color="auto"/>
            </w:tcBorders>
            <w:vMerge w:val="restart"/>
            <w:shd w:val="clear" w:color="auto" w:fill="2AD2C9"/>
          </w:tcPr>
          <w:p>
            <w:pPr>
              <w:jc w:val="center"/>
              <w:spacing w:after="0"/>
              <w:rPr>
                <w:sz w:val="20"/>
                <w:szCs w:val="20"/>
                <w:color w:val="auto"/>
              </w:rPr>
            </w:pPr>
            <w:r>
              <w:rPr>
                <w:rFonts w:ascii="Times New Roman" w:cs="Times New Roman" w:eastAsia="Times New Roman" w:hAnsi="Times New Roman"/>
                <w:sz w:val="14"/>
                <w:szCs w:val="14"/>
                <w:b w:val="1"/>
                <w:bCs w:val="1"/>
                <w:color w:val="FFFFFF"/>
                <w:w w:val="93"/>
              </w:rPr>
              <w:t>1Q26</w:t>
            </w:r>
          </w:p>
        </w:tc>
        <w:tc>
          <w:tcPr>
            <w:tcW w:w="900" w:type="dxa"/>
            <w:vAlign w:val="bottom"/>
            <w:vMerge w:val="restart"/>
            <w:shd w:val="clear" w:color="auto" w:fill="2AD2C9"/>
          </w:tcPr>
          <w:p>
            <w:pPr>
              <w:jc w:val="center"/>
              <w:ind w:left="273"/>
              <w:spacing w:after="0"/>
              <w:rPr>
                <w:sz w:val="20"/>
                <w:szCs w:val="20"/>
                <w:color w:val="auto"/>
              </w:rPr>
            </w:pPr>
            <w:r>
              <w:rPr>
                <w:rFonts w:ascii="Times New Roman" w:cs="Times New Roman" w:eastAsia="Times New Roman" w:hAnsi="Times New Roman"/>
                <w:sz w:val="14"/>
                <w:szCs w:val="14"/>
                <w:b w:val="1"/>
                <w:bCs w:val="1"/>
                <w:color w:val="FFFFFF"/>
                <w:w w:val="97"/>
              </w:rPr>
              <w:t>QoQ</w:t>
            </w:r>
          </w:p>
        </w:tc>
        <w:tc>
          <w:tcPr>
            <w:tcW w:w="1580" w:type="dxa"/>
            <w:vAlign w:val="bottom"/>
            <w:tcBorders>
              <w:right w:val="single" w:sz="8" w:color="auto"/>
            </w:tcBorders>
            <w:vMerge w:val="restart"/>
            <w:shd w:val="clear" w:color="auto" w:fill="2AD2C9"/>
          </w:tcPr>
          <w:p>
            <w:pPr>
              <w:jc w:val="center"/>
              <w:ind w:left="233"/>
              <w:spacing w:after="0"/>
              <w:rPr>
                <w:sz w:val="20"/>
                <w:szCs w:val="20"/>
                <w:color w:val="auto"/>
              </w:rPr>
            </w:pPr>
            <w:r>
              <w:rPr>
                <w:rFonts w:ascii="Times New Roman" w:cs="Times New Roman" w:eastAsia="Times New Roman" w:hAnsi="Times New Roman"/>
                <w:sz w:val="14"/>
                <w:szCs w:val="14"/>
                <w:b w:val="1"/>
                <w:bCs w:val="1"/>
                <w:color w:val="FFFFFF"/>
                <w:w w:val="87"/>
              </w:rPr>
              <w:t>YoY</w:t>
            </w:r>
          </w:p>
        </w:tc>
        <w:tc>
          <w:tcPr>
            <w:tcW w:w="0" w:type="dxa"/>
            <w:vAlign w:val="bottom"/>
          </w:tcPr>
          <w:p>
            <w:pPr>
              <w:spacing w:after="0"/>
              <w:rPr>
                <w:sz w:val="1"/>
                <w:szCs w:val="1"/>
                <w:color w:val="auto"/>
              </w:rPr>
            </w:pPr>
          </w:p>
        </w:tc>
      </w:tr>
      <w:tr>
        <w:trPr>
          <w:trHeight w:val="62"/>
        </w:trPr>
        <w:tc>
          <w:tcPr>
            <w:tcW w:w="1080" w:type="dxa"/>
            <w:vAlign w:val="bottom"/>
            <w:tcBorders>
              <w:left w:val="single" w:sz="8" w:color="auto"/>
              <w:bottom w:val="single" w:sz="8" w:color="auto"/>
            </w:tcBorders>
            <w:shd w:val="clear" w:color="auto" w:fill="2AD2C9"/>
          </w:tcPr>
          <w:p>
            <w:pPr>
              <w:spacing w:after="0"/>
              <w:rPr>
                <w:sz w:val="5"/>
                <w:szCs w:val="5"/>
                <w:color w:val="auto"/>
              </w:rPr>
            </w:pPr>
          </w:p>
        </w:tc>
        <w:tc>
          <w:tcPr>
            <w:tcW w:w="1740" w:type="dxa"/>
            <w:vAlign w:val="bottom"/>
            <w:tcBorders>
              <w:bottom w:val="single" w:sz="8" w:color="auto"/>
              <w:right w:val="single" w:sz="8" w:color="auto"/>
            </w:tcBorders>
            <w:shd w:val="clear" w:color="auto" w:fill="2AD2C9"/>
          </w:tcPr>
          <w:p>
            <w:pPr>
              <w:spacing w:after="0"/>
              <w:rPr>
                <w:sz w:val="5"/>
                <w:szCs w:val="5"/>
                <w:color w:val="auto"/>
              </w:rPr>
            </w:pPr>
          </w:p>
        </w:tc>
        <w:tc>
          <w:tcPr>
            <w:tcW w:w="1180" w:type="dxa"/>
            <w:vAlign w:val="bottom"/>
            <w:tcBorders>
              <w:bottom w:val="single" w:sz="8" w:color="auto"/>
            </w:tcBorders>
            <w:vMerge w:val="continue"/>
            <w:shd w:val="clear" w:color="auto" w:fill="2AD2C9"/>
          </w:tcPr>
          <w:p>
            <w:pPr>
              <w:spacing w:after="0"/>
              <w:rPr>
                <w:sz w:val="5"/>
                <w:szCs w:val="5"/>
                <w:color w:val="auto"/>
              </w:rPr>
            </w:pPr>
          </w:p>
        </w:tc>
        <w:tc>
          <w:tcPr>
            <w:tcW w:w="1280" w:type="dxa"/>
            <w:vAlign w:val="bottom"/>
            <w:tcBorders>
              <w:bottom w:val="single" w:sz="8" w:color="auto"/>
            </w:tcBorders>
            <w:vMerge w:val="continue"/>
            <w:shd w:val="clear" w:color="auto" w:fill="2AD2C9"/>
          </w:tcPr>
          <w:p>
            <w:pPr>
              <w:spacing w:after="0"/>
              <w:rPr>
                <w:sz w:val="5"/>
                <w:szCs w:val="5"/>
                <w:color w:val="auto"/>
              </w:rPr>
            </w:pPr>
          </w:p>
        </w:tc>
        <w:tc>
          <w:tcPr>
            <w:tcW w:w="1220" w:type="dxa"/>
            <w:vAlign w:val="bottom"/>
            <w:tcBorders>
              <w:bottom w:val="single" w:sz="8" w:color="auto"/>
              <w:right w:val="single" w:sz="8" w:color="auto"/>
            </w:tcBorders>
            <w:vMerge w:val="continue"/>
            <w:shd w:val="clear" w:color="auto" w:fill="2AD2C9"/>
          </w:tcPr>
          <w:p>
            <w:pPr>
              <w:spacing w:after="0"/>
              <w:rPr>
                <w:sz w:val="5"/>
                <w:szCs w:val="5"/>
                <w:color w:val="auto"/>
              </w:rPr>
            </w:pPr>
          </w:p>
        </w:tc>
        <w:tc>
          <w:tcPr>
            <w:tcW w:w="900" w:type="dxa"/>
            <w:vAlign w:val="bottom"/>
            <w:tcBorders>
              <w:bottom w:val="single" w:sz="8" w:color="auto"/>
            </w:tcBorders>
            <w:vMerge w:val="continue"/>
            <w:shd w:val="clear" w:color="auto" w:fill="2AD2C9"/>
          </w:tcPr>
          <w:p>
            <w:pPr>
              <w:spacing w:after="0"/>
              <w:rPr>
                <w:sz w:val="5"/>
                <w:szCs w:val="5"/>
                <w:color w:val="auto"/>
              </w:rPr>
            </w:pPr>
          </w:p>
        </w:tc>
        <w:tc>
          <w:tcPr>
            <w:tcW w:w="1580" w:type="dxa"/>
            <w:vAlign w:val="bottom"/>
            <w:tcBorders>
              <w:bottom w:val="single" w:sz="8" w:color="auto"/>
              <w:right w:val="single" w:sz="8" w:color="auto"/>
            </w:tcBorders>
            <w:vMerge w:val="continue"/>
            <w:shd w:val="clear" w:color="auto" w:fill="2AD2C9"/>
          </w:tcPr>
          <w:p>
            <w:pPr>
              <w:spacing w:after="0"/>
              <w:rPr>
                <w:sz w:val="5"/>
                <w:szCs w:val="5"/>
                <w:color w:val="auto"/>
              </w:rPr>
            </w:pPr>
          </w:p>
        </w:tc>
        <w:tc>
          <w:tcPr>
            <w:tcW w:w="0" w:type="dxa"/>
            <w:vAlign w:val="bottom"/>
          </w:tcPr>
          <w:p>
            <w:pPr>
              <w:spacing w:after="0"/>
              <w:rPr>
                <w:sz w:val="1"/>
                <w:szCs w:val="1"/>
                <w:color w:val="auto"/>
              </w:rPr>
            </w:pPr>
          </w:p>
        </w:tc>
      </w:tr>
      <w:tr>
        <w:trPr>
          <w:trHeight w:val="112"/>
        </w:trPr>
        <w:tc>
          <w:tcPr>
            <w:tcW w:w="1080" w:type="dxa"/>
            <w:vAlign w:val="bottom"/>
            <w:tcBorders>
              <w:left w:val="single" w:sz="8" w:color="auto"/>
            </w:tcBorders>
          </w:tcPr>
          <w:p>
            <w:pPr>
              <w:ind w:left="40"/>
              <w:spacing w:after="0" w:line="112" w:lineRule="exact"/>
              <w:rPr>
                <w:sz w:val="20"/>
                <w:szCs w:val="20"/>
                <w:color w:val="auto"/>
              </w:rPr>
            </w:pPr>
            <w:r>
              <w:rPr>
                <w:rFonts w:ascii="Times New Roman" w:cs="Times New Roman" w:eastAsia="Times New Roman" w:hAnsi="Times New Roman"/>
                <w:sz w:val="12"/>
                <w:szCs w:val="12"/>
                <w:color w:val="auto"/>
              </w:rPr>
              <w:t>BCP Stand-alone</w:t>
            </w:r>
          </w:p>
        </w:tc>
        <w:tc>
          <w:tcPr>
            <w:tcW w:w="1740" w:type="dxa"/>
            <w:vAlign w:val="bottom"/>
            <w:tcBorders>
              <w:right w:val="single" w:sz="8" w:color="auto"/>
            </w:tcBorders>
          </w:tcPr>
          <w:p>
            <w:pPr>
              <w:spacing w:after="0"/>
              <w:rPr>
                <w:sz w:val="9"/>
                <w:szCs w:val="9"/>
                <w:color w:val="auto"/>
              </w:rPr>
            </w:pPr>
          </w:p>
        </w:tc>
        <w:tc>
          <w:tcPr>
            <w:tcW w:w="1180" w:type="dxa"/>
            <w:vAlign w:val="bottom"/>
          </w:tcPr>
          <w:p>
            <w:pPr>
              <w:jc w:val="center"/>
              <w:spacing w:after="0" w:line="112" w:lineRule="exact"/>
              <w:rPr>
                <w:sz w:val="20"/>
                <w:szCs w:val="20"/>
                <w:color w:val="auto"/>
              </w:rPr>
            </w:pPr>
            <w:r>
              <w:rPr>
                <w:rFonts w:ascii="Times New Roman" w:cs="Times New Roman" w:eastAsia="Times New Roman" w:hAnsi="Times New Roman"/>
                <w:sz w:val="12"/>
                <w:szCs w:val="12"/>
                <w:color w:val="auto"/>
              </w:rPr>
              <w:t>37.7%</w:t>
            </w:r>
          </w:p>
        </w:tc>
        <w:tc>
          <w:tcPr>
            <w:tcW w:w="1280" w:type="dxa"/>
            <w:vAlign w:val="bottom"/>
          </w:tcPr>
          <w:p>
            <w:pPr>
              <w:jc w:val="center"/>
              <w:spacing w:after="0" w:line="112" w:lineRule="exact"/>
              <w:rPr>
                <w:sz w:val="20"/>
                <w:szCs w:val="20"/>
                <w:color w:val="auto"/>
              </w:rPr>
            </w:pPr>
            <w:r>
              <w:rPr>
                <w:rFonts w:ascii="Times New Roman" w:cs="Times New Roman" w:eastAsia="Times New Roman" w:hAnsi="Times New Roman"/>
                <w:sz w:val="12"/>
                <w:szCs w:val="12"/>
                <w:color w:val="auto"/>
              </w:rPr>
              <w:t>42.7%</w:t>
            </w:r>
          </w:p>
        </w:tc>
        <w:tc>
          <w:tcPr>
            <w:tcW w:w="1220" w:type="dxa"/>
            <w:vAlign w:val="bottom"/>
            <w:tcBorders>
              <w:right w:val="single" w:sz="8" w:color="auto"/>
            </w:tcBorders>
          </w:tcPr>
          <w:p>
            <w:pPr>
              <w:jc w:val="center"/>
              <w:spacing w:after="0" w:line="112" w:lineRule="exact"/>
              <w:rPr>
                <w:sz w:val="20"/>
                <w:szCs w:val="20"/>
                <w:color w:val="auto"/>
              </w:rPr>
            </w:pPr>
            <w:r>
              <w:rPr>
                <w:rFonts w:ascii="Times New Roman" w:cs="Times New Roman" w:eastAsia="Times New Roman" w:hAnsi="Times New Roman"/>
                <w:sz w:val="12"/>
                <w:szCs w:val="12"/>
                <w:color w:val="auto"/>
              </w:rPr>
              <w:t>38.6%</w:t>
            </w:r>
          </w:p>
        </w:tc>
        <w:tc>
          <w:tcPr>
            <w:tcW w:w="900" w:type="dxa"/>
            <w:vAlign w:val="bottom"/>
          </w:tcPr>
          <w:p>
            <w:pPr>
              <w:jc w:val="center"/>
              <w:ind w:left="293"/>
              <w:spacing w:after="0" w:line="112" w:lineRule="exact"/>
              <w:rPr>
                <w:sz w:val="20"/>
                <w:szCs w:val="20"/>
                <w:color w:val="auto"/>
              </w:rPr>
            </w:pPr>
            <w:r>
              <w:rPr>
                <w:rFonts w:ascii="Times New Roman" w:cs="Times New Roman" w:eastAsia="Times New Roman" w:hAnsi="Times New Roman"/>
                <w:sz w:val="12"/>
                <w:szCs w:val="12"/>
                <w:color w:val="auto"/>
              </w:rPr>
              <w:t>-411 bps</w:t>
            </w:r>
          </w:p>
        </w:tc>
        <w:tc>
          <w:tcPr>
            <w:tcW w:w="1580" w:type="dxa"/>
            <w:vAlign w:val="bottom"/>
            <w:tcBorders>
              <w:right w:val="single" w:sz="8" w:color="auto"/>
            </w:tcBorders>
          </w:tcPr>
          <w:p>
            <w:pPr>
              <w:jc w:val="center"/>
              <w:ind w:left="273"/>
              <w:spacing w:after="0" w:line="112" w:lineRule="exact"/>
              <w:rPr>
                <w:sz w:val="20"/>
                <w:szCs w:val="20"/>
                <w:color w:val="auto"/>
              </w:rPr>
            </w:pPr>
            <w:r>
              <w:rPr>
                <w:rFonts w:ascii="Times New Roman" w:cs="Times New Roman" w:eastAsia="Times New Roman" w:hAnsi="Times New Roman"/>
                <w:sz w:val="12"/>
                <w:szCs w:val="12"/>
                <w:color w:val="auto"/>
              </w:rPr>
              <w:t>93 bps</w:t>
            </w:r>
          </w:p>
        </w:tc>
        <w:tc>
          <w:tcPr>
            <w:tcW w:w="0" w:type="dxa"/>
            <w:vAlign w:val="bottom"/>
          </w:tcPr>
          <w:p>
            <w:pPr>
              <w:spacing w:after="0"/>
              <w:rPr>
                <w:sz w:val="1"/>
                <w:szCs w:val="1"/>
                <w:color w:val="auto"/>
              </w:rPr>
            </w:pPr>
          </w:p>
        </w:tc>
      </w:tr>
      <w:tr>
        <w:trPr>
          <w:trHeight w:val="140"/>
        </w:trPr>
        <w:tc>
          <w:tcPr>
            <w:tcW w:w="1080" w:type="dxa"/>
            <w:vAlign w:val="bottom"/>
            <w:tcBorders>
              <w:left w:val="single" w:sz="8" w:color="auto"/>
            </w:tcBorders>
          </w:tcPr>
          <w:p>
            <w:pPr>
              <w:ind w:left="40"/>
              <w:spacing w:after="0" w:line="140" w:lineRule="exact"/>
              <w:rPr>
                <w:sz w:val="20"/>
                <w:szCs w:val="20"/>
                <w:color w:val="auto"/>
              </w:rPr>
            </w:pPr>
            <w:r>
              <w:rPr>
                <w:rFonts w:ascii="Times New Roman" w:cs="Times New Roman" w:eastAsia="Times New Roman" w:hAnsi="Times New Roman"/>
                <w:sz w:val="14"/>
                <w:szCs w:val="14"/>
                <w:color w:val="auto"/>
              </w:rPr>
              <w:t>BCP Bolivia</w:t>
            </w:r>
          </w:p>
        </w:tc>
        <w:tc>
          <w:tcPr>
            <w:tcW w:w="1740" w:type="dxa"/>
            <w:vAlign w:val="bottom"/>
            <w:tcBorders>
              <w:right w:val="single" w:sz="8" w:color="auto"/>
            </w:tcBorders>
          </w:tcPr>
          <w:p>
            <w:pPr>
              <w:spacing w:after="0"/>
              <w:rPr>
                <w:sz w:val="12"/>
                <w:szCs w:val="12"/>
                <w:color w:val="auto"/>
              </w:rPr>
            </w:pPr>
          </w:p>
        </w:tc>
        <w:tc>
          <w:tcPr>
            <w:tcW w:w="118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9"/>
              </w:rPr>
              <w:t>69.6%</w:t>
            </w:r>
          </w:p>
        </w:tc>
        <w:tc>
          <w:tcPr>
            <w:tcW w:w="128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9"/>
              </w:rPr>
              <w:t>74.2%</w:t>
            </w:r>
          </w:p>
        </w:tc>
        <w:tc>
          <w:tcPr>
            <w:tcW w:w="122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3"/>
              </w:rPr>
              <w:t>65.2%</w:t>
            </w:r>
          </w:p>
        </w:tc>
        <w:tc>
          <w:tcPr>
            <w:tcW w:w="900" w:type="dxa"/>
            <w:vAlign w:val="bottom"/>
          </w:tcPr>
          <w:p>
            <w:pPr>
              <w:jc w:val="center"/>
              <w:ind w:left="293"/>
              <w:spacing w:after="0" w:line="140" w:lineRule="exact"/>
              <w:rPr>
                <w:sz w:val="20"/>
                <w:szCs w:val="20"/>
                <w:color w:val="auto"/>
              </w:rPr>
            </w:pPr>
            <w:r>
              <w:rPr>
                <w:rFonts w:ascii="Times New Roman" w:cs="Times New Roman" w:eastAsia="Times New Roman" w:hAnsi="Times New Roman"/>
                <w:sz w:val="14"/>
                <w:szCs w:val="14"/>
                <w:color w:val="auto"/>
                <w:w w:val="94"/>
              </w:rPr>
              <w:t>-899 bps</w:t>
            </w:r>
          </w:p>
        </w:tc>
        <w:tc>
          <w:tcPr>
            <w:tcW w:w="1580" w:type="dxa"/>
            <w:vAlign w:val="bottom"/>
            <w:tcBorders>
              <w:right w:val="single" w:sz="8" w:color="auto"/>
            </w:tcBorders>
          </w:tcPr>
          <w:p>
            <w:pPr>
              <w:jc w:val="center"/>
              <w:ind w:left="273"/>
              <w:spacing w:after="0" w:line="140" w:lineRule="exact"/>
              <w:rPr>
                <w:sz w:val="20"/>
                <w:szCs w:val="20"/>
                <w:color w:val="auto"/>
              </w:rPr>
            </w:pPr>
            <w:r>
              <w:rPr>
                <w:rFonts w:ascii="Times New Roman" w:cs="Times New Roman" w:eastAsia="Times New Roman" w:hAnsi="Times New Roman"/>
                <w:sz w:val="14"/>
                <w:szCs w:val="14"/>
                <w:color w:val="auto"/>
                <w:w w:val="98"/>
              </w:rPr>
              <w:t>-440 bps</w:t>
            </w:r>
          </w:p>
        </w:tc>
        <w:tc>
          <w:tcPr>
            <w:tcW w:w="0" w:type="dxa"/>
            <w:vAlign w:val="bottom"/>
          </w:tcPr>
          <w:p>
            <w:pPr>
              <w:spacing w:after="0"/>
              <w:rPr>
                <w:sz w:val="1"/>
                <w:szCs w:val="1"/>
                <w:color w:val="auto"/>
              </w:rPr>
            </w:pPr>
          </w:p>
        </w:tc>
      </w:tr>
      <w:tr>
        <w:trPr>
          <w:trHeight w:val="140"/>
        </w:trPr>
        <w:tc>
          <w:tcPr>
            <w:tcW w:w="1080" w:type="dxa"/>
            <w:vAlign w:val="bottom"/>
            <w:tcBorders>
              <w:left w:val="single" w:sz="8" w:color="auto"/>
            </w:tcBorders>
          </w:tcPr>
          <w:p>
            <w:pPr>
              <w:ind w:left="40"/>
              <w:spacing w:after="0" w:line="140" w:lineRule="exact"/>
              <w:rPr>
                <w:sz w:val="20"/>
                <w:szCs w:val="20"/>
                <w:color w:val="auto"/>
              </w:rPr>
            </w:pPr>
            <w:r>
              <w:rPr>
                <w:rFonts w:ascii="Times New Roman" w:cs="Times New Roman" w:eastAsia="Times New Roman" w:hAnsi="Times New Roman"/>
                <w:sz w:val="14"/>
                <w:szCs w:val="14"/>
                <w:color w:val="auto"/>
              </w:rPr>
              <w:t>Mibanco Peru</w:t>
            </w:r>
          </w:p>
        </w:tc>
        <w:tc>
          <w:tcPr>
            <w:tcW w:w="1740" w:type="dxa"/>
            <w:vAlign w:val="bottom"/>
            <w:tcBorders>
              <w:right w:val="single" w:sz="8" w:color="auto"/>
            </w:tcBorders>
          </w:tcPr>
          <w:p>
            <w:pPr>
              <w:spacing w:after="0"/>
              <w:rPr>
                <w:sz w:val="12"/>
                <w:szCs w:val="12"/>
                <w:color w:val="auto"/>
              </w:rPr>
            </w:pPr>
          </w:p>
        </w:tc>
        <w:tc>
          <w:tcPr>
            <w:tcW w:w="118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9"/>
              </w:rPr>
              <w:t>52.9%</w:t>
            </w:r>
          </w:p>
        </w:tc>
        <w:tc>
          <w:tcPr>
            <w:tcW w:w="128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9"/>
              </w:rPr>
              <w:t>49.6%</w:t>
            </w:r>
          </w:p>
        </w:tc>
        <w:tc>
          <w:tcPr>
            <w:tcW w:w="122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3"/>
              </w:rPr>
              <w:t>49.2%</w:t>
            </w:r>
          </w:p>
        </w:tc>
        <w:tc>
          <w:tcPr>
            <w:tcW w:w="900" w:type="dxa"/>
            <w:vAlign w:val="bottom"/>
          </w:tcPr>
          <w:p>
            <w:pPr>
              <w:jc w:val="center"/>
              <w:ind w:left="273"/>
              <w:spacing w:after="0" w:line="140" w:lineRule="exact"/>
              <w:rPr>
                <w:sz w:val="20"/>
                <w:szCs w:val="20"/>
                <w:color w:val="auto"/>
              </w:rPr>
            </w:pPr>
            <w:r>
              <w:rPr>
                <w:rFonts w:ascii="Times New Roman" w:cs="Times New Roman" w:eastAsia="Times New Roman" w:hAnsi="Times New Roman"/>
                <w:sz w:val="14"/>
                <w:szCs w:val="14"/>
                <w:color w:val="auto"/>
                <w:w w:val="96"/>
              </w:rPr>
              <w:t>-37 bps</w:t>
            </w:r>
          </w:p>
        </w:tc>
        <w:tc>
          <w:tcPr>
            <w:tcW w:w="1580" w:type="dxa"/>
            <w:vAlign w:val="bottom"/>
            <w:tcBorders>
              <w:right w:val="single" w:sz="8" w:color="auto"/>
            </w:tcBorders>
          </w:tcPr>
          <w:p>
            <w:pPr>
              <w:jc w:val="center"/>
              <w:ind w:left="273"/>
              <w:spacing w:after="0" w:line="140" w:lineRule="exact"/>
              <w:rPr>
                <w:sz w:val="20"/>
                <w:szCs w:val="20"/>
                <w:color w:val="auto"/>
              </w:rPr>
            </w:pPr>
            <w:r>
              <w:rPr>
                <w:rFonts w:ascii="Times New Roman" w:cs="Times New Roman" w:eastAsia="Times New Roman" w:hAnsi="Times New Roman"/>
                <w:sz w:val="14"/>
                <w:szCs w:val="14"/>
                <w:color w:val="auto"/>
                <w:w w:val="98"/>
              </w:rPr>
              <w:t>-366 bps</w:t>
            </w:r>
          </w:p>
        </w:tc>
        <w:tc>
          <w:tcPr>
            <w:tcW w:w="0" w:type="dxa"/>
            <w:vAlign w:val="bottom"/>
          </w:tcPr>
          <w:p>
            <w:pPr>
              <w:spacing w:after="0"/>
              <w:rPr>
                <w:sz w:val="1"/>
                <w:szCs w:val="1"/>
                <w:color w:val="auto"/>
              </w:rPr>
            </w:pPr>
          </w:p>
        </w:tc>
      </w:tr>
      <w:tr>
        <w:trPr>
          <w:trHeight w:val="140"/>
        </w:trPr>
        <w:tc>
          <w:tcPr>
            <w:tcW w:w="1080" w:type="dxa"/>
            <w:vAlign w:val="bottom"/>
            <w:tcBorders>
              <w:left w:val="single" w:sz="8" w:color="auto"/>
            </w:tcBorders>
          </w:tcPr>
          <w:p>
            <w:pPr>
              <w:ind w:left="40"/>
              <w:spacing w:after="0" w:line="140" w:lineRule="exact"/>
              <w:rPr>
                <w:sz w:val="20"/>
                <w:szCs w:val="20"/>
                <w:color w:val="auto"/>
              </w:rPr>
            </w:pPr>
            <w:r>
              <w:rPr>
                <w:rFonts w:ascii="Times New Roman" w:cs="Times New Roman" w:eastAsia="Times New Roman" w:hAnsi="Times New Roman"/>
                <w:sz w:val="14"/>
                <w:szCs w:val="14"/>
                <w:color w:val="auto"/>
                <w:w w:val="93"/>
              </w:rPr>
              <w:t>Mibanco Colombia</w:t>
            </w:r>
          </w:p>
        </w:tc>
        <w:tc>
          <w:tcPr>
            <w:tcW w:w="1740" w:type="dxa"/>
            <w:vAlign w:val="bottom"/>
            <w:tcBorders>
              <w:right w:val="single" w:sz="8" w:color="auto"/>
            </w:tcBorders>
          </w:tcPr>
          <w:p>
            <w:pPr>
              <w:spacing w:after="0"/>
              <w:rPr>
                <w:sz w:val="12"/>
                <w:szCs w:val="12"/>
                <w:color w:val="auto"/>
              </w:rPr>
            </w:pPr>
          </w:p>
        </w:tc>
        <w:tc>
          <w:tcPr>
            <w:tcW w:w="118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9"/>
              </w:rPr>
              <w:t>70.6%</w:t>
            </w:r>
          </w:p>
        </w:tc>
        <w:tc>
          <w:tcPr>
            <w:tcW w:w="128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9"/>
              </w:rPr>
              <w:t>66.2%</w:t>
            </w:r>
          </w:p>
        </w:tc>
        <w:tc>
          <w:tcPr>
            <w:tcW w:w="122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3"/>
              </w:rPr>
              <w:t>64.5%</w:t>
            </w:r>
          </w:p>
        </w:tc>
        <w:tc>
          <w:tcPr>
            <w:tcW w:w="900" w:type="dxa"/>
            <w:vAlign w:val="bottom"/>
          </w:tcPr>
          <w:p>
            <w:pPr>
              <w:jc w:val="center"/>
              <w:ind w:left="293"/>
              <w:spacing w:after="0" w:line="140" w:lineRule="exact"/>
              <w:rPr>
                <w:sz w:val="20"/>
                <w:szCs w:val="20"/>
                <w:color w:val="auto"/>
              </w:rPr>
            </w:pPr>
            <w:r>
              <w:rPr>
                <w:rFonts w:ascii="Times New Roman" w:cs="Times New Roman" w:eastAsia="Times New Roman" w:hAnsi="Times New Roman"/>
                <w:sz w:val="14"/>
                <w:szCs w:val="14"/>
                <w:color w:val="auto"/>
                <w:w w:val="94"/>
              </w:rPr>
              <w:t>-163 bps</w:t>
            </w:r>
          </w:p>
        </w:tc>
        <w:tc>
          <w:tcPr>
            <w:tcW w:w="1580" w:type="dxa"/>
            <w:vAlign w:val="bottom"/>
            <w:tcBorders>
              <w:right w:val="single" w:sz="8" w:color="auto"/>
            </w:tcBorders>
          </w:tcPr>
          <w:p>
            <w:pPr>
              <w:jc w:val="center"/>
              <w:ind w:left="273"/>
              <w:spacing w:after="0" w:line="140" w:lineRule="exact"/>
              <w:rPr>
                <w:sz w:val="20"/>
                <w:szCs w:val="20"/>
                <w:color w:val="auto"/>
              </w:rPr>
            </w:pPr>
            <w:r>
              <w:rPr>
                <w:rFonts w:ascii="Times New Roman" w:cs="Times New Roman" w:eastAsia="Times New Roman" w:hAnsi="Times New Roman"/>
                <w:sz w:val="14"/>
                <w:szCs w:val="14"/>
                <w:color w:val="auto"/>
                <w:w w:val="98"/>
              </w:rPr>
              <w:t>-612 bps</w:t>
            </w:r>
          </w:p>
        </w:tc>
        <w:tc>
          <w:tcPr>
            <w:tcW w:w="0" w:type="dxa"/>
            <w:vAlign w:val="bottom"/>
          </w:tcPr>
          <w:p>
            <w:pPr>
              <w:spacing w:after="0"/>
              <w:rPr>
                <w:sz w:val="1"/>
                <w:szCs w:val="1"/>
                <w:color w:val="auto"/>
              </w:rPr>
            </w:pPr>
          </w:p>
        </w:tc>
      </w:tr>
      <w:tr>
        <w:trPr>
          <w:trHeight w:val="140"/>
        </w:trPr>
        <w:tc>
          <w:tcPr>
            <w:tcW w:w="1080" w:type="dxa"/>
            <w:vAlign w:val="bottom"/>
            <w:tcBorders>
              <w:left w:val="single" w:sz="8" w:color="auto"/>
            </w:tcBorders>
          </w:tcPr>
          <w:p>
            <w:pPr>
              <w:ind w:left="40"/>
              <w:spacing w:after="0" w:line="140" w:lineRule="exact"/>
              <w:rPr>
                <w:sz w:val="20"/>
                <w:szCs w:val="20"/>
                <w:color w:val="auto"/>
              </w:rPr>
            </w:pPr>
            <w:r>
              <w:rPr>
                <w:rFonts w:ascii="Times New Roman" w:cs="Times New Roman" w:eastAsia="Times New Roman" w:hAnsi="Times New Roman"/>
                <w:sz w:val="14"/>
                <w:szCs w:val="14"/>
                <w:color w:val="auto"/>
              </w:rPr>
              <w:t>Pacífico</w:t>
            </w:r>
          </w:p>
        </w:tc>
        <w:tc>
          <w:tcPr>
            <w:tcW w:w="1740" w:type="dxa"/>
            <w:vAlign w:val="bottom"/>
            <w:tcBorders>
              <w:right w:val="single" w:sz="8" w:color="auto"/>
            </w:tcBorders>
          </w:tcPr>
          <w:p>
            <w:pPr>
              <w:spacing w:after="0"/>
              <w:rPr>
                <w:sz w:val="12"/>
                <w:szCs w:val="12"/>
                <w:color w:val="auto"/>
              </w:rPr>
            </w:pPr>
          </w:p>
        </w:tc>
        <w:tc>
          <w:tcPr>
            <w:tcW w:w="118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9"/>
              </w:rPr>
              <w:t>31.5%</w:t>
            </w:r>
          </w:p>
        </w:tc>
        <w:tc>
          <w:tcPr>
            <w:tcW w:w="128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9"/>
              </w:rPr>
              <w:t>45.0%</w:t>
            </w:r>
          </w:p>
        </w:tc>
        <w:tc>
          <w:tcPr>
            <w:tcW w:w="122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3"/>
              </w:rPr>
              <w:t>39.4%</w:t>
            </w:r>
          </w:p>
        </w:tc>
        <w:tc>
          <w:tcPr>
            <w:tcW w:w="900" w:type="dxa"/>
            <w:vAlign w:val="bottom"/>
          </w:tcPr>
          <w:p>
            <w:pPr>
              <w:jc w:val="center"/>
              <w:ind w:left="293"/>
              <w:spacing w:after="0" w:line="140" w:lineRule="exact"/>
              <w:rPr>
                <w:sz w:val="20"/>
                <w:szCs w:val="20"/>
                <w:color w:val="auto"/>
              </w:rPr>
            </w:pPr>
            <w:r>
              <w:rPr>
                <w:rFonts w:ascii="Times New Roman" w:cs="Times New Roman" w:eastAsia="Times New Roman" w:hAnsi="Times New Roman"/>
                <w:sz w:val="14"/>
                <w:szCs w:val="14"/>
                <w:color w:val="auto"/>
                <w:w w:val="94"/>
              </w:rPr>
              <w:t>-565 bps</w:t>
            </w:r>
          </w:p>
        </w:tc>
        <w:tc>
          <w:tcPr>
            <w:tcW w:w="1580" w:type="dxa"/>
            <w:vAlign w:val="bottom"/>
            <w:tcBorders>
              <w:right w:val="single" w:sz="8" w:color="auto"/>
            </w:tcBorders>
          </w:tcPr>
          <w:p>
            <w:pPr>
              <w:jc w:val="center"/>
              <w:ind w:left="273"/>
              <w:spacing w:after="0" w:line="140" w:lineRule="exact"/>
              <w:rPr>
                <w:sz w:val="20"/>
                <w:szCs w:val="20"/>
                <w:color w:val="auto"/>
              </w:rPr>
            </w:pPr>
            <w:r>
              <w:rPr>
                <w:rFonts w:ascii="Times New Roman" w:cs="Times New Roman" w:eastAsia="Times New Roman" w:hAnsi="Times New Roman"/>
                <w:sz w:val="14"/>
                <w:szCs w:val="14"/>
                <w:color w:val="auto"/>
              </w:rPr>
              <w:t>783 bps</w:t>
            </w:r>
          </w:p>
        </w:tc>
        <w:tc>
          <w:tcPr>
            <w:tcW w:w="0" w:type="dxa"/>
            <w:vAlign w:val="bottom"/>
          </w:tcPr>
          <w:p>
            <w:pPr>
              <w:spacing w:after="0"/>
              <w:rPr>
                <w:sz w:val="1"/>
                <w:szCs w:val="1"/>
                <w:color w:val="auto"/>
              </w:rPr>
            </w:pPr>
          </w:p>
        </w:tc>
      </w:tr>
      <w:tr>
        <w:trPr>
          <w:trHeight w:val="160"/>
        </w:trPr>
        <w:tc>
          <w:tcPr>
            <w:tcW w:w="1080" w:type="dxa"/>
            <w:vAlign w:val="bottom"/>
            <w:tcBorders>
              <w:left w:val="single" w:sz="8" w:color="auto"/>
              <w:bottom w:val="single" w:sz="8" w:color="auto"/>
            </w:tcBorders>
          </w:tcPr>
          <w:p>
            <w:pPr>
              <w:ind w:left="40"/>
              <w:spacing w:after="0" w:line="160" w:lineRule="exact"/>
              <w:rPr>
                <w:sz w:val="20"/>
                <w:szCs w:val="20"/>
                <w:color w:val="auto"/>
              </w:rPr>
            </w:pPr>
            <w:r>
              <w:rPr>
                <w:rFonts w:ascii="Times New Roman" w:cs="Times New Roman" w:eastAsia="Times New Roman" w:hAnsi="Times New Roman"/>
                <w:sz w:val="14"/>
                <w:szCs w:val="14"/>
                <w:color w:val="auto"/>
              </w:rPr>
              <w:t>Prima AFP</w:t>
            </w:r>
          </w:p>
        </w:tc>
        <w:tc>
          <w:tcPr>
            <w:tcW w:w="1740" w:type="dxa"/>
            <w:vAlign w:val="bottom"/>
            <w:tcBorders>
              <w:bottom w:val="single" w:sz="8" w:color="auto"/>
              <w:right w:val="single" w:sz="8" w:color="auto"/>
            </w:tcBorders>
          </w:tcPr>
          <w:p>
            <w:pPr>
              <w:spacing w:after="0"/>
              <w:rPr>
                <w:sz w:val="13"/>
                <w:szCs w:val="13"/>
                <w:color w:val="auto"/>
              </w:rPr>
            </w:pPr>
          </w:p>
        </w:tc>
        <w:tc>
          <w:tcPr>
            <w:tcW w:w="118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w w:val="99"/>
              </w:rPr>
              <w:t>54.4%</w:t>
            </w:r>
          </w:p>
        </w:tc>
        <w:tc>
          <w:tcPr>
            <w:tcW w:w="128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w w:val="99"/>
              </w:rPr>
              <w:t>57.7%</w:t>
            </w:r>
          </w:p>
        </w:tc>
        <w:tc>
          <w:tcPr>
            <w:tcW w:w="1220" w:type="dxa"/>
            <w:vAlign w:val="bottom"/>
            <w:tcBorders>
              <w:bottom w:val="single" w:sz="8" w:color="auto"/>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w w:val="93"/>
              </w:rPr>
              <w:t>57.2%</w:t>
            </w:r>
          </w:p>
        </w:tc>
        <w:tc>
          <w:tcPr>
            <w:tcW w:w="900" w:type="dxa"/>
            <w:vAlign w:val="bottom"/>
            <w:tcBorders>
              <w:bottom w:val="single" w:sz="8" w:color="auto"/>
            </w:tcBorders>
          </w:tcPr>
          <w:p>
            <w:pPr>
              <w:jc w:val="center"/>
              <w:ind w:left="273"/>
              <w:spacing w:after="0" w:line="160" w:lineRule="exact"/>
              <w:rPr>
                <w:sz w:val="20"/>
                <w:szCs w:val="20"/>
                <w:color w:val="auto"/>
              </w:rPr>
            </w:pPr>
            <w:r>
              <w:rPr>
                <w:rFonts w:ascii="Times New Roman" w:cs="Times New Roman" w:eastAsia="Times New Roman" w:hAnsi="Times New Roman"/>
                <w:sz w:val="14"/>
                <w:szCs w:val="14"/>
                <w:color w:val="auto"/>
                <w:w w:val="96"/>
              </w:rPr>
              <w:t>-45 bps</w:t>
            </w:r>
          </w:p>
        </w:tc>
        <w:tc>
          <w:tcPr>
            <w:tcW w:w="1580" w:type="dxa"/>
            <w:vAlign w:val="bottom"/>
            <w:tcBorders>
              <w:bottom w:val="single" w:sz="8" w:color="auto"/>
              <w:right w:val="single" w:sz="8" w:color="auto"/>
            </w:tcBorders>
          </w:tcPr>
          <w:p>
            <w:pPr>
              <w:jc w:val="center"/>
              <w:ind w:left="273"/>
              <w:spacing w:after="0" w:line="160" w:lineRule="exact"/>
              <w:rPr>
                <w:sz w:val="20"/>
                <w:szCs w:val="20"/>
                <w:color w:val="auto"/>
              </w:rPr>
            </w:pPr>
            <w:r>
              <w:rPr>
                <w:rFonts w:ascii="Times New Roman" w:cs="Times New Roman" w:eastAsia="Times New Roman" w:hAnsi="Times New Roman"/>
                <w:sz w:val="14"/>
                <w:szCs w:val="14"/>
                <w:color w:val="auto"/>
              </w:rPr>
              <w:t>280 bps</w:t>
            </w:r>
          </w:p>
        </w:tc>
        <w:tc>
          <w:tcPr>
            <w:tcW w:w="0" w:type="dxa"/>
            <w:vAlign w:val="bottom"/>
          </w:tcPr>
          <w:p>
            <w:pPr>
              <w:spacing w:after="0"/>
              <w:rPr>
                <w:sz w:val="1"/>
                <w:szCs w:val="1"/>
                <w:color w:val="auto"/>
              </w:rPr>
            </w:pPr>
          </w:p>
        </w:tc>
      </w:tr>
      <w:tr>
        <w:trPr>
          <w:trHeight w:val="132"/>
        </w:trPr>
        <w:tc>
          <w:tcPr>
            <w:tcW w:w="1080" w:type="dxa"/>
            <w:vAlign w:val="bottom"/>
            <w:tcBorders>
              <w:left w:val="single" w:sz="8" w:color="auto"/>
              <w:bottom w:val="single" w:sz="8" w:color="auto"/>
            </w:tcBorders>
          </w:tcPr>
          <w:p>
            <w:pPr>
              <w:ind w:left="40"/>
              <w:spacing w:after="0" w:line="133" w:lineRule="exact"/>
              <w:rPr>
                <w:sz w:val="20"/>
                <w:szCs w:val="20"/>
                <w:color w:val="auto"/>
              </w:rPr>
            </w:pPr>
            <w:r>
              <w:rPr>
                <w:rFonts w:ascii="Times New Roman" w:cs="Times New Roman" w:eastAsia="Times New Roman" w:hAnsi="Times New Roman"/>
                <w:sz w:val="14"/>
                <w:szCs w:val="14"/>
                <w:b w:val="1"/>
                <w:bCs w:val="1"/>
                <w:color w:val="auto"/>
              </w:rPr>
              <w:t>Credicorp</w:t>
            </w:r>
          </w:p>
        </w:tc>
        <w:tc>
          <w:tcPr>
            <w:tcW w:w="1740" w:type="dxa"/>
            <w:vAlign w:val="bottom"/>
            <w:tcBorders>
              <w:bottom w:val="single" w:sz="8" w:color="auto"/>
              <w:right w:val="single" w:sz="8" w:color="auto"/>
            </w:tcBorders>
          </w:tcPr>
          <w:p>
            <w:pPr>
              <w:spacing w:after="0"/>
              <w:rPr>
                <w:sz w:val="11"/>
                <w:szCs w:val="11"/>
                <w:color w:val="auto"/>
              </w:rPr>
            </w:pPr>
          </w:p>
        </w:tc>
        <w:tc>
          <w:tcPr>
            <w:tcW w:w="1180" w:type="dxa"/>
            <w:vAlign w:val="bottom"/>
            <w:tcBorders>
              <w:bottom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3"/>
              </w:rPr>
              <w:t>45.7%</w:t>
            </w:r>
          </w:p>
        </w:tc>
        <w:tc>
          <w:tcPr>
            <w:tcW w:w="1280" w:type="dxa"/>
            <w:vAlign w:val="bottom"/>
            <w:tcBorders>
              <w:bottom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3"/>
              </w:rPr>
              <w:t>49.0%</w:t>
            </w:r>
          </w:p>
        </w:tc>
        <w:tc>
          <w:tcPr>
            <w:tcW w:w="122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8"/>
              </w:rPr>
              <w:t>45.8%</w:t>
            </w:r>
          </w:p>
        </w:tc>
        <w:tc>
          <w:tcPr>
            <w:tcW w:w="900" w:type="dxa"/>
            <w:vAlign w:val="bottom"/>
            <w:tcBorders>
              <w:bottom w:val="single" w:sz="8" w:color="auto"/>
            </w:tcBorders>
          </w:tcPr>
          <w:p>
            <w:pPr>
              <w:jc w:val="center"/>
              <w:ind w:left="293"/>
              <w:spacing w:after="0" w:line="133" w:lineRule="exact"/>
              <w:rPr>
                <w:sz w:val="20"/>
                <w:szCs w:val="20"/>
                <w:color w:val="auto"/>
              </w:rPr>
            </w:pPr>
            <w:r>
              <w:rPr>
                <w:rFonts w:ascii="Times New Roman" w:cs="Times New Roman" w:eastAsia="Times New Roman" w:hAnsi="Times New Roman"/>
                <w:sz w:val="14"/>
                <w:szCs w:val="14"/>
                <w:b w:val="1"/>
                <w:bCs w:val="1"/>
                <w:color w:val="auto"/>
                <w:w w:val="99"/>
              </w:rPr>
              <w:t>-320 bps</w:t>
            </w:r>
          </w:p>
        </w:tc>
        <w:tc>
          <w:tcPr>
            <w:tcW w:w="1580" w:type="dxa"/>
            <w:vAlign w:val="bottom"/>
            <w:tcBorders>
              <w:bottom w:val="single" w:sz="8" w:color="auto"/>
              <w:right w:val="single" w:sz="8" w:color="auto"/>
            </w:tcBorders>
          </w:tcPr>
          <w:p>
            <w:pPr>
              <w:jc w:val="center"/>
              <w:ind w:left="273"/>
              <w:spacing w:after="0" w:line="133" w:lineRule="exact"/>
              <w:rPr>
                <w:sz w:val="20"/>
                <w:szCs w:val="20"/>
                <w:color w:val="auto"/>
              </w:rPr>
            </w:pPr>
            <w:r>
              <w:rPr>
                <w:rFonts w:ascii="Times New Roman" w:cs="Times New Roman" w:eastAsia="Times New Roman" w:hAnsi="Times New Roman"/>
                <w:sz w:val="14"/>
                <w:szCs w:val="14"/>
                <w:b w:val="1"/>
                <w:bCs w:val="1"/>
                <w:color w:val="auto"/>
              </w:rPr>
              <w:t>9 bps</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80" w:firstLine="2"/>
        <w:spacing w:after="0" w:line="236" w:lineRule="auto"/>
        <w:tabs>
          <w:tab w:leader="none" w:pos="168"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Operating expenses / Operating income (under IFRS 17). Operating expenses = Salaries and employee benefits + Administrative expenses + Depreciation and amortization + Association in participation + Acquisition cost. Operating income = Net interest, similar income, and expenses + Fee income + Net gain on foreign exchange transactions + Net gain from associates + Net gain on derivatives held for trading + Net gain from exchange differences + Insurance Underwriting Results + Results for Medical Services.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analysis focuses on YoY movements to eliminate the impact of seasonality between quarters.</w:t>
      </w:r>
    </w:p>
    <w:p>
      <w:pPr>
        <w:spacing w:after="0" w:line="21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6"/>
          <w:szCs w:val="16"/>
          <w:color w:val="auto"/>
        </w:rPr>
        <w:t>The efficiency ratio evolved in line with expectations and remains within the guidance range, registering an increase of 9 bps that was primarily attributable to growth in operating expenses for (i) core business at BCP, in line with an increase in Employee Salaries and Benefits and Administrative Expenses, and (ii) initiatives in the innovation portfolio at the Credicorp level. It is important to note that expansion in Operating Expenses was accompanied by growth in 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760095</wp:posOffset>
            </wp:positionV>
            <wp:extent cx="7140575" cy="1587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0575" cy="15875"/>
                    </a:xfrm>
                    <a:prstGeom prst="rect">
                      <a:avLst/>
                    </a:prstGeom>
                    <a:noFill/>
                  </pic:spPr>
                </pic:pic>
              </a:graphicData>
            </a:graphic>
          </wp:anchor>
        </w:drawing>
        <w:drawing>
          <wp:anchor simplePos="0" relativeHeight="251657728" behindDoc="1" locked="0" layoutInCell="0" allowOverlap="1">
            <wp:simplePos x="0" y="0"/>
            <wp:positionH relativeFrom="column">
              <wp:posOffset>347345</wp:posOffset>
            </wp:positionH>
            <wp:positionV relativeFrom="paragraph">
              <wp:posOffset>107315</wp:posOffset>
            </wp:positionV>
            <wp:extent cx="6447155" cy="5480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447155" cy="54800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40" w:name="page41"/>
    <w:bookmarkEnd w:id="40"/>
    <w:p>
      <w:pPr>
        <w:ind w:left="3200"/>
        <w:spacing w:after="0"/>
        <w:tabs>
          <w:tab w:leader="none" w:pos="3380" w:val="left"/>
          <w:tab w:leader="none" w:pos="9060" w:val="left"/>
        </w:tabs>
        <w:rPr>
          <w:sz w:val="20"/>
          <w:szCs w:val="20"/>
          <w:color w:val="auto"/>
        </w:rPr>
      </w:pPr>
      <w:r>
        <w:rPr>
          <w:rFonts w:ascii="Times New Roman" w:cs="Times New Roman" w:eastAsia="Times New Roman" w:hAnsi="Times New Roman"/>
          <w:sz w:val="17"/>
          <w:szCs w:val="17"/>
          <w:color w:val="A6A6A6"/>
        </w:rPr>
        <w:drawing>
          <wp:anchor simplePos="0" relativeHeight="251657728" behindDoc="1" locked="0" layoutInCell="0" allowOverlap="1">
            <wp:simplePos x="0" y="0"/>
            <wp:positionH relativeFrom="page">
              <wp:posOffset>204470</wp:posOffset>
            </wp:positionH>
            <wp:positionV relativeFrom="page">
              <wp:posOffset>88900</wp:posOffset>
            </wp:positionV>
            <wp:extent cx="7140575" cy="6927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0575" cy="692785"/>
                    </a:xfrm>
                    <a:prstGeom prst="rect">
                      <a:avLst/>
                    </a:prstGeom>
                    <a:noFill/>
                  </pic:spPr>
                </pic:pic>
              </a:graphicData>
            </a:graphic>
          </wp:anchor>
        </w:drawing>
        <w:t>|</w:t>
      </w:r>
      <w:r>
        <w:rPr>
          <w:sz w:val="20"/>
          <w:szCs w:val="20"/>
          <w:color w:val="auto"/>
        </w:rPr>
        <w:tab/>
      </w:r>
      <w:r>
        <w:rPr>
          <w:rFonts w:ascii="Times New Roman" w:cs="Times New Roman" w:eastAsia="Times New Roman" w:hAnsi="Times New Roman"/>
          <w:sz w:val="14"/>
          <w:szCs w:val="14"/>
          <w:color w:val="FFFFFF"/>
        </w:rPr>
        <w:t>Earnings Release 1Q / 2026</w:t>
      </w:r>
      <w:r>
        <w:rPr>
          <w:sz w:val="20"/>
          <w:szCs w:val="20"/>
          <w:color w:val="auto"/>
        </w:rPr>
        <w:tab/>
      </w:r>
      <w:r>
        <w:rPr>
          <w:rFonts w:ascii="Times New Roman" w:cs="Times New Roman" w:eastAsia="Times New Roman" w:hAnsi="Times New Roman"/>
          <w:sz w:val="12"/>
          <w:szCs w:val="12"/>
          <w:color w:val="FF00FF"/>
        </w:rPr>
        <w:t>Analysis of 1Q26 Consolidated Results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49"/>
          <w:szCs w:val="49"/>
          <w:b w:val="1"/>
          <w:bCs w:val="1"/>
          <w:color w:val="E93BAC"/>
        </w:rPr>
        <w:t>10</w:t>
      </w:r>
      <w:r>
        <w:rPr>
          <w:sz w:val="20"/>
          <w:szCs w:val="20"/>
          <w:color w:val="auto"/>
        </w:rPr>
        <w:tab/>
      </w:r>
      <w:r>
        <w:rPr>
          <w:rFonts w:ascii="Times New Roman" w:cs="Times New Roman" w:eastAsia="Times New Roman" w:hAnsi="Times New Roman"/>
          <w:sz w:val="30"/>
          <w:szCs w:val="30"/>
          <w:color w:val="E93BAC"/>
        </w:rPr>
        <w:t>Regulatory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114935</wp:posOffset>
            </wp:positionV>
            <wp:extent cx="7140575" cy="106362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0575" cy="1063625"/>
                    </a:xfrm>
                    <a:prstGeom prst="rect">
                      <a:avLst/>
                    </a:prstGeom>
                    <a:noFill/>
                  </pic:spPr>
                </pic:pic>
              </a:graphicData>
            </a:graphic>
          </wp:anchor>
        </w:drawing>
      </w:r>
    </w:p>
    <w:p>
      <w:pPr>
        <w:spacing w:after="0" w:line="1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FFFFFF"/>
        </w:rPr>
        <w:t>At the end of 1Q26, the regulatory ratio stood at 135%, which was above the minimum required.</w:t>
      </w:r>
    </w:p>
    <w:p>
      <w:pPr>
        <w:spacing w:after="0" w:line="211" w:lineRule="exact"/>
        <w:rPr>
          <w:sz w:val="20"/>
          <w:szCs w:val="20"/>
          <w:color w:val="auto"/>
        </w:rPr>
      </w:pPr>
    </w:p>
    <w:p>
      <w:pPr>
        <w:ind w:left="120" w:right="100"/>
        <w:spacing w:after="0" w:line="277" w:lineRule="auto"/>
        <w:rPr>
          <w:sz w:val="20"/>
          <w:szCs w:val="20"/>
          <w:color w:val="auto"/>
        </w:rPr>
      </w:pPr>
      <w:r>
        <w:rPr>
          <w:rFonts w:ascii="Times New Roman" w:cs="Times New Roman" w:eastAsia="Times New Roman" w:hAnsi="Times New Roman"/>
          <w:sz w:val="17"/>
          <w:szCs w:val="17"/>
          <w:color w:val="FFFFFF"/>
        </w:rPr>
        <w:t>The IFRS CET1 ratio at BCP Stand-alone dropped 33bps YoY to stand at 11.29%, which was above our internal appetite of 11%. This decline was attributable to an uptick in credit RWAs, which rose alongside loan growth, and was offset by an increase in Retained Earnings, which ticked upward with business growth.</w:t>
      </w:r>
    </w:p>
    <w:p>
      <w:pPr>
        <w:spacing w:after="0" w:line="158" w:lineRule="exact"/>
        <w:rPr>
          <w:sz w:val="20"/>
          <w:szCs w:val="20"/>
          <w:color w:val="auto"/>
        </w:rPr>
      </w:pPr>
    </w:p>
    <w:p>
      <w:pPr>
        <w:ind w:left="120" w:right="100"/>
        <w:spacing w:after="0" w:line="277" w:lineRule="auto"/>
        <w:rPr>
          <w:sz w:val="20"/>
          <w:szCs w:val="20"/>
          <w:color w:val="auto"/>
        </w:rPr>
      </w:pPr>
      <w:r>
        <w:rPr>
          <w:rFonts w:ascii="Times New Roman" w:cs="Times New Roman" w:eastAsia="Times New Roman" w:hAnsi="Times New Roman"/>
          <w:sz w:val="17"/>
          <w:szCs w:val="17"/>
          <w:color w:val="FFFFFF"/>
        </w:rPr>
        <w:t>The IFRS CET1 ratio at Mibanco dropped 23 bps YoY to stand at 15.70%, which was above our internal appetite of 15%. The ratio fell on the back of an uptick and RWAs (buoyed by loan growth), which was partially offset by an increase in Retained Earnings in a context of business growth.</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10.1 Regulatory Capital at Credicorp</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Capital Analysis of Financial Group</w:t>
      </w:r>
    </w:p>
    <w:p>
      <w:pPr>
        <w:sectPr>
          <w:pgSz w:w="11900" w:h="16838" w:orient="portrait"/>
          <w:cols w:equalWidth="0" w:num="1">
            <w:col w:w="11240"/>
          </w:cols>
          <w:pgMar w:left="320" w:top="567" w:right="339" w:bottom="1440" w:gutter="0" w:footer="0" w:header="0"/>
        </w:sectPr>
      </w:pPr>
    </w:p>
    <w:p>
      <w:pPr>
        <w:spacing w:after="0" w:line="215" w:lineRule="exact"/>
        <w:rPr>
          <w:sz w:val="20"/>
          <w:szCs w:val="20"/>
          <w:color w:val="auto"/>
        </w:rPr>
      </w:pPr>
    </w:p>
    <w:p>
      <w:pPr>
        <w:jc w:val="both"/>
        <w:ind w:right="1540"/>
        <w:spacing w:after="0" w:line="252" w:lineRule="auto"/>
        <w:rPr>
          <w:sz w:val="20"/>
          <w:szCs w:val="20"/>
          <w:color w:val="auto"/>
        </w:rPr>
      </w:pPr>
      <w:r>
        <w:rPr>
          <w:rFonts w:ascii="Times New Roman" w:cs="Times New Roman" w:eastAsia="Times New Roman" w:hAnsi="Times New Roman"/>
          <w:sz w:val="17"/>
          <w:szCs w:val="17"/>
          <w:color w:val="auto"/>
        </w:rPr>
        <w:t xml:space="preserve">At the end of 1Q26, Credicorp’s Regulatory Capital Ratio stood 134% above the regulatory minimum. This attests to the Group’s financial solidity and stability. The ratio decreased by 29 bps </w:t>
      </w:r>
      <w:r>
        <w:rPr>
          <w:rFonts w:ascii="Times New Roman" w:cs="Times New Roman" w:eastAsia="Times New Roman" w:hAnsi="Times New Roman"/>
          <w:sz w:val="17"/>
          <w:szCs w:val="17"/>
          <w:b w:val="1"/>
          <w:bCs w:val="1"/>
          <w:color w:val="auto"/>
        </w:rPr>
        <w:t>QoQ</w:t>
      </w:r>
      <w:r>
        <w:rPr>
          <w:rFonts w:ascii="Times New Roman" w:cs="Times New Roman" w:eastAsia="Times New Roman" w:hAnsi="Times New Roman"/>
          <w:sz w:val="17"/>
          <w:szCs w:val="17"/>
          <w:color w:val="auto"/>
        </w:rPr>
        <w:t xml:space="preserve"> mainly by growth in capital requirements which rose alongside portfolio growth in </w:t>
      </w:r>
      <w:r>
        <w:rPr>
          <w:rFonts w:ascii="Times New Roman" w:cs="Times New Roman" w:eastAsia="Times New Roman" w:hAnsi="Times New Roman"/>
          <w:sz w:val="17"/>
          <w:szCs w:val="17"/>
          <w:b w:val="1"/>
          <w:bCs w:val="1"/>
          <w:color w:val="auto"/>
        </w:rPr>
        <w:t>BCP Stand-alone</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b w:val="1"/>
          <w:bCs w:val="1"/>
          <w:color w:val="auto"/>
        </w:rPr>
        <w:t xml:space="preserve">Mibanco. </w:t>
      </w:r>
      <w:r>
        <w:rPr>
          <w:rFonts w:ascii="Times New Roman" w:cs="Times New Roman" w:eastAsia="Times New Roman" w:hAnsi="Times New Roman"/>
          <w:sz w:val="17"/>
          <w:szCs w:val="17"/>
          <w:color w:val="auto"/>
        </w:rPr>
        <w:t>This decrease was partially offset by an increase in Legal and Other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Capital Reserves driven by profit capitalization for 2025. It is important to note that this allocation is independent of the dividends assessed by the Board in April. </w:t>
      </w:r>
      <w:r>
        <w:rPr>
          <w:rFonts w:ascii="Times New Roman" w:cs="Times New Roman" w:eastAsia="Times New Roman" w:hAnsi="Times New Roman"/>
          <w:sz w:val="17"/>
          <w:szCs w:val="17"/>
          <w:b w:val="1"/>
          <w:bCs w:val="1"/>
          <w:color w:val="auto"/>
        </w:rPr>
        <w:t>YoY,</w:t>
      </w:r>
      <w:r>
        <w:rPr>
          <w:rFonts w:ascii="Times New Roman" w:cs="Times New Roman" w:eastAsia="Times New Roman" w:hAnsi="Times New Roman"/>
          <w:sz w:val="17"/>
          <w:szCs w:val="17"/>
          <w:color w:val="auto"/>
        </w:rPr>
        <w:t xml:space="preserve"> the ratio fell 300 bps, impacted by an increase in capital requirements due to the same dynamics seen QoQ and higher levels of Subordinated Debt.</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Capital Coverage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-857250</wp:posOffset>
            </wp:positionH>
            <wp:positionV relativeFrom="paragraph">
              <wp:posOffset>146685</wp:posOffset>
            </wp:positionV>
            <wp:extent cx="2820670" cy="12007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820670" cy="1200785"/>
                    </a:xfrm>
                    <a:prstGeom prst="rect">
                      <a:avLst/>
                    </a:prstGeom>
                    <a:noFill/>
                  </pic:spPr>
                </pic:pic>
              </a:graphicData>
            </a:graphic>
          </wp:anchor>
        </w:drawing>
      </w:r>
    </w:p>
    <w:p>
      <w:pPr>
        <w:spacing w:after="0" w:line="2061" w:lineRule="exact"/>
        <w:rPr>
          <w:sz w:val="20"/>
          <w:szCs w:val="20"/>
          <w:color w:val="auto"/>
        </w:rPr>
      </w:pPr>
    </w:p>
    <w:p>
      <w:pPr>
        <w:sectPr>
          <w:pgSz w:w="11900" w:h="16838" w:orient="portrait"/>
          <w:cols w:equalWidth="0" w:num="2">
            <w:col w:w="6940" w:space="720"/>
            <w:col w:w="3580"/>
          </w:cols>
          <w:pgMar w:left="320" w:top="567" w:right="339" w:bottom="1440" w:gutter="0" w:footer="0" w:header="0"/>
          <w:type w:val="continuous"/>
        </w:sectPr>
      </w:pPr>
    </w:p>
    <w:p>
      <w:pPr>
        <w:spacing w:after="0" w:line="29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Regulatory Tier 1 Ratio stood at 161% (-529 bps QoQ, -930 bps YoY), while the Regulatory CET1 ratio was situated at 193% (-632 bps QoQ, -1375 bps YoY), both above the regulatory minimum. Growth in both ratios was driven by the same dynamics that fueled the Regulatory Capital Ratio, with the exception of Subordinated Debt, which had no impact on either the Regulatory Tier 1 or CET1 ratios.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10.2 Analysis of Capital at BCP Stand-alone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798830</wp:posOffset>
            </wp:positionH>
            <wp:positionV relativeFrom="paragraph">
              <wp:posOffset>146685</wp:posOffset>
            </wp:positionV>
            <wp:extent cx="2095500" cy="139446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095500" cy="1394460"/>
                    </a:xfrm>
                    <a:prstGeom prst="rect">
                      <a:avLst/>
                    </a:prstGeom>
                    <a:noFill/>
                  </pic:spPr>
                </pic:pic>
              </a:graphicData>
            </a:graphic>
          </wp:anchor>
        </w:drawing>
      </w:r>
    </w:p>
    <w:p>
      <w:pPr>
        <w:spacing w:after="0" w:line="394" w:lineRule="exact"/>
        <w:rPr>
          <w:sz w:val="20"/>
          <w:szCs w:val="20"/>
          <w:color w:val="auto"/>
        </w:rPr>
      </w:pPr>
    </w:p>
    <w:p>
      <w:pPr>
        <w:jc w:val="both"/>
        <w:ind w:left="5840"/>
        <w:spacing w:after="0" w:line="254" w:lineRule="auto"/>
        <w:rPr>
          <w:sz w:val="20"/>
          <w:szCs w:val="20"/>
          <w:color w:val="auto"/>
        </w:rPr>
      </w:pPr>
      <w:r>
        <w:rPr>
          <w:rFonts w:ascii="Times New Roman" w:cs="Times New Roman" w:eastAsia="Times New Roman" w:hAnsi="Times New Roman"/>
          <w:sz w:val="17"/>
          <w:szCs w:val="17"/>
          <w:color w:val="auto"/>
        </w:rPr>
        <w:t xml:space="preserve">The IFRS CET 1 ratio at </w:t>
      </w:r>
      <w:r>
        <w:rPr>
          <w:rFonts w:ascii="Times New Roman" w:cs="Times New Roman" w:eastAsia="Times New Roman" w:hAnsi="Times New Roman"/>
          <w:sz w:val="17"/>
          <w:szCs w:val="17"/>
          <w:b w:val="1"/>
          <w:bCs w:val="1"/>
          <w:color w:val="auto"/>
        </w:rPr>
        <w:t>BCP Stand-alone</w:t>
      </w:r>
      <w:r>
        <w:rPr>
          <w:rFonts w:ascii="Times New Roman" w:cs="Times New Roman" w:eastAsia="Times New Roman" w:hAnsi="Times New Roman"/>
          <w:sz w:val="17"/>
          <w:szCs w:val="17"/>
          <w:color w:val="auto"/>
        </w:rPr>
        <w:t xml:space="preserve"> dropped 270 bps </w:t>
      </w:r>
      <w:r>
        <w:rPr>
          <w:rFonts w:ascii="Times New Roman" w:cs="Times New Roman" w:eastAsia="Times New Roman" w:hAnsi="Times New Roman"/>
          <w:sz w:val="17"/>
          <w:szCs w:val="17"/>
          <w:b w:val="1"/>
          <w:bCs w:val="1"/>
          <w:color w:val="auto"/>
        </w:rPr>
        <w:t>QoQ</w:t>
      </w:r>
      <w:r>
        <w:rPr>
          <w:rFonts w:ascii="Times New Roman" w:cs="Times New Roman" w:eastAsia="Times New Roman" w:hAnsi="Times New Roman"/>
          <w:sz w:val="17"/>
          <w:szCs w:val="17"/>
          <w:color w:val="auto"/>
        </w:rPr>
        <w:t xml:space="preserve"> to stand at 11.29% at the end of 1Q26, which is above our internal appetite of 11%. The drop was spurred primarily by an increase in credit RWAs, which rose through growth in the wholesale portfolio, and secondarily by a drop in Retained Earnings, which fell after dividends were declared. </w:t>
      </w:r>
      <w:r>
        <w:rPr>
          <w:rFonts w:ascii="Times New Roman" w:cs="Times New Roman" w:eastAsia="Times New Roman" w:hAnsi="Times New Roman"/>
          <w:sz w:val="17"/>
          <w:szCs w:val="17"/>
          <w:b w:val="1"/>
          <w:bCs w:val="1"/>
          <w:color w:val="auto"/>
        </w:rPr>
        <w:t>YoY</w:t>
      </w:r>
      <w:r>
        <w:rPr>
          <w:rFonts w:ascii="Times New Roman" w:cs="Times New Roman" w:eastAsia="Times New Roman" w:hAnsi="Times New Roman"/>
          <w:sz w:val="17"/>
          <w:szCs w:val="17"/>
          <w:color w:val="auto"/>
        </w:rPr>
        <w:t>, the ratio fell 33 pbs due to an uptick in credit RWAs, which ticked up through the same dynamics seen QoQ. This reduction was partially offset by an increase in Retained Earnings, which rose on the back of business growth.</w:t>
      </w:r>
    </w:p>
    <w:p>
      <w:pPr>
        <w:spacing w:after="0" w:line="1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Finally, under the parameters of current regulations, the local CET1 Ratio stood</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at 10.96%, which compares favorably with the minimum of 8.38% required at</w:t>
      </w:r>
    </w:p>
    <w:p>
      <w:pPr>
        <w:spacing w:after="0" w:line="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 xml:space="preserve">the end of March 2026. The Regulatory Global Capital Ratio stood at 16.70% (-274 bps </w:t>
      </w:r>
      <w:r>
        <w:rPr>
          <w:rFonts w:ascii="Times New Roman" w:cs="Times New Roman" w:eastAsia="Times New Roman" w:hAnsi="Times New Roman"/>
          <w:sz w:val="17"/>
          <w:szCs w:val="17"/>
          <w:b w:val="1"/>
          <w:bCs w:val="1"/>
          <w:color w:val="auto"/>
        </w:rPr>
        <w:t>QoQ</w:t>
      </w:r>
      <w:r>
        <w:rPr>
          <w:rFonts w:ascii="Times New Roman" w:cs="Times New Roman" w:eastAsia="Times New Roman" w:hAnsi="Times New Roman"/>
          <w:sz w:val="17"/>
          <w:szCs w:val="17"/>
          <w:color w:val="auto"/>
        </w:rPr>
        <w:t>). This ratio is above the minimum of 15.00% required by the regulator at the end of March 2026. The QoQ and YoY variations in both these ratios were driven by the same dynamics that drove the trajectory of IFRS CET1 over the same period; YoY, Global Capital Ratio is also explained by an increase in Subordinated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800735</wp:posOffset>
            </wp:positionV>
            <wp:extent cx="7140575" cy="1587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0575" cy="15875"/>
                    </a:xfrm>
                    <a:prstGeom prst="rect">
                      <a:avLst/>
                    </a:prstGeom>
                    <a:noFill/>
                  </pic:spPr>
                </pic:pic>
              </a:graphicData>
            </a:graphic>
          </wp:anchor>
        </w:drawing>
        <w:drawing>
          <wp:anchor simplePos="0" relativeHeight="251657728" behindDoc="1" locked="0" layoutInCell="0" allowOverlap="1">
            <wp:simplePos x="0" y="0"/>
            <wp:positionH relativeFrom="column">
              <wp:posOffset>347345</wp:posOffset>
            </wp:positionH>
            <wp:positionV relativeFrom="paragraph">
              <wp:posOffset>123825</wp:posOffset>
            </wp:positionV>
            <wp:extent cx="6447155" cy="5721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447155" cy="57213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type w:val="continuous"/>
        </w:sectPr>
      </w:pPr>
    </w:p>
    <w:bookmarkStart w:id="41" w:name="page42"/>
    <w:bookmarkEnd w:id="41"/>
    <w:p>
      <w:pPr>
        <w:ind w:left="3200"/>
        <w:spacing w:after="0"/>
        <w:tabs>
          <w:tab w:leader="none" w:pos="3380" w:val="left"/>
          <w:tab w:leader="none" w:pos="9060" w:val="left"/>
        </w:tabs>
        <w:rPr>
          <w:sz w:val="20"/>
          <w:szCs w:val="20"/>
          <w:color w:val="auto"/>
        </w:rPr>
      </w:pPr>
      <w:r>
        <w:rPr>
          <w:rFonts w:ascii="Times New Roman" w:cs="Times New Roman" w:eastAsia="Times New Roman" w:hAnsi="Times New Roman"/>
          <w:sz w:val="17"/>
          <w:szCs w:val="17"/>
          <w:color w:val="A6A6A6"/>
        </w:rPr>
        <w:drawing>
          <wp:anchor simplePos="0" relativeHeight="251657728" behindDoc="1" locked="0" layoutInCell="0" allowOverlap="1">
            <wp:simplePos x="0" y="0"/>
            <wp:positionH relativeFrom="page">
              <wp:posOffset>204470</wp:posOffset>
            </wp:positionH>
            <wp:positionV relativeFrom="page">
              <wp:posOffset>88900</wp:posOffset>
            </wp:positionV>
            <wp:extent cx="7140575" cy="6927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0575" cy="692785"/>
                    </a:xfrm>
                    <a:prstGeom prst="rect">
                      <a:avLst/>
                    </a:prstGeom>
                    <a:noFill/>
                  </pic:spPr>
                </pic:pic>
              </a:graphicData>
            </a:graphic>
          </wp:anchor>
        </w:drawing>
        <w:t>|</w:t>
      </w:r>
      <w:r>
        <w:rPr>
          <w:sz w:val="20"/>
          <w:szCs w:val="20"/>
          <w:color w:val="auto"/>
        </w:rPr>
        <w:tab/>
      </w:r>
      <w:r>
        <w:rPr>
          <w:rFonts w:ascii="Times New Roman" w:cs="Times New Roman" w:eastAsia="Times New Roman" w:hAnsi="Times New Roman"/>
          <w:sz w:val="14"/>
          <w:szCs w:val="14"/>
          <w:color w:val="FFFFFF"/>
        </w:rPr>
        <w:t>Earnings Release 1Q / 2026</w:t>
      </w:r>
      <w:r>
        <w:rPr>
          <w:sz w:val="20"/>
          <w:szCs w:val="20"/>
          <w:color w:val="auto"/>
        </w:rPr>
        <w:tab/>
      </w:r>
      <w:r>
        <w:rPr>
          <w:rFonts w:ascii="Times New Roman" w:cs="Times New Roman" w:eastAsia="Times New Roman" w:hAnsi="Times New Roman"/>
          <w:sz w:val="12"/>
          <w:szCs w:val="12"/>
          <w:color w:val="FF00FF"/>
        </w:rPr>
        <w:t>Analysis of 1Q26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297180</wp:posOffset>
            </wp:positionV>
            <wp:extent cx="7140575" cy="2095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0575" cy="20955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FFFFFF"/>
        </w:rPr>
        <w:t>10. Capital Regulatorio</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10.3 Analysis of Capital at Mibanco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798830</wp:posOffset>
            </wp:positionH>
            <wp:positionV relativeFrom="paragraph">
              <wp:posOffset>146685</wp:posOffset>
            </wp:positionV>
            <wp:extent cx="2095500" cy="13462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095500" cy="1346200"/>
                    </a:xfrm>
                    <a:prstGeom prst="rect">
                      <a:avLst/>
                    </a:prstGeom>
                    <a:noFill/>
                  </pic:spPr>
                </pic:pic>
              </a:graphicData>
            </a:graphic>
          </wp:anchor>
        </w:drawing>
      </w:r>
    </w:p>
    <w:p>
      <w:pPr>
        <w:spacing w:after="0" w:line="394" w:lineRule="exact"/>
        <w:rPr>
          <w:sz w:val="20"/>
          <w:szCs w:val="20"/>
          <w:color w:val="auto"/>
        </w:rPr>
      </w:pPr>
    </w:p>
    <w:p>
      <w:pPr>
        <w:jc w:val="both"/>
        <w:ind w:left="5840"/>
        <w:spacing w:after="0" w:line="254" w:lineRule="auto"/>
        <w:rPr>
          <w:sz w:val="20"/>
          <w:szCs w:val="20"/>
          <w:color w:val="auto"/>
        </w:rPr>
      </w:pPr>
      <w:r>
        <w:rPr>
          <w:rFonts w:ascii="Times New Roman" w:cs="Times New Roman" w:eastAsia="Times New Roman" w:hAnsi="Times New Roman"/>
          <w:sz w:val="17"/>
          <w:szCs w:val="17"/>
          <w:color w:val="auto"/>
        </w:rPr>
        <w:t xml:space="preserve">At the end of 1Q26, the IFRS CET1 ratio at </w:t>
      </w:r>
      <w:r>
        <w:rPr>
          <w:rFonts w:ascii="Times New Roman" w:cs="Times New Roman" w:eastAsia="Times New Roman" w:hAnsi="Times New Roman"/>
          <w:sz w:val="17"/>
          <w:szCs w:val="17"/>
          <w:b w:val="1"/>
          <w:bCs w:val="1"/>
          <w:color w:val="auto"/>
        </w:rPr>
        <w:t>Mibanco</w:t>
      </w:r>
      <w:r>
        <w:rPr>
          <w:rFonts w:ascii="Times New Roman" w:cs="Times New Roman" w:eastAsia="Times New Roman" w:hAnsi="Times New Roman"/>
          <w:sz w:val="17"/>
          <w:szCs w:val="17"/>
          <w:color w:val="auto"/>
        </w:rPr>
        <w:t xml:space="preserve"> stood at 15.70% (-161bps QoQ), which is above our internal appetite of 15%. </w:t>
      </w:r>
      <w:r>
        <w:rPr>
          <w:rFonts w:ascii="Times New Roman" w:cs="Times New Roman" w:eastAsia="Times New Roman" w:hAnsi="Times New Roman"/>
          <w:sz w:val="17"/>
          <w:szCs w:val="17"/>
          <w:b w:val="1"/>
          <w:bCs w:val="1"/>
          <w:color w:val="auto"/>
        </w:rPr>
        <w:t>QoQ</w:t>
      </w:r>
      <w:r>
        <w:rPr>
          <w:rFonts w:ascii="Times New Roman" w:cs="Times New Roman" w:eastAsia="Times New Roman" w:hAnsi="Times New Roman"/>
          <w:sz w:val="17"/>
          <w:szCs w:val="17"/>
          <w:color w:val="auto"/>
        </w:rPr>
        <w:t xml:space="preserve">, this decline was driven mainly by an increase in the credit RWA level, which rose alongside loan growth, and secondarily by a drop in Retained Earnings, which were impacted by a dividend declaration. </w:t>
      </w:r>
      <w:r>
        <w:rPr>
          <w:rFonts w:ascii="Times New Roman" w:cs="Times New Roman" w:eastAsia="Times New Roman" w:hAnsi="Times New Roman"/>
          <w:sz w:val="17"/>
          <w:szCs w:val="17"/>
          <w:b w:val="1"/>
          <w:bCs w:val="1"/>
          <w:color w:val="auto"/>
        </w:rPr>
        <w:t>YoY</w:t>
      </w:r>
      <w:r>
        <w:rPr>
          <w:rFonts w:ascii="Times New Roman" w:cs="Times New Roman" w:eastAsia="Times New Roman" w:hAnsi="Times New Roman"/>
          <w:sz w:val="17"/>
          <w:szCs w:val="17"/>
          <w:color w:val="auto"/>
        </w:rPr>
        <w:t xml:space="preserve">, the ratio fell 19bps, pressured downward by an increase in RWAs, which rose on the back of the same dynamics seen </w:t>
      </w:r>
      <w:r>
        <w:rPr>
          <w:rFonts w:ascii="Times New Roman" w:cs="Times New Roman" w:eastAsia="Times New Roman" w:hAnsi="Times New Roman"/>
          <w:sz w:val="17"/>
          <w:szCs w:val="17"/>
          <w:b w:val="1"/>
          <w:bCs w:val="1"/>
          <w:color w:val="auto"/>
        </w:rPr>
        <w:t>QoQ</w:t>
      </w:r>
      <w:r>
        <w:rPr>
          <w:rFonts w:ascii="Times New Roman" w:cs="Times New Roman" w:eastAsia="Times New Roman" w:hAnsi="Times New Roman"/>
          <w:sz w:val="17"/>
          <w:szCs w:val="17"/>
          <w:color w:val="auto"/>
        </w:rPr>
        <w:t>. This decline was partially offset by an increase in Retained Earnings, which ticked up alongside business growth.</w:t>
      </w:r>
    </w:p>
    <w:p>
      <w:pPr>
        <w:spacing w:after="0" w:line="17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Under the parameters of current regulation, the local CET 1 ratio stood at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15.87%, which compares favorably with the minimum requirement of 8.38% at the end of March 2026. This ratio’s QoQ and YoY variations were driven by the same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dynamics in play for IFRS CET over the same periods. The Regulatory Global Capital Ratio stood at 20.32% (-94bps </w:t>
      </w:r>
      <w:r>
        <w:rPr>
          <w:rFonts w:ascii="Times New Roman" w:cs="Times New Roman" w:eastAsia="Times New Roman" w:hAnsi="Times New Roman"/>
          <w:sz w:val="17"/>
          <w:szCs w:val="17"/>
          <w:b w:val="1"/>
          <w:bCs w:val="1"/>
          <w:color w:val="auto"/>
        </w:rPr>
        <w:t>QoQ</w:t>
      </w:r>
      <w:r>
        <w:rPr>
          <w:rFonts w:ascii="Times New Roman" w:cs="Times New Roman" w:eastAsia="Times New Roman" w:hAnsi="Times New Roman"/>
          <w:sz w:val="17"/>
          <w:szCs w:val="17"/>
          <w:color w:val="auto"/>
        </w:rPr>
        <w:t>), standing comfortably above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regulator’s minimum of 15.25%. The QoQ variation was driven by the same drivers in play for the IFRS CET 1 evolution over the same period. </w:t>
      </w:r>
      <w:r>
        <w:rPr>
          <w:rFonts w:ascii="Times New Roman" w:cs="Times New Roman" w:eastAsia="Times New Roman" w:hAnsi="Times New Roman"/>
          <w:sz w:val="17"/>
          <w:szCs w:val="17"/>
          <w:b w:val="1"/>
          <w:bCs w:val="1"/>
          <w:color w:val="auto"/>
        </w:rPr>
        <w:t>YoY,</w:t>
      </w:r>
      <w:r>
        <w:rPr>
          <w:rFonts w:ascii="Times New Roman" w:cs="Times New Roman" w:eastAsia="Times New Roman" w:hAnsi="Times New Roman"/>
          <w:sz w:val="17"/>
          <w:szCs w:val="17"/>
          <w:color w:val="auto"/>
        </w:rPr>
        <w:t xml:space="preserve"> the ratio rose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178bps, fueled mainly by a Subordinated Debt Issuance and by an uptick in Retained Earnings, which offset the rise in RWAs that accompanied portfolio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803275</wp:posOffset>
            </wp:positionV>
            <wp:extent cx="7140575" cy="1587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0575" cy="15875"/>
                    </a:xfrm>
                    <a:prstGeom prst="rect">
                      <a:avLst/>
                    </a:prstGeom>
                    <a:noFill/>
                  </pic:spPr>
                </pic:pic>
              </a:graphicData>
            </a:graphic>
          </wp:anchor>
        </w:drawing>
        <w:drawing>
          <wp:anchor simplePos="0" relativeHeight="251657728" behindDoc="1" locked="0" layoutInCell="0" allowOverlap="1">
            <wp:simplePos x="0" y="0"/>
            <wp:positionH relativeFrom="column">
              <wp:posOffset>347345</wp:posOffset>
            </wp:positionH>
            <wp:positionV relativeFrom="paragraph">
              <wp:posOffset>133985</wp:posOffset>
            </wp:positionV>
            <wp:extent cx="6447155" cy="56388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447155" cy="563880"/>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42" w:name="page43"/>
    <w:bookmarkEnd w:id="42"/>
    <w:p>
      <w:pPr>
        <w:ind w:left="3200"/>
        <w:spacing w:after="0"/>
        <w:tabs>
          <w:tab w:leader="none" w:pos="3380" w:val="left"/>
          <w:tab w:leader="none" w:pos="9060" w:val="left"/>
        </w:tabs>
        <w:rPr>
          <w:sz w:val="20"/>
          <w:szCs w:val="20"/>
          <w:color w:val="auto"/>
        </w:rPr>
      </w:pPr>
      <w:r>
        <w:rPr>
          <w:rFonts w:ascii="Times New Roman" w:cs="Times New Roman" w:eastAsia="Times New Roman" w:hAnsi="Times New Roman"/>
          <w:sz w:val="17"/>
          <w:szCs w:val="17"/>
          <w:color w:val="A6A6A6"/>
        </w:rPr>
        <w:drawing>
          <wp:anchor simplePos="0" relativeHeight="251657728" behindDoc="1" locked="0" layoutInCell="0" allowOverlap="1">
            <wp:simplePos x="0" y="0"/>
            <wp:positionH relativeFrom="page">
              <wp:posOffset>204470</wp:posOffset>
            </wp:positionH>
            <wp:positionV relativeFrom="page">
              <wp:posOffset>88900</wp:posOffset>
            </wp:positionV>
            <wp:extent cx="7140575" cy="69278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0575" cy="692785"/>
                    </a:xfrm>
                    <a:prstGeom prst="rect">
                      <a:avLst/>
                    </a:prstGeom>
                    <a:noFill/>
                  </pic:spPr>
                </pic:pic>
              </a:graphicData>
            </a:graphic>
          </wp:anchor>
        </w:drawing>
        <w:t>|</w:t>
      </w:r>
      <w:r>
        <w:rPr>
          <w:sz w:val="20"/>
          <w:szCs w:val="20"/>
          <w:color w:val="auto"/>
        </w:rPr>
        <w:tab/>
      </w:r>
      <w:r>
        <w:rPr>
          <w:rFonts w:ascii="Times New Roman" w:cs="Times New Roman" w:eastAsia="Times New Roman" w:hAnsi="Times New Roman"/>
          <w:sz w:val="14"/>
          <w:szCs w:val="14"/>
          <w:color w:val="FFFFFF"/>
        </w:rPr>
        <w:t>Earnings Release 1Q / 2026</w:t>
      </w:r>
      <w:r>
        <w:rPr>
          <w:sz w:val="20"/>
          <w:szCs w:val="20"/>
          <w:color w:val="auto"/>
        </w:rPr>
        <w:tab/>
      </w:r>
      <w:r>
        <w:rPr>
          <w:rFonts w:ascii="Times New Roman" w:cs="Times New Roman" w:eastAsia="Times New Roman" w:hAnsi="Times New Roman"/>
          <w:sz w:val="12"/>
          <w:szCs w:val="12"/>
          <w:color w:val="FF00FF"/>
        </w:rPr>
        <w:t>Analysis of 1Q26 Consolidated Results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49"/>
          <w:szCs w:val="49"/>
          <w:b w:val="1"/>
          <w:bCs w:val="1"/>
          <w:color w:val="E93BAC"/>
        </w:rPr>
        <w:t>11</w:t>
      </w:r>
      <w:r>
        <w:rPr>
          <w:sz w:val="20"/>
          <w:szCs w:val="20"/>
          <w:color w:val="auto"/>
        </w:rPr>
        <w:tab/>
      </w:r>
      <w:r>
        <w:rPr>
          <w:rFonts w:ascii="Times New Roman" w:cs="Times New Roman" w:eastAsia="Times New Roman" w:hAnsi="Times New Roman"/>
          <w:sz w:val="30"/>
          <w:szCs w:val="30"/>
          <w:color w:val="E93BAC"/>
        </w:rPr>
        <w:t>Economic Outlook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114935</wp:posOffset>
            </wp:positionV>
            <wp:extent cx="7140575" cy="13214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0575" cy="1321435"/>
                    </a:xfrm>
                    <a:prstGeom prst="rect">
                      <a:avLst/>
                    </a:prstGeom>
                    <a:noFill/>
                  </pic:spPr>
                </pic:pic>
              </a:graphicData>
            </a:graphic>
          </wp:anchor>
        </w:drawing>
      </w:r>
    </w:p>
    <w:p>
      <w:pPr>
        <w:spacing w:after="0" w:line="195" w:lineRule="exact"/>
        <w:rPr>
          <w:sz w:val="20"/>
          <w:szCs w:val="20"/>
          <w:color w:val="auto"/>
        </w:rPr>
      </w:pPr>
    </w:p>
    <w:p>
      <w:pPr>
        <w:jc w:val="both"/>
        <w:ind w:left="120" w:right="100"/>
        <w:spacing w:after="0" w:line="263" w:lineRule="auto"/>
        <w:rPr>
          <w:sz w:val="20"/>
          <w:szCs w:val="20"/>
          <w:color w:val="auto"/>
        </w:rPr>
      </w:pPr>
      <w:r>
        <w:rPr>
          <w:rFonts w:ascii="Times New Roman" w:cs="Times New Roman" w:eastAsia="Times New Roman" w:hAnsi="Times New Roman"/>
          <w:sz w:val="17"/>
          <w:szCs w:val="17"/>
          <w:color w:val="FFFFFF"/>
        </w:rPr>
        <w:t>In 1Q26, GDP grew close to 3.0% YoY, slightly below the growth recorded in 4Q25 (3.2%). Primary sectors contracted due to declines in fishing and hydrocarbons, while non-primary sectors continued to expand at a solid pace of close to 4% YoY, similar to 4Q25, driven by construction, commerce, and services.</w:t>
      </w:r>
    </w:p>
    <w:p>
      <w:pPr>
        <w:spacing w:after="0" w:line="170" w:lineRule="exact"/>
        <w:rPr>
          <w:sz w:val="20"/>
          <w:szCs w:val="20"/>
          <w:color w:val="auto"/>
        </w:rPr>
      </w:pPr>
    </w:p>
    <w:p>
      <w:pPr>
        <w:jc w:val="both"/>
        <w:ind w:left="120" w:right="100"/>
        <w:spacing w:after="0" w:line="263" w:lineRule="auto"/>
        <w:rPr>
          <w:sz w:val="20"/>
          <w:szCs w:val="20"/>
          <w:color w:val="auto"/>
        </w:rPr>
      </w:pPr>
      <w:r>
        <w:rPr>
          <w:rFonts w:ascii="Times New Roman" w:cs="Times New Roman" w:eastAsia="Times New Roman" w:hAnsi="Times New Roman"/>
          <w:sz w:val="17"/>
          <w:szCs w:val="17"/>
          <w:color w:val="FFFFFF"/>
        </w:rPr>
        <w:t>Inflation accelerated significantly in March and closed the quarter at 3.8% YoY (1.5% YoY in 4Q25), its highest level since October 2023 and above the upper bound of the BCRP’s target range (1%–3%). Around 80% of monthly inflation was explained by transportation, fuels, and food. As of April 2026, the BCRP has kept its policy rate at 4.25% since October 2025.</w:t>
      </w:r>
    </w:p>
    <w:p>
      <w:pPr>
        <w:spacing w:after="0" w:line="1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FFFFFF"/>
        </w:rPr>
        <w:t>According to the BCRP, the exchange rate closed 1Q26 at PEN/USD 3.488, a 3.8% depreciation relative to end-2025.</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Peru: Economic Forecast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140575" cy="27324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0575" cy="2732405"/>
                    </a:xfrm>
                    <a:prstGeom prst="rect">
                      <a:avLst/>
                    </a:prstGeom>
                    <a:noFill/>
                  </pic:spPr>
                </pic:pic>
              </a:graphicData>
            </a:graphic>
          </wp:anchor>
        </w:drawing>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393"/>
        </w:trPr>
        <w:tc>
          <w:tcPr>
            <w:tcW w:w="4740" w:type="dxa"/>
            <w:vAlign w:val="bottom"/>
            <w:tcBorders>
              <w:bottom w:val="single" w:sz="8" w:color="auto"/>
            </w:tcBorders>
            <w:shd w:val="clear" w:color="auto" w:fill="2AD2C9"/>
          </w:tcPr>
          <w:p>
            <w:pPr>
              <w:spacing w:after="0"/>
              <w:rPr>
                <w:sz w:val="24"/>
                <w:szCs w:val="24"/>
                <w:color w:val="auto"/>
              </w:rPr>
            </w:pPr>
          </w:p>
        </w:tc>
        <w:tc>
          <w:tcPr>
            <w:tcW w:w="1100" w:type="dxa"/>
            <w:vAlign w:val="bottom"/>
            <w:tcBorders>
              <w:bottom w:val="single" w:sz="8" w:color="auto"/>
            </w:tcBorders>
            <w:shd w:val="clear" w:color="auto" w:fill="2AD2C9"/>
          </w:tcPr>
          <w:p>
            <w:pPr>
              <w:jc w:val="center"/>
              <w:ind w:left="164"/>
              <w:spacing w:after="0"/>
              <w:rPr>
                <w:sz w:val="20"/>
                <w:szCs w:val="20"/>
                <w:color w:val="auto"/>
              </w:rPr>
            </w:pPr>
            <w:r>
              <w:rPr>
                <w:rFonts w:ascii="Times New Roman" w:cs="Times New Roman" w:eastAsia="Times New Roman" w:hAnsi="Times New Roman"/>
                <w:sz w:val="15"/>
                <w:szCs w:val="15"/>
                <w:b w:val="1"/>
                <w:bCs w:val="1"/>
                <w:color w:val="FFFFFF"/>
                <w:w w:val="99"/>
              </w:rPr>
              <w:t>2020</w:t>
            </w:r>
          </w:p>
        </w:tc>
        <w:tc>
          <w:tcPr>
            <w:tcW w:w="940" w:type="dxa"/>
            <w:vAlign w:val="bottom"/>
            <w:tcBorders>
              <w:bottom w:val="single" w:sz="8" w:color="auto"/>
            </w:tcBorders>
            <w:shd w:val="clear" w:color="auto" w:fill="2AD2C9"/>
          </w:tcPr>
          <w:p>
            <w:pPr>
              <w:jc w:val="center"/>
              <w:spacing w:after="0"/>
              <w:rPr>
                <w:sz w:val="20"/>
                <w:szCs w:val="20"/>
                <w:color w:val="auto"/>
              </w:rPr>
            </w:pPr>
            <w:r>
              <w:rPr>
                <w:rFonts w:ascii="Times New Roman" w:cs="Times New Roman" w:eastAsia="Times New Roman" w:hAnsi="Times New Roman"/>
                <w:sz w:val="15"/>
                <w:szCs w:val="15"/>
                <w:b w:val="1"/>
                <w:bCs w:val="1"/>
                <w:color w:val="FFFFFF"/>
                <w:w w:val="99"/>
              </w:rPr>
              <w:t>2021</w:t>
            </w:r>
          </w:p>
        </w:tc>
        <w:tc>
          <w:tcPr>
            <w:tcW w:w="880" w:type="dxa"/>
            <w:vAlign w:val="bottom"/>
            <w:tcBorders>
              <w:bottom w:val="single" w:sz="8" w:color="auto"/>
            </w:tcBorders>
            <w:shd w:val="clear" w:color="auto" w:fill="2AD2C9"/>
          </w:tcPr>
          <w:p>
            <w:pPr>
              <w:jc w:val="center"/>
              <w:spacing w:after="0"/>
              <w:rPr>
                <w:sz w:val="20"/>
                <w:szCs w:val="20"/>
                <w:color w:val="auto"/>
              </w:rPr>
            </w:pPr>
            <w:r>
              <w:rPr>
                <w:rFonts w:ascii="Times New Roman" w:cs="Times New Roman" w:eastAsia="Times New Roman" w:hAnsi="Times New Roman"/>
                <w:sz w:val="15"/>
                <w:szCs w:val="15"/>
                <w:b w:val="1"/>
                <w:bCs w:val="1"/>
                <w:color w:val="FFFFFF"/>
                <w:w w:val="99"/>
              </w:rPr>
              <w:t>2022</w:t>
            </w:r>
          </w:p>
        </w:tc>
        <w:tc>
          <w:tcPr>
            <w:tcW w:w="880" w:type="dxa"/>
            <w:vAlign w:val="bottom"/>
            <w:tcBorders>
              <w:bottom w:val="single" w:sz="8" w:color="auto"/>
            </w:tcBorders>
            <w:shd w:val="clear" w:color="auto" w:fill="2AD2C9"/>
          </w:tcPr>
          <w:p>
            <w:pPr>
              <w:jc w:val="center"/>
              <w:spacing w:after="0"/>
              <w:rPr>
                <w:sz w:val="20"/>
                <w:szCs w:val="20"/>
                <w:color w:val="auto"/>
              </w:rPr>
            </w:pPr>
            <w:r>
              <w:rPr>
                <w:rFonts w:ascii="Times New Roman" w:cs="Times New Roman" w:eastAsia="Times New Roman" w:hAnsi="Times New Roman"/>
                <w:sz w:val="15"/>
                <w:szCs w:val="15"/>
                <w:b w:val="1"/>
                <w:bCs w:val="1"/>
                <w:color w:val="FFFFFF"/>
                <w:w w:val="99"/>
              </w:rPr>
              <w:t>2023</w:t>
            </w:r>
          </w:p>
        </w:tc>
        <w:tc>
          <w:tcPr>
            <w:tcW w:w="900" w:type="dxa"/>
            <w:vAlign w:val="bottom"/>
            <w:tcBorders>
              <w:bottom w:val="single" w:sz="8" w:color="auto"/>
            </w:tcBorders>
            <w:shd w:val="clear" w:color="auto" w:fill="2AD2C9"/>
          </w:tcPr>
          <w:p>
            <w:pPr>
              <w:jc w:val="center"/>
              <w:spacing w:after="0"/>
              <w:rPr>
                <w:sz w:val="20"/>
                <w:szCs w:val="20"/>
                <w:color w:val="auto"/>
              </w:rPr>
            </w:pPr>
            <w:r>
              <w:rPr>
                <w:rFonts w:ascii="Times New Roman" w:cs="Times New Roman" w:eastAsia="Times New Roman" w:hAnsi="Times New Roman"/>
                <w:sz w:val="15"/>
                <w:szCs w:val="15"/>
                <w:b w:val="1"/>
                <w:bCs w:val="1"/>
                <w:color w:val="FFFFFF"/>
                <w:w w:val="99"/>
              </w:rPr>
              <w:t>2024</w:t>
            </w:r>
          </w:p>
        </w:tc>
        <w:tc>
          <w:tcPr>
            <w:tcW w:w="900" w:type="dxa"/>
            <w:vAlign w:val="bottom"/>
            <w:tcBorders>
              <w:bottom w:val="single" w:sz="8" w:color="auto"/>
            </w:tcBorders>
            <w:shd w:val="clear" w:color="auto" w:fill="2AD2C9"/>
          </w:tcPr>
          <w:p>
            <w:pPr>
              <w:jc w:val="center"/>
              <w:spacing w:after="0"/>
              <w:rPr>
                <w:sz w:val="20"/>
                <w:szCs w:val="20"/>
                <w:color w:val="auto"/>
              </w:rPr>
            </w:pPr>
            <w:r>
              <w:rPr>
                <w:rFonts w:ascii="Times New Roman" w:cs="Times New Roman" w:eastAsia="Times New Roman" w:hAnsi="Times New Roman"/>
                <w:sz w:val="15"/>
                <w:szCs w:val="15"/>
                <w:b w:val="1"/>
                <w:bCs w:val="1"/>
                <w:color w:val="FFFFFF"/>
                <w:w w:val="99"/>
              </w:rPr>
              <w:t>2025</w:t>
            </w:r>
          </w:p>
        </w:tc>
        <w:tc>
          <w:tcPr>
            <w:tcW w:w="900" w:type="dxa"/>
            <w:vAlign w:val="bottom"/>
            <w:tcBorders>
              <w:bottom w:val="single" w:sz="8" w:color="auto"/>
            </w:tcBorders>
            <w:shd w:val="clear" w:color="auto" w:fill="2AD2C9"/>
          </w:tcPr>
          <w:p>
            <w:pPr>
              <w:jc w:val="center"/>
              <w:spacing w:after="0"/>
              <w:rPr>
                <w:sz w:val="20"/>
                <w:szCs w:val="20"/>
                <w:color w:val="auto"/>
              </w:rPr>
            </w:pPr>
            <w:r>
              <w:rPr>
                <w:rFonts w:ascii="Times New Roman" w:cs="Times New Roman" w:eastAsia="Times New Roman" w:hAnsi="Times New Roman"/>
                <w:sz w:val="15"/>
                <w:szCs w:val="15"/>
                <w:b w:val="1"/>
                <w:bCs w:val="1"/>
                <w:color w:val="FFFFFF"/>
                <w:w w:val="90"/>
              </w:rPr>
              <w:t xml:space="preserve">2026 </w:t>
            </w:r>
            <w:r>
              <w:rPr>
                <w:rFonts w:ascii="Times New Roman" w:cs="Times New Roman" w:eastAsia="Times New Roman" w:hAnsi="Times New Roman"/>
                <w:sz w:val="25"/>
                <w:szCs w:val="25"/>
                <w:b w:val="1"/>
                <w:bCs w:val="1"/>
                <w:color w:val="FFFFFF"/>
                <w:w w:val="90"/>
                <w:vertAlign w:val="superscript"/>
              </w:rPr>
              <w:t>(4)</w:t>
            </w:r>
          </w:p>
        </w:tc>
      </w:tr>
      <w:tr>
        <w:trPr>
          <w:trHeight w:val="171"/>
        </w:trPr>
        <w:tc>
          <w:tcPr>
            <w:tcW w:w="4740" w:type="dxa"/>
            <w:vAlign w:val="bottom"/>
          </w:tcPr>
          <w:p>
            <w:pPr>
              <w:ind w:left="40"/>
              <w:spacing w:after="0" w:line="171" w:lineRule="exact"/>
              <w:rPr>
                <w:sz w:val="20"/>
                <w:szCs w:val="20"/>
                <w:color w:val="auto"/>
              </w:rPr>
            </w:pPr>
            <w:r>
              <w:rPr>
                <w:rFonts w:ascii="Times New Roman" w:cs="Times New Roman" w:eastAsia="Times New Roman" w:hAnsi="Times New Roman"/>
                <w:sz w:val="15"/>
                <w:szCs w:val="15"/>
                <w:color w:val="auto"/>
              </w:rPr>
              <w:t>GDP (US$ bn)</w:t>
            </w:r>
          </w:p>
        </w:tc>
        <w:tc>
          <w:tcPr>
            <w:tcW w:w="1100" w:type="dxa"/>
            <w:vAlign w:val="bottom"/>
          </w:tcPr>
          <w:p>
            <w:pPr>
              <w:jc w:val="center"/>
              <w:ind w:left="164"/>
              <w:spacing w:after="0" w:line="171" w:lineRule="exact"/>
              <w:rPr>
                <w:sz w:val="20"/>
                <w:szCs w:val="20"/>
                <w:color w:val="auto"/>
              </w:rPr>
            </w:pPr>
            <w:r>
              <w:rPr>
                <w:rFonts w:ascii="Times New Roman" w:cs="Times New Roman" w:eastAsia="Times New Roman" w:hAnsi="Times New Roman"/>
                <w:sz w:val="15"/>
                <w:szCs w:val="15"/>
                <w:color w:val="auto"/>
                <w:w w:val="97"/>
              </w:rPr>
              <w:t>210</w:t>
            </w:r>
          </w:p>
        </w:tc>
        <w:tc>
          <w:tcPr>
            <w:tcW w:w="940" w:type="dxa"/>
            <w:vAlign w:val="bottom"/>
          </w:tcPr>
          <w:p>
            <w:pPr>
              <w:jc w:val="center"/>
              <w:spacing w:after="0" w:line="171" w:lineRule="exact"/>
              <w:rPr>
                <w:sz w:val="20"/>
                <w:szCs w:val="20"/>
                <w:color w:val="auto"/>
              </w:rPr>
            </w:pPr>
            <w:r>
              <w:rPr>
                <w:rFonts w:ascii="Times New Roman" w:cs="Times New Roman" w:eastAsia="Times New Roman" w:hAnsi="Times New Roman"/>
                <w:sz w:val="15"/>
                <w:szCs w:val="15"/>
                <w:color w:val="auto"/>
              </w:rPr>
              <w:t>230</w:t>
            </w:r>
          </w:p>
        </w:tc>
        <w:tc>
          <w:tcPr>
            <w:tcW w:w="880" w:type="dxa"/>
            <w:vAlign w:val="bottom"/>
          </w:tcPr>
          <w:p>
            <w:pPr>
              <w:jc w:val="center"/>
              <w:spacing w:after="0" w:line="171" w:lineRule="exact"/>
              <w:rPr>
                <w:sz w:val="20"/>
                <w:szCs w:val="20"/>
                <w:color w:val="auto"/>
              </w:rPr>
            </w:pPr>
            <w:r>
              <w:rPr>
                <w:rFonts w:ascii="Times New Roman" w:cs="Times New Roman" w:eastAsia="Times New Roman" w:hAnsi="Times New Roman"/>
                <w:sz w:val="15"/>
                <w:szCs w:val="15"/>
                <w:color w:val="auto"/>
                <w:w w:val="97"/>
              </w:rPr>
              <w:t>249</w:t>
            </w:r>
          </w:p>
        </w:tc>
        <w:tc>
          <w:tcPr>
            <w:tcW w:w="880" w:type="dxa"/>
            <w:vAlign w:val="bottom"/>
          </w:tcPr>
          <w:p>
            <w:pPr>
              <w:jc w:val="center"/>
              <w:spacing w:after="0" w:line="171" w:lineRule="exact"/>
              <w:rPr>
                <w:sz w:val="20"/>
                <w:szCs w:val="20"/>
                <w:color w:val="auto"/>
              </w:rPr>
            </w:pPr>
            <w:r>
              <w:rPr>
                <w:rFonts w:ascii="Times New Roman" w:cs="Times New Roman" w:eastAsia="Times New Roman" w:hAnsi="Times New Roman"/>
                <w:sz w:val="15"/>
                <w:szCs w:val="15"/>
                <w:color w:val="auto"/>
                <w:w w:val="97"/>
              </w:rPr>
              <w:t>272</w:t>
            </w:r>
          </w:p>
        </w:tc>
        <w:tc>
          <w:tcPr>
            <w:tcW w:w="900" w:type="dxa"/>
            <w:vAlign w:val="bottom"/>
          </w:tcPr>
          <w:p>
            <w:pPr>
              <w:jc w:val="center"/>
              <w:spacing w:after="0" w:line="171" w:lineRule="exact"/>
              <w:rPr>
                <w:sz w:val="20"/>
                <w:szCs w:val="20"/>
                <w:color w:val="auto"/>
              </w:rPr>
            </w:pPr>
            <w:r>
              <w:rPr>
                <w:rFonts w:ascii="Times New Roman" w:cs="Times New Roman" w:eastAsia="Times New Roman" w:hAnsi="Times New Roman"/>
                <w:sz w:val="15"/>
                <w:szCs w:val="15"/>
                <w:color w:val="auto"/>
                <w:w w:val="97"/>
              </w:rPr>
              <w:t>296</w:t>
            </w:r>
          </w:p>
        </w:tc>
        <w:tc>
          <w:tcPr>
            <w:tcW w:w="900" w:type="dxa"/>
            <w:vAlign w:val="bottom"/>
          </w:tcPr>
          <w:p>
            <w:pPr>
              <w:jc w:val="center"/>
              <w:spacing w:after="0" w:line="171" w:lineRule="exact"/>
              <w:rPr>
                <w:sz w:val="20"/>
                <w:szCs w:val="20"/>
                <w:color w:val="auto"/>
              </w:rPr>
            </w:pPr>
            <w:r>
              <w:rPr>
                <w:rFonts w:ascii="Times New Roman" w:cs="Times New Roman" w:eastAsia="Times New Roman" w:hAnsi="Times New Roman"/>
                <w:sz w:val="15"/>
                <w:szCs w:val="15"/>
                <w:color w:val="auto"/>
              </w:rPr>
              <w:t>341</w:t>
            </w:r>
          </w:p>
        </w:tc>
        <w:tc>
          <w:tcPr>
            <w:tcW w:w="900" w:type="dxa"/>
            <w:vAlign w:val="bottom"/>
            <w:shd w:val="clear" w:color="auto" w:fill="D9D9D9"/>
          </w:tcPr>
          <w:p>
            <w:pPr>
              <w:jc w:val="center"/>
              <w:spacing w:after="0" w:line="171" w:lineRule="exact"/>
              <w:rPr>
                <w:sz w:val="20"/>
                <w:szCs w:val="20"/>
                <w:color w:val="auto"/>
              </w:rPr>
            </w:pPr>
            <w:r>
              <w:rPr>
                <w:rFonts w:ascii="Times New Roman" w:cs="Times New Roman" w:eastAsia="Times New Roman" w:hAnsi="Times New Roman"/>
                <w:sz w:val="15"/>
                <w:szCs w:val="15"/>
                <w:color w:val="auto"/>
                <w:w w:val="97"/>
              </w:rPr>
              <w:t>391</w:t>
            </w:r>
          </w:p>
        </w:tc>
      </w:tr>
      <w:tr>
        <w:trPr>
          <w:trHeight w:val="190"/>
        </w:trPr>
        <w:tc>
          <w:tcPr>
            <w:tcW w:w="474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Real GDP (% change)</w:t>
            </w:r>
          </w:p>
        </w:tc>
        <w:tc>
          <w:tcPr>
            <w:tcW w:w="1100" w:type="dxa"/>
            <w:vAlign w:val="bottom"/>
          </w:tcPr>
          <w:p>
            <w:pPr>
              <w:jc w:val="center"/>
              <w:ind w:left="144"/>
              <w:spacing w:after="0"/>
              <w:rPr>
                <w:sz w:val="20"/>
                <w:szCs w:val="20"/>
                <w:color w:val="auto"/>
              </w:rPr>
            </w:pPr>
            <w:r>
              <w:rPr>
                <w:rFonts w:ascii="Times New Roman" w:cs="Times New Roman" w:eastAsia="Times New Roman" w:hAnsi="Times New Roman"/>
                <w:sz w:val="15"/>
                <w:szCs w:val="15"/>
                <w:color w:val="auto"/>
              </w:rPr>
              <w:t>-10.9</w:t>
            </w:r>
          </w:p>
        </w:tc>
        <w:tc>
          <w:tcPr>
            <w:tcW w:w="9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13.4</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2.8</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-0.4</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3.5</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3.4</w:t>
            </w:r>
          </w:p>
        </w:tc>
        <w:tc>
          <w:tcPr>
            <w:tcW w:w="90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5"/>
                <w:szCs w:val="15"/>
                <w:color w:val="auto"/>
                <w:w w:val="95"/>
              </w:rPr>
              <w:t>3.2</w:t>
            </w:r>
          </w:p>
        </w:tc>
      </w:tr>
      <w:tr>
        <w:trPr>
          <w:trHeight w:val="190"/>
        </w:trPr>
        <w:tc>
          <w:tcPr>
            <w:tcW w:w="474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GDP per capita (US$)</w:t>
            </w:r>
          </w:p>
        </w:tc>
        <w:tc>
          <w:tcPr>
            <w:tcW w:w="1100" w:type="dxa"/>
            <w:vAlign w:val="bottom"/>
          </w:tcPr>
          <w:p>
            <w:pPr>
              <w:jc w:val="center"/>
              <w:ind w:left="164"/>
              <w:spacing w:after="0"/>
              <w:rPr>
                <w:sz w:val="20"/>
                <w:szCs w:val="20"/>
                <w:color w:val="auto"/>
              </w:rPr>
            </w:pPr>
            <w:r>
              <w:rPr>
                <w:rFonts w:ascii="Times New Roman" w:cs="Times New Roman" w:eastAsia="Times New Roman" w:hAnsi="Times New Roman"/>
                <w:sz w:val="15"/>
                <w:szCs w:val="15"/>
                <w:color w:val="auto"/>
              </w:rPr>
              <w:t>6,428</w:t>
            </w:r>
          </w:p>
        </w:tc>
        <w:tc>
          <w:tcPr>
            <w:tcW w:w="9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6,959</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7,442</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8,159</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8,673</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9,926</w:t>
            </w:r>
          </w:p>
        </w:tc>
        <w:tc>
          <w:tcPr>
            <w:tcW w:w="90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5"/>
                <w:szCs w:val="15"/>
                <w:color w:val="auto"/>
              </w:rPr>
              <w:t>11,254</w:t>
            </w:r>
          </w:p>
        </w:tc>
      </w:tr>
      <w:tr>
        <w:trPr>
          <w:trHeight w:val="200"/>
        </w:trPr>
        <w:tc>
          <w:tcPr>
            <w:tcW w:w="4740" w:type="dxa"/>
            <w:vAlign w:val="bottom"/>
            <w:tcBorders>
              <w:bottom w:val="single" w:sz="8" w:color="2AD2C9"/>
            </w:tcBorders>
          </w:tcPr>
          <w:p>
            <w:pPr>
              <w:ind w:left="40"/>
              <w:spacing w:after="0"/>
              <w:rPr>
                <w:sz w:val="20"/>
                <w:szCs w:val="20"/>
                <w:color w:val="auto"/>
              </w:rPr>
            </w:pPr>
            <w:r>
              <w:rPr>
                <w:rFonts w:ascii="Times New Roman" w:cs="Times New Roman" w:eastAsia="Times New Roman" w:hAnsi="Times New Roman"/>
                <w:sz w:val="15"/>
                <w:szCs w:val="15"/>
                <w:color w:val="auto"/>
              </w:rPr>
              <w:t>Domestic demand (% change)</w:t>
            </w:r>
          </w:p>
        </w:tc>
        <w:tc>
          <w:tcPr>
            <w:tcW w:w="1100" w:type="dxa"/>
            <w:vAlign w:val="bottom"/>
            <w:tcBorders>
              <w:bottom w:val="single" w:sz="8" w:color="2AD2C9"/>
            </w:tcBorders>
          </w:tcPr>
          <w:p>
            <w:pPr>
              <w:jc w:val="center"/>
              <w:ind w:left="144"/>
              <w:spacing w:after="0"/>
              <w:rPr>
                <w:sz w:val="20"/>
                <w:szCs w:val="20"/>
                <w:color w:val="auto"/>
              </w:rPr>
            </w:pPr>
            <w:r>
              <w:rPr>
                <w:rFonts w:ascii="Times New Roman" w:cs="Times New Roman" w:eastAsia="Times New Roman" w:hAnsi="Times New Roman"/>
                <w:sz w:val="15"/>
                <w:szCs w:val="15"/>
                <w:color w:val="auto"/>
              </w:rPr>
              <w:t>-9.3</w:t>
            </w:r>
          </w:p>
        </w:tc>
        <w:tc>
          <w:tcPr>
            <w:tcW w:w="940" w:type="dxa"/>
            <w:vAlign w:val="bottom"/>
            <w:tcBorders>
              <w:bottom w:val="single" w:sz="8" w:color="2AD2C9"/>
            </w:tcBorders>
          </w:tcPr>
          <w:p>
            <w:pPr>
              <w:jc w:val="center"/>
              <w:spacing w:after="0"/>
              <w:rPr>
                <w:sz w:val="20"/>
                <w:szCs w:val="20"/>
                <w:color w:val="auto"/>
              </w:rPr>
            </w:pPr>
            <w:r>
              <w:rPr>
                <w:rFonts w:ascii="Times New Roman" w:cs="Times New Roman" w:eastAsia="Times New Roman" w:hAnsi="Times New Roman"/>
                <w:sz w:val="15"/>
                <w:szCs w:val="15"/>
                <w:color w:val="auto"/>
              </w:rPr>
              <w:t>13.9</w:t>
            </w:r>
          </w:p>
        </w:tc>
        <w:tc>
          <w:tcPr>
            <w:tcW w:w="880" w:type="dxa"/>
            <w:vAlign w:val="bottom"/>
            <w:tcBorders>
              <w:bottom w:val="single" w:sz="8" w:color="2AD2C9"/>
            </w:tcBorders>
          </w:tcPr>
          <w:p>
            <w:pPr>
              <w:jc w:val="center"/>
              <w:spacing w:after="0"/>
              <w:rPr>
                <w:sz w:val="20"/>
                <w:szCs w:val="20"/>
                <w:color w:val="auto"/>
              </w:rPr>
            </w:pPr>
            <w:r>
              <w:rPr>
                <w:rFonts w:ascii="Times New Roman" w:cs="Times New Roman" w:eastAsia="Times New Roman" w:hAnsi="Times New Roman"/>
                <w:sz w:val="15"/>
                <w:szCs w:val="15"/>
                <w:color w:val="auto"/>
              </w:rPr>
              <w:t>2.4</w:t>
            </w:r>
          </w:p>
        </w:tc>
        <w:tc>
          <w:tcPr>
            <w:tcW w:w="880" w:type="dxa"/>
            <w:vAlign w:val="bottom"/>
            <w:tcBorders>
              <w:bottom w:val="single" w:sz="8" w:color="2AD2C9"/>
            </w:tcBorders>
          </w:tcPr>
          <w:p>
            <w:pPr>
              <w:jc w:val="center"/>
              <w:spacing w:after="0"/>
              <w:rPr>
                <w:sz w:val="20"/>
                <w:szCs w:val="20"/>
                <w:color w:val="auto"/>
              </w:rPr>
            </w:pPr>
            <w:r>
              <w:rPr>
                <w:rFonts w:ascii="Times New Roman" w:cs="Times New Roman" w:eastAsia="Times New Roman" w:hAnsi="Times New Roman"/>
                <w:sz w:val="15"/>
                <w:szCs w:val="15"/>
                <w:color w:val="auto"/>
              </w:rPr>
              <w:t>-1.0</w:t>
            </w:r>
          </w:p>
        </w:tc>
        <w:tc>
          <w:tcPr>
            <w:tcW w:w="900" w:type="dxa"/>
            <w:vAlign w:val="bottom"/>
            <w:tcBorders>
              <w:bottom w:val="single" w:sz="8" w:color="2AD2C9"/>
            </w:tcBorders>
          </w:tcPr>
          <w:p>
            <w:pPr>
              <w:jc w:val="center"/>
              <w:spacing w:after="0"/>
              <w:rPr>
                <w:sz w:val="20"/>
                <w:szCs w:val="20"/>
                <w:color w:val="auto"/>
              </w:rPr>
            </w:pPr>
            <w:r>
              <w:rPr>
                <w:rFonts w:ascii="Times New Roman" w:cs="Times New Roman" w:eastAsia="Times New Roman" w:hAnsi="Times New Roman"/>
                <w:sz w:val="15"/>
                <w:szCs w:val="15"/>
                <w:color w:val="auto"/>
                <w:w w:val="95"/>
              </w:rPr>
              <w:t>4.0</w:t>
            </w:r>
          </w:p>
        </w:tc>
        <w:tc>
          <w:tcPr>
            <w:tcW w:w="900" w:type="dxa"/>
            <w:vAlign w:val="bottom"/>
            <w:tcBorders>
              <w:bottom w:val="single" w:sz="8" w:color="2AD2C9"/>
            </w:tcBorders>
          </w:tcPr>
          <w:p>
            <w:pPr>
              <w:jc w:val="center"/>
              <w:spacing w:after="0"/>
              <w:rPr>
                <w:sz w:val="20"/>
                <w:szCs w:val="20"/>
                <w:color w:val="auto"/>
              </w:rPr>
            </w:pPr>
            <w:r>
              <w:rPr>
                <w:rFonts w:ascii="Times New Roman" w:cs="Times New Roman" w:eastAsia="Times New Roman" w:hAnsi="Times New Roman"/>
                <w:sz w:val="15"/>
                <w:szCs w:val="15"/>
                <w:color w:val="auto"/>
              </w:rPr>
              <w:t>5.8</w:t>
            </w:r>
          </w:p>
        </w:tc>
        <w:tc>
          <w:tcPr>
            <w:tcW w:w="900" w:type="dxa"/>
            <w:vAlign w:val="bottom"/>
            <w:tcBorders>
              <w:bottom w:val="single" w:sz="8" w:color="2AD2C9"/>
            </w:tcBorders>
            <w:shd w:val="clear" w:color="auto" w:fill="D9D9D9"/>
          </w:tcPr>
          <w:p>
            <w:pPr>
              <w:jc w:val="center"/>
              <w:spacing w:after="0"/>
              <w:rPr>
                <w:sz w:val="20"/>
                <w:szCs w:val="20"/>
                <w:color w:val="auto"/>
              </w:rPr>
            </w:pPr>
            <w:r>
              <w:rPr>
                <w:rFonts w:ascii="Times New Roman" w:cs="Times New Roman" w:eastAsia="Times New Roman" w:hAnsi="Times New Roman"/>
                <w:sz w:val="15"/>
                <w:szCs w:val="15"/>
                <w:color w:val="auto"/>
                <w:w w:val="95"/>
              </w:rPr>
              <w:t>4.3</w:t>
            </w:r>
          </w:p>
        </w:tc>
      </w:tr>
      <w:tr>
        <w:trPr>
          <w:trHeight w:val="160"/>
        </w:trPr>
        <w:tc>
          <w:tcPr>
            <w:tcW w:w="4740" w:type="dxa"/>
            <w:vAlign w:val="bottom"/>
          </w:tcPr>
          <w:p>
            <w:pPr>
              <w:ind w:left="40"/>
              <w:spacing w:after="0" w:line="160" w:lineRule="exact"/>
              <w:rPr>
                <w:sz w:val="20"/>
                <w:szCs w:val="20"/>
                <w:color w:val="auto"/>
              </w:rPr>
            </w:pPr>
            <w:r>
              <w:rPr>
                <w:rFonts w:ascii="Times New Roman" w:cs="Times New Roman" w:eastAsia="Times New Roman" w:hAnsi="Times New Roman"/>
                <w:sz w:val="12"/>
                <w:szCs w:val="12"/>
                <w:color w:val="auto"/>
              </w:rPr>
              <w:t xml:space="preserve">Financial system loan excluding Reactiva (% change) </w:t>
            </w:r>
            <w:r>
              <w:rPr>
                <w:rFonts w:ascii="Times New Roman" w:cs="Times New Roman" w:eastAsia="Times New Roman" w:hAnsi="Times New Roman"/>
                <w:sz w:val="18"/>
                <w:szCs w:val="18"/>
                <w:color w:val="auto"/>
                <w:vertAlign w:val="superscript"/>
              </w:rPr>
              <w:t>(1)</w:t>
            </w:r>
          </w:p>
        </w:tc>
        <w:tc>
          <w:tcPr>
            <w:tcW w:w="1100" w:type="dxa"/>
            <w:vAlign w:val="bottom"/>
          </w:tcPr>
          <w:p>
            <w:pPr>
              <w:jc w:val="center"/>
              <w:ind w:left="144"/>
              <w:spacing w:after="0" w:line="160" w:lineRule="exact"/>
              <w:rPr>
                <w:sz w:val="20"/>
                <w:szCs w:val="20"/>
                <w:color w:val="auto"/>
              </w:rPr>
            </w:pPr>
            <w:r>
              <w:rPr>
                <w:rFonts w:ascii="Times New Roman" w:cs="Times New Roman" w:eastAsia="Times New Roman" w:hAnsi="Times New Roman"/>
                <w:sz w:val="15"/>
                <w:szCs w:val="15"/>
                <w:color w:val="auto"/>
              </w:rPr>
              <w:t>-4.3</w:t>
            </w:r>
          </w:p>
        </w:tc>
        <w:tc>
          <w:tcPr>
            <w:tcW w:w="940" w:type="dxa"/>
            <w:vAlign w:val="bottom"/>
          </w:tcPr>
          <w:p>
            <w:pPr>
              <w:jc w:val="center"/>
              <w:spacing w:after="0" w:line="160" w:lineRule="exact"/>
              <w:rPr>
                <w:sz w:val="20"/>
                <w:szCs w:val="20"/>
                <w:color w:val="auto"/>
              </w:rPr>
            </w:pPr>
            <w:r>
              <w:rPr>
                <w:rFonts w:ascii="Times New Roman" w:cs="Times New Roman" w:eastAsia="Times New Roman" w:hAnsi="Times New Roman"/>
                <w:sz w:val="15"/>
                <w:szCs w:val="15"/>
                <w:color w:val="auto"/>
              </w:rPr>
              <w:t>12.6</w:t>
            </w:r>
          </w:p>
        </w:tc>
        <w:tc>
          <w:tcPr>
            <w:tcW w:w="880" w:type="dxa"/>
            <w:vAlign w:val="bottom"/>
          </w:tcPr>
          <w:p>
            <w:pPr>
              <w:jc w:val="center"/>
              <w:spacing w:after="0" w:line="160" w:lineRule="exact"/>
              <w:rPr>
                <w:sz w:val="20"/>
                <w:szCs w:val="20"/>
                <w:color w:val="auto"/>
              </w:rPr>
            </w:pPr>
            <w:r>
              <w:rPr>
                <w:rFonts w:ascii="Times New Roman" w:cs="Times New Roman" w:eastAsia="Times New Roman" w:hAnsi="Times New Roman"/>
                <w:sz w:val="15"/>
                <w:szCs w:val="15"/>
                <w:color w:val="auto"/>
              </w:rPr>
              <w:t>9.7</w:t>
            </w:r>
          </w:p>
        </w:tc>
        <w:tc>
          <w:tcPr>
            <w:tcW w:w="880" w:type="dxa"/>
            <w:vAlign w:val="bottom"/>
          </w:tcPr>
          <w:p>
            <w:pPr>
              <w:jc w:val="center"/>
              <w:spacing w:after="0" w:line="160" w:lineRule="exact"/>
              <w:rPr>
                <w:sz w:val="20"/>
                <w:szCs w:val="20"/>
                <w:color w:val="auto"/>
              </w:rPr>
            </w:pPr>
            <w:r>
              <w:rPr>
                <w:rFonts w:ascii="Times New Roman" w:cs="Times New Roman" w:eastAsia="Times New Roman" w:hAnsi="Times New Roman"/>
                <w:sz w:val="15"/>
                <w:szCs w:val="15"/>
                <w:color w:val="auto"/>
                <w:w w:val="95"/>
              </w:rPr>
              <w:t>2.8</w:t>
            </w:r>
          </w:p>
        </w:tc>
        <w:tc>
          <w:tcPr>
            <w:tcW w:w="900" w:type="dxa"/>
            <w:vAlign w:val="bottom"/>
          </w:tcPr>
          <w:p>
            <w:pPr>
              <w:jc w:val="center"/>
              <w:spacing w:after="0" w:line="160" w:lineRule="exact"/>
              <w:rPr>
                <w:sz w:val="20"/>
                <w:szCs w:val="20"/>
                <w:color w:val="auto"/>
              </w:rPr>
            </w:pPr>
            <w:r>
              <w:rPr>
                <w:rFonts w:ascii="Times New Roman" w:cs="Times New Roman" w:eastAsia="Times New Roman" w:hAnsi="Times New Roman"/>
                <w:sz w:val="15"/>
                <w:szCs w:val="15"/>
                <w:color w:val="auto"/>
                <w:w w:val="95"/>
              </w:rPr>
              <w:t>1.3</w:t>
            </w:r>
          </w:p>
        </w:tc>
        <w:tc>
          <w:tcPr>
            <w:tcW w:w="900" w:type="dxa"/>
            <w:vAlign w:val="bottom"/>
          </w:tcPr>
          <w:p>
            <w:pPr>
              <w:jc w:val="center"/>
              <w:spacing w:after="0" w:line="160" w:lineRule="exact"/>
              <w:rPr>
                <w:sz w:val="20"/>
                <w:szCs w:val="20"/>
                <w:color w:val="auto"/>
              </w:rPr>
            </w:pPr>
            <w:r>
              <w:rPr>
                <w:rFonts w:ascii="Times New Roman" w:cs="Times New Roman" w:eastAsia="Times New Roman" w:hAnsi="Times New Roman"/>
                <w:sz w:val="15"/>
                <w:szCs w:val="15"/>
                <w:color w:val="auto"/>
              </w:rPr>
              <w:t>4.4</w:t>
            </w:r>
          </w:p>
        </w:tc>
        <w:tc>
          <w:tcPr>
            <w:tcW w:w="900" w:type="dxa"/>
            <w:vAlign w:val="bottom"/>
            <w:shd w:val="clear" w:color="auto" w:fill="D9D9D9"/>
          </w:tcPr>
          <w:p>
            <w:pPr>
              <w:jc w:val="center"/>
              <w:spacing w:after="0" w:line="160" w:lineRule="exact"/>
              <w:rPr>
                <w:sz w:val="20"/>
                <w:szCs w:val="20"/>
                <w:color w:val="auto"/>
              </w:rPr>
            </w:pPr>
            <w:r>
              <w:rPr>
                <w:rFonts w:ascii="Times New Roman" w:cs="Times New Roman" w:eastAsia="Times New Roman" w:hAnsi="Times New Roman"/>
                <w:sz w:val="15"/>
                <w:szCs w:val="15"/>
                <w:color w:val="auto"/>
                <w:w w:val="95"/>
              </w:rPr>
              <w:t>7.8</w:t>
            </w:r>
          </w:p>
        </w:tc>
      </w:tr>
      <w:tr>
        <w:trPr>
          <w:trHeight w:val="216"/>
        </w:trPr>
        <w:tc>
          <w:tcPr>
            <w:tcW w:w="4740" w:type="dxa"/>
            <w:vAlign w:val="bottom"/>
            <w:tcBorders>
              <w:bottom w:val="single" w:sz="8" w:color="2AD2C9"/>
            </w:tcBorders>
          </w:tcPr>
          <w:p>
            <w:pPr>
              <w:ind w:left="40"/>
              <w:spacing w:after="0" w:line="216" w:lineRule="exact"/>
              <w:rPr>
                <w:sz w:val="20"/>
                <w:szCs w:val="20"/>
                <w:color w:val="auto"/>
              </w:rPr>
            </w:pPr>
            <w:r>
              <w:rPr>
                <w:rFonts w:ascii="Times New Roman" w:cs="Times New Roman" w:eastAsia="Times New Roman" w:hAnsi="Times New Roman"/>
                <w:sz w:val="15"/>
                <w:szCs w:val="15"/>
                <w:color w:val="auto"/>
              </w:rPr>
              <w:t xml:space="preserve">Financial system loan excluding Reactiva, FX neutral (% change) </w:t>
            </w:r>
            <w:r>
              <w:rPr>
                <w:rFonts w:ascii="Times New Roman" w:cs="Times New Roman" w:eastAsia="Times New Roman" w:hAnsi="Times New Roman"/>
                <w:sz w:val="25"/>
                <w:szCs w:val="25"/>
                <w:color w:val="auto"/>
                <w:vertAlign w:val="superscript"/>
              </w:rPr>
              <w:t>(1)</w:t>
            </w:r>
          </w:p>
        </w:tc>
        <w:tc>
          <w:tcPr>
            <w:tcW w:w="1100" w:type="dxa"/>
            <w:vAlign w:val="bottom"/>
            <w:tcBorders>
              <w:bottom w:val="single" w:sz="8" w:color="2AD2C9"/>
            </w:tcBorders>
          </w:tcPr>
          <w:p>
            <w:pPr>
              <w:jc w:val="center"/>
              <w:ind w:left="144"/>
              <w:spacing w:after="0"/>
              <w:rPr>
                <w:sz w:val="20"/>
                <w:szCs w:val="20"/>
                <w:color w:val="auto"/>
              </w:rPr>
            </w:pPr>
            <w:r>
              <w:rPr>
                <w:rFonts w:ascii="Times New Roman" w:cs="Times New Roman" w:eastAsia="Times New Roman" w:hAnsi="Times New Roman"/>
                <w:sz w:val="15"/>
                <w:szCs w:val="15"/>
                <w:color w:val="auto"/>
              </w:rPr>
              <w:t>-6.6</w:t>
            </w:r>
          </w:p>
        </w:tc>
        <w:tc>
          <w:tcPr>
            <w:tcW w:w="940" w:type="dxa"/>
            <w:vAlign w:val="bottom"/>
            <w:tcBorders>
              <w:bottom w:val="single" w:sz="8" w:color="2AD2C9"/>
            </w:tcBorders>
          </w:tcPr>
          <w:p>
            <w:pPr>
              <w:jc w:val="center"/>
              <w:spacing w:after="0"/>
              <w:rPr>
                <w:sz w:val="20"/>
                <w:szCs w:val="20"/>
                <w:color w:val="auto"/>
              </w:rPr>
            </w:pPr>
            <w:r>
              <w:rPr>
                <w:rFonts w:ascii="Times New Roman" w:cs="Times New Roman" w:eastAsia="Times New Roman" w:hAnsi="Times New Roman"/>
                <w:sz w:val="15"/>
                <w:szCs w:val="15"/>
                <w:color w:val="auto"/>
              </w:rPr>
              <w:t>9.8</w:t>
            </w:r>
          </w:p>
        </w:tc>
        <w:tc>
          <w:tcPr>
            <w:tcW w:w="880" w:type="dxa"/>
            <w:vAlign w:val="bottom"/>
            <w:tcBorders>
              <w:bottom w:val="single" w:sz="8" w:color="2AD2C9"/>
            </w:tcBorders>
          </w:tcPr>
          <w:p>
            <w:pPr>
              <w:jc w:val="center"/>
              <w:spacing w:after="0"/>
              <w:rPr>
                <w:sz w:val="20"/>
                <w:szCs w:val="20"/>
                <w:color w:val="auto"/>
              </w:rPr>
            </w:pPr>
            <w:r>
              <w:rPr>
                <w:rFonts w:ascii="Times New Roman" w:cs="Times New Roman" w:eastAsia="Times New Roman" w:hAnsi="Times New Roman"/>
                <w:sz w:val="15"/>
                <w:szCs w:val="15"/>
                <w:color w:val="auto"/>
                <w:w w:val="98"/>
              </w:rPr>
              <w:t>10.9</w:t>
            </w:r>
          </w:p>
        </w:tc>
        <w:tc>
          <w:tcPr>
            <w:tcW w:w="880" w:type="dxa"/>
            <w:vAlign w:val="bottom"/>
            <w:tcBorders>
              <w:bottom w:val="single" w:sz="8" w:color="2AD2C9"/>
            </w:tcBorders>
          </w:tcPr>
          <w:p>
            <w:pPr>
              <w:jc w:val="center"/>
              <w:spacing w:after="0"/>
              <w:rPr>
                <w:sz w:val="20"/>
                <w:szCs w:val="20"/>
                <w:color w:val="auto"/>
              </w:rPr>
            </w:pPr>
            <w:r>
              <w:rPr>
                <w:rFonts w:ascii="Times New Roman" w:cs="Times New Roman" w:eastAsia="Times New Roman" w:hAnsi="Times New Roman"/>
                <w:sz w:val="15"/>
                <w:szCs w:val="15"/>
                <w:color w:val="auto"/>
                <w:w w:val="95"/>
              </w:rPr>
              <w:t>3.6</w:t>
            </w:r>
          </w:p>
        </w:tc>
        <w:tc>
          <w:tcPr>
            <w:tcW w:w="900" w:type="dxa"/>
            <w:vAlign w:val="bottom"/>
            <w:tcBorders>
              <w:bottom w:val="single" w:sz="8" w:color="2AD2C9"/>
            </w:tcBorders>
          </w:tcPr>
          <w:p>
            <w:pPr>
              <w:jc w:val="center"/>
              <w:spacing w:after="0"/>
              <w:rPr>
                <w:sz w:val="20"/>
                <w:szCs w:val="20"/>
                <w:color w:val="auto"/>
              </w:rPr>
            </w:pPr>
            <w:r>
              <w:rPr>
                <w:rFonts w:ascii="Times New Roman" w:cs="Times New Roman" w:eastAsia="Times New Roman" w:hAnsi="Times New Roman"/>
                <w:sz w:val="15"/>
                <w:szCs w:val="15"/>
                <w:color w:val="auto"/>
                <w:w w:val="95"/>
              </w:rPr>
              <w:t>0.9</w:t>
            </w:r>
          </w:p>
        </w:tc>
        <w:tc>
          <w:tcPr>
            <w:tcW w:w="900" w:type="dxa"/>
            <w:vAlign w:val="bottom"/>
            <w:tcBorders>
              <w:bottom w:val="single" w:sz="8" w:color="2AD2C9"/>
            </w:tcBorders>
          </w:tcPr>
          <w:p>
            <w:pPr>
              <w:jc w:val="center"/>
              <w:spacing w:after="0"/>
              <w:rPr>
                <w:sz w:val="20"/>
                <w:szCs w:val="20"/>
                <w:color w:val="auto"/>
              </w:rPr>
            </w:pPr>
            <w:r>
              <w:rPr>
                <w:rFonts w:ascii="Times New Roman" w:cs="Times New Roman" w:eastAsia="Times New Roman" w:hAnsi="Times New Roman"/>
                <w:sz w:val="15"/>
                <w:szCs w:val="15"/>
                <w:color w:val="auto"/>
              </w:rPr>
              <w:t>7.3</w:t>
            </w:r>
          </w:p>
        </w:tc>
        <w:tc>
          <w:tcPr>
            <w:tcW w:w="900" w:type="dxa"/>
            <w:vAlign w:val="bottom"/>
            <w:tcBorders>
              <w:bottom w:val="single" w:sz="8" w:color="2AD2C9"/>
            </w:tcBorders>
            <w:shd w:val="clear" w:color="auto" w:fill="D9D9D9"/>
          </w:tcPr>
          <w:p>
            <w:pPr>
              <w:jc w:val="center"/>
              <w:spacing w:after="0"/>
              <w:rPr>
                <w:sz w:val="20"/>
                <w:szCs w:val="20"/>
                <w:color w:val="auto"/>
              </w:rPr>
            </w:pPr>
            <w:r>
              <w:rPr>
                <w:rFonts w:ascii="Times New Roman" w:cs="Times New Roman" w:eastAsia="Times New Roman" w:hAnsi="Times New Roman"/>
                <w:sz w:val="15"/>
                <w:szCs w:val="15"/>
                <w:color w:val="auto"/>
                <w:w w:val="95"/>
              </w:rPr>
              <w:t>8.7</w:t>
            </w:r>
          </w:p>
        </w:tc>
      </w:tr>
      <w:tr>
        <w:trPr>
          <w:trHeight w:val="183"/>
        </w:trPr>
        <w:tc>
          <w:tcPr>
            <w:tcW w:w="4740" w:type="dxa"/>
            <w:vAlign w:val="bottom"/>
            <w:tcBorders>
              <w:bottom w:val="single" w:sz="8" w:color="2AD2C9"/>
            </w:tcBorders>
          </w:tcPr>
          <w:p>
            <w:pPr>
              <w:ind w:left="40"/>
              <w:spacing w:after="0" w:line="183" w:lineRule="exact"/>
              <w:rPr>
                <w:sz w:val="20"/>
                <w:szCs w:val="20"/>
                <w:color w:val="auto"/>
              </w:rPr>
            </w:pPr>
            <w:r>
              <w:rPr>
                <w:rFonts w:ascii="Times New Roman" w:cs="Times New Roman" w:eastAsia="Times New Roman" w:hAnsi="Times New Roman"/>
                <w:sz w:val="13"/>
                <w:szCs w:val="13"/>
                <w:color w:val="auto"/>
              </w:rPr>
              <w:t xml:space="preserve">Inflation, end of period </w:t>
            </w:r>
            <w:r>
              <w:rPr>
                <w:rFonts w:ascii="Times New Roman" w:cs="Times New Roman" w:eastAsia="Times New Roman" w:hAnsi="Times New Roman"/>
                <w:sz w:val="21"/>
                <w:szCs w:val="21"/>
                <w:color w:val="auto"/>
                <w:vertAlign w:val="superscript"/>
              </w:rPr>
              <w:t>(2)</w:t>
            </w:r>
          </w:p>
        </w:tc>
        <w:tc>
          <w:tcPr>
            <w:tcW w:w="1100" w:type="dxa"/>
            <w:vAlign w:val="bottom"/>
            <w:tcBorders>
              <w:bottom w:val="single" w:sz="8" w:color="2AD2C9"/>
            </w:tcBorders>
          </w:tcPr>
          <w:p>
            <w:pPr>
              <w:jc w:val="center"/>
              <w:ind w:left="164"/>
              <w:spacing w:after="0"/>
              <w:rPr>
                <w:sz w:val="20"/>
                <w:szCs w:val="20"/>
                <w:color w:val="auto"/>
              </w:rPr>
            </w:pPr>
            <w:r>
              <w:rPr>
                <w:rFonts w:ascii="Times New Roman" w:cs="Times New Roman" w:eastAsia="Times New Roman" w:hAnsi="Times New Roman"/>
                <w:sz w:val="15"/>
                <w:szCs w:val="15"/>
                <w:color w:val="auto"/>
                <w:w w:val="95"/>
              </w:rPr>
              <w:t>2.0</w:t>
            </w:r>
          </w:p>
        </w:tc>
        <w:tc>
          <w:tcPr>
            <w:tcW w:w="940" w:type="dxa"/>
            <w:vAlign w:val="bottom"/>
            <w:tcBorders>
              <w:bottom w:val="single" w:sz="8" w:color="2AD2C9"/>
            </w:tcBorders>
          </w:tcPr>
          <w:p>
            <w:pPr>
              <w:jc w:val="center"/>
              <w:spacing w:after="0"/>
              <w:rPr>
                <w:sz w:val="20"/>
                <w:szCs w:val="20"/>
                <w:color w:val="auto"/>
              </w:rPr>
            </w:pPr>
            <w:r>
              <w:rPr>
                <w:rFonts w:ascii="Times New Roman" w:cs="Times New Roman" w:eastAsia="Times New Roman" w:hAnsi="Times New Roman"/>
                <w:sz w:val="15"/>
                <w:szCs w:val="15"/>
                <w:color w:val="auto"/>
              </w:rPr>
              <w:t>6.4</w:t>
            </w:r>
          </w:p>
        </w:tc>
        <w:tc>
          <w:tcPr>
            <w:tcW w:w="880" w:type="dxa"/>
            <w:vAlign w:val="bottom"/>
            <w:tcBorders>
              <w:bottom w:val="single" w:sz="8" w:color="2AD2C9"/>
            </w:tcBorders>
          </w:tcPr>
          <w:p>
            <w:pPr>
              <w:jc w:val="center"/>
              <w:spacing w:after="0"/>
              <w:rPr>
                <w:sz w:val="20"/>
                <w:szCs w:val="20"/>
                <w:color w:val="auto"/>
              </w:rPr>
            </w:pPr>
            <w:r>
              <w:rPr>
                <w:rFonts w:ascii="Times New Roman" w:cs="Times New Roman" w:eastAsia="Times New Roman" w:hAnsi="Times New Roman"/>
                <w:sz w:val="15"/>
                <w:szCs w:val="15"/>
                <w:color w:val="auto"/>
              </w:rPr>
              <w:t>8.5</w:t>
            </w:r>
          </w:p>
        </w:tc>
        <w:tc>
          <w:tcPr>
            <w:tcW w:w="880" w:type="dxa"/>
            <w:vAlign w:val="bottom"/>
            <w:tcBorders>
              <w:bottom w:val="single" w:sz="8" w:color="2AD2C9"/>
            </w:tcBorders>
          </w:tcPr>
          <w:p>
            <w:pPr>
              <w:jc w:val="center"/>
              <w:spacing w:after="0"/>
              <w:rPr>
                <w:sz w:val="20"/>
                <w:szCs w:val="20"/>
                <w:color w:val="auto"/>
              </w:rPr>
            </w:pPr>
            <w:r>
              <w:rPr>
                <w:rFonts w:ascii="Times New Roman" w:cs="Times New Roman" w:eastAsia="Times New Roman" w:hAnsi="Times New Roman"/>
                <w:sz w:val="15"/>
                <w:szCs w:val="15"/>
                <w:color w:val="auto"/>
                <w:w w:val="95"/>
              </w:rPr>
              <w:t>3.2</w:t>
            </w:r>
          </w:p>
        </w:tc>
        <w:tc>
          <w:tcPr>
            <w:tcW w:w="900" w:type="dxa"/>
            <w:vAlign w:val="bottom"/>
            <w:tcBorders>
              <w:bottom w:val="single" w:sz="8" w:color="2AD2C9"/>
            </w:tcBorders>
          </w:tcPr>
          <w:p>
            <w:pPr>
              <w:jc w:val="center"/>
              <w:spacing w:after="0"/>
              <w:rPr>
                <w:sz w:val="20"/>
                <w:szCs w:val="20"/>
                <w:color w:val="auto"/>
              </w:rPr>
            </w:pPr>
            <w:r>
              <w:rPr>
                <w:rFonts w:ascii="Times New Roman" w:cs="Times New Roman" w:eastAsia="Times New Roman" w:hAnsi="Times New Roman"/>
                <w:sz w:val="15"/>
                <w:szCs w:val="15"/>
                <w:color w:val="auto"/>
                <w:w w:val="95"/>
              </w:rPr>
              <w:t>2.0</w:t>
            </w:r>
          </w:p>
        </w:tc>
        <w:tc>
          <w:tcPr>
            <w:tcW w:w="900" w:type="dxa"/>
            <w:vAlign w:val="bottom"/>
            <w:tcBorders>
              <w:bottom w:val="single" w:sz="8" w:color="2AD2C9"/>
            </w:tcBorders>
          </w:tcPr>
          <w:p>
            <w:pPr>
              <w:jc w:val="center"/>
              <w:spacing w:after="0"/>
              <w:rPr>
                <w:sz w:val="20"/>
                <w:szCs w:val="20"/>
                <w:color w:val="auto"/>
              </w:rPr>
            </w:pPr>
            <w:r>
              <w:rPr>
                <w:rFonts w:ascii="Times New Roman" w:cs="Times New Roman" w:eastAsia="Times New Roman" w:hAnsi="Times New Roman"/>
                <w:sz w:val="15"/>
                <w:szCs w:val="15"/>
                <w:color w:val="auto"/>
              </w:rPr>
              <w:t>1.5</w:t>
            </w:r>
          </w:p>
        </w:tc>
        <w:tc>
          <w:tcPr>
            <w:tcW w:w="900" w:type="dxa"/>
            <w:vAlign w:val="bottom"/>
            <w:tcBorders>
              <w:bottom w:val="single" w:sz="8" w:color="2AD2C9"/>
            </w:tcBorders>
            <w:shd w:val="clear" w:color="auto" w:fill="D9D9D9"/>
          </w:tcPr>
          <w:p>
            <w:pPr>
              <w:jc w:val="center"/>
              <w:spacing w:after="0"/>
              <w:rPr>
                <w:sz w:val="20"/>
                <w:szCs w:val="20"/>
                <w:color w:val="auto"/>
              </w:rPr>
            </w:pPr>
            <w:r>
              <w:rPr>
                <w:rFonts w:ascii="Times New Roman" w:cs="Times New Roman" w:eastAsia="Times New Roman" w:hAnsi="Times New Roman"/>
                <w:sz w:val="15"/>
                <w:szCs w:val="15"/>
                <w:color w:val="auto"/>
                <w:w w:val="95"/>
              </w:rPr>
              <w:t>4.2</w:t>
            </w:r>
          </w:p>
        </w:tc>
      </w:tr>
      <w:tr>
        <w:trPr>
          <w:trHeight w:val="183"/>
        </w:trPr>
        <w:tc>
          <w:tcPr>
            <w:tcW w:w="4740" w:type="dxa"/>
            <w:vAlign w:val="bottom"/>
            <w:tcBorders>
              <w:bottom w:val="single" w:sz="8" w:color="2AD2C9"/>
            </w:tcBorders>
          </w:tcPr>
          <w:p>
            <w:pPr>
              <w:ind w:left="40"/>
              <w:spacing w:after="0"/>
              <w:rPr>
                <w:sz w:val="20"/>
                <w:szCs w:val="20"/>
                <w:color w:val="auto"/>
              </w:rPr>
            </w:pPr>
            <w:r>
              <w:rPr>
                <w:rFonts w:ascii="Times New Roman" w:cs="Times New Roman" w:eastAsia="Times New Roman" w:hAnsi="Times New Roman"/>
                <w:sz w:val="15"/>
                <w:szCs w:val="15"/>
                <w:color w:val="auto"/>
              </w:rPr>
              <w:t>Reference Rate, end of period</w:t>
            </w:r>
          </w:p>
        </w:tc>
        <w:tc>
          <w:tcPr>
            <w:tcW w:w="1100" w:type="dxa"/>
            <w:vAlign w:val="bottom"/>
            <w:tcBorders>
              <w:bottom w:val="single" w:sz="8" w:color="2AD2C9"/>
            </w:tcBorders>
          </w:tcPr>
          <w:p>
            <w:pPr>
              <w:jc w:val="center"/>
              <w:ind w:left="164"/>
              <w:spacing w:after="0"/>
              <w:rPr>
                <w:sz w:val="20"/>
                <w:szCs w:val="20"/>
                <w:color w:val="auto"/>
              </w:rPr>
            </w:pPr>
            <w:r>
              <w:rPr>
                <w:rFonts w:ascii="Times New Roman" w:cs="Times New Roman" w:eastAsia="Times New Roman" w:hAnsi="Times New Roman"/>
                <w:sz w:val="15"/>
                <w:szCs w:val="15"/>
                <w:color w:val="auto"/>
                <w:w w:val="98"/>
              </w:rPr>
              <w:t>0.25</w:t>
            </w:r>
          </w:p>
        </w:tc>
        <w:tc>
          <w:tcPr>
            <w:tcW w:w="940" w:type="dxa"/>
            <w:vAlign w:val="bottom"/>
            <w:tcBorders>
              <w:bottom w:val="single" w:sz="8" w:color="2AD2C9"/>
            </w:tcBorders>
          </w:tcPr>
          <w:p>
            <w:pPr>
              <w:jc w:val="center"/>
              <w:spacing w:after="0"/>
              <w:rPr>
                <w:sz w:val="20"/>
                <w:szCs w:val="20"/>
                <w:color w:val="auto"/>
              </w:rPr>
            </w:pPr>
            <w:r>
              <w:rPr>
                <w:rFonts w:ascii="Times New Roman" w:cs="Times New Roman" w:eastAsia="Times New Roman" w:hAnsi="Times New Roman"/>
                <w:sz w:val="15"/>
                <w:szCs w:val="15"/>
                <w:color w:val="auto"/>
              </w:rPr>
              <w:t>2.50</w:t>
            </w:r>
          </w:p>
        </w:tc>
        <w:tc>
          <w:tcPr>
            <w:tcW w:w="880" w:type="dxa"/>
            <w:vAlign w:val="bottom"/>
            <w:tcBorders>
              <w:bottom w:val="single" w:sz="8" w:color="2AD2C9"/>
            </w:tcBorders>
          </w:tcPr>
          <w:p>
            <w:pPr>
              <w:jc w:val="center"/>
              <w:spacing w:after="0"/>
              <w:rPr>
                <w:sz w:val="20"/>
                <w:szCs w:val="20"/>
                <w:color w:val="auto"/>
              </w:rPr>
            </w:pPr>
            <w:r>
              <w:rPr>
                <w:rFonts w:ascii="Times New Roman" w:cs="Times New Roman" w:eastAsia="Times New Roman" w:hAnsi="Times New Roman"/>
                <w:sz w:val="15"/>
                <w:szCs w:val="15"/>
                <w:color w:val="auto"/>
                <w:w w:val="98"/>
              </w:rPr>
              <w:t>7.50</w:t>
            </w:r>
          </w:p>
        </w:tc>
        <w:tc>
          <w:tcPr>
            <w:tcW w:w="880" w:type="dxa"/>
            <w:vAlign w:val="bottom"/>
            <w:tcBorders>
              <w:bottom w:val="single" w:sz="8" w:color="2AD2C9"/>
            </w:tcBorders>
          </w:tcPr>
          <w:p>
            <w:pPr>
              <w:jc w:val="center"/>
              <w:spacing w:after="0"/>
              <w:rPr>
                <w:sz w:val="20"/>
                <w:szCs w:val="20"/>
                <w:color w:val="auto"/>
              </w:rPr>
            </w:pPr>
            <w:r>
              <w:rPr>
                <w:rFonts w:ascii="Times New Roman" w:cs="Times New Roman" w:eastAsia="Times New Roman" w:hAnsi="Times New Roman"/>
                <w:sz w:val="15"/>
                <w:szCs w:val="15"/>
                <w:color w:val="auto"/>
                <w:w w:val="98"/>
              </w:rPr>
              <w:t>6.75</w:t>
            </w:r>
          </w:p>
        </w:tc>
        <w:tc>
          <w:tcPr>
            <w:tcW w:w="900" w:type="dxa"/>
            <w:vAlign w:val="bottom"/>
            <w:tcBorders>
              <w:bottom w:val="single" w:sz="8" w:color="2AD2C9"/>
            </w:tcBorders>
          </w:tcPr>
          <w:p>
            <w:pPr>
              <w:jc w:val="center"/>
              <w:spacing w:after="0"/>
              <w:rPr>
                <w:sz w:val="20"/>
                <w:szCs w:val="20"/>
                <w:color w:val="auto"/>
              </w:rPr>
            </w:pPr>
            <w:r>
              <w:rPr>
                <w:rFonts w:ascii="Times New Roman" w:cs="Times New Roman" w:eastAsia="Times New Roman" w:hAnsi="Times New Roman"/>
                <w:sz w:val="15"/>
                <w:szCs w:val="15"/>
                <w:color w:val="auto"/>
                <w:w w:val="98"/>
              </w:rPr>
              <w:t>5.00</w:t>
            </w:r>
          </w:p>
        </w:tc>
        <w:tc>
          <w:tcPr>
            <w:tcW w:w="900" w:type="dxa"/>
            <w:vAlign w:val="bottom"/>
            <w:tcBorders>
              <w:bottom w:val="single" w:sz="8" w:color="2AD2C9"/>
            </w:tcBorders>
          </w:tcPr>
          <w:p>
            <w:pPr>
              <w:jc w:val="center"/>
              <w:spacing w:after="0"/>
              <w:rPr>
                <w:sz w:val="20"/>
                <w:szCs w:val="20"/>
                <w:color w:val="auto"/>
              </w:rPr>
            </w:pPr>
            <w:r>
              <w:rPr>
                <w:rFonts w:ascii="Times New Roman" w:cs="Times New Roman" w:eastAsia="Times New Roman" w:hAnsi="Times New Roman"/>
                <w:sz w:val="15"/>
                <w:szCs w:val="15"/>
                <w:color w:val="auto"/>
              </w:rPr>
              <w:t>4.25</w:t>
            </w:r>
          </w:p>
        </w:tc>
        <w:tc>
          <w:tcPr>
            <w:tcW w:w="900" w:type="dxa"/>
            <w:vAlign w:val="bottom"/>
            <w:tcBorders>
              <w:bottom w:val="single" w:sz="8" w:color="2AD2C9"/>
            </w:tcBorders>
            <w:shd w:val="clear" w:color="auto" w:fill="D9D9D9"/>
          </w:tcPr>
          <w:p>
            <w:pPr>
              <w:jc w:val="center"/>
              <w:spacing w:after="0"/>
              <w:rPr>
                <w:sz w:val="20"/>
                <w:szCs w:val="20"/>
                <w:color w:val="auto"/>
              </w:rPr>
            </w:pPr>
            <w:r>
              <w:rPr>
                <w:rFonts w:ascii="Times New Roman" w:cs="Times New Roman" w:eastAsia="Times New Roman" w:hAnsi="Times New Roman"/>
                <w:sz w:val="15"/>
                <w:szCs w:val="15"/>
                <w:color w:val="auto"/>
              </w:rPr>
              <w:t>4.50 - 4.75</w:t>
            </w:r>
          </w:p>
        </w:tc>
      </w:tr>
      <w:tr>
        <w:trPr>
          <w:trHeight w:val="158"/>
        </w:trPr>
        <w:tc>
          <w:tcPr>
            <w:tcW w:w="4740" w:type="dxa"/>
            <w:vAlign w:val="bottom"/>
          </w:tcPr>
          <w:p>
            <w:pPr>
              <w:ind w:left="40"/>
              <w:spacing w:after="0" w:line="158" w:lineRule="exact"/>
              <w:rPr>
                <w:sz w:val="20"/>
                <w:szCs w:val="20"/>
                <w:color w:val="auto"/>
              </w:rPr>
            </w:pPr>
            <w:r>
              <w:rPr>
                <w:rFonts w:ascii="Times New Roman" w:cs="Times New Roman" w:eastAsia="Times New Roman" w:hAnsi="Times New Roman"/>
                <w:sz w:val="15"/>
                <w:szCs w:val="15"/>
                <w:color w:val="auto"/>
              </w:rPr>
              <w:t>Exchange rate, end of period</w:t>
            </w:r>
          </w:p>
        </w:tc>
        <w:tc>
          <w:tcPr>
            <w:tcW w:w="1100" w:type="dxa"/>
            <w:vAlign w:val="bottom"/>
          </w:tcPr>
          <w:p>
            <w:pPr>
              <w:jc w:val="center"/>
              <w:ind w:left="164"/>
              <w:spacing w:after="0" w:line="158" w:lineRule="exact"/>
              <w:rPr>
                <w:sz w:val="20"/>
                <w:szCs w:val="20"/>
                <w:color w:val="auto"/>
              </w:rPr>
            </w:pPr>
            <w:r>
              <w:rPr>
                <w:rFonts w:ascii="Times New Roman" w:cs="Times New Roman" w:eastAsia="Times New Roman" w:hAnsi="Times New Roman"/>
                <w:sz w:val="15"/>
                <w:szCs w:val="15"/>
                <w:color w:val="auto"/>
                <w:w w:val="98"/>
              </w:rPr>
              <w:t>3.62</w:t>
            </w:r>
          </w:p>
        </w:tc>
        <w:tc>
          <w:tcPr>
            <w:tcW w:w="940" w:type="dxa"/>
            <w:vAlign w:val="bottom"/>
          </w:tcPr>
          <w:p>
            <w:pPr>
              <w:jc w:val="center"/>
              <w:spacing w:after="0" w:line="158" w:lineRule="exact"/>
              <w:rPr>
                <w:sz w:val="20"/>
                <w:szCs w:val="20"/>
                <w:color w:val="auto"/>
              </w:rPr>
            </w:pPr>
            <w:r>
              <w:rPr>
                <w:rFonts w:ascii="Times New Roman" w:cs="Times New Roman" w:eastAsia="Times New Roman" w:hAnsi="Times New Roman"/>
                <w:sz w:val="15"/>
                <w:szCs w:val="15"/>
                <w:color w:val="auto"/>
              </w:rPr>
              <w:t>3.99</w:t>
            </w:r>
          </w:p>
        </w:tc>
        <w:tc>
          <w:tcPr>
            <w:tcW w:w="880" w:type="dxa"/>
            <w:vAlign w:val="bottom"/>
          </w:tcPr>
          <w:p>
            <w:pPr>
              <w:jc w:val="center"/>
              <w:spacing w:after="0" w:line="158" w:lineRule="exact"/>
              <w:rPr>
                <w:sz w:val="20"/>
                <w:szCs w:val="20"/>
                <w:color w:val="auto"/>
              </w:rPr>
            </w:pPr>
            <w:r>
              <w:rPr>
                <w:rFonts w:ascii="Times New Roman" w:cs="Times New Roman" w:eastAsia="Times New Roman" w:hAnsi="Times New Roman"/>
                <w:sz w:val="15"/>
                <w:szCs w:val="15"/>
                <w:color w:val="auto"/>
                <w:w w:val="98"/>
              </w:rPr>
              <w:t>3.81</w:t>
            </w:r>
          </w:p>
        </w:tc>
        <w:tc>
          <w:tcPr>
            <w:tcW w:w="880" w:type="dxa"/>
            <w:vAlign w:val="bottom"/>
          </w:tcPr>
          <w:p>
            <w:pPr>
              <w:jc w:val="center"/>
              <w:spacing w:after="0" w:line="158" w:lineRule="exact"/>
              <w:rPr>
                <w:sz w:val="20"/>
                <w:szCs w:val="20"/>
                <w:color w:val="auto"/>
              </w:rPr>
            </w:pPr>
            <w:r>
              <w:rPr>
                <w:rFonts w:ascii="Times New Roman" w:cs="Times New Roman" w:eastAsia="Times New Roman" w:hAnsi="Times New Roman"/>
                <w:sz w:val="15"/>
                <w:szCs w:val="15"/>
                <w:color w:val="auto"/>
                <w:w w:val="98"/>
              </w:rPr>
              <w:t>3.71</w:t>
            </w:r>
          </w:p>
        </w:tc>
        <w:tc>
          <w:tcPr>
            <w:tcW w:w="900" w:type="dxa"/>
            <w:vAlign w:val="bottom"/>
          </w:tcPr>
          <w:p>
            <w:pPr>
              <w:jc w:val="center"/>
              <w:spacing w:after="0" w:line="158" w:lineRule="exact"/>
              <w:rPr>
                <w:sz w:val="20"/>
                <w:szCs w:val="20"/>
                <w:color w:val="auto"/>
              </w:rPr>
            </w:pPr>
            <w:r>
              <w:rPr>
                <w:rFonts w:ascii="Times New Roman" w:cs="Times New Roman" w:eastAsia="Times New Roman" w:hAnsi="Times New Roman"/>
                <w:sz w:val="15"/>
                <w:szCs w:val="15"/>
                <w:color w:val="auto"/>
                <w:w w:val="98"/>
              </w:rPr>
              <w:t>3.76</w:t>
            </w:r>
          </w:p>
        </w:tc>
        <w:tc>
          <w:tcPr>
            <w:tcW w:w="900" w:type="dxa"/>
            <w:vAlign w:val="bottom"/>
          </w:tcPr>
          <w:p>
            <w:pPr>
              <w:jc w:val="center"/>
              <w:spacing w:after="0" w:line="158" w:lineRule="exact"/>
              <w:rPr>
                <w:sz w:val="20"/>
                <w:szCs w:val="20"/>
                <w:color w:val="auto"/>
              </w:rPr>
            </w:pPr>
            <w:r>
              <w:rPr>
                <w:rFonts w:ascii="Times New Roman" w:cs="Times New Roman" w:eastAsia="Times New Roman" w:hAnsi="Times New Roman"/>
                <w:sz w:val="15"/>
                <w:szCs w:val="15"/>
                <w:color w:val="auto"/>
              </w:rPr>
              <w:t>3.36</w:t>
            </w:r>
          </w:p>
        </w:tc>
        <w:tc>
          <w:tcPr>
            <w:tcW w:w="900" w:type="dxa"/>
            <w:vAlign w:val="bottom"/>
            <w:shd w:val="clear" w:color="auto" w:fill="D9D9D9"/>
          </w:tcPr>
          <w:p>
            <w:pPr>
              <w:jc w:val="center"/>
              <w:spacing w:after="0" w:line="158" w:lineRule="exact"/>
              <w:rPr>
                <w:sz w:val="20"/>
                <w:szCs w:val="20"/>
                <w:color w:val="auto"/>
              </w:rPr>
            </w:pPr>
            <w:r>
              <w:rPr>
                <w:rFonts w:ascii="Times New Roman" w:cs="Times New Roman" w:eastAsia="Times New Roman" w:hAnsi="Times New Roman"/>
                <w:sz w:val="15"/>
                <w:szCs w:val="15"/>
                <w:color w:val="auto"/>
                <w:w w:val="98"/>
              </w:rPr>
              <w:t>3.25</w:t>
            </w:r>
          </w:p>
        </w:tc>
      </w:tr>
      <w:tr>
        <w:trPr>
          <w:trHeight w:val="216"/>
        </w:trPr>
        <w:tc>
          <w:tcPr>
            <w:tcW w:w="4740" w:type="dxa"/>
            <w:vAlign w:val="bottom"/>
            <w:tcBorders>
              <w:bottom w:val="single" w:sz="8" w:color="2AD2C9"/>
            </w:tcBorders>
          </w:tcPr>
          <w:p>
            <w:pPr>
              <w:ind w:left="40"/>
              <w:spacing w:after="0" w:line="216" w:lineRule="exact"/>
              <w:rPr>
                <w:sz w:val="20"/>
                <w:szCs w:val="20"/>
                <w:color w:val="auto"/>
              </w:rPr>
            </w:pPr>
            <w:r>
              <w:rPr>
                <w:rFonts w:ascii="Times New Roman" w:cs="Times New Roman" w:eastAsia="Times New Roman" w:hAnsi="Times New Roman"/>
                <w:sz w:val="15"/>
                <w:szCs w:val="15"/>
                <w:color w:val="auto"/>
              </w:rPr>
              <w:t xml:space="preserve">Exchange rate, (% change) </w:t>
            </w:r>
            <w:r>
              <w:rPr>
                <w:rFonts w:ascii="Times New Roman" w:cs="Times New Roman" w:eastAsia="Times New Roman" w:hAnsi="Times New Roman"/>
                <w:sz w:val="25"/>
                <w:szCs w:val="25"/>
                <w:color w:val="auto"/>
                <w:vertAlign w:val="superscript"/>
              </w:rPr>
              <w:t>(3)</w:t>
            </w:r>
          </w:p>
        </w:tc>
        <w:tc>
          <w:tcPr>
            <w:tcW w:w="1100" w:type="dxa"/>
            <w:vAlign w:val="bottom"/>
            <w:tcBorders>
              <w:bottom w:val="single" w:sz="8" w:color="2AD2C9"/>
            </w:tcBorders>
          </w:tcPr>
          <w:p>
            <w:pPr>
              <w:jc w:val="center"/>
              <w:ind w:left="164"/>
              <w:spacing w:after="0"/>
              <w:rPr>
                <w:sz w:val="20"/>
                <w:szCs w:val="20"/>
                <w:color w:val="auto"/>
              </w:rPr>
            </w:pPr>
            <w:r>
              <w:rPr>
                <w:rFonts w:ascii="Times New Roman" w:cs="Times New Roman" w:eastAsia="Times New Roman" w:hAnsi="Times New Roman"/>
                <w:sz w:val="15"/>
                <w:szCs w:val="15"/>
                <w:color w:val="auto"/>
              </w:rPr>
              <w:t>-9.3%</w:t>
            </w:r>
          </w:p>
        </w:tc>
        <w:tc>
          <w:tcPr>
            <w:tcW w:w="940" w:type="dxa"/>
            <w:vAlign w:val="bottom"/>
            <w:tcBorders>
              <w:bottom w:val="single" w:sz="8" w:color="2AD2C9"/>
            </w:tcBorders>
          </w:tcPr>
          <w:p>
            <w:pPr>
              <w:jc w:val="center"/>
              <w:spacing w:after="0"/>
              <w:rPr>
                <w:sz w:val="20"/>
                <w:szCs w:val="20"/>
                <w:color w:val="auto"/>
              </w:rPr>
            </w:pPr>
            <w:r>
              <w:rPr>
                <w:rFonts w:ascii="Times New Roman" w:cs="Times New Roman" w:eastAsia="Times New Roman" w:hAnsi="Times New Roman"/>
                <w:sz w:val="15"/>
                <w:szCs w:val="15"/>
                <w:color w:val="auto"/>
              </w:rPr>
              <w:t>-10.3%</w:t>
            </w:r>
          </w:p>
        </w:tc>
        <w:tc>
          <w:tcPr>
            <w:tcW w:w="880" w:type="dxa"/>
            <w:vAlign w:val="bottom"/>
            <w:tcBorders>
              <w:bottom w:val="single" w:sz="8" w:color="2AD2C9"/>
            </w:tcBorders>
          </w:tcPr>
          <w:p>
            <w:pPr>
              <w:jc w:val="center"/>
              <w:spacing w:after="0"/>
              <w:rPr>
                <w:sz w:val="20"/>
                <w:szCs w:val="20"/>
                <w:color w:val="auto"/>
              </w:rPr>
            </w:pPr>
            <w:r>
              <w:rPr>
                <w:rFonts w:ascii="Times New Roman" w:cs="Times New Roman" w:eastAsia="Times New Roman" w:hAnsi="Times New Roman"/>
                <w:sz w:val="15"/>
                <w:szCs w:val="15"/>
                <w:color w:val="auto"/>
              </w:rPr>
              <w:t>4.5%</w:t>
            </w:r>
          </w:p>
        </w:tc>
        <w:tc>
          <w:tcPr>
            <w:tcW w:w="880" w:type="dxa"/>
            <w:vAlign w:val="bottom"/>
            <w:tcBorders>
              <w:bottom w:val="single" w:sz="8" w:color="2AD2C9"/>
            </w:tcBorders>
          </w:tcPr>
          <w:p>
            <w:pPr>
              <w:jc w:val="center"/>
              <w:spacing w:after="0"/>
              <w:rPr>
                <w:sz w:val="20"/>
                <w:szCs w:val="20"/>
                <w:color w:val="auto"/>
              </w:rPr>
            </w:pPr>
            <w:r>
              <w:rPr>
                <w:rFonts w:ascii="Times New Roman" w:cs="Times New Roman" w:eastAsia="Times New Roman" w:hAnsi="Times New Roman"/>
                <w:sz w:val="15"/>
                <w:szCs w:val="15"/>
                <w:color w:val="auto"/>
              </w:rPr>
              <w:t>2.7%</w:t>
            </w:r>
          </w:p>
        </w:tc>
        <w:tc>
          <w:tcPr>
            <w:tcW w:w="900" w:type="dxa"/>
            <w:vAlign w:val="bottom"/>
            <w:tcBorders>
              <w:bottom w:val="single" w:sz="8" w:color="2AD2C9"/>
            </w:tcBorders>
          </w:tcPr>
          <w:p>
            <w:pPr>
              <w:jc w:val="center"/>
              <w:spacing w:after="0"/>
              <w:rPr>
                <w:sz w:val="20"/>
                <w:szCs w:val="20"/>
                <w:color w:val="auto"/>
              </w:rPr>
            </w:pPr>
            <w:r>
              <w:rPr>
                <w:rFonts w:ascii="Times New Roman" w:cs="Times New Roman" w:eastAsia="Times New Roman" w:hAnsi="Times New Roman"/>
                <w:sz w:val="15"/>
                <w:szCs w:val="15"/>
                <w:color w:val="auto"/>
              </w:rPr>
              <w:t>-1.3%</w:t>
            </w:r>
          </w:p>
        </w:tc>
        <w:tc>
          <w:tcPr>
            <w:tcW w:w="900" w:type="dxa"/>
            <w:vAlign w:val="bottom"/>
            <w:tcBorders>
              <w:bottom w:val="single" w:sz="8" w:color="2AD2C9"/>
            </w:tcBorders>
          </w:tcPr>
          <w:p>
            <w:pPr>
              <w:jc w:val="center"/>
              <w:spacing w:after="0"/>
              <w:rPr>
                <w:sz w:val="20"/>
                <w:szCs w:val="20"/>
                <w:color w:val="auto"/>
              </w:rPr>
            </w:pPr>
            <w:r>
              <w:rPr>
                <w:rFonts w:ascii="Times New Roman" w:cs="Times New Roman" w:eastAsia="Times New Roman" w:hAnsi="Times New Roman"/>
                <w:sz w:val="15"/>
                <w:szCs w:val="15"/>
                <w:color w:val="auto"/>
              </w:rPr>
              <w:t>10.6%</w:t>
            </w:r>
          </w:p>
        </w:tc>
        <w:tc>
          <w:tcPr>
            <w:tcW w:w="900" w:type="dxa"/>
            <w:vAlign w:val="bottom"/>
            <w:tcBorders>
              <w:bottom w:val="single" w:sz="8" w:color="2AD2C9"/>
            </w:tcBorders>
            <w:shd w:val="clear" w:color="auto" w:fill="D9D9D9"/>
          </w:tcPr>
          <w:p>
            <w:pPr>
              <w:jc w:val="center"/>
              <w:spacing w:after="0"/>
              <w:rPr>
                <w:sz w:val="20"/>
                <w:szCs w:val="20"/>
                <w:color w:val="auto"/>
              </w:rPr>
            </w:pPr>
            <w:r>
              <w:rPr>
                <w:rFonts w:ascii="Times New Roman" w:cs="Times New Roman" w:eastAsia="Times New Roman" w:hAnsi="Times New Roman"/>
                <w:sz w:val="15"/>
                <w:szCs w:val="15"/>
                <w:color w:val="auto"/>
                <w:w w:val="95"/>
              </w:rPr>
              <w:t>3.3%</w:t>
            </w:r>
          </w:p>
        </w:tc>
      </w:tr>
      <w:tr>
        <w:trPr>
          <w:trHeight w:val="171"/>
        </w:trPr>
        <w:tc>
          <w:tcPr>
            <w:tcW w:w="4740" w:type="dxa"/>
            <w:vAlign w:val="bottom"/>
          </w:tcPr>
          <w:p>
            <w:pPr>
              <w:ind w:left="40"/>
              <w:spacing w:after="0" w:line="171" w:lineRule="exact"/>
              <w:rPr>
                <w:sz w:val="20"/>
                <w:szCs w:val="20"/>
                <w:color w:val="auto"/>
              </w:rPr>
            </w:pPr>
            <w:r>
              <w:rPr>
                <w:rFonts w:ascii="Times New Roman" w:cs="Times New Roman" w:eastAsia="Times New Roman" w:hAnsi="Times New Roman"/>
                <w:sz w:val="15"/>
                <w:szCs w:val="15"/>
                <w:color w:val="auto"/>
              </w:rPr>
              <w:t>Fiscal balance (% GDP)</w:t>
            </w:r>
          </w:p>
        </w:tc>
        <w:tc>
          <w:tcPr>
            <w:tcW w:w="1100" w:type="dxa"/>
            <w:vAlign w:val="bottom"/>
          </w:tcPr>
          <w:p>
            <w:pPr>
              <w:jc w:val="center"/>
              <w:ind w:left="144"/>
              <w:spacing w:after="0" w:line="171" w:lineRule="exact"/>
              <w:rPr>
                <w:sz w:val="20"/>
                <w:szCs w:val="20"/>
                <w:color w:val="auto"/>
              </w:rPr>
            </w:pPr>
            <w:r>
              <w:rPr>
                <w:rFonts w:ascii="Times New Roman" w:cs="Times New Roman" w:eastAsia="Times New Roman" w:hAnsi="Times New Roman"/>
                <w:sz w:val="15"/>
                <w:szCs w:val="15"/>
                <w:color w:val="auto"/>
              </w:rPr>
              <w:t>-8.7</w:t>
            </w:r>
          </w:p>
        </w:tc>
        <w:tc>
          <w:tcPr>
            <w:tcW w:w="940" w:type="dxa"/>
            <w:vAlign w:val="bottom"/>
          </w:tcPr>
          <w:p>
            <w:pPr>
              <w:jc w:val="center"/>
              <w:spacing w:after="0" w:line="171" w:lineRule="exact"/>
              <w:rPr>
                <w:sz w:val="20"/>
                <w:szCs w:val="20"/>
                <w:color w:val="auto"/>
              </w:rPr>
            </w:pPr>
            <w:r>
              <w:rPr>
                <w:rFonts w:ascii="Times New Roman" w:cs="Times New Roman" w:eastAsia="Times New Roman" w:hAnsi="Times New Roman"/>
                <w:sz w:val="15"/>
                <w:szCs w:val="15"/>
                <w:color w:val="auto"/>
              </w:rPr>
              <w:t>-2.5</w:t>
            </w:r>
          </w:p>
        </w:tc>
        <w:tc>
          <w:tcPr>
            <w:tcW w:w="880" w:type="dxa"/>
            <w:vAlign w:val="bottom"/>
          </w:tcPr>
          <w:p>
            <w:pPr>
              <w:jc w:val="center"/>
              <w:spacing w:after="0" w:line="171" w:lineRule="exact"/>
              <w:rPr>
                <w:sz w:val="20"/>
                <w:szCs w:val="20"/>
                <w:color w:val="auto"/>
              </w:rPr>
            </w:pPr>
            <w:r>
              <w:rPr>
                <w:rFonts w:ascii="Times New Roman" w:cs="Times New Roman" w:eastAsia="Times New Roman" w:hAnsi="Times New Roman"/>
                <w:sz w:val="15"/>
                <w:szCs w:val="15"/>
                <w:color w:val="auto"/>
              </w:rPr>
              <w:t>-1.7</w:t>
            </w:r>
          </w:p>
        </w:tc>
        <w:tc>
          <w:tcPr>
            <w:tcW w:w="880" w:type="dxa"/>
            <w:vAlign w:val="bottom"/>
          </w:tcPr>
          <w:p>
            <w:pPr>
              <w:jc w:val="center"/>
              <w:spacing w:after="0" w:line="171" w:lineRule="exact"/>
              <w:rPr>
                <w:sz w:val="20"/>
                <w:szCs w:val="20"/>
                <w:color w:val="auto"/>
              </w:rPr>
            </w:pPr>
            <w:r>
              <w:rPr>
                <w:rFonts w:ascii="Times New Roman" w:cs="Times New Roman" w:eastAsia="Times New Roman" w:hAnsi="Times New Roman"/>
                <w:sz w:val="15"/>
                <w:szCs w:val="15"/>
                <w:color w:val="auto"/>
              </w:rPr>
              <w:t>-2.7</w:t>
            </w:r>
          </w:p>
        </w:tc>
        <w:tc>
          <w:tcPr>
            <w:tcW w:w="900" w:type="dxa"/>
            <w:vAlign w:val="bottom"/>
          </w:tcPr>
          <w:p>
            <w:pPr>
              <w:jc w:val="center"/>
              <w:spacing w:after="0" w:line="171" w:lineRule="exact"/>
              <w:rPr>
                <w:sz w:val="20"/>
                <w:szCs w:val="20"/>
                <w:color w:val="auto"/>
              </w:rPr>
            </w:pPr>
            <w:r>
              <w:rPr>
                <w:rFonts w:ascii="Times New Roman" w:cs="Times New Roman" w:eastAsia="Times New Roman" w:hAnsi="Times New Roman"/>
                <w:sz w:val="15"/>
                <w:szCs w:val="15"/>
                <w:color w:val="auto"/>
              </w:rPr>
              <w:t>-3.4</w:t>
            </w:r>
          </w:p>
        </w:tc>
        <w:tc>
          <w:tcPr>
            <w:tcW w:w="900" w:type="dxa"/>
            <w:vAlign w:val="bottom"/>
          </w:tcPr>
          <w:p>
            <w:pPr>
              <w:jc w:val="center"/>
              <w:spacing w:after="0" w:line="171" w:lineRule="exact"/>
              <w:rPr>
                <w:sz w:val="20"/>
                <w:szCs w:val="20"/>
                <w:color w:val="auto"/>
              </w:rPr>
            </w:pPr>
            <w:r>
              <w:rPr>
                <w:rFonts w:ascii="Times New Roman" w:cs="Times New Roman" w:eastAsia="Times New Roman" w:hAnsi="Times New Roman"/>
                <w:sz w:val="15"/>
                <w:szCs w:val="15"/>
                <w:color w:val="auto"/>
              </w:rPr>
              <w:t>-2.2</w:t>
            </w:r>
          </w:p>
        </w:tc>
        <w:tc>
          <w:tcPr>
            <w:tcW w:w="900" w:type="dxa"/>
            <w:vAlign w:val="bottom"/>
            <w:shd w:val="clear" w:color="auto" w:fill="D9D9D9"/>
          </w:tcPr>
          <w:p>
            <w:pPr>
              <w:jc w:val="center"/>
              <w:spacing w:after="0" w:line="171" w:lineRule="exact"/>
              <w:rPr>
                <w:sz w:val="20"/>
                <w:szCs w:val="20"/>
                <w:color w:val="auto"/>
              </w:rPr>
            </w:pPr>
            <w:r>
              <w:rPr>
                <w:rFonts w:ascii="Times New Roman" w:cs="Times New Roman" w:eastAsia="Times New Roman" w:hAnsi="Times New Roman"/>
                <w:sz w:val="15"/>
                <w:szCs w:val="15"/>
                <w:color w:val="auto"/>
              </w:rPr>
              <w:t>-2.0</w:t>
            </w:r>
          </w:p>
        </w:tc>
      </w:tr>
      <w:tr>
        <w:trPr>
          <w:trHeight w:val="200"/>
        </w:trPr>
        <w:tc>
          <w:tcPr>
            <w:tcW w:w="4740" w:type="dxa"/>
            <w:vAlign w:val="bottom"/>
            <w:tcBorders>
              <w:bottom w:val="single" w:sz="8" w:color="2AD2C9"/>
            </w:tcBorders>
          </w:tcPr>
          <w:p>
            <w:pPr>
              <w:ind w:left="40"/>
              <w:spacing w:after="0"/>
              <w:rPr>
                <w:sz w:val="20"/>
                <w:szCs w:val="20"/>
                <w:color w:val="auto"/>
              </w:rPr>
            </w:pPr>
            <w:r>
              <w:rPr>
                <w:rFonts w:ascii="Times New Roman" w:cs="Times New Roman" w:eastAsia="Times New Roman" w:hAnsi="Times New Roman"/>
                <w:sz w:val="15"/>
                <w:szCs w:val="15"/>
                <w:color w:val="auto"/>
              </w:rPr>
              <w:t>Public Debt (as % GDP)</w:t>
            </w:r>
          </w:p>
        </w:tc>
        <w:tc>
          <w:tcPr>
            <w:tcW w:w="1100" w:type="dxa"/>
            <w:vAlign w:val="bottom"/>
            <w:tcBorders>
              <w:bottom w:val="single" w:sz="8" w:color="2AD2C9"/>
            </w:tcBorders>
          </w:tcPr>
          <w:p>
            <w:pPr>
              <w:jc w:val="center"/>
              <w:ind w:left="164"/>
              <w:spacing w:after="0"/>
              <w:rPr>
                <w:sz w:val="20"/>
                <w:szCs w:val="20"/>
                <w:color w:val="auto"/>
              </w:rPr>
            </w:pPr>
            <w:r>
              <w:rPr>
                <w:rFonts w:ascii="Times New Roman" w:cs="Times New Roman" w:eastAsia="Times New Roman" w:hAnsi="Times New Roman"/>
                <w:sz w:val="15"/>
                <w:szCs w:val="15"/>
                <w:color w:val="auto"/>
                <w:w w:val="93"/>
              </w:rPr>
              <w:t>34</w:t>
            </w:r>
          </w:p>
        </w:tc>
        <w:tc>
          <w:tcPr>
            <w:tcW w:w="940" w:type="dxa"/>
            <w:vAlign w:val="bottom"/>
            <w:tcBorders>
              <w:bottom w:val="single" w:sz="8" w:color="2AD2C9"/>
            </w:tcBorders>
          </w:tcPr>
          <w:p>
            <w:pPr>
              <w:jc w:val="center"/>
              <w:spacing w:after="0"/>
              <w:rPr>
                <w:sz w:val="20"/>
                <w:szCs w:val="20"/>
                <w:color w:val="auto"/>
              </w:rPr>
            </w:pPr>
            <w:r>
              <w:rPr>
                <w:rFonts w:ascii="Times New Roman" w:cs="Times New Roman" w:eastAsia="Times New Roman" w:hAnsi="Times New Roman"/>
                <w:sz w:val="15"/>
                <w:szCs w:val="15"/>
                <w:color w:val="auto"/>
              </w:rPr>
              <w:t>35</w:t>
            </w:r>
          </w:p>
        </w:tc>
        <w:tc>
          <w:tcPr>
            <w:tcW w:w="880" w:type="dxa"/>
            <w:vAlign w:val="bottom"/>
            <w:tcBorders>
              <w:bottom w:val="single" w:sz="8" w:color="2AD2C9"/>
            </w:tcBorders>
          </w:tcPr>
          <w:p>
            <w:pPr>
              <w:jc w:val="center"/>
              <w:spacing w:after="0"/>
              <w:rPr>
                <w:sz w:val="20"/>
                <w:szCs w:val="20"/>
                <w:color w:val="auto"/>
              </w:rPr>
            </w:pPr>
            <w:r>
              <w:rPr>
                <w:rFonts w:ascii="Times New Roman" w:cs="Times New Roman" w:eastAsia="Times New Roman" w:hAnsi="Times New Roman"/>
                <w:sz w:val="15"/>
                <w:szCs w:val="15"/>
                <w:color w:val="auto"/>
              </w:rPr>
              <w:t>33</w:t>
            </w:r>
          </w:p>
        </w:tc>
        <w:tc>
          <w:tcPr>
            <w:tcW w:w="880" w:type="dxa"/>
            <w:vAlign w:val="bottom"/>
            <w:tcBorders>
              <w:bottom w:val="single" w:sz="8" w:color="2AD2C9"/>
            </w:tcBorders>
          </w:tcPr>
          <w:p>
            <w:pPr>
              <w:jc w:val="center"/>
              <w:spacing w:after="0"/>
              <w:rPr>
                <w:sz w:val="20"/>
                <w:szCs w:val="20"/>
                <w:color w:val="auto"/>
              </w:rPr>
            </w:pPr>
            <w:r>
              <w:rPr>
                <w:rFonts w:ascii="Times New Roman" w:cs="Times New Roman" w:eastAsia="Times New Roman" w:hAnsi="Times New Roman"/>
                <w:sz w:val="15"/>
                <w:szCs w:val="15"/>
                <w:color w:val="auto"/>
              </w:rPr>
              <w:t>32</w:t>
            </w:r>
          </w:p>
        </w:tc>
        <w:tc>
          <w:tcPr>
            <w:tcW w:w="900" w:type="dxa"/>
            <w:vAlign w:val="bottom"/>
            <w:tcBorders>
              <w:bottom w:val="single" w:sz="8" w:color="2AD2C9"/>
            </w:tcBorders>
          </w:tcPr>
          <w:p>
            <w:pPr>
              <w:jc w:val="center"/>
              <w:spacing w:after="0"/>
              <w:rPr>
                <w:sz w:val="20"/>
                <w:szCs w:val="20"/>
                <w:color w:val="auto"/>
              </w:rPr>
            </w:pPr>
            <w:r>
              <w:rPr>
                <w:rFonts w:ascii="Times New Roman" w:cs="Times New Roman" w:eastAsia="Times New Roman" w:hAnsi="Times New Roman"/>
                <w:sz w:val="15"/>
                <w:szCs w:val="15"/>
                <w:color w:val="auto"/>
                <w:w w:val="93"/>
              </w:rPr>
              <w:t>32</w:t>
            </w:r>
          </w:p>
        </w:tc>
        <w:tc>
          <w:tcPr>
            <w:tcW w:w="900" w:type="dxa"/>
            <w:vAlign w:val="bottom"/>
            <w:tcBorders>
              <w:bottom w:val="single" w:sz="8" w:color="2AD2C9"/>
            </w:tcBorders>
          </w:tcPr>
          <w:p>
            <w:pPr>
              <w:jc w:val="center"/>
              <w:spacing w:after="0"/>
              <w:rPr>
                <w:sz w:val="20"/>
                <w:szCs w:val="20"/>
                <w:color w:val="auto"/>
              </w:rPr>
            </w:pPr>
            <w:r>
              <w:rPr>
                <w:rFonts w:ascii="Times New Roman" w:cs="Times New Roman" w:eastAsia="Times New Roman" w:hAnsi="Times New Roman"/>
                <w:sz w:val="15"/>
                <w:szCs w:val="15"/>
                <w:color w:val="auto"/>
              </w:rPr>
              <w:t>30</w:t>
            </w:r>
          </w:p>
        </w:tc>
        <w:tc>
          <w:tcPr>
            <w:tcW w:w="900" w:type="dxa"/>
            <w:vAlign w:val="bottom"/>
            <w:tcBorders>
              <w:bottom w:val="single" w:sz="8" w:color="2AD2C9"/>
            </w:tcBorders>
            <w:shd w:val="clear" w:color="auto" w:fill="D9D9D9"/>
          </w:tcPr>
          <w:p>
            <w:pPr>
              <w:jc w:val="center"/>
              <w:spacing w:after="0"/>
              <w:rPr>
                <w:sz w:val="20"/>
                <w:szCs w:val="20"/>
                <w:color w:val="auto"/>
              </w:rPr>
            </w:pPr>
            <w:r>
              <w:rPr>
                <w:rFonts w:ascii="Times New Roman" w:cs="Times New Roman" w:eastAsia="Times New Roman" w:hAnsi="Times New Roman"/>
                <w:sz w:val="15"/>
                <w:szCs w:val="15"/>
                <w:color w:val="auto"/>
                <w:w w:val="93"/>
              </w:rPr>
              <w:t>30</w:t>
            </w:r>
          </w:p>
        </w:tc>
      </w:tr>
      <w:tr>
        <w:trPr>
          <w:trHeight w:val="173"/>
        </w:trPr>
        <w:tc>
          <w:tcPr>
            <w:tcW w:w="474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Trade balance (US$ bn)</w:t>
            </w:r>
          </w:p>
        </w:tc>
        <w:tc>
          <w:tcPr>
            <w:tcW w:w="1100" w:type="dxa"/>
            <w:vAlign w:val="bottom"/>
          </w:tcPr>
          <w:p>
            <w:pPr>
              <w:jc w:val="center"/>
              <w:ind w:left="164"/>
              <w:spacing w:after="0"/>
              <w:rPr>
                <w:sz w:val="20"/>
                <w:szCs w:val="20"/>
                <w:color w:val="auto"/>
              </w:rPr>
            </w:pPr>
            <w:r>
              <w:rPr>
                <w:rFonts w:ascii="Times New Roman" w:cs="Times New Roman" w:eastAsia="Times New Roman" w:hAnsi="Times New Roman"/>
                <w:sz w:val="15"/>
                <w:szCs w:val="15"/>
                <w:color w:val="auto"/>
                <w:w w:val="79"/>
              </w:rPr>
              <w:t>8</w:t>
            </w:r>
          </w:p>
        </w:tc>
        <w:tc>
          <w:tcPr>
            <w:tcW w:w="9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15</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10</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17</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24</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35</w:t>
            </w:r>
          </w:p>
        </w:tc>
        <w:tc>
          <w:tcPr>
            <w:tcW w:w="90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5"/>
                <w:szCs w:val="15"/>
                <w:color w:val="auto"/>
                <w:w w:val="93"/>
              </w:rPr>
              <w:t>43</w:t>
            </w:r>
          </w:p>
        </w:tc>
      </w:tr>
      <w:tr>
        <w:trPr>
          <w:trHeight w:val="190"/>
        </w:trPr>
        <w:tc>
          <w:tcPr>
            <w:tcW w:w="474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(As % GDP)</w:t>
            </w:r>
          </w:p>
        </w:tc>
        <w:tc>
          <w:tcPr>
            <w:tcW w:w="1100" w:type="dxa"/>
            <w:vAlign w:val="bottom"/>
          </w:tcPr>
          <w:p>
            <w:pPr>
              <w:jc w:val="center"/>
              <w:ind w:left="144"/>
              <w:spacing w:after="0"/>
              <w:rPr>
                <w:sz w:val="20"/>
                <w:szCs w:val="20"/>
                <w:color w:val="auto"/>
              </w:rPr>
            </w:pPr>
            <w:r>
              <w:rPr>
                <w:rFonts w:ascii="Times New Roman" w:cs="Times New Roman" w:eastAsia="Times New Roman" w:hAnsi="Times New Roman"/>
                <w:sz w:val="15"/>
                <w:szCs w:val="15"/>
                <w:color w:val="auto"/>
              </w:rPr>
              <w:t>3.9%</w:t>
            </w:r>
          </w:p>
        </w:tc>
        <w:tc>
          <w:tcPr>
            <w:tcW w:w="9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6.6%</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4.2%</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6.3%</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8.2%</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10.1%</w:t>
            </w:r>
          </w:p>
        </w:tc>
        <w:tc>
          <w:tcPr>
            <w:tcW w:w="90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5"/>
                <w:szCs w:val="15"/>
                <w:color w:val="auto"/>
                <w:w w:val="97"/>
              </w:rPr>
              <w:t>11.0%</w:t>
            </w:r>
          </w:p>
        </w:tc>
      </w:tr>
      <w:tr>
        <w:trPr>
          <w:trHeight w:val="190"/>
        </w:trPr>
        <w:tc>
          <w:tcPr>
            <w:tcW w:w="474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Exports</w:t>
            </w:r>
          </w:p>
        </w:tc>
        <w:tc>
          <w:tcPr>
            <w:tcW w:w="1100" w:type="dxa"/>
            <w:vAlign w:val="bottom"/>
          </w:tcPr>
          <w:p>
            <w:pPr>
              <w:jc w:val="center"/>
              <w:ind w:left="164"/>
              <w:spacing w:after="0"/>
              <w:rPr>
                <w:sz w:val="20"/>
                <w:szCs w:val="20"/>
                <w:color w:val="auto"/>
              </w:rPr>
            </w:pPr>
            <w:r>
              <w:rPr>
                <w:rFonts w:ascii="Times New Roman" w:cs="Times New Roman" w:eastAsia="Times New Roman" w:hAnsi="Times New Roman"/>
                <w:sz w:val="15"/>
                <w:szCs w:val="15"/>
                <w:color w:val="auto"/>
                <w:w w:val="93"/>
              </w:rPr>
              <w:t>43</w:t>
            </w:r>
          </w:p>
        </w:tc>
        <w:tc>
          <w:tcPr>
            <w:tcW w:w="9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63</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66</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67</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76</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93</w:t>
            </w:r>
          </w:p>
        </w:tc>
        <w:tc>
          <w:tcPr>
            <w:tcW w:w="90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5"/>
                <w:szCs w:val="15"/>
                <w:color w:val="auto"/>
                <w:w w:val="97"/>
              </w:rPr>
              <w:t>112</w:t>
            </w:r>
          </w:p>
        </w:tc>
      </w:tr>
      <w:tr>
        <w:trPr>
          <w:trHeight w:val="190"/>
        </w:trPr>
        <w:tc>
          <w:tcPr>
            <w:tcW w:w="474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Imports</w:t>
            </w:r>
          </w:p>
        </w:tc>
        <w:tc>
          <w:tcPr>
            <w:tcW w:w="1100" w:type="dxa"/>
            <w:vAlign w:val="bottom"/>
          </w:tcPr>
          <w:p>
            <w:pPr>
              <w:jc w:val="center"/>
              <w:ind w:left="164"/>
              <w:spacing w:after="0"/>
              <w:rPr>
                <w:sz w:val="20"/>
                <w:szCs w:val="20"/>
                <w:color w:val="auto"/>
              </w:rPr>
            </w:pPr>
            <w:r>
              <w:rPr>
                <w:rFonts w:ascii="Times New Roman" w:cs="Times New Roman" w:eastAsia="Times New Roman" w:hAnsi="Times New Roman"/>
                <w:sz w:val="15"/>
                <w:szCs w:val="15"/>
                <w:color w:val="auto"/>
                <w:w w:val="93"/>
              </w:rPr>
              <w:t>35</w:t>
            </w:r>
          </w:p>
        </w:tc>
        <w:tc>
          <w:tcPr>
            <w:tcW w:w="9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48</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56</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50</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52</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59</w:t>
            </w:r>
          </w:p>
        </w:tc>
        <w:tc>
          <w:tcPr>
            <w:tcW w:w="90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5"/>
                <w:szCs w:val="15"/>
                <w:color w:val="auto"/>
                <w:w w:val="93"/>
              </w:rPr>
              <w:t>69</w:t>
            </w:r>
          </w:p>
        </w:tc>
      </w:tr>
      <w:tr>
        <w:trPr>
          <w:trHeight w:val="190"/>
        </w:trPr>
        <w:tc>
          <w:tcPr>
            <w:tcW w:w="474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Current account balance (As % GDP)</w:t>
            </w:r>
          </w:p>
        </w:tc>
        <w:tc>
          <w:tcPr>
            <w:tcW w:w="1100" w:type="dxa"/>
            <w:vAlign w:val="bottom"/>
          </w:tcPr>
          <w:p>
            <w:pPr>
              <w:jc w:val="center"/>
              <w:ind w:left="144"/>
              <w:spacing w:after="0"/>
              <w:rPr>
                <w:sz w:val="20"/>
                <w:szCs w:val="20"/>
                <w:color w:val="auto"/>
              </w:rPr>
            </w:pPr>
            <w:r>
              <w:rPr>
                <w:rFonts w:ascii="Times New Roman" w:cs="Times New Roman" w:eastAsia="Times New Roman" w:hAnsi="Times New Roman"/>
                <w:sz w:val="15"/>
                <w:szCs w:val="15"/>
                <w:color w:val="auto"/>
              </w:rPr>
              <w:t>0.8%</w:t>
            </w:r>
          </w:p>
        </w:tc>
        <w:tc>
          <w:tcPr>
            <w:tcW w:w="9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-2.2%</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-4.0%</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0.3%</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2.2%</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3.1%</w:t>
            </w:r>
          </w:p>
        </w:tc>
        <w:tc>
          <w:tcPr>
            <w:tcW w:w="90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5"/>
                <w:szCs w:val="15"/>
                <w:color w:val="auto"/>
                <w:w w:val="95"/>
              </w:rPr>
              <w:t>3.3%</w:t>
            </w:r>
          </w:p>
        </w:tc>
      </w:tr>
      <w:tr>
        <w:trPr>
          <w:trHeight w:val="190"/>
        </w:trPr>
        <w:tc>
          <w:tcPr>
            <w:tcW w:w="474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Net international reserves (US$ bn)</w:t>
            </w:r>
          </w:p>
        </w:tc>
        <w:tc>
          <w:tcPr>
            <w:tcW w:w="1100" w:type="dxa"/>
            <w:vAlign w:val="bottom"/>
          </w:tcPr>
          <w:p>
            <w:pPr>
              <w:jc w:val="center"/>
              <w:ind w:left="164"/>
              <w:spacing w:after="0"/>
              <w:rPr>
                <w:sz w:val="20"/>
                <w:szCs w:val="20"/>
                <w:color w:val="auto"/>
              </w:rPr>
            </w:pPr>
            <w:r>
              <w:rPr>
                <w:rFonts w:ascii="Times New Roman" w:cs="Times New Roman" w:eastAsia="Times New Roman" w:hAnsi="Times New Roman"/>
                <w:sz w:val="15"/>
                <w:szCs w:val="15"/>
                <w:color w:val="auto"/>
                <w:w w:val="93"/>
              </w:rPr>
              <w:t>75</w:t>
            </w:r>
          </w:p>
        </w:tc>
        <w:tc>
          <w:tcPr>
            <w:tcW w:w="9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78</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72</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71</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79</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90</w:t>
            </w:r>
          </w:p>
        </w:tc>
        <w:tc>
          <w:tcPr>
            <w:tcW w:w="90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5"/>
                <w:szCs w:val="15"/>
                <w:color w:val="auto"/>
                <w:w w:val="97"/>
              </w:rPr>
              <w:t>110</w:t>
            </w:r>
          </w:p>
        </w:tc>
      </w:tr>
      <w:tr>
        <w:trPr>
          <w:trHeight w:val="190"/>
        </w:trPr>
        <w:tc>
          <w:tcPr>
            <w:tcW w:w="474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(As % GDP)</w:t>
            </w:r>
          </w:p>
        </w:tc>
        <w:tc>
          <w:tcPr>
            <w:tcW w:w="1100" w:type="dxa"/>
            <w:vAlign w:val="bottom"/>
          </w:tcPr>
          <w:p>
            <w:pPr>
              <w:jc w:val="center"/>
              <w:ind w:left="144"/>
              <w:spacing w:after="0"/>
              <w:rPr>
                <w:sz w:val="20"/>
                <w:szCs w:val="20"/>
                <w:color w:val="auto"/>
              </w:rPr>
            </w:pPr>
            <w:r>
              <w:rPr>
                <w:rFonts w:ascii="Times New Roman" w:cs="Times New Roman" w:eastAsia="Times New Roman" w:hAnsi="Times New Roman"/>
                <w:sz w:val="15"/>
                <w:szCs w:val="15"/>
                <w:color w:val="auto"/>
              </w:rPr>
              <w:t>36%</w:t>
            </w:r>
          </w:p>
        </w:tc>
        <w:tc>
          <w:tcPr>
            <w:tcW w:w="9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34%</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29%</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26%</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27%</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26%</w:t>
            </w:r>
          </w:p>
        </w:tc>
        <w:tc>
          <w:tcPr>
            <w:tcW w:w="90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5"/>
                <w:szCs w:val="15"/>
                <w:color w:val="auto"/>
                <w:w w:val="94"/>
              </w:rPr>
              <w:t>28%</w:t>
            </w:r>
          </w:p>
        </w:tc>
      </w:tr>
      <w:tr>
        <w:trPr>
          <w:trHeight w:val="202"/>
        </w:trPr>
        <w:tc>
          <w:tcPr>
            <w:tcW w:w="474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(As months of imports)</w:t>
            </w:r>
          </w:p>
        </w:tc>
        <w:tc>
          <w:tcPr>
            <w:tcW w:w="1100" w:type="dxa"/>
            <w:vAlign w:val="bottom"/>
          </w:tcPr>
          <w:p>
            <w:pPr>
              <w:jc w:val="center"/>
              <w:ind w:left="164"/>
              <w:spacing w:after="0"/>
              <w:rPr>
                <w:sz w:val="20"/>
                <w:szCs w:val="20"/>
                <w:color w:val="auto"/>
              </w:rPr>
            </w:pPr>
            <w:r>
              <w:rPr>
                <w:rFonts w:ascii="Times New Roman" w:cs="Times New Roman" w:eastAsia="Times New Roman" w:hAnsi="Times New Roman"/>
                <w:sz w:val="15"/>
                <w:szCs w:val="15"/>
                <w:color w:val="auto"/>
                <w:w w:val="93"/>
              </w:rPr>
              <w:t>26</w:t>
            </w:r>
          </w:p>
        </w:tc>
        <w:tc>
          <w:tcPr>
            <w:tcW w:w="9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20</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15</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17</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18</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19</w:t>
            </w:r>
          </w:p>
        </w:tc>
        <w:tc>
          <w:tcPr>
            <w:tcW w:w="90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5"/>
                <w:szCs w:val="15"/>
                <w:color w:val="auto"/>
                <w:w w:val="93"/>
              </w:rPr>
              <w:t>19</w:t>
            </w:r>
          </w:p>
        </w:tc>
      </w:tr>
    </w:tbl>
    <w:p>
      <w:pPr>
        <w:spacing w:after="0" w:line="217" w:lineRule="auto"/>
        <w:rPr>
          <w:sz w:val="20"/>
          <w:szCs w:val="20"/>
          <w:color w:val="auto"/>
        </w:rPr>
      </w:pPr>
      <w:r>
        <w:rPr>
          <w:rFonts w:ascii="Times New Roman" w:cs="Times New Roman" w:eastAsia="Times New Roman" w:hAnsi="Times New Roman"/>
          <w:sz w:val="14"/>
          <w:szCs w:val="14"/>
          <w:color w:val="auto"/>
        </w:rPr>
        <w:t>Sources: INEI, BCRP y SBS.</w:t>
      </w:r>
    </w:p>
    <w:p>
      <w:pPr>
        <w:ind w:left="620" w:hanging="314"/>
        <w:spacing w:after="0" w:line="208" w:lineRule="auto"/>
        <w:tabs>
          <w:tab w:leader="none" w:pos="6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End of period</w:t>
      </w:r>
    </w:p>
    <w:p>
      <w:pPr>
        <w:ind w:left="620" w:hanging="314"/>
        <w:spacing w:after="0" w:line="208" w:lineRule="auto"/>
        <w:tabs>
          <w:tab w:leader="none" w:pos="6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Inflation target: 1% - 3%</w:t>
      </w:r>
    </w:p>
    <w:p>
      <w:pPr>
        <w:ind w:left="620" w:hanging="314"/>
        <w:spacing w:after="0" w:line="208" w:lineRule="auto"/>
        <w:tabs>
          <w:tab w:leader="none" w:pos="6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Negative % change indicates depreciation</w:t>
      </w:r>
    </w:p>
    <w:p>
      <w:pPr>
        <w:ind w:left="620" w:hanging="314"/>
        <w:spacing w:after="0"/>
        <w:tabs>
          <w:tab w:leader="none" w:pos="6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Grey area indicate estimates by BCP Economic Research as of May 2026</w:t>
      </w:r>
    </w:p>
    <w:p>
      <w:pPr>
        <w:sectPr>
          <w:pgSz w:w="11900" w:h="16838" w:orient="portrait"/>
          <w:cols w:equalWidth="0" w:num="1">
            <w:col w:w="11240"/>
          </w:cols>
          <w:pgMar w:left="320" w:top="567" w:right="339" w:bottom="1440" w:gutter="0" w:footer="0" w:header="0"/>
        </w:sectPr>
      </w:pP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Main Macroeconomic Variables</w:t>
      </w:r>
    </w:p>
    <w:p>
      <w:pPr>
        <w:spacing w:after="0" w:line="173"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7"/>
          <w:szCs w:val="17"/>
          <w:b w:val="1"/>
          <w:bCs w:val="1"/>
          <w:color w:val="auto"/>
        </w:rPr>
        <w:t>Gross Domestic Product</w:t>
      </w:r>
    </w:p>
    <w:p>
      <w:pPr>
        <w:spacing w:after="0" w:line="27"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16"/>
          <w:szCs w:val="16"/>
          <w:color w:val="auto"/>
        </w:rPr>
        <w:t>(real percentage change, % YoY)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355600</wp:posOffset>
            </wp:positionH>
            <wp:positionV relativeFrom="paragraph">
              <wp:posOffset>359410</wp:posOffset>
            </wp:positionV>
            <wp:extent cx="2981960" cy="161988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981960" cy="16198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In 1Q26, GDP grew close to 3% year over year, slowing slightly relative to 4Q25 (3.2%), reflecting the impact of three simultaneous supply shocks that disrupted activity in March: (i) the conflict in the Middle East, which drove oil prices to levels not seen since 2022; (ii) the rupture of the Camisea pipeline, which interrupted gas supply for two weeks, affecting power generation, industrial activity, and transportation; and (iii) adverse weather conditions linked to the El Niño phenomenon, which weighed on agricultural and fishing production.</w:t>
      </w:r>
    </w:p>
    <w:p>
      <w:pPr>
        <w:spacing w:after="0" w:line="17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Primary sectors contracted for the first time since 3Q22. By contrast, non-primary sectors continued to expand at a solid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-3706495</wp:posOffset>
            </wp:positionH>
            <wp:positionV relativeFrom="paragraph">
              <wp:posOffset>1480820</wp:posOffset>
            </wp:positionV>
            <wp:extent cx="7140575" cy="1587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0575" cy="15875"/>
                    </a:xfrm>
                    <a:prstGeom prst="rect">
                      <a:avLst/>
                    </a:prstGeom>
                    <a:noFill/>
                  </pic:spPr>
                </pic:pic>
              </a:graphicData>
            </a:graphic>
          </wp:anchor>
        </w:drawing>
        <w:drawing>
          <wp:anchor simplePos="0" relativeHeight="251657728" behindDoc="1" locked="0" layoutInCell="0" allowOverlap="1">
            <wp:simplePos x="0" y="0"/>
            <wp:positionH relativeFrom="column">
              <wp:posOffset>-3360420</wp:posOffset>
            </wp:positionH>
            <wp:positionV relativeFrom="paragraph">
              <wp:posOffset>795655</wp:posOffset>
            </wp:positionV>
            <wp:extent cx="6447155" cy="5803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447155" cy="580390"/>
                    </a:xfrm>
                    <a:prstGeom prst="rect">
                      <a:avLst/>
                    </a:prstGeom>
                    <a:noFill/>
                  </pic:spPr>
                </pic:pic>
              </a:graphicData>
            </a:graphic>
          </wp:anchor>
        </w:drawing>
      </w:r>
    </w:p>
    <w:p>
      <w:pPr>
        <w:sectPr>
          <w:pgSz w:w="11900" w:h="16838" w:orient="portrait"/>
          <w:cols w:equalWidth="0" w:num="2">
            <w:col w:w="5120" w:space="720"/>
            <w:col w:w="5400"/>
          </w:cols>
          <w:pgMar w:left="320" w:top="567" w:right="339" w:bottom="1440" w:gutter="0" w:footer="0" w:header="0"/>
          <w:type w:val="continuous"/>
        </w:sectPr>
      </w:pPr>
    </w:p>
    <w:bookmarkStart w:id="43" w:name="page44"/>
    <w:bookmarkEnd w:id="43"/>
    <w:p>
      <w:pPr>
        <w:ind w:left="3200"/>
        <w:spacing w:after="0"/>
        <w:tabs>
          <w:tab w:leader="none" w:pos="3380" w:val="left"/>
          <w:tab w:leader="none" w:pos="9060" w:val="left"/>
        </w:tabs>
        <w:rPr>
          <w:sz w:val="20"/>
          <w:szCs w:val="20"/>
          <w:color w:val="auto"/>
        </w:rPr>
      </w:pPr>
      <w:r>
        <w:rPr>
          <w:rFonts w:ascii="Times New Roman" w:cs="Times New Roman" w:eastAsia="Times New Roman" w:hAnsi="Times New Roman"/>
          <w:sz w:val="17"/>
          <w:szCs w:val="17"/>
          <w:color w:val="A6A6A6"/>
        </w:rPr>
        <w:drawing>
          <wp:anchor simplePos="0" relativeHeight="251657728" behindDoc="1" locked="0" layoutInCell="0" allowOverlap="1">
            <wp:simplePos x="0" y="0"/>
            <wp:positionH relativeFrom="page">
              <wp:posOffset>204470</wp:posOffset>
            </wp:positionH>
            <wp:positionV relativeFrom="page">
              <wp:posOffset>88900</wp:posOffset>
            </wp:positionV>
            <wp:extent cx="7140575" cy="69278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0575" cy="692785"/>
                    </a:xfrm>
                    <a:prstGeom prst="rect">
                      <a:avLst/>
                    </a:prstGeom>
                    <a:noFill/>
                  </pic:spPr>
                </pic:pic>
              </a:graphicData>
            </a:graphic>
          </wp:anchor>
        </w:drawing>
        <w:t>|</w:t>
      </w:r>
      <w:r>
        <w:rPr>
          <w:sz w:val="20"/>
          <w:szCs w:val="20"/>
          <w:color w:val="auto"/>
        </w:rPr>
        <w:tab/>
      </w:r>
      <w:r>
        <w:rPr>
          <w:rFonts w:ascii="Times New Roman" w:cs="Times New Roman" w:eastAsia="Times New Roman" w:hAnsi="Times New Roman"/>
          <w:sz w:val="14"/>
          <w:szCs w:val="14"/>
          <w:color w:val="FFFFFF"/>
        </w:rPr>
        <w:t>Earnings Release 1Q / 2026</w:t>
      </w:r>
      <w:r>
        <w:rPr>
          <w:sz w:val="20"/>
          <w:szCs w:val="20"/>
          <w:color w:val="auto"/>
        </w:rPr>
        <w:tab/>
      </w:r>
      <w:r>
        <w:rPr>
          <w:rFonts w:ascii="Times New Roman" w:cs="Times New Roman" w:eastAsia="Times New Roman" w:hAnsi="Times New Roman"/>
          <w:sz w:val="12"/>
          <w:szCs w:val="12"/>
          <w:color w:val="FF00FF"/>
        </w:rPr>
        <w:t>Analysis of 1Q26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297180</wp:posOffset>
            </wp:positionV>
            <wp:extent cx="7140575" cy="2095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0575" cy="20955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FFFFFF"/>
        </w:rPr>
        <w:t>11. Economic Outlook</w:t>
      </w:r>
    </w:p>
    <w:p>
      <w:pPr>
        <w:spacing w:after="0" w:line="265"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pace, close to 4% year over year (similar to 4Q25), driven by construction, commerce, and services. Favorable terms of trade and inertia from the economic cycle continued to underpin the strength of domestic demand.</w:t>
      </w:r>
    </w:p>
    <w:p>
      <w:pPr>
        <w:spacing w:after="0" w:line="15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7"/>
          <w:szCs w:val="17"/>
          <w:b w:val="1"/>
          <w:bCs w:val="1"/>
          <w:color w:val="auto"/>
        </w:rPr>
        <w:t>Annual Inflation and Central Bank Reference Rate</w:t>
      </w:r>
    </w:p>
    <w:p>
      <w:pPr>
        <w:spacing w:after="0" w:line="27" w:lineRule="exact"/>
        <w:rPr>
          <w:sz w:val="20"/>
          <w:szCs w:val="20"/>
          <w:color w:val="auto"/>
        </w:rPr>
      </w:pPr>
    </w:p>
    <w:p>
      <w:pPr>
        <w:jc w:val="both"/>
        <w:ind w:left="6520" w:hanging="3379"/>
        <w:spacing w:after="0" w:line="250" w:lineRule="auto"/>
        <w:tabs>
          <w:tab w:leader="none" w:pos="650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Annual inflation in Metropolitan Lima closed 1Q26 at 3.8%, its highest level since October 2023 and well above the end-2025 reading (1.5%). As a result, inflation exceeded the upper bound of the BCRP’s target range (1%–3%) for the first time since February 2024. Nearly 80% of March’s monthly inflation was explained by transportation, fuels, and food. The three supply shocks—higher international oil prices, disruptions in natural gas supply, and adverse weather conditions associated with the El Niño phenomenon— significantly pushed prices higher. Core inflation (excluding food and energy) also accelerated, closing 1Q26 at 3.7%, its highest level since September 2023, after ending 2025 at a seven-year low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-1163320</wp:posOffset>
            </wp:positionV>
            <wp:extent cx="2820670" cy="14103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820670" cy="1410335"/>
                    </a:xfrm>
                    <a:prstGeom prst="rect">
                      <a:avLst/>
                    </a:prstGeom>
                    <a:noFill/>
                  </pic:spPr>
                </pic:pic>
              </a:graphicData>
            </a:graphic>
          </wp:anchor>
        </w:drawing>
      </w:r>
    </w:p>
    <w:p>
      <w:pPr>
        <w:spacing w:after="0" w:line="161" w:lineRule="exact"/>
        <w:rPr>
          <w:sz w:val="20"/>
          <w:szCs w:val="20"/>
          <w:color w:val="auto"/>
        </w:rPr>
      </w:pPr>
    </w:p>
    <w:p>
      <w:pPr>
        <w:ind w:left="6520"/>
        <w:spacing w:after="0" w:line="275" w:lineRule="auto"/>
        <w:rPr>
          <w:sz w:val="20"/>
          <w:szCs w:val="20"/>
          <w:color w:val="auto"/>
        </w:rPr>
      </w:pPr>
      <w:r>
        <w:rPr>
          <w:rFonts w:ascii="Times New Roman" w:cs="Times New Roman" w:eastAsia="Times New Roman" w:hAnsi="Times New Roman"/>
          <w:sz w:val="16"/>
          <w:szCs w:val="16"/>
          <w:color w:val="auto"/>
        </w:rPr>
        <w:t>In 1Q26, the BCRP kept the policy rate unchanged at 4.25%. The last adjustment took place in September 2025, when the central bank cut</w:t>
      </w:r>
    </w:p>
    <w:p>
      <w:pPr>
        <w:spacing w:after="0"/>
        <w:rPr>
          <w:sz w:val="20"/>
          <w:szCs w:val="20"/>
          <w:color w:val="auto"/>
        </w:rPr>
      </w:pPr>
      <w:r>
        <w:rPr>
          <w:rFonts w:ascii="Times New Roman" w:cs="Times New Roman" w:eastAsia="Times New Roman" w:hAnsi="Times New Roman"/>
          <w:sz w:val="17"/>
          <w:szCs w:val="17"/>
          <w:color w:val="auto"/>
        </w:rPr>
        <w:t>the rate by 25 basis points.</w:t>
      </w:r>
    </w:p>
    <w:p>
      <w:pPr>
        <w:spacing w:after="0" w:line="191"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7"/>
          <w:szCs w:val="17"/>
          <w:b w:val="1"/>
          <w:bCs w:val="1"/>
          <w:color w:val="auto"/>
        </w:rPr>
        <w:t>Fiscal and Current Account Balance</w:t>
      </w:r>
    </w:p>
    <w:p>
      <w:pPr>
        <w:spacing w:after="0" w:line="27" w:lineRule="exact"/>
        <w:rPr>
          <w:sz w:val="20"/>
          <w:szCs w:val="20"/>
          <w:color w:val="auto"/>
        </w:rPr>
      </w:pPr>
    </w:p>
    <w:p>
      <w:pPr>
        <w:ind w:left="1820"/>
        <w:spacing w:after="0"/>
        <w:tabs>
          <w:tab w:leader="none" w:pos="6500" w:val="left"/>
        </w:tabs>
        <w:rPr>
          <w:sz w:val="20"/>
          <w:szCs w:val="20"/>
          <w:color w:val="auto"/>
        </w:rPr>
      </w:pPr>
      <w:r>
        <w:rPr>
          <w:rFonts w:ascii="Times New Roman" w:cs="Times New Roman" w:eastAsia="Times New Roman" w:hAnsi="Times New Roman"/>
          <w:sz w:val="17"/>
          <w:szCs w:val="17"/>
          <w:color w:val="auto"/>
        </w:rPr>
        <w:t>(% of GDP, Accumulated over the last 4Q)</w:t>
      </w:r>
      <w:r>
        <w:rPr>
          <w:sz w:val="20"/>
          <w:szCs w:val="20"/>
          <w:color w:val="auto"/>
        </w:rPr>
        <w:tab/>
      </w:r>
      <w:r>
        <w:rPr>
          <w:rFonts w:ascii="Times New Roman" w:cs="Times New Roman" w:eastAsia="Times New Roman" w:hAnsi="Times New Roman"/>
          <w:sz w:val="17"/>
          <w:szCs w:val="17"/>
          <w:color w:val="auto"/>
        </w:rPr>
        <w:t>The annualized fiscal deficit as of March 2026 remained at 2.2% of</w:t>
      </w:r>
    </w:p>
    <w:p>
      <w:pPr>
        <w:spacing w:after="0" w:line="8"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7"/>
          <w:szCs w:val="17"/>
          <w:color w:val="auto"/>
        </w:rPr>
        <w:t>GDP, unchanged from end-2025. Fiscal revenues increased by 7.8%</w:t>
      </w:r>
    </w:p>
    <w:p>
      <w:pPr>
        <w:spacing w:after="0" w:line="8"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7"/>
          <w:szCs w:val="17"/>
          <w:color w:val="auto"/>
        </w:rPr>
        <w:t>YoY in 1Q26, supported by high metal prices and strong domestic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661670</wp:posOffset>
            </wp:positionH>
            <wp:positionV relativeFrom="paragraph">
              <wp:posOffset>-123190</wp:posOffset>
            </wp:positionV>
            <wp:extent cx="2820670" cy="15875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820670" cy="1587500"/>
                    </a:xfrm>
                    <a:prstGeom prst="rect">
                      <a:avLst/>
                    </a:prstGeom>
                    <a:noFill/>
                  </pic:spPr>
                </pic:pic>
              </a:graphicData>
            </a:graphic>
          </wp:anchor>
        </w:drawing>
      </w:r>
    </w:p>
    <w:p>
      <w:pPr>
        <w:ind w:left="6520"/>
        <w:spacing w:after="0"/>
        <w:tabs>
          <w:tab w:leader="none" w:pos="7220" w:val="left"/>
          <w:tab w:leader="none" w:pos="7720" w:val="left"/>
          <w:tab w:leader="none" w:pos="8280" w:val="left"/>
          <w:tab w:leader="none" w:pos="9020" w:val="left"/>
          <w:tab w:leader="none" w:pos="9440" w:val="left"/>
          <w:tab w:leader="none" w:pos="9740" w:val="left"/>
          <w:tab w:leader="none" w:pos="10240" w:val="left"/>
          <w:tab w:leader="none" w:pos="10680" w:val="left"/>
        </w:tabs>
        <w:rPr>
          <w:sz w:val="20"/>
          <w:szCs w:val="20"/>
          <w:color w:val="auto"/>
        </w:rPr>
      </w:pPr>
      <w:r>
        <w:rPr>
          <w:rFonts w:ascii="Times New Roman" w:cs="Times New Roman" w:eastAsia="Times New Roman" w:hAnsi="Times New Roman"/>
          <w:sz w:val="17"/>
          <w:szCs w:val="17"/>
          <w:color w:val="auto"/>
        </w:rPr>
        <w:t>demand,</w:t>
        <w:tab/>
        <w:t>while</w:t>
        <w:tab/>
        <w:t>public</w:t>
        <w:tab/>
        <w:t>spending</w:t>
        <w:tab/>
        <w:t>rose</w:t>
        <w:tab/>
        <w:t>by</w:t>
        <w:tab/>
        <w:t>9.4%</w:t>
        <w:tab/>
        <w:t>YoY</w:t>
        <w:tab/>
        <w:t>(current</w:t>
      </w:r>
    </w:p>
    <w:p>
      <w:pPr>
        <w:spacing w:after="0" w:line="8"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7"/>
          <w:szCs w:val="17"/>
          <w:color w:val="auto"/>
        </w:rPr>
        <w:t>expenditure +13% and gross capital formation +1%).</w:t>
      </w:r>
    </w:p>
    <w:p>
      <w:pPr>
        <w:spacing w:after="0" w:line="195" w:lineRule="exact"/>
        <w:rPr>
          <w:sz w:val="20"/>
          <w:szCs w:val="20"/>
          <w:color w:val="auto"/>
        </w:rPr>
      </w:pPr>
    </w:p>
    <w:p>
      <w:pPr>
        <w:jc w:val="both"/>
        <w:ind w:left="6520"/>
        <w:spacing w:after="0" w:line="263" w:lineRule="auto"/>
        <w:rPr>
          <w:sz w:val="20"/>
          <w:szCs w:val="20"/>
          <w:color w:val="auto"/>
        </w:rPr>
      </w:pPr>
      <w:r>
        <w:rPr>
          <w:rFonts w:ascii="Times New Roman" w:cs="Times New Roman" w:eastAsia="Times New Roman" w:hAnsi="Times New Roman"/>
          <w:sz w:val="17"/>
          <w:szCs w:val="17"/>
          <w:color w:val="auto"/>
        </w:rPr>
        <w:t>Credit rating agencies (Moody’s, Fitch, and S&amp;P) made no changes in 1Q26, thereby maintaining Peru’s investment-grade rating and stable outlook.</w:t>
      </w:r>
    </w:p>
    <w:p>
      <w:pPr>
        <w:spacing w:after="0" w:line="170" w:lineRule="exact"/>
        <w:rPr>
          <w:sz w:val="20"/>
          <w:szCs w:val="20"/>
          <w:color w:val="auto"/>
        </w:rPr>
      </w:pPr>
    </w:p>
    <w:p>
      <w:pPr>
        <w:jc w:val="both"/>
        <w:ind w:left="6520"/>
        <w:spacing w:after="0" w:line="256" w:lineRule="auto"/>
        <w:rPr>
          <w:sz w:val="20"/>
          <w:szCs w:val="20"/>
          <w:color w:val="auto"/>
        </w:rPr>
      </w:pPr>
      <w:r>
        <w:rPr>
          <w:rFonts w:ascii="Times New Roman" w:cs="Times New Roman" w:eastAsia="Times New Roman" w:hAnsi="Times New Roman"/>
          <w:sz w:val="17"/>
          <w:szCs w:val="17"/>
          <w:color w:val="auto"/>
        </w:rPr>
        <w:t>The 12-month cumulative trade balance surplus through February rose to USD 39 billion, a new historical high, driven by a strong 24% increase in exports amid elevated copper, gold, and silver prices. Imports, meanwhile, grew by 11%, in line with the strength of domestic demand and investment.</w:t>
      </w:r>
    </w:p>
    <w:p>
      <w:pPr>
        <w:spacing w:after="0" w:line="172"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7"/>
          <w:szCs w:val="17"/>
          <w:b w:val="1"/>
          <w:bCs w:val="1"/>
          <w:color w:val="auto"/>
        </w:rPr>
        <w:t>Exchange Rate</w:t>
      </w:r>
    </w:p>
    <w:p>
      <w:pPr>
        <w:spacing w:after="0" w:line="27" w:lineRule="exact"/>
        <w:rPr>
          <w:sz w:val="20"/>
          <w:szCs w:val="20"/>
          <w:color w:val="auto"/>
        </w:rPr>
      </w:pPr>
    </w:p>
    <w:p>
      <w:pPr>
        <w:jc w:val="both"/>
        <w:ind w:left="5840" w:hanging="3425"/>
        <w:spacing w:after="0" w:line="250" w:lineRule="auto"/>
        <w:tabs>
          <w:tab w:leader="none" w:pos="5820" w:val="left"/>
        </w:tabs>
        <w:rPr>
          <w:sz w:val="20"/>
          <w:szCs w:val="20"/>
          <w:color w:val="auto"/>
        </w:rPr>
      </w:pPr>
      <w:r>
        <w:rPr>
          <w:rFonts w:ascii="Times New Roman" w:cs="Times New Roman" w:eastAsia="Times New Roman" w:hAnsi="Times New Roman"/>
          <w:sz w:val="17"/>
          <w:szCs w:val="17"/>
          <w:b w:val="1"/>
          <w:bCs w:val="1"/>
          <w:color w:val="auto"/>
        </w:rPr>
        <w:t>($/ per dollar)</w:t>
      </w:r>
      <w:r>
        <w:rPr>
          <w:sz w:val="20"/>
          <w:szCs w:val="20"/>
          <w:color w:val="auto"/>
        </w:rPr>
        <w:tab/>
      </w:r>
      <w:r>
        <w:rPr>
          <w:rFonts w:ascii="Times New Roman" w:cs="Times New Roman" w:eastAsia="Times New Roman" w:hAnsi="Times New Roman"/>
          <w:sz w:val="17"/>
          <w:szCs w:val="17"/>
          <w:color w:val="auto"/>
        </w:rPr>
        <w:t>According to the BCRP, the exchange rate closed 1Q26 at PEN 3.488 per U.S. dollar, representing a 3.8% depreciation relative to end-2025. The currency remained broadly stable between January and February at around PEN 3.350, influenced by BCRP intervention aimed at limiting excessive appreciation relative to fundamentals. In March, exchange-rate dynamics shifted following the outbreak of the U.S.–Iran conflict and the sharp rise in oil prices, which generated broad-based depreciation pressures across emerging-market currencies.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-775335</wp:posOffset>
            </wp:positionV>
            <wp:extent cx="2901315" cy="157988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901315" cy="1579880"/>
                    </a:xfrm>
                    <a:prstGeom prst="rect">
                      <a:avLst/>
                    </a:prstGeom>
                    <a:noFill/>
                  </pic:spPr>
                </pic:pic>
              </a:graphicData>
            </a:graphic>
          </wp:anchor>
        </w:drawing>
      </w:r>
    </w:p>
    <w:p>
      <w:pPr>
        <w:spacing w:after="0" w:line="163" w:lineRule="exact"/>
        <w:rPr>
          <w:sz w:val="20"/>
          <w:szCs w:val="20"/>
          <w:color w:val="auto"/>
        </w:rPr>
      </w:pPr>
    </w:p>
    <w:p>
      <w:pPr>
        <w:ind w:left="5840"/>
        <w:spacing w:after="0" w:line="277" w:lineRule="auto"/>
        <w:rPr>
          <w:sz w:val="20"/>
          <w:szCs w:val="20"/>
          <w:color w:val="auto"/>
        </w:rPr>
      </w:pPr>
      <w:r>
        <w:rPr>
          <w:rFonts w:ascii="Times New Roman" w:cs="Times New Roman" w:eastAsia="Times New Roman" w:hAnsi="Times New Roman"/>
          <w:sz w:val="17"/>
          <w:szCs w:val="17"/>
          <w:color w:val="auto"/>
        </w:rPr>
        <w:t>Net International Reserves closed 1Q26 at USD 94.7 billion, up from USD 90.2 billion at end-4Q25, further strengthening the country’s external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1126490</wp:posOffset>
            </wp:positionV>
            <wp:extent cx="7140575" cy="1587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0575" cy="15875"/>
                    </a:xfrm>
                    <a:prstGeom prst="rect">
                      <a:avLst/>
                    </a:prstGeom>
                    <a:noFill/>
                  </pic:spPr>
                </pic:pic>
              </a:graphicData>
            </a:graphic>
          </wp:anchor>
        </w:drawing>
        <w:drawing>
          <wp:anchor simplePos="0" relativeHeight="251657728" behindDoc="1" locked="0" layoutInCell="0" allowOverlap="1">
            <wp:simplePos x="0" y="0"/>
            <wp:positionH relativeFrom="column">
              <wp:posOffset>347345</wp:posOffset>
            </wp:positionH>
            <wp:positionV relativeFrom="paragraph">
              <wp:posOffset>433070</wp:posOffset>
            </wp:positionV>
            <wp:extent cx="6447155" cy="5886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447155" cy="5886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44" w:name="page45"/>
    <w:bookmarkEnd w:id="44"/>
    <w:p>
      <w:pPr>
        <w:ind w:left="3200"/>
        <w:spacing w:after="0"/>
        <w:tabs>
          <w:tab w:leader="none" w:pos="3380" w:val="left"/>
          <w:tab w:leader="none" w:pos="9060" w:val="left"/>
        </w:tabs>
        <w:rPr>
          <w:sz w:val="20"/>
          <w:szCs w:val="20"/>
          <w:color w:val="auto"/>
        </w:rPr>
      </w:pPr>
      <w:r>
        <w:rPr>
          <w:rFonts w:ascii="Times New Roman" w:cs="Times New Roman" w:eastAsia="Times New Roman" w:hAnsi="Times New Roman"/>
          <w:sz w:val="17"/>
          <w:szCs w:val="17"/>
          <w:color w:val="A6A6A6"/>
        </w:rPr>
        <w:drawing>
          <wp:anchor simplePos="0" relativeHeight="251657728" behindDoc="1" locked="0" layoutInCell="0" allowOverlap="1">
            <wp:simplePos x="0" y="0"/>
            <wp:positionH relativeFrom="page">
              <wp:posOffset>204470</wp:posOffset>
            </wp:positionH>
            <wp:positionV relativeFrom="page">
              <wp:posOffset>88900</wp:posOffset>
            </wp:positionV>
            <wp:extent cx="7140575" cy="69278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0575" cy="692785"/>
                    </a:xfrm>
                    <a:prstGeom prst="rect">
                      <a:avLst/>
                    </a:prstGeom>
                    <a:noFill/>
                  </pic:spPr>
                </pic:pic>
              </a:graphicData>
            </a:graphic>
          </wp:anchor>
        </w:drawing>
        <w:t>|</w:t>
      </w:r>
      <w:r>
        <w:rPr>
          <w:sz w:val="20"/>
          <w:szCs w:val="20"/>
          <w:color w:val="auto"/>
        </w:rPr>
        <w:tab/>
      </w:r>
      <w:r>
        <w:rPr>
          <w:rFonts w:ascii="Times New Roman" w:cs="Times New Roman" w:eastAsia="Times New Roman" w:hAnsi="Times New Roman"/>
          <w:sz w:val="14"/>
          <w:szCs w:val="14"/>
          <w:color w:val="FFFFFF"/>
        </w:rPr>
        <w:t>Earnings Release 1Q / 2026</w:t>
      </w:r>
      <w:r>
        <w:rPr>
          <w:sz w:val="20"/>
          <w:szCs w:val="20"/>
          <w:color w:val="auto"/>
        </w:rPr>
        <w:tab/>
      </w:r>
      <w:r>
        <w:rPr>
          <w:rFonts w:ascii="Times New Roman" w:cs="Times New Roman" w:eastAsia="Times New Roman" w:hAnsi="Times New Roman"/>
          <w:sz w:val="12"/>
          <w:szCs w:val="12"/>
          <w:color w:val="FF00FF"/>
        </w:rPr>
        <w:t>Analysis of 1Q26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297180</wp:posOffset>
            </wp:positionV>
            <wp:extent cx="7140575" cy="2095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0575" cy="20955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FFFFFF"/>
        </w:rPr>
        <w:t>Safe Harbor for Forward-Looking Statements</w:t>
      </w:r>
    </w:p>
    <w:p>
      <w:pPr>
        <w:spacing w:after="0" w:line="26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This material includes “forward-looking statements” within the meaning of Section 27A of the U.S. Securities Act of 1933 and Section 21E of the U.S. Securities Exchange Act of 1934. All statements other than statements of historical fact are forward-looking and may contain information about financial results, economic conditions, trends and known uncertainties. Forward-looking statements are not assurances of future performance. Instead, they are based only on our management’s current views, beliefs, expectations and assumptions regarding the future of our business, future plans and strategies, projections, anticipated events and trends, the economy and other future conditions.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Many forward-looking statements can be identified by words such as: “anticipate”, “intend”, “plan”, “goal”, “seek”, “believe”, “project”, “estimate”, “expect”, “strategy”, “future”, “likely”, “would”, “may”, “should”, “will”, “see” and similar references to future periods. Examples of forward-looking statements include, among others, statements or estimates we make regarding guidance relating to losses in our credit portfolio, efficiency ratio, provisions and non-performing loans, current or future market risk and future market conditions, expected macroeconomic events and conditions, our belief that we have sufficient capital and liquidity to fund our business operations, expectations of the effect on our financial condition of claims, legal actions, environmental costs, contingent liabilities and governmental and regulatory investigations and proceedings, strategy for customer retention, growth, governmental programs and regulatory initiatives, credit administration, product development, market position, financial results and reserves and strategy for risk management.</w:t>
      </w:r>
    </w:p>
    <w:p>
      <w:pPr>
        <w:spacing w:after="0" w:line="17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We caution readers that forward-looking statements involve known and unknown risks and uncertainties that could cause actual results, performance, or events to differ materially from those that we expect or that are expressed or implied in the forward-looking statements, depending on the outcome of certain factors, including, without limitation, adverse changes in:</w:t>
      </w:r>
    </w:p>
    <w:p>
      <w:pPr>
        <w:spacing w:after="0" w:line="170" w:lineRule="exact"/>
        <w:rPr>
          <w:sz w:val="20"/>
          <w:szCs w:val="20"/>
          <w:color w:val="auto"/>
        </w:rPr>
      </w:pPr>
    </w:p>
    <w:p>
      <w:pPr>
        <w:ind w:left="140" w:hanging="138"/>
        <w:spacing w:after="0"/>
        <w:tabs>
          <w:tab w:leader="none" w:pos="1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occurrence of natural disasters or political or social instability in Peru;</w:t>
      </w:r>
    </w:p>
    <w:p>
      <w:pPr>
        <w:spacing w:after="0" w:line="23" w:lineRule="exact"/>
        <w:rPr>
          <w:rFonts w:ascii="Times New Roman" w:cs="Times New Roman" w:eastAsia="Times New Roman" w:hAnsi="Times New Roman"/>
          <w:sz w:val="17"/>
          <w:szCs w:val="17"/>
          <w:color w:val="auto"/>
        </w:rPr>
      </w:pPr>
    </w:p>
    <w:p>
      <w:pPr>
        <w:ind w:left="140" w:hanging="138"/>
        <w:spacing w:after="0"/>
        <w:tabs>
          <w:tab w:leader="none" w:pos="1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adequacy of the dividends that our subsidiaries are able to pay to us, which may affect our ability to pay dividends to shareholders and corporate expenses;</w:t>
      </w:r>
    </w:p>
    <w:p>
      <w:pPr>
        <w:spacing w:after="0" w:line="7" w:lineRule="exact"/>
        <w:rPr>
          <w:rFonts w:ascii="Times New Roman" w:cs="Times New Roman" w:eastAsia="Times New Roman" w:hAnsi="Times New Roman"/>
          <w:sz w:val="17"/>
          <w:szCs w:val="17"/>
          <w:color w:val="auto"/>
        </w:rPr>
      </w:pPr>
    </w:p>
    <w:p>
      <w:pPr>
        <w:ind w:left="140" w:hanging="138"/>
        <w:spacing w:after="0"/>
        <w:tabs>
          <w:tab w:leader="none" w:pos="1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Performance of, and volatility in, financial markets, including Latin-American and other markets;</w:t>
      </w:r>
    </w:p>
    <w:p>
      <w:pPr>
        <w:spacing w:after="0" w:line="7" w:lineRule="exact"/>
        <w:rPr>
          <w:rFonts w:ascii="Times New Roman" w:cs="Times New Roman" w:eastAsia="Times New Roman" w:hAnsi="Times New Roman"/>
          <w:sz w:val="17"/>
          <w:szCs w:val="17"/>
          <w:color w:val="auto"/>
        </w:rPr>
      </w:pPr>
    </w:p>
    <w:p>
      <w:pPr>
        <w:ind w:left="140" w:hanging="138"/>
        <w:spacing w:after="0"/>
        <w:tabs>
          <w:tab w:leader="none" w:pos="1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frequency, severity and types of insured loss events;</w:t>
      </w:r>
    </w:p>
    <w:p>
      <w:pPr>
        <w:spacing w:after="0" w:line="7" w:lineRule="exact"/>
        <w:rPr>
          <w:rFonts w:ascii="Times New Roman" w:cs="Times New Roman" w:eastAsia="Times New Roman" w:hAnsi="Times New Roman"/>
          <w:sz w:val="17"/>
          <w:szCs w:val="17"/>
          <w:color w:val="auto"/>
        </w:rPr>
      </w:pPr>
    </w:p>
    <w:p>
      <w:pPr>
        <w:ind w:left="140" w:hanging="138"/>
        <w:spacing w:after="0"/>
        <w:tabs>
          <w:tab w:leader="none" w:pos="1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interest rate levels;</w:t>
      </w:r>
    </w:p>
    <w:p>
      <w:pPr>
        <w:spacing w:after="0" w:line="7" w:lineRule="exact"/>
        <w:rPr>
          <w:rFonts w:ascii="Times New Roman" w:cs="Times New Roman" w:eastAsia="Times New Roman" w:hAnsi="Times New Roman"/>
          <w:sz w:val="17"/>
          <w:szCs w:val="17"/>
          <w:color w:val="auto"/>
        </w:rPr>
      </w:pPr>
    </w:p>
    <w:p>
      <w:pPr>
        <w:ind w:left="140" w:hanging="138"/>
        <w:spacing w:after="0"/>
        <w:tabs>
          <w:tab w:leader="none" w:pos="1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Foreign currency exchange rates, including the Sol/US Dollar exchange rate;</w:t>
      </w:r>
    </w:p>
    <w:p>
      <w:pPr>
        <w:spacing w:after="0" w:line="7" w:lineRule="exact"/>
        <w:rPr>
          <w:rFonts w:ascii="Times New Roman" w:cs="Times New Roman" w:eastAsia="Times New Roman" w:hAnsi="Times New Roman"/>
          <w:sz w:val="17"/>
          <w:szCs w:val="17"/>
          <w:color w:val="auto"/>
        </w:rPr>
      </w:pPr>
    </w:p>
    <w:p>
      <w:pPr>
        <w:ind w:left="140" w:hanging="138"/>
        <w:spacing w:after="0"/>
        <w:tabs>
          <w:tab w:leader="none" w:pos="1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Deterioration in the quality of our loan portfolio;</w:t>
      </w:r>
    </w:p>
    <w:p>
      <w:pPr>
        <w:spacing w:after="0" w:line="7" w:lineRule="exact"/>
        <w:rPr>
          <w:rFonts w:ascii="Times New Roman" w:cs="Times New Roman" w:eastAsia="Times New Roman" w:hAnsi="Times New Roman"/>
          <w:sz w:val="17"/>
          <w:szCs w:val="17"/>
          <w:color w:val="auto"/>
        </w:rPr>
      </w:pPr>
    </w:p>
    <w:p>
      <w:pPr>
        <w:ind w:left="140" w:hanging="138"/>
        <w:spacing w:after="0"/>
        <w:tabs>
          <w:tab w:leader="none" w:pos="1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Increasing levels of competition in Peru and other markets in which we operate;</w:t>
      </w:r>
    </w:p>
    <w:p>
      <w:pPr>
        <w:spacing w:after="0" w:line="7" w:lineRule="exact"/>
        <w:rPr>
          <w:rFonts w:ascii="Times New Roman" w:cs="Times New Roman" w:eastAsia="Times New Roman" w:hAnsi="Times New Roman"/>
          <w:sz w:val="17"/>
          <w:szCs w:val="17"/>
          <w:color w:val="auto"/>
        </w:rPr>
      </w:pPr>
    </w:p>
    <w:p>
      <w:pPr>
        <w:ind w:left="140" w:hanging="138"/>
        <w:spacing w:after="0"/>
        <w:tabs>
          <w:tab w:leader="none" w:pos="1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Developments and changes in laws and regulations affecting the financial sector and adoption of new international guidelines;</w:t>
      </w:r>
    </w:p>
    <w:p>
      <w:pPr>
        <w:spacing w:after="0" w:line="7" w:lineRule="exact"/>
        <w:rPr>
          <w:rFonts w:ascii="Times New Roman" w:cs="Times New Roman" w:eastAsia="Times New Roman" w:hAnsi="Times New Roman"/>
          <w:sz w:val="17"/>
          <w:szCs w:val="17"/>
          <w:color w:val="auto"/>
        </w:rPr>
      </w:pPr>
    </w:p>
    <w:p>
      <w:pPr>
        <w:ind w:left="140" w:hanging="138"/>
        <w:spacing w:after="0"/>
        <w:tabs>
          <w:tab w:leader="none" w:pos="1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policies of central banks and/or foreign governments;</w:t>
      </w:r>
    </w:p>
    <w:p>
      <w:pPr>
        <w:spacing w:after="0" w:line="7" w:lineRule="exact"/>
        <w:rPr>
          <w:rFonts w:ascii="Times New Roman" w:cs="Times New Roman" w:eastAsia="Times New Roman" w:hAnsi="Times New Roman"/>
          <w:sz w:val="17"/>
          <w:szCs w:val="17"/>
          <w:color w:val="auto"/>
        </w:rPr>
      </w:pPr>
    </w:p>
    <w:p>
      <w:pPr>
        <w:ind w:left="140" w:hanging="138"/>
        <w:spacing w:after="0"/>
        <w:tabs>
          <w:tab w:leader="none" w:pos="1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Effectiveness of our risk management policies and of our operational and security systems;</w:t>
      </w:r>
    </w:p>
    <w:p>
      <w:pPr>
        <w:spacing w:after="0" w:line="7" w:lineRule="exact"/>
        <w:rPr>
          <w:rFonts w:ascii="Times New Roman" w:cs="Times New Roman" w:eastAsia="Times New Roman" w:hAnsi="Times New Roman"/>
          <w:sz w:val="17"/>
          <w:szCs w:val="17"/>
          <w:color w:val="auto"/>
        </w:rPr>
      </w:pPr>
    </w:p>
    <w:p>
      <w:pPr>
        <w:ind w:left="140" w:hanging="138"/>
        <w:spacing w:after="0"/>
        <w:tabs>
          <w:tab w:leader="none" w:pos="1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Losses associated with counterparty exposures;</w:t>
      </w:r>
    </w:p>
    <w:p>
      <w:pPr>
        <w:spacing w:after="0" w:line="7" w:lineRule="exact"/>
        <w:rPr>
          <w:rFonts w:ascii="Times New Roman" w:cs="Times New Roman" w:eastAsia="Times New Roman" w:hAnsi="Times New Roman"/>
          <w:sz w:val="17"/>
          <w:szCs w:val="17"/>
          <w:color w:val="auto"/>
        </w:rPr>
      </w:pPr>
    </w:p>
    <w:p>
      <w:pPr>
        <w:ind w:firstLine="2"/>
        <w:spacing w:after="0" w:line="249" w:lineRule="auto"/>
        <w:tabs>
          <w:tab w:leader="none" w:pos="162"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scope of the coronavirus (“COVID-19”) outbreak, actions taken to contain the COVID-19 and related economic effects from such actions and our ability to maintain adequate staffing; and</w:t>
      </w:r>
    </w:p>
    <w:p>
      <w:pPr>
        <w:ind w:left="140" w:hanging="138"/>
        <w:spacing w:after="0"/>
        <w:tabs>
          <w:tab w:leader="none" w:pos="1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Bermuda laws and regulations applicable to so-called non-resident entities.</w:t>
      </w:r>
    </w:p>
    <w:p>
      <w:pPr>
        <w:spacing w:after="0" w:line="19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See “Item 3. Key Information—3. D Risk Factors” and “Item 5. Operating and Financial Review and Prospects” in our most recent Annual Report on Form 20-F filed with the U.S. Securities and Exchange Commission for additional information and other such factors. You are cautioned not to place undue reliance on these forward-looking statements, which speak only as of the date hereof and are based only on information currently available to us. Therefore, you should not rely on any of these forward-looking statements.</w:t>
      </w:r>
    </w:p>
    <w:p>
      <w:pPr>
        <w:jc w:val="both"/>
        <w:spacing w:after="0" w:line="258" w:lineRule="auto"/>
        <w:rPr>
          <w:sz w:val="20"/>
          <w:szCs w:val="20"/>
          <w:color w:val="auto"/>
        </w:rPr>
      </w:pPr>
      <w:r>
        <w:rPr>
          <w:rFonts w:ascii="Times New Roman" w:cs="Times New Roman" w:eastAsia="Times New Roman" w:hAnsi="Times New Roman"/>
          <w:sz w:val="17"/>
          <w:szCs w:val="17"/>
          <w:color w:val="auto"/>
        </w:rPr>
        <w:t>We undertake no obligation to publicly update or revise these or any other forward-looking statements that may be made to reflect events or circumstances after the date hereof, whether as a result of changes in our business strategy or new information, to reflect the occurrence of unanticipated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805180</wp:posOffset>
            </wp:positionV>
            <wp:extent cx="7140575" cy="1587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0575" cy="15875"/>
                    </a:xfrm>
                    <a:prstGeom prst="rect">
                      <a:avLst/>
                    </a:prstGeom>
                    <a:noFill/>
                  </pic:spPr>
                </pic:pic>
              </a:graphicData>
            </a:graphic>
          </wp:anchor>
        </w:drawing>
        <w:drawing>
          <wp:anchor simplePos="0" relativeHeight="251657728" behindDoc="1" locked="0" layoutInCell="0" allowOverlap="1">
            <wp:simplePos x="0" y="0"/>
            <wp:positionH relativeFrom="column">
              <wp:posOffset>347345</wp:posOffset>
            </wp:positionH>
            <wp:positionV relativeFrom="paragraph">
              <wp:posOffset>120650</wp:posOffset>
            </wp:positionV>
            <wp:extent cx="6447155" cy="5803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447155" cy="580390"/>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647"/>
        </w:trPr>
        <w:tc>
          <w:tcPr>
            <w:tcW w:w="400" w:type="dxa"/>
            <w:vAlign w:val="bottom"/>
            <w:shd w:val="clear" w:color="auto" w:fill="000000"/>
          </w:tcPr>
          <w:p>
            <w:pPr>
              <w:spacing w:after="0"/>
              <w:rPr>
                <w:sz w:val="24"/>
                <w:szCs w:val="24"/>
                <w:color w:val="auto"/>
              </w:rPr>
            </w:pPr>
          </w:p>
        </w:tc>
        <w:tc>
          <w:tcPr>
            <w:tcW w:w="300" w:type="dxa"/>
            <w:vAlign w:val="bottom"/>
            <w:shd w:val="clear" w:color="auto" w:fill="000000"/>
          </w:tcPr>
          <w:p>
            <w:pPr>
              <w:spacing w:after="0"/>
              <w:rPr>
                <w:sz w:val="24"/>
                <w:szCs w:val="24"/>
                <w:color w:val="auto"/>
              </w:rPr>
            </w:pPr>
          </w:p>
        </w:tc>
        <w:tc>
          <w:tcPr>
            <w:tcW w:w="2660" w:type="dxa"/>
            <w:vAlign w:val="bottom"/>
            <w:shd w:val="clear" w:color="auto" w:fill="000000"/>
          </w:tcPr>
          <w:p>
            <w:pPr>
              <w:jc w:val="right"/>
              <w:ind w:right="22"/>
              <w:spacing w:after="0"/>
              <w:rPr>
                <w:sz w:val="20"/>
                <w:szCs w:val="20"/>
                <w:color w:val="auto"/>
              </w:rPr>
            </w:pPr>
            <w:r>
              <w:rPr>
                <w:rFonts w:ascii="Times New Roman" w:cs="Times New Roman" w:eastAsia="Times New Roman" w:hAnsi="Times New Roman"/>
                <w:sz w:val="17"/>
                <w:szCs w:val="17"/>
                <w:color w:val="A6A6A6"/>
              </w:rPr>
              <w:t>|</w:t>
            </w:r>
          </w:p>
        </w:tc>
        <w:tc>
          <w:tcPr>
            <w:tcW w:w="3640" w:type="dxa"/>
            <w:vAlign w:val="bottom"/>
            <w:shd w:val="clear" w:color="auto" w:fill="000000"/>
          </w:tcPr>
          <w:p>
            <w:pPr>
              <w:ind w:left="40"/>
              <w:spacing w:after="0"/>
              <w:rPr>
                <w:sz w:val="20"/>
                <w:szCs w:val="20"/>
                <w:color w:val="auto"/>
              </w:rPr>
            </w:pPr>
            <w:r>
              <w:rPr>
                <w:rFonts w:ascii="Times New Roman" w:cs="Times New Roman" w:eastAsia="Times New Roman" w:hAnsi="Times New Roman"/>
                <w:sz w:val="14"/>
                <w:szCs w:val="14"/>
                <w:color w:val="FFFFFF"/>
              </w:rPr>
              <w:t>Earnings Release 1Q / 2026</w:t>
            </w:r>
          </w:p>
        </w:tc>
        <w:tc>
          <w:tcPr>
            <w:tcW w:w="4240" w:type="dxa"/>
            <w:vAlign w:val="bottom"/>
            <w:shd w:val="clear" w:color="auto" w:fill="000000"/>
          </w:tcPr>
          <w:p>
            <w:pPr>
              <w:jc w:val="right"/>
              <w:spacing w:after="0"/>
              <w:rPr>
                <w:sz w:val="20"/>
                <w:szCs w:val="20"/>
                <w:color w:val="auto"/>
              </w:rPr>
            </w:pPr>
            <w:r>
              <w:rPr>
                <w:rFonts w:ascii="Times New Roman" w:cs="Times New Roman" w:eastAsia="Times New Roman" w:hAnsi="Times New Roman"/>
                <w:sz w:val="14"/>
                <w:szCs w:val="14"/>
                <w:color w:val="FF00FF"/>
              </w:rPr>
              <w:t>Analysis of 1Q26 Consolidated Results</w:t>
            </w:r>
          </w:p>
        </w:tc>
      </w:tr>
      <w:tr>
        <w:trPr>
          <w:trHeight w:val="445"/>
        </w:trPr>
        <w:tc>
          <w:tcPr>
            <w:tcW w:w="700" w:type="dxa"/>
            <w:vAlign w:val="bottom"/>
            <w:gridSpan w:val="2"/>
            <w:shd w:val="clear" w:color="auto" w:fill="000000"/>
          </w:tcPr>
          <w:p>
            <w:pPr>
              <w:spacing w:after="0"/>
              <w:rPr>
                <w:sz w:val="24"/>
                <w:szCs w:val="24"/>
                <w:color w:val="auto"/>
              </w:rPr>
            </w:pPr>
          </w:p>
        </w:tc>
        <w:tc>
          <w:tcPr>
            <w:tcW w:w="2660" w:type="dxa"/>
            <w:vAlign w:val="bottom"/>
            <w:shd w:val="clear" w:color="auto" w:fill="000000"/>
          </w:tcPr>
          <w:p>
            <w:pPr>
              <w:spacing w:after="0"/>
              <w:rPr>
                <w:sz w:val="24"/>
                <w:szCs w:val="24"/>
                <w:color w:val="auto"/>
              </w:rPr>
            </w:pPr>
          </w:p>
        </w:tc>
        <w:tc>
          <w:tcPr>
            <w:tcW w:w="3640" w:type="dxa"/>
            <w:vAlign w:val="bottom"/>
            <w:shd w:val="clear" w:color="auto" w:fill="000000"/>
          </w:tcPr>
          <w:p>
            <w:pPr>
              <w:spacing w:after="0"/>
              <w:rPr>
                <w:sz w:val="24"/>
                <w:szCs w:val="24"/>
                <w:color w:val="auto"/>
              </w:rPr>
            </w:pPr>
          </w:p>
        </w:tc>
        <w:tc>
          <w:tcPr>
            <w:tcW w:w="4240" w:type="dxa"/>
            <w:vAlign w:val="bottom"/>
            <w:shd w:val="clear" w:color="auto" w:fill="000000"/>
          </w:tcPr>
          <w:p>
            <w:pPr>
              <w:spacing w:after="0"/>
              <w:rPr>
                <w:sz w:val="24"/>
                <w:szCs w:val="24"/>
                <w:color w:val="auto"/>
              </w:rPr>
            </w:pPr>
          </w:p>
        </w:tc>
      </w:tr>
      <w:tr>
        <w:trPr>
          <w:trHeight w:val="797"/>
        </w:trPr>
        <w:tc>
          <w:tcPr>
            <w:tcW w:w="700" w:type="dxa"/>
            <w:vAlign w:val="bottom"/>
            <w:gridSpan w:val="2"/>
          </w:tcPr>
          <w:p>
            <w:pPr>
              <w:spacing w:after="0"/>
              <w:rPr>
                <w:sz w:val="20"/>
                <w:szCs w:val="20"/>
                <w:color w:val="auto"/>
              </w:rPr>
            </w:pPr>
            <w:r>
              <w:rPr>
                <w:rFonts w:ascii="Times New Roman" w:cs="Times New Roman" w:eastAsia="Times New Roman" w:hAnsi="Times New Roman"/>
                <w:sz w:val="49"/>
                <w:szCs w:val="49"/>
                <w:b w:val="1"/>
                <w:bCs w:val="1"/>
                <w:color w:val="E93BAB"/>
              </w:rPr>
              <w:t>12</w:t>
            </w:r>
          </w:p>
        </w:tc>
        <w:tc>
          <w:tcPr>
            <w:tcW w:w="6300" w:type="dxa"/>
            <w:vAlign w:val="bottom"/>
            <w:gridSpan w:val="2"/>
          </w:tcPr>
          <w:p>
            <w:pPr>
              <w:ind w:left="220"/>
              <w:spacing w:after="0"/>
              <w:rPr>
                <w:sz w:val="20"/>
                <w:szCs w:val="20"/>
                <w:color w:val="auto"/>
              </w:rPr>
            </w:pPr>
            <w:r>
              <w:rPr>
                <w:rFonts w:ascii="Times New Roman" w:cs="Times New Roman" w:eastAsia="Times New Roman" w:hAnsi="Times New Roman"/>
                <w:sz w:val="30"/>
                <w:szCs w:val="30"/>
                <w:color w:val="E93BAB"/>
              </w:rPr>
              <w:t>Appendix</w:t>
            </w:r>
          </w:p>
        </w:tc>
        <w:tc>
          <w:tcPr>
            <w:tcW w:w="4240" w:type="dxa"/>
            <w:vAlign w:val="bottom"/>
          </w:tcPr>
          <w:p>
            <w:pPr>
              <w:spacing w:after="0"/>
              <w:rPr>
                <w:sz w:val="24"/>
                <w:szCs w:val="24"/>
                <w:color w:val="auto"/>
              </w:rPr>
            </w:pPr>
          </w:p>
        </w:tc>
      </w:tr>
      <w:tr>
        <w:trPr>
          <w:trHeight w:val="388"/>
        </w:trPr>
        <w:tc>
          <w:tcPr>
            <w:tcW w:w="4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w w:val="99"/>
              </w:rPr>
              <w:t>12.1.</w:t>
            </w:r>
          </w:p>
        </w:tc>
        <w:tc>
          <w:tcPr>
            <w:tcW w:w="6600" w:type="dxa"/>
            <w:vAlign w:val="bottom"/>
            <w:gridSpan w:val="3"/>
          </w:tcPr>
          <w:p>
            <w:pPr>
              <w:ind w:left="20"/>
              <w:spacing w:after="0"/>
              <w:rPr>
                <w:sz w:val="20"/>
                <w:szCs w:val="20"/>
                <w:color w:val="auto"/>
              </w:rPr>
            </w:pPr>
            <w:r>
              <w:rPr>
                <w:rFonts w:ascii="Times New Roman" w:cs="Times New Roman" w:eastAsia="Times New Roman" w:hAnsi="Times New Roman"/>
                <w:sz w:val="19"/>
                <w:szCs w:val="19"/>
                <w:b w:val="1"/>
                <w:bCs w:val="1"/>
                <w:color w:val="auto"/>
              </w:rPr>
              <w:t>Evolution of Loans in Average Daily Balances</w:t>
            </w:r>
          </w:p>
        </w:tc>
        <w:tc>
          <w:tcPr>
            <w:tcW w:w="4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45</w:t>
            </w:r>
          </w:p>
        </w:tc>
      </w:tr>
      <w:tr>
        <w:trPr>
          <w:trHeight w:val="292"/>
        </w:trPr>
        <w:tc>
          <w:tcPr>
            <w:tcW w:w="4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w w:val="99"/>
              </w:rPr>
              <w:t>12.2.</w:t>
            </w:r>
          </w:p>
        </w:tc>
        <w:tc>
          <w:tcPr>
            <w:tcW w:w="6600" w:type="dxa"/>
            <w:vAlign w:val="bottom"/>
            <w:gridSpan w:val="3"/>
          </w:tcPr>
          <w:p>
            <w:pPr>
              <w:ind w:left="20"/>
              <w:spacing w:after="0"/>
              <w:rPr>
                <w:sz w:val="20"/>
                <w:szCs w:val="20"/>
                <w:color w:val="auto"/>
              </w:rPr>
            </w:pPr>
            <w:r>
              <w:rPr>
                <w:rFonts w:ascii="Times New Roman" w:cs="Times New Roman" w:eastAsia="Times New Roman" w:hAnsi="Times New Roman"/>
                <w:sz w:val="19"/>
                <w:szCs w:val="19"/>
                <w:b w:val="1"/>
                <w:bCs w:val="1"/>
                <w:color w:val="auto"/>
              </w:rPr>
              <w:t>Loan Portfolio Quality</w:t>
            </w:r>
          </w:p>
        </w:tc>
        <w:tc>
          <w:tcPr>
            <w:tcW w:w="4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46</w:t>
            </w:r>
          </w:p>
        </w:tc>
      </w:tr>
      <w:tr>
        <w:trPr>
          <w:trHeight w:val="292"/>
        </w:trPr>
        <w:tc>
          <w:tcPr>
            <w:tcW w:w="4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w w:val="99"/>
              </w:rPr>
              <w:t>12.3.</w:t>
            </w:r>
          </w:p>
        </w:tc>
        <w:tc>
          <w:tcPr>
            <w:tcW w:w="6600" w:type="dxa"/>
            <w:vAlign w:val="bottom"/>
            <w:gridSpan w:val="3"/>
          </w:tcPr>
          <w:p>
            <w:pPr>
              <w:ind w:left="20"/>
              <w:spacing w:after="0"/>
              <w:rPr>
                <w:sz w:val="20"/>
                <w:szCs w:val="20"/>
                <w:color w:val="auto"/>
              </w:rPr>
            </w:pPr>
            <w:r>
              <w:rPr>
                <w:rFonts w:ascii="Times New Roman" w:cs="Times New Roman" w:eastAsia="Times New Roman" w:hAnsi="Times New Roman"/>
                <w:sz w:val="19"/>
                <w:szCs w:val="19"/>
                <w:b w:val="1"/>
                <w:bCs w:val="1"/>
                <w:color w:val="auto"/>
              </w:rPr>
              <w:t>Net Interest Income (NII)</w:t>
            </w:r>
          </w:p>
        </w:tc>
        <w:tc>
          <w:tcPr>
            <w:tcW w:w="4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49</w:t>
            </w:r>
          </w:p>
        </w:tc>
      </w:tr>
      <w:tr>
        <w:trPr>
          <w:trHeight w:val="292"/>
        </w:trPr>
        <w:tc>
          <w:tcPr>
            <w:tcW w:w="4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w w:val="99"/>
              </w:rPr>
              <w:t>12.4.</w:t>
            </w:r>
          </w:p>
        </w:tc>
        <w:tc>
          <w:tcPr>
            <w:tcW w:w="6600" w:type="dxa"/>
            <w:vAlign w:val="bottom"/>
            <w:gridSpan w:val="3"/>
          </w:tcPr>
          <w:p>
            <w:pPr>
              <w:ind w:left="20"/>
              <w:spacing w:after="0"/>
              <w:rPr>
                <w:sz w:val="20"/>
                <w:szCs w:val="20"/>
                <w:color w:val="auto"/>
              </w:rPr>
            </w:pPr>
            <w:r>
              <w:rPr>
                <w:rFonts w:ascii="Times New Roman" w:cs="Times New Roman" w:eastAsia="Times New Roman" w:hAnsi="Times New Roman"/>
                <w:sz w:val="19"/>
                <w:szCs w:val="19"/>
                <w:b w:val="1"/>
                <w:bCs w:val="1"/>
                <w:color w:val="auto"/>
              </w:rPr>
              <w:t>Net Interest Margin (NIM) and Risk Adjusted NIM</w:t>
            </w:r>
          </w:p>
        </w:tc>
        <w:tc>
          <w:tcPr>
            <w:tcW w:w="4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49</w:t>
            </w:r>
          </w:p>
        </w:tc>
      </w:tr>
      <w:tr>
        <w:trPr>
          <w:trHeight w:val="292"/>
        </w:trPr>
        <w:tc>
          <w:tcPr>
            <w:tcW w:w="4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w w:val="99"/>
              </w:rPr>
              <w:t>12.5.</w:t>
            </w:r>
          </w:p>
        </w:tc>
        <w:tc>
          <w:tcPr>
            <w:tcW w:w="6600" w:type="dxa"/>
            <w:vAlign w:val="bottom"/>
            <w:gridSpan w:val="3"/>
          </w:tcPr>
          <w:p>
            <w:pPr>
              <w:ind w:left="20"/>
              <w:spacing w:after="0"/>
              <w:rPr>
                <w:sz w:val="20"/>
                <w:szCs w:val="20"/>
                <w:color w:val="auto"/>
              </w:rPr>
            </w:pPr>
            <w:r>
              <w:rPr>
                <w:rFonts w:ascii="Times New Roman" w:cs="Times New Roman" w:eastAsia="Times New Roman" w:hAnsi="Times New Roman"/>
                <w:sz w:val="19"/>
                <w:szCs w:val="19"/>
                <w:b w:val="1"/>
                <w:bCs w:val="1"/>
                <w:color w:val="auto"/>
              </w:rPr>
              <w:t>Physical Point of Contact</w:t>
            </w:r>
          </w:p>
        </w:tc>
        <w:tc>
          <w:tcPr>
            <w:tcW w:w="4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50</w:t>
            </w:r>
          </w:p>
        </w:tc>
      </w:tr>
      <w:tr>
        <w:trPr>
          <w:trHeight w:val="292"/>
        </w:trPr>
        <w:tc>
          <w:tcPr>
            <w:tcW w:w="4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w w:val="99"/>
              </w:rPr>
              <w:t>12.6.</w:t>
            </w:r>
          </w:p>
        </w:tc>
        <w:tc>
          <w:tcPr>
            <w:tcW w:w="6600" w:type="dxa"/>
            <w:vAlign w:val="bottom"/>
            <w:gridSpan w:val="3"/>
          </w:tcPr>
          <w:p>
            <w:pPr>
              <w:ind w:left="20"/>
              <w:spacing w:after="0"/>
              <w:rPr>
                <w:sz w:val="20"/>
                <w:szCs w:val="20"/>
                <w:color w:val="auto"/>
              </w:rPr>
            </w:pPr>
            <w:r>
              <w:rPr>
                <w:rFonts w:ascii="Times New Roman" w:cs="Times New Roman" w:eastAsia="Times New Roman" w:hAnsi="Times New Roman"/>
                <w:sz w:val="19"/>
                <w:szCs w:val="19"/>
                <w:b w:val="1"/>
                <w:bCs w:val="1"/>
                <w:color w:val="auto"/>
              </w:rPr>
              <w:t>Regulatory Capital</w:t>
            </w:r>
          </w:p>
        </w:tc>
        <w:tc>
          <w:tcPr>
            <w:tcW w:w="4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50</w:t>
            </w:r>
          </w:p>
        </w:tc>
      </w:tr>
      <w:tr>
        <w:trPr>
          <w:trHeight w:val="292"/>
        </w:trPr>
        <w:tc>
          <w:tcPr>
            <w:tcW w:w="4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w w:val="99"/>
              </w:rPr>
              <w:t>12.7.</w:t>
            </w:r>
          </w:p>
        </w:tc>
        <w:tc>
          <w:tcPr>
            <w:tcW w:w="6600" w:type="dxa"/>
            <w:vAlign w:val="bottom"/>
            <w:gridSpan w:val="3"/>
          </w:tcPr>
          <w:p>
            <w:pPr>
              <w:ind w:left="20"/>
              <w:spacing w:after="0"/>
              <w:rPr>
                <w:sz w:val="20"/>
                <w:szCs w:val="20"/>
                <w:color w:val="auto"/>
              </w:rPr>
            </w:pPr>
            <w:r>
              <w:rPr>
                <w:rFonts w:ascii="Times New Roman" w:cs="Times New Roman" w:eastAsia="Times New Roman" w:hAnsi="Times New Roman"/>
                <w:sz w:val="19"/>
                <w:szCs w:val="19"/>
                <w:b w:val="1"/>
                <w:bCs w:val="1"/>
                <w:color w:val="auto"/>
              </w:rPr>
              <w:t>Financial Statements and Ratios by Business</w:t>
            </w:r>
          </w:p>
        </w:tc>
        <w:tc>
          <w:tcPr>
            <w:tcW w:w="4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54</w:t>
            </w:r>
          </w:p>
        </w:tc>
      </w:tr>
      <w:tr>
        <w:trPr>
          <w:trHeight w:val="292"/>
        </w:trPr>
        <w:tc>
          <w:tcPr>
            <w:tcW w:w="7000" w:type="dxa"/>
            <w:vAlign w:val="bottom"/>
            <w:gridSpan w:val="4"/>
          </w:tcPr>
          <w:p>
            <w:pPr>
              <w:ind w:left="160"/>
              <w:spacing w:after="0"/>
              <w:rPr>
                <w:sz w:val="20"/>
                <w:szCs w:val="20"/>
                <w:color w:val="auto"/>
              </w:rPr>
            </w:pPr>
            <w:r>
              <w:rPr>
                <w:rFonts w:ascii="Times New Roman" w:cs="Times New Roman" w:eastAsia="Times New Roman" w:hAnsi="Times New Roman"/>
                <w:sz w:val="19"/>
                <w:szCs w:val="19"/>
                <w:b w:val="1"/>
                <w:bCs w:val="1"/>
                <w:color w:val="auto"/>
              </w:rPr>
              <w:t>12.7.1. Credicorp Consolidated</w:t>
            </w:r>
          </w:p>
        </w:tc>
        <w:tc>
          <w:tcPr>
            <w:tcW w:w="4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54</w:t>
            </w:r>
          </w:p>
        </w:tc>
      </w:tr>
      <w:tr>
        <w:trPr>
          <w:trHeight w:val="292"/>
        </w:trPr>
        <w:tc>
          <w:tcPr>
            <w:tcW w:w="7000" w:type="dxa"/>
            <w:vAlign w:val="bottom"/>
            <w:gridSpan w:val="4"/>
          </w:tcPr>
          <w:p>
            <w:pPr>
              <w:ind w:left="160"/>
              <w:spacing w:after="0"/>
              <w:rPr>
                <w:sz w:val="20"/>
                <w:szCs w:val="20"/>
                <w:color w:val="auto"/>
              </w:rPr>
            </w:pPr>
            <w:r>
              <w:rPr>
                <w:rFonts w:ascii="Times New Roman" w:cs="Times New Roman" w:eastAsia="Times New Roman" w:hAnsi="Times New Roman"/>
                <w:sz w:val="19"/>
                <w:szCs w:val="19"/>
                <w:b w:val="1"/>
                <w:bCs w:val="1"/>
                <w:color w:val="auto"/>
              </w:rPr>
              <w:t>12.7.2. Credicorp Stand-alone</w:t>
            </w:r>
          </w:p>
        </w:tc>
        <w:tc>
          <w:tcPr>
            <w:tcW w:w="4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56</w:t>
            </w:r>
          </w:p>
        </w:tc>
      </w:tr>
      <w:tr>
        <w:trPr>
          <w:trHeight w:val="292"/>
        </w:trPr>
        <w:tc>
          <w:tcPr>
            <w:tcW w:w="7000" w:type="dxa"/>
            <w:vAlign w:val="bottom"/>
            <w:gridSpan w:val="4"/>
          </w:tcPr>
          <w:p>
            <w:pPr>
              <w:ind w:left="160"/>
              <w:spacing w:after="0"/>
              <w:rPr>
                <w:sz w:val="20"/>
                <w:szCs w:val="20"/>
                <w:color w:val="auto"/>
              </w:rPr>
            </w:pPr>
            <w:r>
              <w:rPr>
                <w:rFonts w:ascii="Times New Roman" w:cs="Times New Roman" w:eastAsia="Times New Roman" w:hAnsi="Times New Roman"/>
                <w:sz w:val="19"/>
                <w:szCs w:val="19"/>
                <w:b w:val="1"/>
                <w:bCs w:val="1"/>
                <w:color w:val="auto"/>
              </w:rPr>
              <w:t>12.7.3. BCP Consolidated</w:t>
            </w:r>
          </w:p>
        </w:tc>
        <w:tc>
          <w:tcPr>
            <w:tcW w:w="4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57</w:t>
            </w:r>
          </w:p>
        </w:tc>
      </w:tr>
      <w:tr>
        <w:trPr>
          <w:trHeight w:val="292"/>
        </w:trPr>
        <w:tc>
          <w:tcPr>
            <w:tcW w:w="7000" w:type="dxa"/>
            <w:vAlign w:val="bottom"/>
            <w:gridSpan w:val="4"/>
          </w:tcPr>
          <w:p>
            <w:pPr>
              <w:ind w:left="160"/>
              <w:spacing w:after="0"/>
              <w:rPr>
                <w:sz w:val="20"/>
                <w:szCs w:val="20"/>
                <w:color w:val="auto"/>
              </w:rPr>
            </w:pPr>
            <w:r>
              <w:rPr>
                <w:rFonts w:ascii="Times New Roman" w:cs="Times New Roman" w:eastAsia="Times New Roman" w:hAnsi="Times New Roman"/>
                <w:sz w:val="19"/>
                <w:szCs w:val="19"/>
                <w:b w:val="1"/>
                <w:bCs w:val="1"/>
                <w:color w:val="auto"/>
              </w:rPr>
              <w:t>12.7.4. BCP Stand-alone</w:t>
            </w:r>
          </w:p>
        </w:tc>
        <w:tc>
          <w:tcPr>
            <w:tcW w:w="4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59</w:t>
            </w:r>
          </w:p>
        </w:tc>
      </w:tr>
      <w:tr>
        <w:trPr>
          <w:trHeight w:val="292"/>
        </w:trPr>
        <w:tc>
          <w:tcPr>
            <w:tcW w:w="7000" w:type="dxa"/>
            <w:vAlign w:val="bottom"/>
            <w:gridSpan w:val="4"/>
          </w:tcPr>
          <w:p>
            <w:pPr>
              <w:ind w:left="160"/>
              <w:spacing w:after="0"/>
              <w:rPr>
                <w:sz w:val="20"/>
                <w:szCs w:val="20"/>
                <w:color w:val="auto"/>
              </w:rPr>
            </w:pPr>
            <w:r>
              <w:rPr>
                <w:rFonts w:ascii="Times New Roman" w:cs="Times New Roman" w:eastAsia="Times New Roman" w:hAnsi="Times New Roman"/>
                <w:sz w:val="19"/>
                <w:szCs w:val="19"/>
                <w:b w:val="1"/>
                <w:bCs w:val="1"/>
                <w:color w:val="auto"/>
              </w:rPr>
              <w:t>12.7.5. BCP Bolivia</w:t>
            </w:r>
          </w:p>
        </w:tc>
        <w:tc>
          <w:tcPr>
            <w:tcW w:w="4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61</w:t>
            </w:r>
          </w:p>
        </w:tc>
      </w:tr>
      <w:tr>
        <w:trPr>
          <w:trHeight w:val="292"/>
        </w:trPr>
        <w:tc>
          <w:tcPr>
            <w:tcW w:w="7000" w:type="dxa"/>
            <w:vAlign w:val="bottom"/>
            <w:gridSpan w:val="4"/>
          </w:tcPr>
          <w:p>
            <w:pPr>
              <w:ind w:left="160"/>
              <w:spacing w:after="0"/>
              <w:rPr>
                <w:sz w:val="20"/>
                <w:szCs w:val="20"/>
                <w:color w:val="auto"/>
              </w:rPr>
            </w:pPr>
            <w:r>
              <w:rPr>
                <w:rFonts w:ascii="Times New Roman" w:cs="Times New Roman" w:eastAsia="Times New Roman" w:hAnsi="Times New Roman"/>
                <w:sz w:val="19"/>
                <w:szCs w:val="19"/>
                <w:b w:val="1"/>
                <w:bCs w:val="1"/>
                <w:color w:val="auto"/>
              </w:rPr>
              <w:t>12.7.6. Mibanco</w:t>
            </w:r>
          </w:p>
        </w:tc>
        <w:tc>
          <w:tcPr>
            <w:tcW w:w="4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62</w:t>
            </w:r>
          </w:p>
        </w:tc>
      </w:tr>
      <w:tr>
        <w:trPr>
          <w:trHeight w:val="292"/>
        </w:trPr>
        <w:tc>
          <w:tcPr>
            <w:tcW w:w="7000" w:type="dxa"/>
            <w:vAlign w:val="bottom"/>
            <w:gridSpan w:val="4"/>
          </w:tcPr>
          <w:p>
            <w:pPr>
              <w:ind w:left="160"/>
              <w:spacing w:after="0"/>
              <w:rPr>
                <w:sz w:val="20"/>
                <w:szCs w:val="20"/>
                <w:color w:val="auto"/>
              </w:rPr>
            </w:pPr>
            <w:r>
              <w:rPr>
                <w:rFonts w:ascii="Times New Roman" w:cs="Times New Roman" w:eastAsia="Times New Roman" w:hAnsi="Times New Roman"/>
                <w:sz w:val="19"/>
                <w:szCs w:val="19"/>
                <w:b w:val="1"/>
                <w:bCs w:val="1"/>
                <w:color w:val="auto"/>
              </w:rPr>
              <w:t>12.7.7. Prima AFP</w:t>
            </w:r>
          </w:p>
        </w:tc>
        <w:tc>
          <w:tcPr>
            <w:tcW w:w="4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63</w:t>
            </w:r>
          </w:p>
        </w:tc>
      </w:tr>
      <w:tr>
        <w:trPr>
          <w:trHeight w:val="292"/>
        </w:trPr>
        <w:tc>
          <w:tcPr>
            <w:tcW w:w="7000" w:type="dxa"/>
            <w:vAlign w:val="bottom"/>
            <w:gridSpan w:val="4"/>
          </w:tcPr>
          <w:p>
            <w:pPr>
              <w:ind w:left="160"/>
              <w:spacing w:after="0"/>
              <w:rPr>
                <w:sz w:val="20"/>
                <w:szCs w:val="20"/>
                <w:color w:val="auto"/>
              </w:rPr>
            </w:pPr>
            <w:r>
              <w:rPr>
                <w:rFonts w:ascii="Times New Roman" w:cs="Times New Roman" w:eastAsia="Times New Roman" w:hAnsi="Times New Roman"/>
                <w:sz w:val="19"/>
                <w:szCs w:val="19"/>
                <w:b w:val="1"/>
                <w:bCs w:val="1"/>
                <w:color w:val="auto"/>
              </w:rPr>
              <w:t>12.7.8. Grupo Pacifico</w:t>
            </w:r>
          </w:p>
        </w:tc>
        <w:tc>
          <w:tcPr>
            <w:tcW w:w="4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64</w:t>
            </w:r>
          </w:p>
        </w:tc>
      </w:tr>
      <w:tr>
        <w:trPr>
          <w:trHeight w:val="292"/>
        </w:trPr>
        <w:tc>
          <w:tcPr>
            <w:tcW w:w="7000" w:type="dxa"/>
            <w:vAlign w:val="bottom"/>
            <w:gridSpan w:val="4"/>
          </w:tcPr>
          <w:p>
            <w:pPr>
              <w:ind w:left="160"/>
              <w:spacing w:after="0"/>
              <w:rPr>
                <w:sz w:val="20"/>
                <w:szCs w:val="20"/>
                <w:color w:val="auto"/>
              </w:rPr>
            </w:pPr>
            <w:r>
              <w:rPr>
                <w:rFonts w:ascii="Times New Roman" w:cs="Times New Roman" w:eastAsia="Times New Roman" w:hAnsi="Times New Roman"/>
                <w:sz w:val="19"/>
                <w:szCs w:val="19"/>
                <w:b w:val="1"/>
                <w:bCs w:val="1"/>
                <w:color w:val="auto"/>
              </w:rPr>
              <w:t>12.7.9. Investment Management and Advisory</w:t>
            </w:r>
          </w:p>
        </w:tc>
        <w:tc>
          <w:tcPr>
            <w:tcW w:w="4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65</w:t>
            </w:r>
          </w:p>
        </w:tc>
      </w:tr>
      <w:tr>
        <w:trPr>
          <w:trHeight w:val="292"/>
        </w:trPr>
        <w:tc>
          <w:tcPr>
            <w:tcW w:w="4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w w:val="99"/>
              </w:rPr>
              <w:t>12.8.</w:t>
            </w:r>
          </w:p>
        </w:tc>
        <w:tc>
          <w:tcPr>
            <w:tcW w:w="6600" w:type="dxa"/>
            <w:vAlign w:val="bottom"/>
            <w:gridSpan w:val="3"/>
          </w:tcPr>
          <w:p>
            <w:pPr>
              <w:ind w:left="20"/>
              <w:spacing w:after="0"/>
              <w:rPr>
                <w:sz w:val="20"/>
                <w:szCs w:val="20"/>
                <w:color w:val="auto"/>
              </w:rPr>
            </w:pPr>
            <w:r>
              <w:rPr>
                <w:rFonts w:ascii="Times New Roman" w:cs="Times New Roman" w:eastAsia="Times New Roman" w:hAnsi="Times New Roman"/>
                <w:sz w:val="19"/>
                <w:szCs w:val="19"/>
                <w:b w:val="1"/>
                <w:bCs w:val="1"/>
                <w:color w:val="auto"/>
              </w:rPr>
              <w:t>Table of Calculations</w:t>
            </w:r>
          </w:p>
        </w:tc>
        <w:tc>
          <w:tcPr>
            <w:tcW w:w="4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66</w:t>
            </w:r>
          </w:p>
        </w:tc>
      </w:tr>
      <w:tr>
        <w:trPr>
          <w:trHeight w:val="292"/>
        </w:trPr>
        <w:tc>
          <w:tcPr>
            <w:tcW w:w="4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w w:val="99"/>
              </w:rPr>
              <w:t>12.9.</w:t>
            </w:r>
          </w:p>
        </w:tc>
        <w:tc>
          <w:tcPr>
            <w:tcW w:w="6600" w:type="dxa"/>
            <w:vAlign w:val="bottom"/>
            <w:gridSpan w:val="3"/>
          </w:tcPr>
          <w:p>
            <w:pPr>
              <w:ind w:left="20"/>
              <w:spacing w:after="0"/>
              <w:rPr>
                <w:sz w:val="20"/>
                <w:szCs w:val="20"/>
                <w:color w:val="auto"/>
              </w:rPr>
            </w:pPr>
            <w:r>
              <w:rPr>
                <w:rFonts w:ascii="Times New Roman" w:cs="Times New Roman" w:eastAsia="Times New Roman" w:hAnsi="Times New Roman"/>
                <w:sz w:val="19"/>
                <w:szCs w:val="19"/>
                <w:b w:val="1"/>
                <w:bCs w:val="1"/>
                <w:color w:val="auto"/>
              </w:rPr>
              <w:t>Glossary of terms</w:t>
            </w:r>
          </w:p>
        </w:tc>
        <w:tc>
          <w:tcPr>
            <w:tcW w:w="4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67</w:t>
            </w:r>
          </w:p>
        </w:tc>
      </w:tr>
      <w:tr>
        <w:trPr>
          <w:trHeight w:val="1840"/>
        </w:trPr>
        <w:tc>
          <w:tcPr>
            <w:tcW w:w="4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-5600700</wp:posOffset>
            </wp:positionV>
            <wp:extent cx="1861820" cy="3384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861820" cy="338455"/>
                    </a:xfrm>
                    <a:prstGeom prst="rect">
                      <a:avLst/>
                    </a:prstGeom>
                    <a:noFill/>
                  </pic:spPr>
                </pic:pic>
              </a:graphicData>
            </a:graphic>
          </wp:anchor>
        </w:drawing>
        <w:drawing>
          <wp:anchor simplePos="0" relativeHeight="251657728" behindDoc="1" locked="0" layoutInCell="0" allowOverlap="1">
            <wp:simplePos x="0" y="0"/>
            <wp:positionH relativeFrom="column">
              <wp:posOffset>371475</wp:posOffset>
            </wp:positionH>
            <wp:positionV relativeFrom="paragraph">
              <wp:posOffset>-1006475</wp:posOffset>
            </wp:positionV>
            <wp:extent cx="6367145" cy="56388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367145" cy="563880"/>
                    </a:xfrm>
                    <a:prstGeom prst="rect">
                      <a:avLst/>
                    </a:prstGeom>
                    <a:noFill/>
                  </pic:spPr>
                </pic:pic>
              </a:graphicData>
            </a:graphic>
          </wp:anchor>
        </w:drawing>
      </w:r>
    </w:p>
    <w:p>
      <w:pPr>
        <w:sectPr>
          <w:pgSz w:w="11900" w:h="16838" w:orient="portrait"/>
          <w:cols w:equalWidth="0" w:num="1">
            <w:col w:w="11240"/>
          </w:cols>
          <w:pgMar w:left="320" w:top="343" w:right="339" w:bottom="1440" w:gutter="0" w:footer="0" w:header="0"/>
        </w:sectPr>
      </w:pPr>
    </w:p>
    <w:bookmarkStart w:id="46" w:name="page47"/>
    <w:bookmarkEnd w:id="46"/>
    <w:p>
      <w:pPr>
        <w:jc w:val="right"/>
        <w:spacing w:after="0"/>
        <w:tabs>
          <w:tab w:leader="none" w:pos="7800" w:val="left"/>
          <w:tab w:leader="none" w:pos="2120" w:val="left"/>
        </w:tabs>
        <w:rPr>
          <w:sz w:val="20"/>
          <w:szCs w:val="20"/>
          <w:color w:val="auto"/>
        </w:rPr>
      </w:pPr>
      <w:r>
        <w:rPr>
          <w:rFonts w:ascii="Times New Roman" w:cs="Times New Roman" w:eastAsia="Times New Roman" w:hAnsi="Times New Roman"/>
          <w:sz w:val="17"/>
          <w:szCs w:val="17"/>
          <w:color w:val="A6A6A6"/>
        </w:rPr>
        <w:drawing>
          <wp:anchor simplePos="0" relativeHeight="251657728" behindDoc="1" locked="0" layoutInCell="0" allowOverlap="1">
            <wp:simplePos x="0" y="0"/>
            <wp:positionH relativeFrom="page">
              <wp:posOffset>204470</wp:posOffset>
            </wp:positionH>
            <wp:positionV relativeFrom="page">
              <wp:posOffset>217805</wp:posOffset>
            </wp:positionV>
            <wp:extent cx="7140575" cy="69278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0575" cy="692785"/>
                    </a:xfrm>
                    <a:prstGeom prst="rect">
                      <a:avLst/>
                    </a:prstGeom>
                    <a:noFill/>
                  </pic:spPr>
                </pic:pic>
              </a:graphicData>
            </a:graphic>
          </wp:anchor>
        </w:drawing>
        <w:t>|</w:t>
      </w:r>
      <w:r>
        <w:rPr>
          <w:sz w:val="20"/>
          <w:szCs w:val="20"/>
          <w:color w:val="auto"/>
        </w:rPr>
        <w:tab/>
      </w:r>
      <w:r>
        <w:rPr>
          <w:rFonts w:ascii="Times New Roman" w:cs="Times New Roman" w:eastAsia="Times New Roman" w:hAnsi="Times New Roman"/>
          <w:sz w:val="14"/>
          <w:szCs w:val="14"/>
          <w:color w:val="FFFFFF"/>
        </w:rPr>
        <w:t>Earnings Release 1Q / 2026</w:t>
      </w:r>
      <w:r>
        <w:rPr>
          <w:sz w:val="20"/>
          <w:szCs w:val="20"/>
          <w:color w:val="auto"/>
        </w:rPr>
        <w:tab/>
      </w:r>
      <w:r>
        <w:rPr>
          <w:rFonts w:ascii="Times New Roman" w:cs="Times New Roman" w:eastAsia="Times New Roman" w:hAnsi="Times New Roman"/>
          <w:sz w:val="12"/>
          <w:szCs w:val="12"/>
          <w:color w:val="FF00FF"/>
        </w:rPr>
        <w:t>Analysis of 1Q26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297180</wp:posOffset>
            </wp:positionV>
            <wp:extent cx="7140575" cy="25781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0575" cy="257810"/>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FFFFFF"/>
        </w:rPr>
        <w:t>12. Appendix</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12.1. Evolution of Loans in Average Daily Balances</w:t>
      </w:r>
    </w:p>
    <w:p>
      <w:pPr>
        <w:spacing w:after="0" w:line="196"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 xml:space="preserve">Total Loans (in Average Daily Balances) </w:t>
      </w:r>
      <w:r>
        <w:rPr>
          <w:rFonts w:ascii="Times New Roman" w:cs="Times New Roman" w:eastAsia="Times New Roman" w:hAnsi="Times New Roman"/>
          <w:sz w:val="28"/>
          <w:szCs w:val="28"/>
          <w:b w:val="1"/>
          <w:bCs w:val="1"/>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084060" cy="161988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084060" cy="1619885"/>
                    </a:xfrm>
                    <a:prstGeom prst="rect">
                      <a:avLst/>
                    </a:prstGeom>
                    <a:noFill/>
                  </pic:spPr>
                </pic:pic>
              </a:graphicData>
            </a:graphic>
          </wp:anchor>
        </w:drawing>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780" w:type="dxa"/>
            <w:vAlign w:val="bottom"/>
            <w:shd w:val="clear" w:color="auto" w:fill="2AD2C9"/>
          </w:tcPr>
          <w:p>
            <w:pPr>
              <w:ind w:left="20"/>
              <w:spacing w:after="0"/>
              <w:rPr>
                <w:sz w:val="20"/>
                <w:szCs w:val="20"/>
                <w:color w:val="auto"/>
              </w:rPr>
            </w:pPr>
            <w:r>
              <w:rPr>
                <w:rFonts w:ascii="Times New Roman" w:cs="Times New Roman" w:eastAsia="Times New Roman" w:hAnsi="Times New Roman"/>
                <w:sz w:val="14"/>
                <w:szCs w:val="14"/>
                <w:b w:val="1"/>
                <w:bCs w:val="1"/>
                <w:color w:val="FFFFFF"/>
              </w:rPr>
              <w:t>Total Loans</w:t>
            </w:r>
          </w:p>
        </w:tc>
        <w:tc>
          <w:tcPr>
            <w:tcW w:w="1160" w:type="dxa"/>
            <w:vAlign w:val="bottom"/>
            <w:shd w:val="clear" w:color="auto" w:fill="2AD2C9"/>
          </w:tcPr>
          <w:p>
            <w:pPr>
              <w:spacing w:after="0"/>
              <w:rPr>
                <w:sz w:val="16"/>
                <w:szCs w:val="16"/>
                <w:color w:val="auto"/>
              </w:rPr>
            </w:pPr>
          </w:p>
        </w:tc>
        <w:tc>
          <w:tcPr>
            <w:tcW w:w="900" w:type="dxa"/>
            <w:vAlign w:val="bottom"/>
            <w:shd w:val="clear" w:color="auto" w:fill="2AD2C9"/>
          </w:tcPr>
          <w:p>
            <w:pPr>
              <w:jc w:val="center"/>
              <w:spacing w:after="0"/>
              <w:rPr>
                <w:sz w:val="20"/>
                <w:szCs w:val="20"/>
                <w:color w:val="auto"/>
              </w:rPr>
            </w:pPr>
            <w:r>
              <w:rPr>
                <w:rFonts w:ascii="Times New Roman" w:cs="Times New Roman" w:eastAsia="Times New Roman" w:hAnsi="Times New Roman"/>
                <w:sz w:val="14"/>
                <w:szCs w:val="14"/>
                <w:b w:val="1"/>
                <w:bCs w:val="1"/>
                <w:color w:val="FFFFFF"/>
                <w:w w:val="97"/>
              </w:rPr>
              <w:t>As of</w:t>
            </w:r>
          </w:p>
        </w:tc>
        <w:tc>
          <w:tcPr>
            <w:tcW w:w="900" w:type="dxa"/>
            <w:vAlign w:val="bottom"/>
            <w:shd w:val="clear" w:color="auto" w:fill="2AD2C9"/>
          </w:tcPr>
          <w:p>
            <w:pPr>
              <w:spacing w:after="0"/>
              <w:rPr>
                <w:sz w:val="16"/>
                <w:szCs w:val="16"/>
                <w:color w:val="auto"/>
              </w:rPr>
            </w:pPr>
          </w:p>
        </w:tc>
        <w:tc>
          <w:tcPr>
            <w:tcW w:w="1920" w:type="dxa"/>
            <w:vAlign w:val="bottom"/>
            <w:gridSpan w:val="2"/>
            <w:shd w:val="clear" w:color="auto" w:fill="2AD2C9"/>
          </w:tcPr>
          <w:p>
            <w:pPr>
              <w:ind w:left="520"/>
              <w:spacing w:after="0"/>
              <w:rPr>
                <w:sz w:val="20"/>
                <w:szCs w:val="20"/>
                <w:color w:val="auto"/>
              </w:rPr>
            </w:pPr>
            <w:r>
              <w:rPr>
                <w:rFonts w:ascii="Times New Roman" w:cs="Times New Roman" w:eastAsia="Times New Roman" w:hAnsi="Times New Roman"/>
                <w:sz w:val="14"/>
                <w:szCs w:val="14"/>
                <w:b w:val="1"/>
                <w:bCs w:val="1"/>
                <w:color w:val="FFFFFF"/>
              </w:rPr>
              <w:t>Volume change</w:t>
            </w:r>
          </w:p>
        </w:tc>
        <w:tc>
          <w:tcPr>
            <w:tcW w:w="1800" w:type="dxa"/>
            <w:vAlign w:val="bottom"/>
            <w:gridSpan w:val="2"/>
            <w:shd w:val="clear" w:color="auto" w:fill="2AD2C9"/>
          </w:tcPr>
          <w:p>
            <w:pPr>
              <w:ind w:left="620"/>
              <w:spacing w:after="0"/>
              <w:rPr>
                <w:sz w:val="20"/>
                <w:szCs w:val="20"/>
                <w:color w:val="auto"/>
              </w:rPr>
            </w:pPr>
            <w:r>
              <w:rPr>
                <w:rFonts w:ascii="Times New Roman" w:cs="Times New Roman" w:eastAsia="Times New Roman" w:hAnsi="Times New Roman"/>
                <w:sz w:val="14"/>
                <w:szCs w:val="14"/>
                <w:b w:val="1"/>
                <w:bCs w:val="1"/>
                <w:color w:val="FFFFFF"/>
              </w:rPr>
              <w:t>% change</w:t>
            </w:r>
          </w:p>
        </w:tc>
        <w:tc>
          <w:tcPr>
            <w:tcW w:w="700" w:type="dxa"/>
            <w:vAlign w:val="bottom"/>
            <w:shd w:val="clear" w:color="auto" w:fill="2AD2C9"/>
          </w:tcPr>
          <w:p>
            <w:pPr>
              <w:spacing w:after="0"/>
              <w:rPr>
                <w:sz w:val="16"/>
                <w:szCs w:val="16"/>
                <w:color w:val="auto"/>
              </w:rPr>
            </w:pPr>
          </w:p>
        </w:tc>
        <w:tc>
          <w:tcPr>
            <w:tcW w:w="1300" w:type="dxa"/>
            <w:vAlign w:val="bottom"/>
            <w:shd w:val="clear" w:color="auto" w:fill="2AD2C9"/>
          </w:tcPr>
          <w:p>
            <w:pPr>
              <w:jc w:val="center"/>
              <w:spacing w:after="0"/>
              <w:rPr>
                <w:sz w:val="20"/>
                <w:szCs w:val="20"/>
                <w:color w:val="auto"/>
              </w:rPr>
            </w:pPr>
            <w:r>
              <w:rPr>
                <w:rFonts w:ascii="Times New Roman" w:cs="Times New Roman" w:eastAsia="Times New Roman" w:hAnsi="Times New Roman"/>
                <w:sz w:val="14"/>
                <w:szCs w:val="14"/>
                <w:b w:val="1"/>
                <w:bCs w:val="1"/>
                <w:color w:val="FFFFFF"/>
                <w:w w:val="98"/>
              </w:rPr>
              <w:t>% Part. in total loans</w:t>
            </w:r>
          </w:p>
        </w:tc>
        <w:tc>
          <w:tcPr>
            <w:tcW w:w="680" w:type="dxa"/>
            <w:vAlign w:val="bottom"/>
            <w:shd w:val="clear" w:color="auto" w:fill="2AD2C9"/>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780" w:type="dxa"/>
            <w:vAlign w:val="bottom"/>
            <w:tcBorders>
              <w:bottom w:val="single" w:sz="8" w:color="2AD2C9"/>
            </w:tcBorders>
            <w:shd w:val="clear" w:color="auto" w:fill="2AD2C9"/>
          </w:tcPr>
          <w:p>
            <w:pPr>
              <w:ind w:left="20"/>
              <w:spacing w:after="0"/>
              <w:rPr>
                <w:sz w:val="20"/>
                <w:szCs w:val="20"/>
                <w:color w:val="auto"/>
              </w:rPr>
            </w:pPr>
            <w:r>
              <w:rPr>
                <w:rFonts w:ascii="Times New Roman" w:cs="Times New Roman" w:eastAsia="Times New Roman" w:hAnsi="Times New Roman"/>
                <w:sz w:val="14"/>
                <w:szCs w:val="14"/>
                <w:color w:val="FFFFFF"/>
              </w:rPr>
              <w:t>(S/ millions)</w:t>
            </w:r>
          </w:p>
        </w:tc>
        <w:tc>
          <w:tcPr>
            <w:tcW w:w="1160" w:type="dxa"/>
            <w:vAlign w:val="bottom"/>
            <w:tcBorders>
              <w:bottom w:val="single" w:sz="8" w:color="2AD2C9"/>
            </w:tcBorders>
            <w:shd w:val="clear" w:color="auto" w:fill="2AD2C9"/>
          </w:tcPr>
          <w:p>
            <w:pPr>
              <w:ind w:left="500"/>
              <w:spacing w:after="0"/>
              <w:rPr>
                <w:sz w:val="20"/>
                <w:szCs w:val="20"/>
                <w:color w:val="auto"/>
              </w:rPr>
            </w:pPr>
            <w:r>
              <w:rPr>
                <w:rFonts w:ascii="Times New Roman" w:cs="Times New Roman" w:eastAsia="Times New Roman" w:hAnsi="Times New Roman"/>
                <w:sz w:val="14"/>
                <w:szCs w:val="14"/>
                <w:b w:val="1"/>
                <w:bCs w:val="1"/>
                <w:color w:val="FFFFFF"/>
              </w:rPr>
              <w:t>Mar 25</w:t>
            </w:r>
          </w:p>
        </w:tc>
        <w:tc>
          <w:tcPr>
            <w:tcW w:w="900" w:type="dxa"/>
            <w:vAlign w:val="bottom"/>
            <w:tcBorders>
              <w:bottom w:val="single" w:sz="8" w:color="2AD2C9"/>
            </w:tcBorders>
            <w:shd w:val="clear" w:color="auto" w:fill="2AD2C9"/>
          </w:tcPr>
          <w:p>
            <w:pPr>
              <w:jc w:val="center"/>
              <w:spacing w:after="0"/>
              <w:rPr>
                <w:sz w:val="20"/>
                <w:szCs w:val="20"/>
                <w:color w:val="auto"/>
              </w:rPr>
            </w:pPr>
            <w:r>
              <w:rPr>
                <w:rFonts w:ascii="Times New Roman" w:cs="Times New Roman" w:eastAsia="Times New Roman" w:hAnsi="Times New Roman"/>
                <w:sz w:val="14"/>
                <w:szCs w:val="14"/>
                <w:b w:val="1"/>
                <w:bCs w:val="1"/>
                <w:color w:val="FFFFFF"/>
                <w:w w:val="94"/>
              </w:rPr>
              <w:t>Dec 25</w:t>
            </w:r>
          </w:p>
        </w:tc>
        <w:tc>
          <w:tcPr>
            <w:tcW w:w="900" w:type="dxa"/>
            <w:vAlign w:val="bottom"/>
            <w:tcBorders>
              <w:bottom w:val="single" w:sz="8" w:color="2AD2C9"/>
            </w:tcBorders>
            <w:shd w:val="clear" w:color="auto" w:fill="2AD2C9"/>
          </w:tcPr>
          <w:p>
            <w:pPr>
              <w:ind w:left="240"/>
              <w:spacing w:after="0"/>
              <w:rPr>
                <w:sz w:val="20"/>
                <w:szCs w:val="20"/>
                <w:color w:val="auto"/>
              </w:rPr>
            </w:pPr>
            <w:r>
              <w:rPr>
                <w:rFonts w:ascii="Times New Roman" w:cs="Times New Roman" w:eastAsia="Times New Roman" w:hAnsi="Times New Roman"/>
                <w:sz w:val="14"/>
                <w:szCs w:val="14"/>
                <w:b w:val="1"/>
                <w:bCs w:val="1"/>
                <w:color w:val="FFFFFF"/>
              </w:rPr>
              <w:t>Mar 26</w:t>
            </w:r>
          </w:p>
        </w:tc>
        <w:tc>
          <w:tcPr>
            <w:tcW w:w="1020" w:type="dxa"/>
            <w:vAlign w:val="bottom"/>
            <w:tcBorders>
              <w:bottom w:val="single" w:sz="8" w:color="2AD2C9"/>
            </w:tcBorders>
            <w:shd w:val="clear" w:color="auto" w:fill="2AD2C9"/>
          </w:tcPr>
          <w:p>
            <w:pPr>
              <w:ind w:left="380"/>
              <w:spacing w:after="0"/>
              <w:rPr>
                <w:sz w:val="20"/>
                <w:szCs w:val="20"/>
                <w:color w:val="auto"/>
              </w:rPr>
            </w:pPr>
            <w:r>
              <w:rPr>
                <w:rFonts w:ascii="Times New Roman" w:cs="Times New Roman" w:eastAsia="Times New Roman" w:hAnsi="Times New Roman"/>
                <w:sz w:val="14"/>
                <w:szCs w:val="14"/>
                <w:b w:val="1"/>
                <w:bCs w:val="1"/>
                <w:color w:val="FFFFFF"/>
              </w:rPr>
              <w:t>QoQ</w:t>
            </w:r>
          </w:p>
        </w:tc>
        <w:tc>
          <w:tcPr>
            <w:tcW w:w="900" w:type="dxa"/>
            <w:vAlign w:val="bottom"/>
            <w:tcBorders>
              <w:bottom w:val="single" w:sz="8" w:color="2AD2C9"/>
            </w:tcBorders>
            <w:shd w:val="clear" w:color="auto" w:fill="2AD2C9"/>
          </w:tcPr>
          <w:p>
            <w:pPr>
              <w:ind w:left="320"/>
              <w:spacing w:after="0"/>
              <w:rPr>
                <w:sz w:val="20"/>
                <w:szCs w:val="20"/>
                <w:color w:val="auto"/>
              </w:rPr>
            </w:pPr>
            <w:r>
              <w:rPr>
                <w:rFonts w:ascii="Times New Roman" w:cs="Times New Roman" w:eastAsia="Times New Roman" w:hAnsi="Times New Roman"/>
                <w:sz w:val="14"/>
                <w:szCs w:val="14"/>
                <w:b w:val="1"/>
                <w:bCs w:val="1"/>
                <w:color w:val="FFFFFF"/>
              </w:rPr>
              <w:t>YoY</w:t>
            </w:r>
          </w:p>
        </w:tc>
        <w:tc>
          <w:tcPr>
            <w:tcW w:w="900" w:type="dxa"/>
            <w:vAlign w:val="bottom"/>
            <w:tcBorders>
              <w:bottom w:val="single" w:sz="8" w:color="2AD2C9"/>
            </w:tcBorders>
            <w:shd w:val="clear" w:color="auto" w:fill="2AD2C9"/>
          </w:tcPr>
          <w:p>
            <w:pPr>
              <w:ind w:left="320"/>
              <w:spacing w:after="0"/>
              <w:rPr>
                <w:sz w:val="20"/>
                <w:szCs w:val="20"/>
                <w:color w:val="auto"/>
              </w:rPr>
            </w:pPr>
            <w:r>
              <w:rPr>
                <w:rFonts w:ascii="Times New Roman" w:cs="Times New Roman" w:eastAsia="Times New Roman" w:hAnsi="Times New Roman"/>
                <w:sz w:val="14"/>
                <w:szCs w:val="14"/>
                <w:b w:val="1"/>
                <w:bCs w:val="1"/>
                <w:color w:val="FFFFFF"/>
              </w:rPr>
              <w:t>QoQ</w:t>
            </w:r>
          </w:p>
        </w:tc>
        <w:tc>
          <w:tcPr>
            <w:tcW w:w="900" w:type="dxa"/>
            <w:vAlign w:val="bottom"/>
            <w:tcBorders>
              <w:bottom w:val="single" w:sz="8" w:color="2AD2C9"/>
            </w:tcBorders>
            <w:shd w:val="clear" w:color="auto" w:fill="2AD2C9"/>
          </w:tcPr>
          <w:p>
            <w:pPr>
              <w:ind w:left="320"/>
              <w:spacing w:after="0"/>
              <w:rPr>
                <w:sz w:val="20"/>
                <w:szCs w:val="20"/>
                <w:color w:val="auto"/>
              </w:rPr>
            </w:pPr>
            <w:r>
              <w:rPr>
                <w:rFonts w:ascii="Times New Roman" w:cs="Times New Roman" w:eastAsia="Times New Roman" w:hAnsi="Times New Roman"/>
                <w:sz w:val="14"/>
                <w:szCs w:val="14"/>
                <w:b w:val="1"/>
                <w:bCs w:val="1"/>
                <w:color w:val="FFFFFF"/>
              </w:rPr>
              <w:t>YoY</w:t>
            </w:r>
          </w:p>
        </w:tc>
        <w:tc>
          <w:tcPr>
            <w:tcW w:w="700" w:type="dxa"/>
            <w:vAlign w:val="bottom"/>
            <w:tcBorders>
              <w:bottom w:val="single" w:sz="8" w:color="2AD2C9"/>
            </w:tcBorders>
            <w:shd w:val="clear" w:color="auto" w:fill="2AD2C9"/>
          </w:tcPr>
          <w:p>
            <w:pPr>
              <w:ind w:left="240"/>
              <w:spacing w:after="0"/>
              <w:rPr>
                <w:sz w:val="20"/>
                <w:szCs w:val="20"/>
                <w:color w:val="auto"/>
              </w:rPr>
            </w:pPr>
            <w:r>
              <w:rPr>
                <w:rFonts w:ascii="Times New Roman" w:cs="Times New Roman" w:eastAsia="Times New Roman" w:hAnsi="Times New Roman"/>
                <w:sz w:val="14"/>
                <w:szCs w:val="14"/>
                <w:b w:val="1"/>
                <w:bCs w:val="1"/>
                <w:color w:val="FFFFFF"/>
              </w:rPr>
              <w:t>Mar 25</w:t>
            </w:r>
          </w:p>
        </w:tc>
        <w:tc>
          <w:tcPr>
            <w:tcW w:w="1300" w:type="dxa"/>
            <w:vAlign w:val="bottom"/>
            <w:tcBorders>
              <w:bottom w:val="single" w:sz="8" w:color="2AD2C9"/>
            </w:tcBorders>
            <w:shd w:val="clear" w:color="auto" w:fill="2AD2C9"/>
          </w:tcPr>
          <w:p>
            <w:pPr>
              <w:jc w:val="center"/>
              <w:spacing w:after="0"/>
              <w:rPr>
                <w:sz w:val="20"/>
                <w:szCs w:val="20"/>
                <w:color w:val="auto"/>
              </w:rPr>
            </w:pPr>
            <w:r>
              <w:rPr>
                <w:rFonts w:ascii="Times New Roman" w:cs="Times New Roman" w:eastAsia="Times New Roman" w:hAnsi="Times New Roman"/>
                <w:sz w:val="14"/>
                <w:szCs w:val="14"/>
                <w:b w:val="1"/>
                <w:bCs w:val="1"/>
                <w:color w:val="FFFFFF"/>
                <w:w w:val="94"/>
              </w:rPr>
              <w:t>Dec 25</w:t>
            </w:r>
          </w:p>
        </w:tc>
        <w:tc>
          <w:tcPr>
            <w:tcW w:w="680" w:type="dxa"/>
            <w:vAlign w:val="bottom"/>
            <w:tcBorders>
              <w:bottom w:val="single" w:sz="8" w:color="2AD2C9"/>
            </w:tcBorders>
            <w:shd w:val="clear" w:color="auto" w:fill="2AD2C9"/>
          </w:tcPr>
          <w:p>
            <w:pPr>
              <w:ind w:left="20"/>
              <w:spacing w:after="0"/>
              <w:rPr>
                <w:sz w:val="20"/>
                <w:szCs w:val="20"/>
                <w:color w:val="auto"/>
              </w:rPr>
            </w:pPr>
            <w:r>
              <w:rPr>
                <w:rFonts w:ascii="Times New Roman" w:cs="Times New Roman" w:eastAsia="Times New Roman" w:hAnsi="Times New Roman"/>
                <w:sz w:val="14"/>
                <w:szCs w:val="14"/>
                <w:b w:val="1"/>
                <w:bCs w:val="1"/>
                <w:color w:val="FFFFFF"/>
              </w:rPr>
              <w:t>Mar 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1780" w:type="dxa"/>
            <w:vAlign w:val="bottom"/>
            <w:tcBorders>
              <w:top w:val="single" w:sz="8" w:color="auto"/>
            </w:tcBorders>
          </w:tcPr>
          <w:p>
            <w:pPr>
              <w:ind w:left="20"/>
              <w:spacing w:after="0" w:line="108" w:lineRule="exact"/>
              <w:rPr>
                <w:sz w:val="20"/>
                <w:szCs w:val="20"/>
                <w:color w:val="auto"/>
              </w:rPr>
            </w:pPr>
            <w:r>
              <w:rPr>
                <w:rFonts w:ascii="Times New Roman" w:cs="Times New Roman" w:eastAsia="Times New Roman" w:hAnsi="Times New Roman"/>
                <w:sz w:val="12"/>
                <w:szCs w:val="12"/>
                <w:b w:val="1"/>
                <w:bCs w:val="1"/>
                <w:color w:val="auto"/>
              </w:rPr>
              <w:t>BCP Stand-alone</w:t>
            </w:r>
          </w:p>
        </w:tc>
        <w:tc>
          <w:tcPr>
            <w:tcW w:w="1160" w:type="dxa"/>
            <w:vAlign w:val="bottom"/>
            <w:tcBorders>
              <w:top w:val="single" w:sz="8" w:color="auto"/>
            </w:tcBorders>
          </w:tcPr>
          <w:p>
            <w:pPr>
              <w:jc w:val="center"/>
              <w:ind w:left="194"/>
              <w:spacing w:after="0" w:line="108" w:lineRule="exact"/>
              <w:rPr>
                <w:sz w:val="20"/>
                <w:szCs w:val="20"/>
                <w:color w:val="auto"/>
              </w:rPr>
            </w:pPr>
            <w:r>
              <w:rPr>
                <w:rFonts w:ascii="Times New Roman" w:cs="Times New Roman" w:eastAsia="Times New Roman" w:hAnsi="Times New Roman"/>
                <w:sz w:val="12"/>
                <w:szCs w:val="12"/>
                <w:b w:val="1"/>
                <w:bCs w:val="1"/>
                <w:color w:val="auto"/>
              </w:rPr>
              <w:t>118,771</w:t>
            </w:r>
          </w:p>
        </w:tc>
        <w:tc>
          <w:tcPr>
            <w:tcW w:w="900" w:type="dxa"/>
            <w:vAlign w:val="bottom"/>
            <w:tcBorders>
              <w:top w:val="single" w:sz="8" w:color="auto"/>
            </w:tcBorders>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rPr>
              <w:t>121,585</w:t>
            </w:r>
          </w:p>
        </w:tc>
        <w:tc>
          <w:tcPr>
            <w:tcW w:w="900" w:type="dxa"/>
            <w:vAlign w:val="bottom"/>
            <w:tcBorders>
              <w:top w:val="single" w:sz="8" w:color="auto"/>
            </w:tcBorders>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rPr>
              <w:t>124,030</w:t>
            </w:r>
          </w:p>
        </w:tc>
        <w:tc>
          <w:tcPr>
            <w:tcW w:w="1020" w:type="dxa"/>
            <w:vAlign w:val="bottom"/>
            <w:tcBorders>
              <w:top w:val="single" w:sz="8" w:color="auto"/>
            </w:tcBorders>
            <w:shd w:val="clear" w:color="auto" w:fill="26D07C"/>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rPr>
              <w:t>2,444</w:t>
            </w:r>
          </w:p>
        </w:tc>
        <w:tc>
          <w:tcPr>
            <w:tcW w:w="900" w:type="dxa"/>
            <w:vAlign w:val="bottom"/>
            <w:tcBorders>
              <w:top w:val="single" w:sz="8" w:color="auto"/>
            </w:tcBorders>
            <w:shd w:val="clear" w:color="auto" w:fill="26D07C"/>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rPr>
              <w:t>5,259</w:t>
            </w:r>
          </w:p>
        </w:tc>
        <w:tc>
          <w:tcPr>
            <w:tcW w:w="900" w:type="dxa"/>
            <w:vAlign w:val="bottom"/>
            <w:tcBorders>
              <w:top w:val="single" w:sz="8" w:color="auto"/>
            </w:tcBorders>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rPr>
              <w:t>2.0%</w:t>
            </w:r>
          </w:p>
        </w:tc>
        <w:tc>
          <w:tcPr>
            <w:tcW w:w="900" w:type="dxa"/>
            <w:vAlign w:val="bottom"/>
            <w:tcBorders>
              <w:top w:val="single" w:sz="8" w:color="auto"/>
            </w:tcBorders>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rPr>
              <w:t>4.4%</w:t>
            </w:r>
          </w:p>
        </w:tc>
        <w:tc>
          <w:tcPr>
            <w:tcW w:w="700" w:type="dxa"/>
            <w:vAlign w:val="bottom"/>
            <w:tcBorders>
              <w:top w:val="single" w:sz="8" w:color="auto"/>
            </w:tcBorders>
          </w:tcPr>
          <w:p>
            <w:pPr>
              <w:jc w:val="center"/>
              <w:ind w:left="134"/>
              <w:spacing w:after="0" w:line="108" w:lineRule="exact"/>
              <w:rPr>
                <w:sz w:val="20"/>
                <w:szCs w:val="20"/>
                <w:color w:val="auto"/>
              </w:rPr>
            </w:pPr>
            <w:r>
              <w:rPr>
                <w:rFonts w:ascii="Times New Roman" w:cs="Times New Roman" w:eastAsia="Times New Roman" w:hAnsi="Times New Roman"/>
                <w:sz w:val="12"/>
                <w:szCs w:val="12"/>
                <w:b w:val="1"/>
                <w:bCs w:val="1"/>
                <w:color w:val="auto"/>
              </w:rPr>
              <w:t>82.6%</w:t>
            </w:r>
          </w:p>
        </w:tc>
        <w:tc>
          <w:tcPr>
            <w:tcW w:w="1300" w:type="dxa"/>
            <w:vAlign w:val="bottom"/>
            <w:tcBorders>
              <w:top w:val="single" w:sz="8" w:color="auto"/>
            </w:tcBorders>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rPr>
              <w:t>82.6%</w:t>
            </w:r>
          </w:p>
        </w:tc>
        <w:tc>
          <w:tcPr>
            <w:tcW w:w="680" w:type="dxa"/>
            <w:vAlign w:val="bottom"/>
            <w:tcBorders>
              <w:top w:val="single" w:sz="8" w:color="auto"/>
            </w:tcBorders>
          </w:tcPr>
          <w:p>
            <w:pPr>
              <w:jc w:val="center"/>
              <w:ind w:right="134"/>
              <w:spacing w:after="0" w:line="108" w:lineRule="exact"/>
              <w:rPr>
                <w:sz w:val="20"/>
                <w:szCs w:val="20"/>
                <w:color w:val="auto"/>
              </w:rPr>
            </w:pPr>
            <w:r>
              <w:rPr>
                <w:rFonts w:ascii="Times New Roman" w:cs="Times New Roman" w:eastAsia="Times New Roman" w:hAnsi="Times New Roman"/>
                <w:sz w:val="12"/>
                <w:szCs w:val="12"/>
                <w:b w:val="1"/>
                <w:bCs w:val="1"/>
                <w:color w:val="auto"/>
              </w:rPr>
              <w:t>82.4%</w:t>
            </w:r>
          </w:p>
        </w:tc>
        <w:tc>
          <w:tcPr>
            <w:tcW w:w="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1780" w:type="dxa"/>
            <w:vAlign w:val="bottom"/>
          </w:tcPr>
          <w:p>
            <w:pPr>
              <w:ind w:left="180"/>
              <w:spacing w:after="0" w:line="144" w:lineRule="exact"/>
              <w:rPr>
                <w:sz w:val="20"/>
                <w:szCs w:val="20"/>
                <w:color w:val="auto"/>
              </w:rPr>
            </w:pPr>
            <w:r>
              <w:rPr>
                <w:rFonts w:ascii="Times New Roman" w:cs="Times New Roman" w:eastAsia="Times New Roman" w:hAnsi="Times New Roman"/>
                <w:sz w:val="14"/>
                <w:szCs w:val="14"/>
                <w:b w:val="1"/>
                <w:bCs w:val="1"/>
                <w:color w:val="auto"/>
              </w:rPr>
              <w:t>Wholesale Banking</w:t>
            </w:r>
          </w:p>
        </w:tc>
        <w:tc>
          <w:tcPr>
            <w:tcW w:w="1160" w:type="dxa"/>
            <w:vAlign w:val="bottom"/>
          </w:tcPr>
          <w:p>
            <w:pPr>
              <w:jc w:val="center"/>
              <w:ind w:left="194"/>
              <w:spacing w:after="0" w:line="144" w:lineRule="exact"/>
              <w:rPr>
                <w:sz w:val="20"/>
                <w:szCs w:val="20"/>
                <w:color w:val="auto"/>
              </w:rPr>
            </w:pPr>
            <w:r>
              <w:rPr>
                <w:rFonts w:ascii="Times New Roman" w:cs="Times New Roman" w:eastAsia="Times New Roman" w:hAnsi="Times New Roman"/>
                <w:sz w:val="14"/>
                <w:szCs w:val="14"/>
                <w:b w:val="1"/>
                <w:bCs w:val="1"/>
                <w:color w:val="auto"/>
                <w:w w:val="98"/>
              </w:rPr>
              <w:t>54,548</w:t>
            </w:r>
          </w:p>
        </w:tc>
        <w:tc>
          <w:tcPr>
            <w:tcW w:w="90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3"/>
              </w:rPr>
              <w:t>53,227</w:t>
            </w:r>
          </w:p>
        </w:tc>
        <w:tc>
          <w:tcPr>
            <w:tcW w:w="90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8"/>
              </w:rPr>
              <w:t>55,554</w:t>
            </w:r>
          </w:p>
        </w:tc>
        <w:tc>
          <w:tcPr>
            <w:tcW w:w="1020" w:type="dxa"/>
            <w:vAlign w:val="bottom"/>
            <w:tcBorders>
              <w:bottom w:val="single" w:sz="8" w:color="26D07C"/>
            </w:tcBorders>
            <w:shd w:val="clear" w:color="auto" w:fill="26D07C"/>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5"/>
              </w:rPr>
              <w:t>2,327</w:t>
            </w:r>
          </w:p>
        </w:tc>
        <w:tc>
          <w:tcPr>
            <w:tcW w:w="900" w:type="dxa"/>
            <w:vAlign w:val="bottom"/>
            <w:tcBorders>
              <w:bottom w:val="single" w:sz="8" w:color="26D07C"/>
            </w:tcBorders>
            <w:shd w:val="clear" w:color="auto" w:fill="26D07C"/>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1,007</w:t>
            </w:r>
          </w:p>
        </w:tc>
        <w:tc>
          <w:tcPr>
            <w:tcW w:w="90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5"/>
              </w:rPr>
              <w:t>4.4%</w:t>
            </w:r>
          </w:p>
        </w:tc>
        <w:tc>
          <w:tcPr>
            <w:tcW w:w="90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5"/>
              </w:rPr>
              <w:t>1.8%</w:t>
            </w:r>
          </w:p>
        </w:tc>
        <w:tc>
          <w:tcPr>
            <w:tcW w:w="700" w:type="dxa"/>
            <w:vAlign w:val="bottom"/>
          </w:tcPr>
          <w:p>
            <w:pPr>
              <w:jc w:val="center"/>
              <w:ind w:left="134"/>
              <w:spacing w:after="0" w:line="144" w:lineRule="exact"/>
              <w:rPr>
                <w:sz w:val="20"/>
                <w:szCs w:val="20"/>
                <w:color w:val="auto"/>
              </w:rPr>
            </w:pPr>
            <w:r>
              <w:rPr>
                <w:rFonts w:ascii="Times New Roman" w:cs="Times New Roman" w:eastAsia="Times New Roman" w:hAnsi="Times New Roman"/>
                <w:sz w:val="14"/>
                <w:szCs w:val="14"/>
                <w:b w:val="1"/>
                <w:bCs w:val="1"/>
                <w:color w:val="auto"/>
                <w:w w:val="98"/>
              </w:rPr>
              <w:t>37.9%</w:t>
            </w:r>
          </w:p>
        </w:tc>
        <w:tc>
          <w:tcPr>
            <w:tcW w:w="130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8"/>
              </w:rPr>
              <w:t>36.2%</w:t>
            </w:r>
          </w:p>
        </w:tc>
        <w:tc>
          <w:tcPr>
            <w:tcW w:w="680" w:type="dxa"/>
            <w:vAlign w:val="bottom"/>
          </w:tcPr>
          <w:p>
            <w:pPr>
              <w:jc w:val="center"/>
              <w:ind w:right="134"/>
              <w:spacing w:after="0" w:line="144" w:lineRule="exact"/>
              <w:rPr>
                <w:sz w:val="20"/>
                <w:szCs w:val="20"/>
                <w:color w:val="auto"/>
              </w:rPr>
            </w:pPr>
            <w:r>
              <w:rPr>
                <w:rFonts w:ascii="Times New Roman" w:cs="Times New Roman" w:eastAsia="Times New Roman" w:hAnsi="Times New Roman"/>
                <w:sz w:val="14"/>
                <w:szCs w:val="14"/>
                <w:b w:val="1"/>
                <w:bCs w:val="1"/>
                <w:color w:val="auto"/>
                <w:w w:val="93"/>
              </w:rPr>
              <w:t>36.9%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1780" w:type="dxa"/>
            <w:vAlign w:val="bottom"/>
          </w:tcPr>
          <w:p>
            <w:pPr>
              <w:ind w:left="280"/>
              <w:spacing w:after="0" w:line="120" w:lineRule="exact"/>
              <w:rPr>
                <w:sz w:val="20"/>
                <w:szCs w:val="20"/>
                <w:color w:val="auto"/>
              </w:rPr>
            </w:pPr>
            <w:r>
              <w:rPr>
                <w:rFonts w:ascii="Times New Roman" w:cs="Times New Roman" w:eastAsia="Times New Roman" w:hAnsi="Times New Roman"/>
                <w:sz w:val="12"/>
                <w:szCs w:val="12"/>
                <w:color w:val="auto"/>
              </w:rPr>
              <w:t>Corporate</w:t>
            </w:r>
          </w:p>
        </w:tc>
        <w:tc>
          <w:tcPr>
            <w:tcW w:w="1160" w:type="dxa"/>
            <w:vAlign w:val="bottom"/>
          </w:tcPr>
          <w:p>
            <w:pPr>
              <w:jc w:val="center"/>
              <w:ind w:left="194"/>
              <w:spacing w:after="0" w:line="120" w:lineRule="exact"/>
              <w:rPr>
                <w:sz w:val="20"/>
                <w:szCs w:val="20"/>
                <w:color w:val="auto"/>
              </w:rPr>
            </w:pPr>
            <w:r>
              <w:rPr>
                <w:rFonts w:ascii="Times New Roman" w:cs="Times New Roman" w:eastAsia="Times New Roman" w:hAnsi="Times New Roman"/>
                <w:sz w:val="12"/>
                <w:szCs w:val="12"/>
                <w:color w:val="auto"/>
              </w:rPr>
              <w:t>32,977</w:t>
            </w:r>
          </w:p>
        </w:tc>
        <w:tc>
          <w:tcPr>
            <w:tcW w:w="90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color w:val="auto"/>
              </w:rPr>
              <w:t>31,609</w:t>
            </w:r>
          </w:p>
        </w:tc>
        <w:tc>
          <w:tcPr>
            <w:tcW w:w="90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color w:val="auto"/>
              </w:rPr>
              <w:t>32,532</w:t>
            </w:r>
          </w:p>
        </w:tc>
        <w:tc>
          <w:tcPr>
            <w:tcW w:w="102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color w:val="auto"/>
              </w:rPr>
              <w:t>924</w:t>
            </w:r>
          </w:p>
        </w:tc>
        <w:tc>
          <w:tcPr>
            <w:tcW w:w="90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color w:val="auto"/>
              </w:rPr>
              <w:t>-445</w:t>
            </w:r>
          </w:p>
        </w:tc>
        <w:tc>
          <w:tcPr>
            <w:tcW w:w="90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color w:val="auto"/>
              </w:rPr>
              <w:t>2.9%</w:t>
            </w:r>
          </w:p>
        </w:tc>
        <w:tc>
          <w:tcPr>
            <w:tcW w:w="90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color w:val="auto"/>
              </w:rPr>
              <w:t>-1.3%</w:t>
            </w:r>
          </w:p>
        </w:tc>
        <w:tc>
          <w:tcPr>
            <w:tcW w:w="700" w:type="dxa"/>
            <w:vAlign w:val="bottom"/>
          </w:tcPr>
          <w:p>
            <w:pPr>
              <w:jc w:val="center"/>
              <w:ind w:left="134"/>
              <w:spacing w:after="0" w:line="120" w:lineRule="exact"/>
              <w:rPr>
                <w:sz w:val="20"/>
                <w:szCs w:val="20"/>
                <w:color w:val="auto"/>
              </w:rPr>
            </w:pPr>
            <w:r>
              <w:rPr>
                <w:rFonts w:ascii="Times New Roman" w:cs="Times New Roman" w:eastAsia="Times New Roman" w:hAnsi="Times New Roman"/>
                <w:sz w:val="12"/>
                <w:szCs w:val="12"/>
                <w:color w:val="auto"/>
              </w:rPr>
              <w:t>22.9%</w:t>
            </w:r>
          </w:p>
        </w:tc>
        <w:tc>
          <w:tcPr>
            <w:tcW w:w="130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color w:val="auto"/>
              </w:rPr>
              <w:t>21.5%</w:t>
            </w:r>
          </w:p>
        </w:tc>
        <w:tc>
          <w:tcPr>
            <w:tcW w:w="680" w:type="dxa"/>
            <w:vAlign w:val="bottom"/>
          </w:tcPr>
          <w:p>
            <w:pPr>
              <w:jc w:val="center"/>
              <w:ind w:right="134"/>
              <w:spacing w:after="0" w:line="120" w:lineRule="exact"/>
              <w:rPr>
                <w:sz w:val="20"/>
                <w:szCs w:val="20"/>
                <w:color w:val="auto"/>
              </w:rPr>
            </w:pPr>
            <w:r>
              <w:rPr>
                <w:rFonts w:ascii="Times New Roman" w:cs="Times New Roman" w:eastAsia="Times New Roman" w:hAnsi="Times New Roman"/>
                <w:sz w:val="12"/>
                <w:szCs w:val="12"/>
                <w:color w:val="auto"/>
              </w:rPr>
              <w:t>21.6%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780" w:type="dxa"/>
            <w:vAlign w:val="bottom"/>
          </w:tcPr>
          <w:p>
            <w:pPr>
              <w:ind w:left="280"/>
              <w:spacing w:after="0" w:line="136" w:lineRule="exact"/>
              <w:rPr>
                <w:sz w:val="20"/>
                <w:szCs w:val="20"/>
                <w:color w:val="auto"/>
              </w:rPr>
            </w:pPr>
            <w:r>
              <w:rPr>
                <w:rFonts w:ascii="Times New Roman" w:cs="Times New Roman" w:eastAsia="Times New Roman" w:hAnsi="Times New Roman"/>
                <w:sz w:val="14"/>
                <w:szCs w:val="14"/>
                <w:color w:val="auto"/>
              </w:rPr>
              <w:t>Middle - Market</w:t>
            </w:r>
          </w:p>
        </w:tc>
        <w:tc>
          <w:tcPr>
            <w:tcW w:w="1160" w:type="dxa"/>
            <w:vAlign w:val="bottom"/>
          </w:tcPr>
          <w:p>
            <w:pPr>
              <w:jc w:val="center"/>
              <w:ind w:left="194"/>
              <w:spacing w:after="0" w:line="136" w:lineRule="exact"/>
              <w:rPr>
                <w:sz w:val="20"/>
                <w:szCs w:val="20"/>
                <w:color w:val="auto"/>
              </w:rPr>
            </w:pPr>
            <w:r>
              <w:rPr>
                <w:rFonts w:ascii="Times New Roman" w:cs="Times New Roman" w:eastAsia="Times New Roman" w:hAnsi="Times New Roman"/>
                <w:sz w:val="14"/>
                <w:szCs w:val="14"/>
                <w:color w:val="auto"/>
                <w:w w:val="98"/>
              </w:rPr>
              <w:t>21,571</w:t>
            </w:r>
          </w:p>
        </w:tc>
        <w:tc>
          <w:tcPr>
            <w:tcW w:w="90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w w:val="93"/>
              </w:rPr>
              <w:t>21,618</w:t>
            </w:r>
          </w:p>
        </w:tc>
        <w:tc>
          <w:tcPr>
            <w:tcW w:w="90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w w:val="98"/>
              </w:rPr>
              <w:t>23,022</w:t>
            </w:r>
          </w:p>
        </w:tc>
        <w:tc>
          <w:tcPr>
            <w:tcW w:w="102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w w:val="95"/>
              </w:rPr>
              <w:t>1,404</w:t>
            </w:r>
          </w:p>
        </w:tc>
        <w:tc>
          <w:tcPr>
            <w:tcW w:w="90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rPr>
              <w:t>1,451</w:t>
            </w:r>
          </w:p>
        </w:tc>
        <w:tc>
          <w:tcPr>
            <w:tcW w:w="90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w w:val="95"/>
              </w:rPr>
              <w:t>6.5%</w:t>
            </w:r>
          </w:p>
        </w:tc>
        <w:tc>
          <w:tcPr>
            <w:tcW w:w="90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w w:val="95"/>
              </w:rPr>
              <w:t>6.7%</w:t>
            </w:r>
          </w:p>
        </w:tc>
        <w:tc>
          <w:tcPr>
            <w:tcW w:w="700" w:type="dxa"/>
            <w:vAlign w:val="bottom"/>
          </w:tcPr>
          <w:p>
            <w:pPr>
              <w:jc w:val="center"/>
              <w:ind w:left="134"/>
              <w:spacing w:after="0" w:line="136" w:lineRule="exact"/>
              <w:rPr>
                <w:sz w:val="20"/>
                <w:szCs w:val="20"/>
                <w:color w:val="auto"/>
              </w:rPr>
            </w:pPr>
            <w:r>
              <w:rPr>
                <w:rFonts w:ascii="Times New Roman" w:cs="Times New Roman" w:eastAsia="Times New Roman" w:hAnsi="Times New Roman"/>
                <w:sz w:val="14"/>
                <w:szCs w:val="14"/>
                <w:color w:val="auto"/>
                <w:w w:val="93"/>
              </w:rPr>
              <w:t>15.0%</w:t>
            </w:r>
          </w:p>
        </w:tc>
        <w:tc>
          <w:tcPr>
            <w:tcW w:w="130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w w:val="93"/>
              </w:rPr>
              <w:t>14.7%</w:t>
            </w:r>
          </w:p>
        </w:tc>
        <w:tc>
          <w:tcPr>
            <w:tcW w:w="680" w:type="dxa"/>
            <w:vAlign w:val="bottom"/>
          </w:tcPr>
          <w:p>
            <w:pPr>
              <w:jc w:val="center"/>
              <w:ind w:right="134"/>
              <w:spacing w:after="0" w:line="136" w:lineRule="exact"/>
              <w:rPr>
                <w:sz w:val="20"/>
                <w:szCs w:val="20"/>
                <w:color w:val="auto"/>
              </w:rPr>
            </w:pPr>
            <w:r>
              <w:rPr>
                <w:rFonts w:ascii="Times New Roman" w:cs="Times New Roman" w:eastAsia="Times New Roman" w:hAnsi="Times New Roman"/>
                <w:sz w:val="14"/>
                <w:szCs w:val="14"/>
                <w:color w:val="auto"/>
                <w:w w:val="99"/>
              </w:rPr>
              <w:t>15.3%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780" w:type="dxa"/>
            <w:vAlign w:val="bottom"/>
          </w:tcPr>
          <w:p>
            <w:pPr>
              <w:ind w:left="180"/>
              <w:spacing w:after="0" w:line="144" w:lineRule="exact"/>
              <w:rPr>
                <w:sz w:val="20"/>
                <w:szCs w:val="20"/>
                <w:color w:val="auto"/>
              </w:rPr>
            </w:pPr>
            <w:r>
              <w:rPr>
                <w:rFonts w:ascii="Times New Roman" w:cs="Times New Roman" w:eastAsia="Times New Roman" w:hAnsi="Times New Roman"/>
                <w:sz w:val="14"/>
                <w:szCs w:val="14"/>
                <w:b w:val="1"/>
                <w:bCs w:val="1"/>
                <w:color w:val="auto"/>
              </w:rPr>
              <w:t>Retail Banking</w:t>
            </w:r>
          </w:p>
        </w:tc>
        <w:tc>
          <w:tcPr>
            <w:tcW w:w="1160" w:type="dxa"/>
            <w:vAlign w:val="bottom"/>
          </w:tcPr>
          <w:p>
            <w:pPr>
              <w:jc w:val="center"/>
              <w:ind w:left="194"/>
              <w:spacing w:after="0" w:line="144" w:lineRule="exact"/>
              <w:rPr>
                <w:sz w:val="20"/>
                <w:szCs w:val="20"/>
                <w:color w:val="auto"/>
              </w:rPr>
            </w:pPr>
            <w:r>
              <w:rPr>
                <w:rFonts w:ascii="Times New Roman" w:cs="Times New Roman" w:eastAsia="Times New Roman" w:hAnsi="Times New Roman"/>
                <w:sz w:val="14"/>
                <w:szCs w:val="14"/>
                <w:b w:val="1"/>
                <w:bCs w:val="1"/>
                <w:color w:val="auto"/>
                <w:w w:val="98"/>
              </w:rPr>
              <w:t>64,223</w:t>
            </w:r>
          </w:p>
        </w:tc>
        <w:tc>
          <w:tcPr>
            <w:tcW w:w="90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3"/>
              </w:rPr>
              <w:t>68,358</w:t>
            </w:r>
          </w:p>
        </w:tc>
        <w:tc>
          <w:tcPr>
            <w:tcW w:w="90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8"/>
              </w:rPr>
              <w:t>68,475</w:t>
            </w:r>
          </w:p>
        </w:tc>
        <w:tc>
          <w:tcPr>
            <w:tcW w:w="102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85"/>
              </w:rPr>
              <w:t>117</w:t>
            </w:r>
          </w:p>
        </w:tc>
        <w:tc>
          <w:tcPr>
            <w:tcW w:w="90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4,253</w:t>
            </w:r>
          </w:p>
        </w:tc>
        <w:tc>
          <w:tcPr>
            <w:tcW w:w="90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5"/>
              </w:rPr>
              <w:t>0.2%</w:t>
            </w:r>
          </w:p>
        </w:tc>
        <w:tc>
          <w:tcPr>
            <w:tcW w:w="90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5"/>
              </w:rPr>
              <w:t>6.6%</w:t>
            </w:r>
          </w:p>
        </w:tc>
        <w:tc>
          <w:tcPr>
            <w:tcW w:w="700" w:type="dxa"/>
            <w:vAlign w:val="bottom"/>
          </w:tcPr>
          <w:p>
            <w:pPr>
              <w:jc w:val="center"/>
              <w:ind w:left="134"/>
              <w:spacing w:after="0" w:line="144" w:lineRule="exact"/>
              <w:rPr>
                <w:sz w:val="20"/>
                <w:szCs w:val="20"/>
                <w:color w:val="auto"/>
              </w:rPr>
            </w:pPr>
            <w:r>
              <w:rPr>
                <w:rFonts w:ascii="Times New Roman" w:cs="Times New Roman" w:eastAsia="Times New Roman" w:hAnsi="Times New Roman"/>
                <w:sz w:val="14"/>
                <w:szCs w:val="14"/>
                <w:b w:val="1"/>
                <w:bCs w:val="1"/>
                <w:color w:val="auto"/>
                <w:w w:val="98"/>
              </w:rPr>
              <w:t>44.6%</w:t>
            </w:r>
          </w:p>
        </w:tc>
        <w:tc>
          <w:tcPr>
            <w:tcW w:w="130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8"/>
              </w:rPr>
              <w:t>46.4%</w:t>
            </w:r>
          </w:p>
        </w:tc>
        <w:tc>
          <w:tcPr>
            <w:tcW w:w="680" w:type="dxa"/>
            <w:vAlign w:val="bottom"/>
          </w:tcPr>
          <w:p>
            <w:pPr>
              <w:jc w:val="center"/>
              <w:ind w:right="134"/>
              <w:spacing w:after="0" w:line="144" w:lineRule="exact"/>
              <w:rPr>
                <w:sz w:val="20"/>
                <w:szCs w:val="20"/>
                <w:color w:val="auto"/>
              </w:rPr>
            </w:pPr>
            <w:r>
              <w:rPr>
                <w:rFonts w:ascii="Times New Roman" w:cs="Times New Roman" w:eastAsia="Times New Roman" w:hAnsi="Times New Roman"/>
                <w:sz w:val="14"/>
                <w:szCs w:val="14"/>
                <w:b w:val="1"/>
                <w:bCs w:val="1"/>
                <w:color w:val="auto"/>
                <w:w w:val="93"/>
              </w:rPr>
              <w:t>45.5%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780" w:type="dxa"/>
            <w:vAlign w:val="bottom"/>
            <w:vMerge w:val="restart"/>
          </w:tcPr>
          <w:p>
            <w:pPr>
              <w:ind w:left="280"/>
              <w:spacing w:after="0" w:line="140" w:lineRule="exact"/>
              <w:rPr>
                <w:sz w:val="20"/>
                <w:szCs w:val="20"/>
                <w:color w:val="auto"/>
              </w:rPr>
            </w:pPr>
            <w:r>
              <w:rPr>
                <w:rFonts w:ascii="Times New Roman" w:cs="Times New Roman" w:eastAsia="Times New Roman" w:hAnsi="Times New Roman"/>
                <w:sz w:val="14"/>
                <w:szCs w:val="14"/>
                <w:color w:val="auto"/>
              </w:rPr>
              <w:t>SME - Business</w:t>
            </w:r>
          </w:p>
        </w:tc>
        <w:tc>
          <w:tcPr>
            <w:tcW w:w="1160" w:type="dxa"/>
            <w:vAlign w:val="bottom"/>
            <w:vMerge w:val="restart"/>
          </w:tcPr>
          <w:p>
            <w:pPr>
              <w:jc w:val="center"/>
              <w:ind w:left="194"/>
              <w:spacing w:after="0" w:line="140" w:lineRule="exact"/>
              <w:rPr>
                <w:sz w:val="20"/>
                <w:szCs w:val="20"/>
                <w:color w:val="auto"/>
              </w:rPr>
            </w:pPr>
            <w:r>
              <w:rPr>
                <w:rFonts w:ascii="Times New Roman" w:cs="Times New Roman" w:eastAsia="Times New Roman" w:hAnsi="Times New Roman"/>
                <w:sz w:val="14"/>
                <w:szCs w:val="14"/>
                <w:color w:val="auto"/>
                <w:w w:val="95"/>
              </w:rPr>
              <w:t>7,590</w:t>
            </w:r>
          </w:p>
        </w:tc>
        <w:tc>
          <w:tcPr>
            <w:tcW w:w="90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4"/>
                <w:szCs w:val="14"/>
                <w:color w:val="auto"/>
                <w:w w:val="95"/>
              </w:rPr>
              <w:t>8,078</w:t>
            </w:r>
          </w:p>
        </w:tc>
        <w:tc>
          <w:tcPr>
            <w:tcW w:w="90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4"/>
                <w:szCs w:val="14"/>
                <w:color w:val="auto"/>
                <w:w w:val="95"/>
              </w:rPr>
              <w:t>6,969</w:t>
            </w: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4"/>
                <w:szCs w:val="14"/>
                <w:color w:val="auto"/>
                <w:w w:val="92"/>
              </w:rPr>
              <w:t>-13.7%</w:t>
            </w:r>
          </w:p>
        </w:tc>
        <w:tc>
          <w:tcPr>
            <w:tcW w:w="90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4"/>
                <w:szCs w:val="14"/>
                <w:color w:val="auto"/>
                <w:w w:val="94"/>
              </w:rPr>
              <w:t>-8.2%</w:t>
            </w:r>
          </w:p>
        </w:tc>
        <w:tc>
          <w:tcPr>
            <w:tcW w:w="700" w:type="dxa"/>
            <w:vAlign w:val="bottom"/>
            <w:vMerge w:val="restart"/>
          </w:tcPr>
          <w:p>
            <w:pPr>
              <w:jc w:val="center"/>
              <w:ind w:left="154"/>
              <w:spacing w:after="0" w:line="140" w:lineRule="exact"/>
              <w:rPr>
                <w:sz w:val="20"/>
                <w:szCs w:val="20"/>
                <w:color w:val="auto"/>
              </w:rPr>
            </w:pPr>
            <w:r>
              <w:rPr>
                <w:rFonts w:ascii="Times New Roman" w:cs="Times New Roman" w:eastAsia="Times New Roman" w:hAnsi="Times New Roman"/>
                <w:sz w:val="14"/>
                <w:szCs w:val="14"/>
                <w:color w:val="auto"/>
                <w:w w:val="95"/>
              </w:rPr>
              <w:t>5.3%</w:t>
            </w:r>
          </w:p>
        </w:tc>
        <w:tc>
          <w:tcPr>
            <w:tcW w:w="130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4"/>
                <w:szCs w:val="14"/>
                <w:color w:val="auto"/>
                <w:w w:val="95"/>
              </w:rPr>
              <w:t>5.5%</w:t>
            </w:r>
          </w:p>
        </w:tc>
        <w:tc>
          <w:tcPr>
            <w:tcW w:w="680" w:type="dxa"/>
            <w:vAlign w:val="bottom"/>
            <w:vMerge w:val="restart"/>
          </w:tcPr>
          <w:p>
            <w:pPr>
              <w:jc w:val="center"/>
              <w:ind w:right="134"/>
              <w:spacing w:after="0" w:line="140" w:lineRule="exact"/>
              <w:rPr>
                <w:sz w:val="20"/>
                <w:szCs w:val="20"/>
                <w:color w:val="auto"/>
              </w:rPr>
            </w:pPr>
            <w:r>
              <w:rPr>
                <w:rFonts w:ascii="Times New Roman" w:cs="Times New Roman" w:eastAsia="Times New Roman" w:hAnsi="Times New Roman"/>
                <w:sz w:val="14"/>
                <w:szCs w:val="14"/>
                <w:color w:val="auto"/>
                <w:w w:val="95"/>
              </w:rPr>
              <w:t>4.6%</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178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1020" w:type="dxa"/>
            <w:vAlign w:val="bottom"/>
            <w:tcBorders>
              <w:bottom w:val="single" w:sz="8" w:color="EC40A9"/>
            </w:tcBorders>
            <w:shd w:val="clear" w:color="auto" w:fill="EC40A9"/>
          </w:tcPr>
          <w:p>
            <w:pPr>
              <w:jc w:val="center"/>
              <w:spacing w:after="0" w:line="120" w:lineRule="exact"/>
              <w:rPr>
                <w:sz w:val="20"/>
                <w:szCs w:val="20"/>
                <w:color w:val="auto"/>
              </w:rPr>
            </w:pPr>
            <w:r>
              <w:rPr>
                <w:rFonts w:ascii="Times New Roman" w:cs="Times New Roman" w:eastAsia="Times New Roman" w:hAnsi="Times New Roman"/>
                <w:sz w:val="12"/>
                <w:szCs w:val="12"/>
                <w:color w:val="auto"/>
              </w:rPr>
              <w:t>-1,109</w:t>
            </w:r>
          </w:p>
        </w:tc>
        <w:tc>
          <w:tcPr>
            <w:tcW w:w="900" w:type="dxa"/>
            <w:vAlign w:val="bottom"/>
            <w:tcBorders>
              <w:bottom w:val="single" w:sz="8" w:color="EC40A9"/>
            </w:tcBorders>
            <w:shd w:val="clear" w:color="auto" w:fill="EC40A9"/>
          </w:tcPr>
          <w:p>
            <w:pPr>
              <w:jc w:val="center"/>
              <w:spacing w:after="0" w:line="120" w:lineRule="exact"/>
              <w:rPr>
                <w:sz w:val="20"/>
                <w:szCs w:val="20"/>
                <w:color w:val="auto"/>
              </w:rPr>
            </w:pPr>
            <w:r>
              <w:rPr>
                <w:rFonts w:ascii="Times New Roman" w:cs="Times New Roman" w:eastAsia="Times New Roman" w:hAnsi="Times New Roman"/>
                <w:sz w:val="12"/>
                <w:szCs w:val="12"/>
                <w:color w:val="auto"/>
              </w:rPr>
              <w:t>-621</w:t>
            </w:r>
          </w:p>
        </w:tc>
        <w:tc>
          <w:tcPr>
            <w:tcW w:w="90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780" w:type="dxa"/>
            <w:vAlign w:val="bottom"/>
          </w:tcPr>
          <w:p>
            <w:pPr>
              <w:ind w:left="280"/>
              <w:spacing w:after="0" w:line="120" w:lineRule="exact"/>
              <w:rPr>
                <w:sz w:val="20"/>
                <w:szCs w:val="20"/>
                <w:color w:val="auto"/>
              </w:rPr>
            </w:pPr>
            <w:r>
              <w:rPr>
                <w:rFonts w:ascii="Times New Roman" w:cs="Times New Roman" w:eastAsia="Times New Roman" w:hAnsi="Times New Roman"/>
                <w:sz w:val="12"/>
                <w:szCs w:val="12"/>
                <w:color w:val="auto"/>
              </w:rPr>
              <w:t>SME - Pyme</w:t>
            </w:r>
          </w:p>
        </w:tc>
        <w:tc>
          <w:tcPr>
            <w:tcW w:w="1160" w:type="dxa"/>
            <w:vAlign w:val="bottom"/>
          </w:tcPr>
          <w:p>
            <w:pPr>
              <w:jc w:val="center"/>
              <w:ind w:left="194"/>
              <w:spacing w:after="0" w:line="120" w:lineRule="exact"/>
              <w:rPr>
                <w:sz w:val="20"/>
                <w:szCs w:val="20"/>
                <w:color w:val="auto"/>
              </w:rPr>
            </w:pPr>
            <w:r>
              <w:rPr>
                <w:rFonts w:ascii="Times New Roman" w:cs="Times New Roman" w:eastAsia="Times New Roman" w:hAnsi="Times New Roman"/>
                <w:sz w:val="12"/>
                <w:szCs w:val="12"/>
                <w:color w:val="auto"/>
              </w:rPr>
              <w:t>15,940</w:t>
            </w:r>
          </w:p>
        </w:tc>
        <w:tc>
          <w:tcPr>
            <w:tcW w:w="90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color w:val="auto"/>
              </w:rPr>
              <w:t>16,574</w:t>
            </w:r>
          </w:p>
        </w:tc>
        <w:tc>
          <w:tcPr>
            <w:tcW w:w="90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color w:val="auto"/>
              </w:rPr>
              <w:t>16,787</w:t>
            </w:r>
          </w:p>
        </w:tc>
        <w:tc>
          <w:tcPr>
            <w:tcW w:w="102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color w:val="auto"/>
              </w:rPr>
              <w:t>212</w:t>
            </w:r>
          </w:p>
        </w:tc>
        <w:tc>
          <w:tcPr>
            <w:tcW w:w="90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color w:val="auto"/>
              </w:rPr>
              <w:t>847</w:t>
            </w:r>
          </w:p>
        </w:tc>
        <w:tc>
          <w:tcPr>
            <w:tcW w:w="90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color w:val="auto"/>
              </w:rPr>
              <w:t>1.3%</w:t>
            </w:r>
          </w:p>
        </w:tc>
        <w:tc>
          <w:tcPr>
            <w:tcW w:w="90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color w:val="auto"/>
              </w:rPr>
              <w:t>5.3%</w:t>
            </w:r>
          </w:p>
        </w:tc>
        <w:tc>
          <w:tcPr>
            <w:tcW w:w="700" w:type="dxa"/>
            <w:vAlign w:val="bottom"/>
          </w:tcPr>
          <w:p>
            <w:pPr>
              <w:jc w:val="center"/>
              <w:ind w:left="134"/>
              <w:spacing w:after="0" w:line="120" w:lineRule="exact"/>
              <w:rPr>
                <w:sz w:val="20"/>
                <w:szCs w:val="20"/>
                <w:color w:val="auto"/>
              </w:rPr>
            </w:pPr>
            <w:r>
              <w:rPr>
                <w:rFonts w:ascii="Times New Roman" w:cs="Times New Roman" w:eastAsia="Times New Roman" w:hAnsi="Times New Roman"/>
                <w:sz w:val="12"/>
                <w:szCs w:val="12"/>
                <w:color w:val="auto"/>
              </w:rPr>
              <w:t>11.1%</w:t>
            </w:r>
          </w:p>
        </w:tc>
        <w:tc>
          <w:tcPr>
            <w:tcW w:w="130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color w:val="auto"/>
              </w:rPr>
              <w:t>11.3%</w:t>
            </w:r>
          </w:p>
        </w:tc>
        <w:tc>
          <w:tcPr>
            <w:tcW w:w="680" w:type="dxa"/>
            <w:vAlign w:val="bottom"/>
          </w:tcPr>
          <w:p>
            <w:pPr>
              <w:jc w:val="center"/>
              <w:ind w:right="134"/>
              <w:spacing w:after="0" w:line="120" w:lineRule="exact"/>
              <w:rPr>
                <w:sz w:val="20"/>
                <w:szCs w:val="20"/>
                <w:color w:val="auto"/>
              </w:rPr>
            </w:pPr>
            <w:r>
              <w:rPr>
                <w:rFonts w:ascii="Times New Roman" w:cs="Times New Roman" w:eastAsia="Times New Roman" w:hAnsi="Times New Roman"/>
                <w:sz w:val="12"/>
                <w:szCs w:val="12"/>
                <w:color w:val="auto"/>
              </w:rPr>
              <w:t>11.2%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780" w:type="dxa"/>
            <w:vAlign w:val="bottom"/>
          </w:tcPr>
          <w:p>
            <w:pPr>
              <w:ind w:left="280"/>
              <w:spacing w:after="0" w:line="140" w:lineRule="exact"/>
              <w:rPr>
                <w:sz w:val="20"/>
                <w:szCs w:val="20"/>
                <w:color w:val="auto"/>
              </w:rPr>
            </w:pPr>
            <w:r>
              <w:rPr>
                <w:rFonts w:ascii="Times New Roman" w:cs="Times New Roman" w:eastAsia="Times New Roman" w:hAnsi="Times New Roman"/>
                <w:sz w:val="14"/>
                <w:szCs w:val="14"/>
                <w:color w:val="auto"/>
              </w:rPr>
              <w:t>Mortgage</w:t>
            </w:r>
          </w:p>
        </w:tc>
        <w:tc>
          <w:tcPr>
            <w:tcW w:w="1160" w:type="dxa"/>
            <w:vAlign w:val="bottom"/>
          </w:tcPr>
          <w:p>
            <w:pPr>
              <w:jc w:val="center"/>
              <w:ind w:left="194"/>
              <w:spacing w:after="0" w:line="140" w:lineRule="exact"/>
              <w:rPr>
                <w:sz w:val="20"/>
                <w:szCs w:val="20"/>
                <w:color w:val="auto"/>
              </w:rPr>
            </w:pPr>
            <w:r>
              <w:rPr>
                <w:rFonts w:ascii="Times New Roman" w:cs="Times New Roman" w:eastAsia="Times New Roman" w:hAnsi="Times New Roman"/>
                <w:sz w:val="14"/>
                <w:szCs w:val="14"/>
                <w:color w:val="auto"/>
                <w:w w:val="98"/>
              </w:rPr>
              <w:t>21,870</w:t>
            </w:r>
          </w:p>
        </w:tc>
        <w:tc>
          <w:tcPr>
            <w:tcW w:w="90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3"/>
              </w:rPr>
              <w:t>23,525</w:t>
            </w:r>
          </w:p>
        </w:tc>
        <w:tc>
          <w:tcPr>
            <w:tcW w:w="90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8"/>
              </w:rPr>
              <w:t>24,030</w:t>
            </w:r>
          </w:p>
        </w:tc>
        <w:tc>
          <w:tcPr>
            <w:tcW w:w="10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rPr>
              <w:t>505</w:t>
            </w:r>
          </w:p>
        </w:tc>
        <w:tc>
          <w:tcPr>
            <w:tcW w:w="90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rPr>
              <w:t>2,160</w:t>
            </w:r>
          </w:p>
        </w:tc>
        <w:tc>
          <w:tcPr>
            <w:tcW w:w="90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5"/>
              </w:rPr>
              <w:t>2.1%</w:t>
            </w:r>
          </w:p>
        </w:tc>
        <w:tc>
          <w:tcPr>
            <w:tcW w:w="90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5"/>
              </w:rPr>
              <w:t>9.9%</w:t>
            </w:r>
          </w:p>
        </w:tc>
        <w:tc>
          <w:tcPr>
            <w:tcW w:w="700" w:type="dxa"/>
            <w:vAlign w:val="bottom"/>
          </w:tcPr>
          <w:p>
            <w:pPr>
              <w:jc w:val="center"/>
              <w:ind w:left="134"/>
              <w:spacing w:after="0" w:line="140" w:lineRule="exact"/>
              <w:rPr>
                <w:sz w:val="20"/>
                <w:szCs w:val="20"/>
                <w:color w:val="auto"/>
              </w:rPr>
            </w:pPr>
            <w:r>
              <w:rPr>
                <w:rFonts w:ascii="Times New Roman" w:cs="Times New Roman" w:eastAsia="Times New Roman" w:hAnsi="Times New Roman"/>
                <w:sz w:val="14"/>
                <w:szCs w:val="14"/>
                <w:color w:val="auto"/>
                <w:w w:val="93"/>
              </w:rPr>
              <w:t>15.2%</w:t>
            </w:r>
          </w:p>
        </w:tc>
        <w:tc>
          <w:tcPr>
            <w:tcW w:w="130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3"/>
              </w:rPr>
              <w:t>16.0%</w:t>
            </w:r>
          </w:p>
        </w:tc>
        <w:tc>
          <w:tcPr>
            <w:tcW w:w="680" w:type="dxa"/>
            <w:vAlign w:val="bottom"/>
          </w:tcPr>
          <w:p>
            <w:pPr>
              <w:jc w:val="center"/>
              <w:ind w:right="134"/>
              <w:spacing w:after="0" w:line="140" w:lineRule="exact"/>
              <w:rPr>
                <w:sz w:val="20"/>
                <w:szCs w:val="20"/>
                <w:color w:val="auto"/>
              </w:rPr>
            </w:pPr>
            <w:r>
              <w:rPr>
                <w:rFonts w:ascii="Times New Roman" w:cs="Times New Roman" w:eastAsia="Times New Roman" w:hAnsi="Times New Roman"/>
                <w:sz w:val="14"/>
                <w:szCs w:val="14"/>
                <w:color w:val="auto"/>
                <w:w w:val="99"/>
              </w:rPr>
              <w:t>16.0%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780" w:type="dxa"/>
            <w:vAlign w:val="bottom"/>
          </w:tcPr>
          <w:p>
            <w:pPr>
              <w:ind w:left="280"/>
              <w:spacing w:after="0" w:line="140" w:lineRule="exact"/>
              <w:rPr>
                <w:sz w:val="20"/>
                <w:szCs w:val="20"/>
                <w:color w:val="auto"/>
              </w:rPr>
            </w:pPr>
            <w:r>
              <w:rPr>
                <w:rFonts w:ascii="Times New Roman" w:cs="Times New Roman" w:eastAsia="Times New Roman" w:hAnsi="Times New Roman"/>
                <w:sz w:val="14"/>
                <w:szCs w:val="14"/>
                <w:color w:val="auto"/>
              </w:rPr>
              <w:t>Consumer</w:t>
            </w:r>
          </w:p>
        </w:tc>
        <w:tc>
          <w:tcPr>
            <w:tcW w:w="1160" w:type="dxa"/>
            <w:vAlign w:val="bottom"/>
          </w:tcPr>
          <w:p>
            <w:pPr>
              <w:jc w:val="center"/>
              <w:ind w:left="194"/>
              <w:spacing w:after="0" w:line="140" w:lineRule="exact"/>
              <w:rPr>
                <w:sz w:val="20"/>
                <w:szCs w:val="20"/>
                <w:color w:val="auto"/>
              </w:rPr>
            </w:pPr>
            <w:r>
              <w:rPr>
                <w:rFonts w:ascii="Times New Roman" w:cs="Times New Roman" w:eastAsia="Times New Roman" w:hAnsi="Times New Roman"/>
                <w:sz w:val="14"/>
                <w:szCs w:val="14"/>
                <w:color w:val="auto"/>
                <w:w w:val="98"/>
              </w:rPr>
              <w:t>12,961</w:t>
            </w:r>
          </w:p>
        </w:tc>
        <w:tc>
          <w:tcPr>
            <w:tcW w:w="90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3"/>
              </w:rPr>
              <w:t>13,862</w:t>
            </w:r>
          </w:p>
        </w:tc>
        <w:tc>
          <w:tcPr>
            <w:tcW w:w="90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8"/>
              </w:rPr>
              <w:t>14,343</w:t>
            </w:r>
          </w:p>
        </w:tc>
        <w:tc>
          <w:tcPr>
            <w:tcW w:w="10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rPr>
              <w:t>481</w:t>
            </w:r>
          </w:p>
        </w:tc>
        <w:tc>
          <w:tcPr>
            <w:tcW w:w="90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rPr>
              <w:t>1,383</w:t>
            </w:r>
          </w:p>
        </w:tc>
        <w:tc>
          <w:tcPr>
            <w:tcW w:w="90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5"/>
              </w:rPr>
              <w:t>3.5%</w:t>
            </w:r>
          </w:p>
        </w:tc>
        <w:tc>
          <w:tcPr>
            <w:tcW w:w="90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9"/>
              </w:rPr>
              <w:t>10.7%</w:t>
            </w:r>
          </w:p>
        </w:tc>
        <w:tc>
          <w:tcPr>
            <w:tcW w:w="700" w:type="dxa"/>
            <w:vAlign w:val="bottom"/>
          </w:tcPr>
          <w:p>
            <w:pPr>
              <w:jc w:val="center"/>
              <w:ind w:left="154"/>
              <w:spacing w:after="0" w:line="140" w:lineRule="exact"/>
              <w:rPr>
                <w:sz w:val="20"/>
                <w:szCs w:val="20"/>
                <w:color w:val="auto"/>
              </w:rPr>
            </w:pPr>
            <w:r>
              <w:rPr>
                <w:rFonts w:ascii="Times New Roman" w:cs="Times New Roman" w:eastAsia="Times New Roman" w:hAnsi="Times New Roman"/>
                <w:sz w:val="14"/>
                <w:szCs w:val="14"/>
                <w:color w:val="auto"/>
                <w:w w:val="95"/>
              </w:rPr>
              <w:t>9.0%</w:t>
            </w:r>
          </w:p>
        </w:tc>
        <w:tc>
          <w:tcPr>
            <w:tcW w:w="130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5"/>
              </w:rPr>
              <w:t>9.4%</w:t>
            </w:r>
          </w:p>
        </w:tc>
        <w:tc>
          <w:tcPr>
            <w:tcW w:w="680" w:type="dxa"/>
            <w:vAlign w:val="bottom"/>
          </w:tcPr>
          <w:p>
            <w:pPr>
              <w:jc w:val="center"/>
              <w:ind w:right="134"/>
              <w:spacing w:after="0" w:line="140" w:lineRule="exact"/>
              <w:rPr>
                <w:sz w:val="20"/>
                <w:szCs w:val="20"/>
                <w:color w:val="auto"/>
              </w:rPr>
            </w:pPr>
            <w:r>
              <w:rPr>
                <w:rFonts w:ascii="Times New Roman" w:cs="Times New Roman" w:eastAsia="Times New Roman" w:hAnsi="Times New Roman"/>
                <w:sz w:val="14"/>
                <w:szCs w:val="14"/>
                <w:color w:val="auto"/>
                <w:w w:val="95"/>
              </w:rPr>
              <w:t>9.5%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780" w:type="dxa"/>
            <w:vAlign w:val="bottom"/>
          </w:tcPr>
          <w:p>
            <w:pPr>
              <w:ind w:left="280"/>
              <w:spacing w:after="0" w:line="136" w:lineRule="exact"/>
              <w:rPr>
                <w:sz w:val="20"/>
                <w:szCs w:val="20"/>
                <w:color w:val="auto"/>
              </w:rPr>
            </w:pPr>
            <w:r>
              <w:rPr>
                <w:rFonts w:ascii="Times New Roman" w:cs="Times New Roman" w:eastAsia="Times New Roman" w:hAnsi="Times New Roman"/>
                <w:sz w:val="14"/>
                <w:szCs w:val="14"/>
                <w:color w:val="auto"/>
              </w:rPr>
              <w:t>Credit Card</w:t>
            </w:r>
          </w:p>
        </w:tc>
        <w:tc>
          <w:tcPr>
            <w:tcW w:w="1160" w:type="dxa"/>
            <w:vAlign w:val="bottom"/>
          </w:tcPr>
          <w:p>
            <w:pPr>
              <w:jc w:val="center"/>
              <w:ind w:left="194"/>
              <w:spacing w:after="0" w:line="136" w:lineRule="exact"/>
              <w:rPr>
                <w:sz w:val="20"/>
                <w:szCs w:val="20"/>
                <w:color w:val="auto"/>
              </w:rPr>
            </w:pPr>
            <w:r>
              <w:rPr>
                <w:rFonts w:ascii="Times New Roman" w:cs="Times New Roman" w:eastAsia="Times New Roman" w:hAnsi="Times New Roman"/>
                <w:sz w:val="14"/>
                <w:szCs w:val="14"/>
                <w:color w:val="auto"/>
                <w:w w:val="95"/>
              </w:rPr>
              <w:t>5,862</w:t>
            </w:r>
          </w:p>
        </w:tc>
        <w:tc>
          <w:tcPr>
            <w:tcW w:w="90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w w:val="95"/>
              </w:rPr>
              <w:t>6,319</w:t>
            </w:r>
          </w:p>
        </w:tc>
        <w:tc>
          <w:tcPr>
            <w:tcW w:w="90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w w:val="95"/>
              </w:rPr>
              <w:t>6,346</w:t>
            </w:r>
          </w:p>
        </w:tc>
        <w:tc>
          <w:tcPr>
            <w:tcW w:w="102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w w:val="99"/>
              </w:rPr>
              <w:t>27</w:t>
            </w:r>
          </w:p>
        </w:tc>
        <w:tc>
          <w:tcPr>
            <w:tcW w:w="90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w w:val="95"/>
              </w:rPr>
              <w:t>484</w:t>
            </w:r>
          </w:p>
        </w:tc>
        <w:tc>
          <w:tcPr>
            <w:tcW w:w="90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w w:val="95"/>
              </w:rPr>
              <w:t>0.4%</w:t>
            </w:r>
          </w:p>
        </w:tc>
        <w:tc>
          <w:tcPr>
            <w:tcW w:w="90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w w:val="95"/>
              </w:rPr>
              <w:t>8.3%</w:t>
            </w:r>
          </w:p>
        </w:tc>
        <w:tc>
          <w:tcPr>
            <w:tcW w:w="700" w:type="dxa"/>
            <w:vAlign w:val="bottom"/>
          </w:tcPr>
          <w:p>
            <w:pPr>
              <w:jc w:val="center"/>
              <w:ind w:left="154"/>
              <w:spacing w:after="0" w:line="136" w:lineRule="exact"/>
              <w:rPr>
                <w:sz w:val="20"/>
                <w:szCs w:val="20"/>
                <w:color w:val="auto"/>
              </w:rPr>
            </w:pPr>
            <w:r>
              <w:rPr>
                <w:rFonts w:ascii="Times New Roman" w:cs="Times New Roman" w:eastAsia="Times New Roman" w:hAnsi="Times New Roman"/>
                <w:sz w:val="14"/>
                <w:szCs w:val="14"/>
                <w:color w:val="auto"/>
                <w:w w:val="95"/>
              </w:rPr>
              <w:t>4.1%</w:t>
            </w:r>
          </w:p>
        </w:tc>
        <w:tc>
          <w:tcPr>
            <w:tcW w:w="130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w w:val="95"/>
              </w:rPr>
              <w:t>4.3%</w:t>
            </w:r>
          </w:p>
        </w:tc>
        <w:tc>
          <w:tcPr>
            <w:tcW w:w="680" w:type="dxa"/>
            <w:vAlign w:val="bottom"/>
          </w:tcPr>
          <w:p>
            <w:pPr>
              <w:jc w:val="center"/>
              <w:ind w:right="134"/>
              <w:spacing w:after="0" w:line="136" w:lineRule="exact"/>
              <w:rPr>
                <w:sz w:val="20"/>
                <w:szCs w:val="20"/>
                <w:color w:val="auto"/>
              </w:rPr>
            </w:pPr>
            <w:r>
              <w:rPr>
                <w:rFonts w:ascii="Times New Roman" w:cs="Times New Roman" w:eastAsia="Times New Roman" w:hAnsi="Times New Roman"/>
                <w:sz w:val="14"/>
                <w:szCs w:val="14"/>
                <w:color w:val="auto"/>
                <w:w w:val="95"/>
              </w:rPr>
              <w:t>4.2%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
        </w:trPr>
        <w:tc>
          <w:tcPr>
            <w:tcW w:w="1780" w:type="dxa"/>
            <w:vAlign w:val="bottom"/>
            <w:vMerge w:val="restart"/>
          </w:tcPr>
          <w:p>
            <w:pPr>
              <w:ind w:left="20"/>
              <w:spacing w:after="0" w:line="140" w:lineRule="exact"/>
              <w:rPr>
                <w:sz w:val="20"/>
                <w:szCs w:val="20"/>
                <w:color w:val="auto"/>
              </w:rPr>
            </w:pPr>
            <w:r>
              <w:rPr>
                <w:rFonts w:ascii="Times New Roman" w:cs="Times New Roman" w:eastAsia="Times New Roman" w:hAnsi="Times New Roman"/>
                <w:sz w:val="14"/>
                <w:szCs w:val="14"/>
                <w:b w:val="1"/>
                <w:bCs w:val="1"/>
                <w:color w:val="auto"/>
              </w:rPr>
              <w:t>Mibanco</w:t>
            </w:r>
          </w:p>
        </w:tc>
        <w:tc>
          <w:tcPr>
            <w:tcW w:w="1160" w:type="dxa"/>
            <w:vAlign w:val="bottom"/>
            <w:vMerge w:val="restart"/>
          </w:tcPr>
          <w:p>
            <w:pPr>
              <w:jc w:val="center"/>
              <w:ind w:left="194"/>
              <w:spacing w:after="0" w:line="140" w:lineRule="exact"/>
              <w:rPr>
                <w:sz w:val="20"/>
                <w:szCs w:val="20"/>
                <w:color w:val="auto"/>
              </w:rPr>
            </w:pPr>
            <w:r>
              <w:rPr>
                <w:rFonts w:ascii="Times New Roman" w:cs="Times New Roman" w:eastAsia="Times New Roman" w:hAnsi="Times New Roman"/>
                <w:sz w:val="14"/>
                <w:szCs w:val="14"/>
                <w:b w:val="1"/>
                <w:bCs w:val="1"/>
                <w:color w:val="auto"/>
                <w:w w:val="98"/>
              </w:rPr>
              <w:t>12,147</w:t>
            </w:r>
          </w:p>
        </w:tc>
        <w:tc>
          <w:tcPr>
            <w:tcW w:w="90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3"/>
              </w:rPr>
              <w:t>13,171</w:t>
            </w:r>
          </w:p>
        </w:tc>
        <w:tc>
          <w:tcPr>
            <w:tcW w:w="90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8"/>
              </w:rPr>
              <w:t>13,588</w:t>
            </w:r>
          </w:p>
        </w:tc>
        <w:tc>
          <w:tcPr>
            <w:tcW w:w="1020" w:type="dxa"/>
            <w:vAlign w:val="bottom"/>
          </w:tcPr>
          <w:p>
            <w:pPr>
              <w:spacing w:after="0"/>
              <w:rPr>
                <w:sz w:val="2"/>
                <w:szCs w:val="2"/>
                <w:color w:val="auto"/>
              </w:rPr>
            </w:pPr>
          </w:p>
        </w:tc>
        <w:tc>
          <w:tcPr>
            <w:tcW w:w="900" w:type="dxa"/>
            <w:vAlign w:val="bottom"/>
          </w:tcPr>
          <w:p>
            <w:pPr>
              <w:spacing w:after="0"/>
              <w:rPr>
                <w:sz w:val="2"/>
                <w:szCs w:val="2"/>
                <w:color w:val="auto"/>
              </w:rPr>
            </w:pPr>
          </w:p>
        </w:tc>
        <w:tc>
          <w:tcPr>
            <w:tcW w:w="90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5"/>
              </w:rPr>
              <w:t>3.2%</w:t>
            </w:r>
          </w:p>
        </w:tc>
        <w:tc>
          <w:tcPr>
            <w:tcW w:w="90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3"/>
              </w:rPr>
              <w:t>11.9%</w:t>
            </w:r>
          </w:p>
        </w:tc>
        <w:tc>
          <w:tcPr>
            <w:tcW w:w="700" w:type="dxa"/>
            <w:vAlign w:val="bottom"/>
            <w:vMerge w:val="restart"/>
          </w:tcPr>
          <w:p>
            <w:pPr>
              <w:jc w:val="center"/>
              <w:ind w:left="134"/>
              <w:spacing w:after="0" w:line="140" w:lineRule="exact"/>
              <w:rPr>
                <w:sz w:val="20"/>
                <w:szCs w:val="20"/>
                <w:color w:val="auto"/>
              </w:rPr>
            </w:pPr>
            <w:r>
              <w:rPr>
                <w:rFonts w:ascii="Times New Roman" w:cs="Times New Roman" w:eastAsia="Times New Roman" w:hAnsi="Times New Roman"/>
                <w:sz w:val="14"/>
                <w:szCs w:val="14"/>
                <w:b w:val="1"/>
                <w:bCs w:val="1"/>
                <w:color w:val="auto"/>
                <w:w w:val="95"/>
              </w:rPr>
              <w:t>8.4%</w:t>
            </w:r>
          </w:p>
        </w:tc>
        <w:tc>
          <w:tcPr>
            <w:tcW w:w="130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5"/>
              </w:rPr>
              <w:t>8.9%</w:t>
            </w:r>
          </w:p>
        </w:tc>
        <w:tc>
          <w:tcPr>
            <w:tcW w:w="680" w:type="dxa"/>
            <w:vAlign w:val="bottom"/>
            <w:vMerge w:val="restart"/>
          </w:tcPr>
          <w:p>
            <w:pPr>
              <w:jc w:val="center"/>
              <w:ind w:right="134"/>
              <w:spacing w:after="0" w:line="140" w:lineRule="exact"/>
              <w:rPr>
                <w:sz w:val="20"/>
                <w:szCs w:val="20"/>
                <w:color w:val="auto"/>
              </w:rPr>
            </w:pPr>
            <w:r>
              <w:rPr>
                <w:rFonts w:ascii="Times New Roman" w:cs="Times New Roman" w:eastAsia="Times New Roman" w:hAnsi="Times New Roman"/>
                <w:sz w:val="14"/>
                <w:szCs w:val="14"/>
                <w:b w:val="1"/>
                <w:bCs w:val="1"/>
                <w:color w:val="auto"/>
              </w:rPr>
              <w:t>9.0%</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5"/>
        </w:trPr>
        <w:tc>
          <w:tcPr>
            <w:tcW w:w="178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1020" w:type="dxa"/>
            <w:vAlign w:val="bottom"/>
            <w:shd w:val="clear" w:color="auto" w:fill="26D07C"/>
          </w:tcPr>
          <w:p>
            <w:pPr>
              <w:jc w:val="center"/>
              <w:spacing w:after="0" w:line="115" w:lineRule="exact"/>
              <w:rPr>
                <w:sz w:val="20"/>
                <w:szCs w:val="20"/>
                <w:color w:val="auto"/>
              </w:rPr>
            </w:pPr>
            <w:r>
              <w:rPr>
                <w:rFonts w:ascii="Times New Roman" w:cs="Times New Roman" w:eastAsia="Times New Roman" w:hAnsi="Times New Roman"/>
                <w:sz w:val="12"/>
                <w:szCs w:val="12"/>
                <w:b w:val="1"/>
                <w:bCs w:val="1"/>
                <w:color w:val="auto"/>
              </w:rPr>
              <w:t>417</w:t>
            </w:r>
          </w:p>
        </w:tc>
        <w:tc>
          <w:tcPr>
            <w:tcW w:w="900" w:type="dxa"/>
            <w:vAlign w:val="bottom"/>
            <w:shd w:val="clear" w:color="auto" w:fill="26D07C"/>
          </w:tcPr>
          <w:p>
            <w:pPr>
              <w:jc w:val="center"/>
              <w:spacing w:after="0" w:line="115" w:lineRule="exact"/>
              <w:rPr>
                <w:sz w:val="20"/>
                <w:szCs w:val="20"/>
                <w:color w:val="auto"/>
              </w:rPr>
            </w:pPr>
            <w:r>
              <w:rPr>
                <w:rFonts w:ascii="Times New Roman" w:cs="Times New Roman" w:eastAsia="Times New Roman" w:hAnsi="Times New Roman"/>
                <w:sz w:val="12"/>
                <w:szCs w:val="12"/>
                <w:b w:val="1"/>
                <w:bCs w:val="1"/>
                <w:color w:val="auto"/>
              </w:rPr>
              <w:t>1,441</w:t>
            </w:r>
          </w:p>
        </w:tc>
        <w:tc>
          <w:tcPr>
            <w:tcW w:w="90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780" w:type="dxa"/>
            <w:vAlign w:val="bottom"/>
          </w:tcPr>
          <w:p>
            <w:pPr>
              <w:ind w:left="20"/>
              <w:spacing w:after="0" w:line="140" w:lineRule="exact"/>
              <w:rPr>
                <w:sz w:val="20"/>
                <w:szCs w:val="20"/>
                <w:color w:val="auto"/>
              </w:rPr>
            </w:pPr>
            <w:r>
              <w:rPr>
                <w:rFonts w:ascii="Times New Roman" w:cs="Times New Roman" w:eastAsia="Times New Roman" w:hAnsi="Times New Roman"/>
                <w:sz w:val="14"/>
                <w:szCs w:val="14"/>
                <w:b w:val="1"/>
                <w:bCs w:val="1"/>
                <w:color w:val="auto"/>
              </w:rPr>
              <w:t>Mibanco Colombia</w:t>
            </w:r>
          </w:p>
        </w:tc>
        <w:tc>
          <w:tcPr>
            <w:tcW w:w="1160" w:type="dxa"/>
            <w:vAlign w:val="bottom"/>
          </w:tcPr>
          <w:p>
            <w:pPr>
              <w:jc w:val="center"/>
              <w:ind w:left="194"/>
              <w:spacing w:after="0" w:line="140" w:lineRule="exact"/>
              <w:rPr>
                <w:sz w:val="20"/>
                <w:szCs w:val="20"/>
                <w:color w:val="auto"/>
              </w:rPr>
            </w:pPr>
            <w:r>
              <w:rPr>
                <w:rFonts w:ascii="Times New Roman" w:cs="Times New Roman" w:eastAsia="Times New Roman" w:hAnsi="Times New Roman"/>
                <w:sz w:val="14"/>
                <w:szCs w:val="14"/>
                <w:b w:val="1"/>
                <w:bCs w:val="1"/>
                <w:color w:val="auto"/>
                <w:w w:val="95"/>
              </w:rPr>
              <w:t>1,832</w:t>
            </w:r>
          </w:p>
        </w:tc>
        <w:tc>
          <w:tcPr>
            <w:tcW w:w="90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5"/>
              </w:rPr>
              <w:t>2,193</w:t>
            </w:r>
          </w:p>
        </w:tc>
        <w:tc>
          <w:tcPr>
            <w:tcW w:w="90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5"/>
              </w:rPr>
              <w:t>2,390</w:t>
            </w:r>
          </w:p>
        </w:tc>
        <w:tc>
          <w:tcPr>
            <w:tcW w:w="1020" w:type="dxa"/>
            <w:vAlign w:val="bottom"/>
            <w:tcBorders>
              <w:bottom w:val="single" w:sz="8" w:color="26D07C"/>
            </w:tcBorders>
            <w:shd w:val="clear" w:color="auto" w:fill="26D07C"/>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rPr>
              <w:t>197</w:t>
            </w:r>
          </w:p>
        </w:tc>
        <w:tc>
          <w:tcPr>
            <w:tcW w:w="900" w:type="dxa"/>
            <w:vAlign w:val="bottom"/>
            <w:tcBorders>
              <w:bottom w:val="single" w:sz="8" w:color="26D07C"/>
            </w:tcBorders>
            <w:shd w:val="clear" w:color="auto" w:fill="26D07C"/>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5"/>
              </w:rPr>
              <w:t>558</w:t>
            </w:r>
          </w:p>
        </w:tc>
        <w:tc>
          <w:tcPr>
            <w:tcW w:w="90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5"/>
              </w:rPr>
              <w:t>9.0%</w:t>
            </w:r>
          </w:p>
        </w:tc>
        <w:tc>
          <w:tcPr>
            <w:tcW w:w="90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3"/>
              </w:rPr>
              <w:t>30.4%</w:t>
            </w:r>
          </w:p>
        </w:tc>
        <w:tc>
          <w:tcPr>
            <w:tcW w:w="700" w:type="dxa"/>
            <w:vAlign w:val="bottom"/>
          </w:tcPr>
          <w:p>
            <w:pPr>
              <w:jc w:val="center"/>
              <w:ind w:left="134"/>
              <w:spacing w:after="0" w:line="140" w:lineRule="exact"/>
              <w:rPr>
                <w:sz w:val="20"/>
                <w:szCs w:val="20"/>
                <w:color w:val="auto"/>
              </w:rPr>
            </w:pPr>
            <w:r>
              <w:rPr>
                <w:rFonts w:ascii="Times New Roman" w:cs="Times New Roman" w:eastAsia="Times New Roman" w:hAnsi="Times New Roman"/>
                <w:sz w:val="14"/>
                <w:szCs w:val="14"/>
                <w:b w:val="1"/>
                <w:bCs w:val="1"/>
                <w:color w:val="auto"/>
                <w:w w:val="95"/>
              </w:rPr>
              <w:t>1.3%</w:t>
            </w:r>
          </w:p>
        </w:tc>
        <w:tc>
          <w:tcPr>
            <w:tcW w:w="130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5"/>
              </w:rPr>
              <w:t>1.5%</w:t>
            </w:r>
          </w:p>
        </w:tc>
        <w:tc>
          <w:tcPr>
            <w:tcW w:w="680" w:type="dxa"/>
            <w:vAlign w:val="bottom"/>
          </w:tcPr>
          <w:p>
            <w:pPr>
              <w:jc w:val="center"/>
              <w:ind w:right="134"/>
              <w:spacing w:after="0" w:line="140" w:lineRule="exact"/>
              <w:rPr>
                <w:sz w:val="20"/>
                <w:szCs w:val="20"/>
                <w:color w:val="auto"/>
              </w:rPr>
            </w:pPr>
            <w:r>
              <w:rPr>
                <w:rFonts w:ascii="Times New Roman" w:cs="Times New Roman" w:eastAsia="Times New Roman" w:hAnsi="Times New Roman"/>
                <w:sz w:val="14"/>
                <w:szCs w:val="14"/>
                <w:b w:val="1"/>
                <w:bCs w:val="1"/>
                <w:color w:val="auto"/>
              </w:rPr>
              <w:t>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1780" w:type="dxa"/>
            <w:vAlign w:val="bottom"/>
          </w:tcPr>
          <w:p>
            <w:pPr>
              <w:ind w:left="20"/>
              <w:spacing w:after="0" w:line="115" w:lineRule="exact"/>
              <w:rPr>
                <w:sz w:val="20"/>
                <w:szCs w:val="20"/>
                <w:color w:val="auto"/>
              </w:rPr>
            </w:pPr>
            <w:r>
              <w:rPr>
                <w:rFonts w:ascii="Times New Roman" w:cs="Times New Roman" w:eastAsia="Times New Roman" w:hAnsi="Times New Roman"/>
                <w:sz w:val="12"/>
                <w:szCs w:val="12"/>
                <w:b w:val="1"/>
                <w:bCs w:val="1"/>
                <w:color w:val="auto"/>
              </w:rPr>
              <w:t>Bolivia</w:t>
            </w:r>
          </w:p>
        </w:tc>
        <w:tc>
          <w:tcPr>
            <w:tcW w:w="1160" w:type="dxa"/>
            <w:vAlign w:val="bottom"/>
          </w:tcPr>
          <w:p>
            <w:pPr>
              <w:jc w:val="center"/>
              <w:ind w:left="194"/>
              <w:spacing w:after="0" w:line="115" w:lineRule="exact"/>
              <w:rPr>
                <w:sz w:val="20"/>
                <w:szCs w:val="20"/>
                <w:color w:val="auto"/>
              </w:rPr>
            </w:pPr>
            <w:r>
              <w:rPr>
                <w:rFonts w:ascii="Times New Roman" w:cs="Times New Roman" w:eastAsia="Times New Roman" w:hAnsi="Times New Roman"/>
                <w:sz w:val="12"/>
                <w:szCs w:val="12"/>
                <w:b w:val="1"/>
                <w:bCs w:val="1"/>
                <w:color w:val="auto"/>
              </w:rPr>
              <w:t>9,469</w:t>
            </w:r>
          </w:p>
        </w:tc>
        <w:tc>
          <w:tcPr>
            <w:tcW w:w="900" w:type="dxa"/>
            <w:vAlign w:val="bottom"/>
          </w:tcPr>
          <w:p>
            <w:pPr>
              <w:jc w:val="center"/>
              <w:spacing w:after="0" w:line="115" w:lineRule="exact"/>
              <w:rPr>
                <w:sz w:val="20"/>
                <w:szCs w:val="20"/>
                <w:color w:val="auto"/>
              </w:rPr>
            </w:pPr>
            <w:r>
              <w:rPr>
                <w:rFonts w:ascii="Times New Roman" w:cs="Times New Roman" w:eastAsia="Times New Roman" w:hAnsi="Times New Roman"/>
                <w:sz w:val="12"/>
                <w:szCs w:val="12"/>
                <w:b w:val="1"/>
                <w:bCs w:val="1"/>
                <w:color w:val="auto"/>
              </w:rPr>
              <w:t>8,976</w:t>
            </w:r>
          </w:p>
        </w:tc>
        <w:tc>
          <w:tcPr>
            <w:tcW w:w="900" w:type="dxa"/>
            <w:vAlign w:val="bottom"/>
          </w:tcPr>
          <w:p>
            <w:pPr>
              <w:jc w:val="center"/>
              <w:spacing w:after="0" w:line="115" w:lineRule="exact"/>
              <w:rPr>
                <w:sz w:val="20"/>
                <w:szCs w:val="20"/>
                <w:color w:val="auto"/>
              </w:rPr>
            </w:pPr>
            <w:r>
              <w:rPr>
                <w:rFonts w:ascii="Times New Roman" w:cs="Times New Roman" w:eastAsia="Times New Roman" w:hAnsi="Times New Roman"/>
                <w:sz w:val="12"/>
                <w:szCs w:val="12"/>
                <w:b w:val="1"/>
                <w:bCs w:val="1"/>
                <w:color w:val="auto"/>
              </w:rPr>
              <w:t>9,067</w:t>
            </w:r>
          </w:p>
        </w:tc>
        <w:tc>
          <w:tcPr>
            <w:tcW w:w="1020" w:type="dxa"/>
            <w:vAlign w:val="bottom"/>
          </w:tcPr>
          <w:p>
            <w:pPr>
              <w:jc w:val="center"/>
              <w:spacing w:after="0" w:line="115" w:lineRule="exact"/>
              <w:rPr>
                <w:sz w:val="20"/>
                <w:szCs w:val="20"/>
                <w:color w:val="auto"/>
              </w:rPr>
            </w:pPr>
            <w:r>
              <w:rPr>
                <w:rFonts w:ascii="Times New Roman" w:cs="Times New Roman" w:eastAsia="Times New Roman" w:hAnsi="Times New Roman"/>
                <w:sz w:val="12"/>
                <w:szCs w:val="12"/>
                <w:b w:val="1"/>
                <w:bCs w:val="1"/>
                <w:color w:val="auto"/>
              </w:rPr>
              <w:t>90</w:t>
            </w:r>
          </w:p>
        </w:tc>
        <w:tc>
          <w:tcPr>
            <w:tcW w:w="900" w:type="dxa"/>
            <w:vAlign w:val="bottom"/>
          </w:tcPr>
          <w:p>
            <w:pPr>
              <w:jc w:val="center"/>
              <w:spacing w:after="0" w:line="115" w:lineRule="exact"/>
              <w:rPr>
                <w:sz w:val="20"/>
                <w:szCs w:val="20"/>
                <w:color w:val="auto"/>
              </w:rPr>
            </w:pPr>
            <w:r>
              <w:rPr>
                <w:rFonts w:ascii="Times New Roman" w:cs="Times New Roman" w:eastAsia="Times New Roman" w:hAnsi="Times New Roman"/>
                <w:sz w:val="12"/>
                <w:szCs w:val="12"/>
                <w:b w:val="1"/>
                <w:bCs w:val="1"/>
                <w:color w:val="auto"/>
              </w:rPr>
              <w:t>-402</w:t>
            </w:r>
          </w:p>
        </w:tc>
        <w:tc>
          <w:tcPr>
            <w:tcW w:w="900" w:type="dxa"/>
            <w:vAlign w:val="bottom"/>
          </w:tcPr>
          <w:p>
            <w:pPr>
              <w:jc w:val="center"/>
              <w:spacing w:after="0" w:line="115" w:lineRule="exact"/>
              <w:rPr>
                <w:sz w:val="20"/>
                <w:szCs w:val="20"/>
                <w:color w:val="auto"/>
              </w:rPr>
            </w:pPr>
            <w:r>
              <w:rPr>
                <w:rFonts w:ascii="Times New Roman" w:cs="Times New Roman" w:eastAsia="Times New Roman" w:hAnsi="Times New Roman"/>
                <w:sz w:val="12"/>
                <w:szCs w:val="12"/>
                <w:b w:val="1"/>
                <w:bCs w:val="1"/>
                <w:color w:val="auto"/>
              </w:rPr>
              <w:t>1.0%</w:t>
            </w:r>
          </w:p>
        </w:tc>
        <w:tc>
          <w:tcPr>
            <w:tcW w:w="900" w:type="dxa"/>
            <w:vAlign w:val="bottom"/>
          </w:tcPr>
          <w:p>
            <w:pPr>
              <w:jc w:val="center"/>
              <w:spacing w:after="0" w:line="115" w:lineRule="exact"/>
              <w:rPr>
                <w:sz w:val="20"/>
                <w:szCs w:val="20"/>
                <w:color w:val="auto"/>
              </w:rPr>
            </w:pPr>
            <w:r>
              <w:rPr>
                <w:rFonts w:ascii="Times New Roman" w:cs="Times New Roman" w:eastAsia="Times New Roman" w:hAnsi="Times New Roman"/>
                <w:sz w:val="12"/>
                <w:szCs w:val="12"/>
                <w:b w:val="1"/>
                <w:bCs w:val="1"/>
                <w:color w:val="auto"/>
              </w:rPr>
              <w:t>-4.2%</w:t>
            </w:r>
          </w:p>
        </w:tc>
        <w:tc>
          <w:tcPr>
            <w:tcW w:w="700" w:type="dxa"/>
            <w:vAlign w:val="bottom"/>
          </w:tcPr>
          <w:p>
            <w:pPr>
              <w:jc w:val="center"/>
              <w:ind w:left="134"/>
              <w:spacing w:after="0" w:line="115" w:lineRule="exact"/>
              <w:rPr>
                <w:sz w:val="20"/>
                <w:szCs w:val="20"/>
                <w:color w:val="auto"/>
              </w:rPr>
            </w:pPr>
            <w:r>
              <w:rPr>
                <w:rFonts w:ascii="Times New Roman" w:cs="Times New Roman" w:eastAsia="Times New Roman" w:hAnsi="Times New Roman"/>
                <w:sz w:val="12"/>
                <w:szCs w:val="12"/>
                <w:b w:val="1"/>
                <w:bCs w:val="1"/>
                <w:color w:val="auto"/>
              </w:rPr>
              <w:t>6.6%</w:t>
            </w:r>
          </w:p>
        </w:tc>
        <w:tc>
          <w:tcPr>
            <w:tcW w:w="1300" w:type="dxa"/>
            <w:vAlign w:val="bottom"/>
          </w:tcPr>
          <w:p>
            <w:pPr>
              <w:jc w:val="center"/>
              <w:spacing w:after="0" w:line="115" w:lineRule="exact"/>
              <w:rPr>
                <w:sz w:val="20"/>
                <w:szCs w:val="20"/>
                <w:color w:val="auto"/>
              </w:rPr>
            </w:pPr>
            <w:r>
              <w:rPr>
                <w:rFonts w:ascii="Times New Roman" w:cs="Times New Roman" w:eastAsia="Times New Roman" w:hAnsi="Times New Roman"/>
                <w:sz w:val="12"/>
                <w:szCs w:val="12"/>
                <w:b w:val="1"/>
                <w:bCs w:val="1"/>
                <w:color w:val="auto"/>
              </w:rPr>
              <w:t>6.1%</w:t>
            </w:r>
          </w:p>
        </w:tc>
        <w:tc>
          <w:tcPr>
            <w:tcW w:w="680" w:type="dxa"/>
            <w:vAlign w:val="bottom"/>
          </w:tcPr>
          <w:p>
            <w:pPr>
              <w:jc w:val="center"/>
              <w:ind w:right="134"/>
              <w:spacing w:after="0" w:line="115" w:lineRule="exact"/>
              <w:rPr>
                <w:sz w:val="20"/>
                <w:szCs w:val="20"/>
                <w:color w:val="auto"/>
              </w:rPr>
            </w:pPr>
            <w:r>
              <w:rPr>
                <w:rFonts w:ascii="Times New Roman" w:cs="Times New Roman" w:eastAsia="Times New Roman" w:hAnsi="Times New Roman"/>
                <w:sz w:val="12"/>
                <w:szCs w:val="12"/>
                <w:b w:val="1"/>
                <w:bCs w:val="1"/>
                <w:color w:val="auto"/>
              </w:rPr>
              <w:t>6.0%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1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ASB Bank Corp.</w:t>
            </w:r>
          </w:p>
        </w:tc>
        <w:tc>
          <w:tcPr>
            <w:tcW w:w="1160" w:type="dxa"/>
            <w:vAlign w:val="bottom"/>
            <w:tcBorders>
              <w:bottom w:val="single" w:sz="8" w:color="auto"/>
            </w:tcBorders>
          </w:tcPr>
          <w:p>
            <w:pPr>
              <w:jc w:val="center"/>
              <w:ind w:left="194"/>
              <w:spacing w:after="0"/>
              <w:rPr>
                <w:sz w:val="20"/>
                <w:szCs w:val="20"/>
                <w:color w:val="auto"/>
              </w:rPr>
            </w:pPr>
            <w:r>
              <w:rPr>
                <w:rFonts w:ascii="Times New Roman" w:cs="Times New Roman" w:eastAsia="Times New Roman" w:hAnsi="Times New Roman"/>
                <w:sz w:val="14"/>
                <w:szCs w:val="14"/>
                <w:b w:val="1"/>
                <w:bCs w:val="1"/>
                <w:color w:val="auto"/>
                <w:w w:val="95"/>
              </w:rPr>
              <w:t>1,644</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1,299</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1,356</w:t>
            </w: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56</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-288</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4.3%</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-17.5%</w:t>
            </w:r>
          </w:p>
        </w:tc>
        <w:tc>
          <w:tcPr>
            <w:tcW w:w="700" w:type="dxa"/>
            <w:vAlign w:val="bottom"/>
            <w:tcBorders>
              <w:bottom w:val="single" w:sz="8" w:color="auto"/>
            </w:tcBorders>
          </w:tcPr>
          <w:p>
            <w:pPr>
              <w:jc w:val="center"/>
              <w:ind w:left="134"/>
              <w:spacing w:after="0"/>
              <w:rPr>
                <w:sz w:val="20"/>
                <w:szCs w:val="20"/>
                <w:color w:val="auto"/>
              </w:rPr>
            </w:pPr>
            <w:r>
              <w:rPr>
                <w:rFonts w:ascii="Times New Roman" w:cs="Times New Roman" w:eastAsia="Times New Roman" w:hAnsi="Times New Roman"/>
                <w:sz w:val="14"/>
                <w:szCs w:val="14"/>
                <w:b w:val="1"/>
                <w:bCs w:val="1"/>
                <w:color w:val="auto"/>
                <w:w w:val="95"/>
              </w:rPr>
              <w:t>1.1%</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0.9%</w:t>
            </w:r>
          </w:p>
        </w:tc>
        <w:tc>
          <w:tcPr>
            <w:tcW w:w="68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0.9%</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1780" w:type="dxa"/>
            <w:vAlign w:val="bottom"/>
          </w:tcPr>
          <w:p>
            <w:pPr>
              <w:ind w:left="20"/>
              <w:spacing w:after="0" w:line="133" w:lineRule="exact"/>
              <w:rPr>
                <w:sz w:val="20"/>
                <w:szCs w:val="20"/>
                <w:color w:val="auto"/>
              </w:rPr>
            </w:pPr>
            <w:r>
              <w:rPr>
                <w:rFonts w:ascii="Times New Roman" w:cs="Times New Roman" w:eastAsia="Times New Roman" w:hAnsi="Times New Roman"/>
                <w:sz w:val="14"/>
                <w:szCs w:val="14"/>
                <w:b w:val="1"/>
                <w:bCs w:val="1"/>
                <w:color w:val="auto"/>
              </w:rPr>
              <w:t>BAP’s total loans</w:t>
            </w:r>
          </w:p>
        </w:tc>
        <w:tc>
          <w:tcPr>
            <w:tcW w:w="1160" w:type="dxa"/>
            <w:vAlign w:val="bottom"/>
          </w:tcPr>
          <w:p>
            <w:pPr>
              <w:jc w:val="center"/>
              <w:ind w:left="174"/>
              <w:spacing w:after="0" w:line="133" w:lineRule="exact"/>
              <w:rPr>
                <w:sz w:val="20"/>
                <w:szCs w:val="20"/>
                <w:color w:val="auto"/>
              </w:rPr>
            </w:pPr>
            <w:r>
              <w:rPr>
                <w:rFonts w:ascii="Times New Roman" w:cs="Times New Roman" w:eastAsia="Times New Roman" w:hAnsi="Times New Roman"/>
                <w:sz w:val="14"/>
                <w:szCs w:val="14"/>
                <w:b w:val="1"/>
                <w:bCs w:val="1"/>
                <w:color w:val="auto"/>
                <w:w w:val="96"/>
              </w:rPr>
              <w:t>143,863</w:t>
            </w:r>
          </w:p>
        </w:tc>
        <w:tc>
          <w:tcPr>
            <w:tcW w:w="90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6"/>
              </w:rPr>
              <w:t>147,225</w:t>
            </w:r>
          </w:p>
        </w:tc>
        <w:tc>
          <w:tcPr>
            <w:tcW w:w="90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6"/>
              </w:rPr>
              <w:t>150,430</w:t>
            </w:r>
          </w:p>
        </w:tc>
        <w:tc>
          <w:tcPr>
            <w:tcW w:w="102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5"/>
              </w:rPr>
              <w:t>3,205</w:t>
            </w:r>
          </w:p>
        </w:tc>
        <w:tc>
          <w:tcPr>
            <w:tcW w:w="90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rPr>
              <w:t>6,568</w:t>
            </w:r>
          </w:p>
        </w:tc>
        <w:tc>
          <w:tcPr>
            <w:tcW w:w="90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5"/>
              </w:rPr>
              <w:t>2.2%</w:t>
            </w:r>
          </w:p>
        </w:tc>
        <w:tc>
          <w:tcPr>
            <w:tcW w:w="90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5"/>
              </w:rPr>
              <w:t>4.6%</w:t>
            </w:r>
          </w:p>
        </w:tc>
        <w:tc>
          <w:tcPr>
            <w:tcW w:w="700" w:type="dxa"/>
            <w:vAlign w:val="bottom"/>
          </w:tcPr>
          <w:p>
            <w:pPr>
              <w:jc w:val="center"/>
              <w:ind w:left="154"/>
              <w:spacing w:after="0" w:line="133" w:lineRule="exact"/>
              <w:rPr>
                <w:sz w:val="20"/>
                <w:szCs w:val="20"/>
                <w:color w:val="auto"/>
              </w:rPr>
            </w:pPr>
            <w:r>
              <w:rPr>
                <w:rFonts w:ascii="Times New Roman" w:cs="Times New Roman" w:eastAsia="Times New Roman" w:hAnsi="Times New Roman"/>
                <w:sz w:val="14"/>
                <w:szCs w:val="14"/>
                <w:b w:val="1"/>
                <w:bCs w:val="1"/>
                <w:color w:val="auto"/>
                <w:w w:val="96"/>
              </w:rPr>
              <w:t>100.0%</w:t>
            </w:r>
          </w:p>
        </w:tc>
        <w:tc>
          <w:tcPr>
            <w:tcW w:w="130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6"/>
              </w:rPr>
              <w:t>100.0%</w:t>
            </w:r>
          </w:p>
        </w:tc>
        <w:tc>
          <w:tcPr>
            <w:tcW w:w="680" w:type="dxa"/>
            <w:vAlign w:val="bottom"/>
          </w:tcPr>
          <w:p>
            <w:pPr>
              <w:jc w:val="center"/>
              <w:ind w:right="134"/>
              <w:spacing w:after="0" w:line="133" w:lineRule="exact"/>
              <w:rPr>
                <w:sz w:val="20"/>
                <w:szCs w:val="20"/>
                <w:color w:val="auto"/>
              </w:rPr>
            </w:pPr>
            <w:r>
              <w:rPr>
                <w:rFonts w:ascii="Times New Roman" w:cs="Times New Roman" w:eastAsia="Times New Roman" w:hAnsi="Times New Roman"/>
                <w:sz w:val="14"/>
                <w:szCs w:val="14"/>
                <w:b w:val="1"/>
                <w:bCs w:val="1"/>
                <w:color w:val="auto"/>
                <w:w w:val="96"/>
              </w:rPr>
              <w:t>100.0%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04"/>
        </w:trPr>
        <w:tc>
          <w:tcPr>
            <w:tcW w:w="7660" w:type="dxa"/>
            <w:vAlign w:val="bottom"/>
            <w:tcBorders>
              <w:top w:val="single" w:sz="8" w:color="auto"/>
            </w:tcBorders>
            <w:gridSpan w:val="2"/>
          </w:tcPr>
          <w:p>
            <w:pPr>
              <w:spacing w:after="0" w:line="104" w:lineRule="exact"/>
              <w:rPr>
                <w:sz w:val="20"/>
                <w:szCs w:val="20"/>
                <w:color w:val="auto"/>
              </w:rPr>
            </w:pPr>
            <w:r>
              <w:rPr>
                <w:rFonts w:ascii="Times New Roman" w:cs="Times New Roman" w:eastAsia="Times New Roman" w:hAnsi="Times New Roman"/>
                <w:sz w:val="12"/>
                <w:szCs w:val="12"/>
                <w:color w:val="auto"/>
              </w:rPr>
              <w:t>For consolidation purposes, loans generated in FC are converted to LC.</w:t>
            </w:r>
          </w:p>
        </w:tc>
        <w:tc>
          <w:tcPr>
            <w:tcW w:w="340" w:type="dxa"/>
            <w:vAlign w:val="bottom"/>
            <w:tcBorders>
              <w:top w:val="single" w:sz="8" w:color="auto"/>
            </w:tcBorders>
          </w:tcPr>
          <w:p>
            <w:pPr>
              <w:spacing w:after="0"/>
              <w:rPr>
                <w:sz w:val="9"/>
                <w:szCs w:val="9"/>
                <w:color w:val="auto"/>
              </w:rPr>
            </w:pPr>
          </w:p>
        </w:tc>
        <w:tc>
          <w:tcPr>
            <w:tcW w:w="3160" w:type="dxa"/>
            <w:vAlign w:val="bottom"/>
            <w:tcBorders>
              <w:top w:val="single" w:sz="8" w:color="auto"/>
            </w:tcBorders>
          </w:tcPr>
          <w:p>
            <w:pPr>
              <w:spacing w:after="0"/>
              <w:rPr>
                <w:sz w:val="9"/>
                <w:szCs w:val="9"/>
                <w:color w:val="auto"/>
              </w:rPr>
            </w:pPr>
          </w:p>
        </w:tc>
      </w:tr>
      <w:tr>
        <w:trPr>
          <w:trHeight w:val="127"/>
        </w:trPr>
        <w:tc>
          <w:tcPr>
            <w:tcW w:w="160" w:type="dxa"/>
            <w:vAlign w:val="bottom"/>
          </w:tcPr>
          <w:p>
            <w:pPr>
              <w:spacing w:after="0" w:line="127" w:lineRule="exact"/>
              <w:rPr>
                <w:sz w:val="20"/>
                <w:szCs w:val="20"/>
                <w:color w:val="auto"/>
              </w:rPr>
            </w:pPr>
            <w:r>
              <w:rPr>
                <w:rFonts w:ascii="Times New Roman" w:cs="Times New Roman" w:eastAsia="Times New Roman" w:hAnsi="Times New Roman"/>
                <w:sz w:val="12"/>
                <w:szCs w:val="12"/>
                <w:color w:val="auto"/>
                <w:w w:val="99"/>
              </w:rPr>
              <w:t>(1)</w:t>
            </w:r>
          </w:p>
        </w:tc>
        <w:tc>
          <w:tcPr>
            <w:tcW w:w="7500" w:type="dxa"/>
            <w:vAlign w:val="bottom"/>
          </w:tcPr>
          <w:p>
            <w:pPr>
              <w:spacing w:after="0" w:line="127" w:lineRule="exact"/>
              <w:rPr>
                <w:sz w:val="20"/>
                <w:szCs w:val="20"/>
                <w:color w:val="auto"/>
              </w:rPr>
            </w:pPr>
            <w:r>
              <w:rPr>
                <w:rFonts w:ascii="Times New Roman" w:cs="Times New Roman" w:eastAsia="Times New Roman" w:hAnsi="Times New Roman"/>
                <w:sz w:val="12"/>
                <w:szCs w:val="12"/>
                <w:color w:val="auto"/>
              </w:rPr>
              <w:t>Includes Special accounts, and other banking.</w:t>
            </w:r>
          </w:p>
        </w:tc>
        <w:tc>
          <w:tcPr>
            <w:tcW w:w="340" w:type="dxa"/>
            <w:vAlign w:val="bottom"/>
            <w:shd w:val="clear" w:color="auto" w:fill="F627AB"/>
          </w:tcPr>
          <w:p>
            <w:pPr>
              <w:spacing w:after="0"/>
              <w:rPr>
                <w:sz w:val="11"/>
                <w:szCs w:val="11"/>
                <w:color w:val="auto"/>
              </w:rPr>
            </w:pPr>
          </w:p>
        </w:tc>
        <w:tc>
          <w:tcPr>
            <w:tcW w:w="3160" w:type="dxa"/>
            <w:vAlign w:val="bottom"/>
          </w:tcPr>
          <w:p>
            <w:pPr>
              <w:ind w:left="100"/>
              <w:spacing w:after="0" w:line="127" w:lineRule="exact"/>
              <w:rPr>
                <w:sz w:val="20"/>
                <w:szCs w:val="20"/>
                <w:color w:val="auto"/>
              </w:rPr>
            </w:pPr>
            <w:r>
              <w:rPr>
                <w:rFonts w:ascii="Times New Roman" w:cs="Times New Roman" w:eastAsia="Times New Roman" w:hAnsi="Times New Roman"/>
                <w:sz w:val="12"/>
                <w:szCs w:val="12"/>
                <w:color w:val="auto"/>
              </w:rPr>
              <w:t>Larger contraction in volume</w:t>
            </w:r>
          </w:p>
        </w:tc>
      </w:tr>
      <w:tr>
        <w:trPr>
          <w:trHeight w:val="143"/>
        </w:trPr>
        <w:tc>
          <w:tcPr>
            <w:tcW w:w="160" w:type="dxa"/>
            <w:vAlign w:val="bottom"/>
          </w:tcPr>
          <w:p>
            <w:pPr>
              <w:spacing w:after="0"/>
              <w:rPr>
                <w:sz w:val="20"/>
                <w:szCs w:val="20"/>
                <w:color w:val="auto"/>
              </w:rPr>
            </w:pPr>
            <w:r>
              <w:rPr>
                <w:rFonts w:ascii="Times New Roman" w:cs="Times New Roman" w:eastAsia="Times New Roman" w:hAnsi="Times New Roman"/>
                <w:sz w:val="12"/>
                <w:szCs w:val="12"/>
                <w:color w:val="auto"/>
                <w:w w:val="99"/>
              </w:rPr>
              <w:t>(2)</w:t>
            </w:r>
          </w:p>
        </w:tc>
        <w:tc>
          <w:tcPr>
            <w:tcW w:w="7500" w:type="dxa"/>
            <w:vAlign w:val="bottom"/>
          </w:tcPr>
          <w:p>
            <w:pPr>
              <w:spacing w:after="0"/>
              <w:rPr>
                <w:sz w:val="20"/>
                <w:szCs w:val="20"/>
                <w:color w:val="auto"/>
              </w:rPr>
            </w:pPr>
            <w:r>
              <w:rPr>
                <w:rFonts w:ascii="Times New Roman" w:cs="Times New Roman" w:eastAsia="Times New Roman" w:hAnsi="Times New Roman"/>
                <w:sz w:val="12"/>
                <w:szCs w:val="12"/>
                <w:color w:val="auto"/>
              </w:rPr>
              <w:t>Portfolio Management Figures. Non-audited figures.</w:t>
            </w:r>
          </w:p>
        </w:tc>
        <w:tc>
          <w:tcPr>
            <w:tcW w:w="340" w:type="dxa"/>
            <w:vAlign w:val="bottom"/>
            <w:shd w:val="clear" w:color="auto" w:fill="25D07B"/>
          </w:tcPr>
          <w:p>
            <w:pPr>
              <w:spacing w:after="0"/>
              <w:rPr>
                <w:sz w:val="12"/>
                <w:szCs w:val="12"/>
                <w:color w:val="auto"/>
              </w:rPr>
            </w:pPr>
          </w:p>
        </w:tc>
        <w:tc>
          <w:tcPr>
            <w:tcW w:w="31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Larger expansion in volume</w:t>
            </w:r>
          </w:p>
        </w:tc>
      </w:tr>
    </w:tbl>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12.2. Loan Portfolio Quality</w:t>
      </w: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Portfolio Quality Ratios by Segment</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Wholesale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3495040</wp:posOffset>
            </wp:positionV>
            <wp:extent cx="7140575" cy="1587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0575" cy="15875"/>
                    </a:xfrm>
                    <a:prstGeom prst="rect">
                      <a:avLst/>
                    </a:prstGeom>
                    <a:noFill/>
                  </pic:spPr>
                </pic:pic>
              </a:graphicData>
            </a:graphic>
          </wp:anchor>
        </w:drawing>
        <w:drawing>
          <wp:anchor simplePos="0" relativeHeight="251657728" behindDoc="1" locked="0" layoutInCell="0" allowOverlap="1">
            <wp:simplePos x="0" y="0"/>
            <wp:positionH relativeFrom="column">
              <wp:posOffset>290830</wp:posOffset>
            </wp:positionH>
            <wp:positionV relativeFrom="paragraph">
              <wp:posOffset>133985</wp:posOffset>
            </wp:positionV>
            <wp:extent cx="6536055" cy="29337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536055" cy="2933700"/>
                    </a:xfrm>
                    <a:prstGeom prst="rect">
                      <a:avLst/>
                    </a:prstGeom>
                    <a:noFill/>
                  </pic:spPr>
                </pic:pic>
              </a:graphicData>
            </a:graphic>
          </wp:anchor>
        </w:drawing>
      </w:r>
    </w:p>
    <w:p>
      <w:pPr>
        <w:sectPr>
          <w:pgSz w:w="11900" w:h="16838" w:orient="portrait"/>
          <w:cols w:equalWidth="0" w:num="1">
            <w:col w:w="11220"/>
          </w:cols>
          <w:pgMar w:left="320" w:top="770" w:right="359" w:bottom="1440" w:gutter="0" w:footer="0" w:header="0"/>
        </w:sectPr>
      </w:pPr>
    </w:p>
    <w:bookmarkStart w:id="47" w:name="page48"/>
    <w:bookmarkEnd w:id="47"/>
    <w:p>
      <w:pPr>
        <w:jc w:val="right"/>
        <w:spacing w:after="0"/>
        <w:tabs>
          <w:tab w:leader="none" w:pos="7800" w:val="left"/>
          <w:tab w:leader="none" w:pos="2120" w:val="left"/>
        </w:tabs>
        <w:rPr>
          <w:sz w:val="20"/>
          <w:szCs w:val="20"/>
          <w:color w:val="auto"/>
        </w:rPr>
      </w:pPr>
      <w:r>
        <w:rPr>
          <w:rFonts w:ascii="Times New Roman" w:cs="Times New Roman" w:eastAsia="Times New Roman" w:hAnsi="Times New Roman"/>
          <w:sz w:val="17"/>
          <w:szCs w:val="17"/>
          <w:color w:val="A6A6A6"/>
        </w:rPr>
        <w:drawing>
          <wp:anchor simplePos="0" relativeHeight="251657728" behindDoc="1" locked="0" layoutInCell="0" allowOverlap="1">
            <wp:simplePos x="0" y="0"/>
            <wp:positionH relativeFrom="page">
              <wp:posOffset>204470</wp:posOffset>
            </wp:positionH>
            <wp:positionV relativeFrom="page">
              <wp:posOffset>217805</wp:posOffset>
            </wp:positionV>
            <wp:extent cx="7140575" cy="69278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0575" cy="692785"/>
                    </a:xfrm>
                    <a:prstGeom prst="rect">
                      <a:avLst/>
                    </a:prstGeom>
                    <a:noFill/>
                  </pic:spPr>
                </pic:pic>
              </a:graphicData>
            </a:graphic>
          </wp:anchor>
        </w:drawing>
        <w:t>|</w:t>
      </w:r>
      <w:r>
        <w:rPr>
          <w:sz w:val="20"/>
          <w:szCs w:val="20"/>
          <w:color w:val="auto"/>
        </w:rPr>
        <w:tab/>
      </w:r>
      <w:r>
        <w:rPr>
          <w:rFonts w:ascii="Times New Roman" w:cs="Times New Roman" w:eastAsia="Times New Roman" w:hAnsi="Times New Roman"/>
          <w:sz w:val="14"/>
          <w:szCs w:val="14"/>
          <w:color w:val="FFFFFF"/>
        </w:rPr>
        <w:t>Earnings Release 1Q / 2026</w:t>
      </w:r>
      <w:r>
        <w:rPr>
          <w:sz w:val="20"/>
          <w:szCs w:val="20"/>
          <w:color w:val="auto"/>
        </w:rPr>
        <w:tab/>
      </w:r>
      <w:r>
        <w:rPr>
          <w:rFonts w:ascii="Times New Roman" w:cs="Times New Roman" w:eastAsia="Times New Roman" w:hAnsi="Times New Roman"/>
          <w:sz w:val="12"/>
          <w:szCs w:val="12"/>
          <w:color w:val="FF00FF"/>
        </w:rPr>
        <w:t>Analysis of 1Q26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297180</wp:posOffset>
            </wp:positionV>
            <wp:extent cx="7140575" cy="25781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0575" cy="257810"/>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FFFFFF"/>
        </w:rPr>
        <w:t>12. Appendix</w:t>
      </w:r>
    </w:p>
    <w:p>
      <w:pPr>
        <w:spacing w:after="0" w:line="29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SME-Business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146685</wp:posOffset>
            </wp:positionV>
            <wp:extent cx="6753860" cy="22567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753860" cy="2256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SME-Pyme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3442970</wp:posOffset>
            </wp:positionV>
            <wp:extent cx="7140575" cy="1587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0575" cy="15875"/>
                    </a:xfrm>
                    <a:prstGeom prst="rect">
                      <a:avLst/>
                    </a:prstGeom>
                    <a:noFill/>
                  </pic:spPr>
                </pic:pic>
              </a:graphicData>
            </a:graphic>
          </wp:anchor>
        </w:drawing>
        <w:drawing>
          <wp:anchor simplePos="0" relativeHeight="251657728" behindDoc="1" locked="0" layoutInCell="0" allowOverlap="1">
            <wp:simplePos x="0" y="0"/>
            <wp:positionH relativeFrom="column">
              <wp:posOffset>292100</wp:posOffset>
            </wp:positionH>
            <wp:positionV relativeFrom="paragraph">
              <wp:posOffset>146685</wp:posOffset>
            </wp:positionV>
            <wp:extent cx="6407150" cy="286893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407150" cy="2868930"/>
                    </a:xfrm>
                    <a:prstGeom prst="rect">
                      <a:avLst/>
                    </a:prstGeom>
                    <a:noFill/>
                  </pic:spPr>
                </pic:pic>
              </a:graphicData>
            </a:graphic>
          </wp:anchor>
        </w:drawing>
      </w:r>
    </w:p>
    <w:p>
      <w:pPr>
        <w:sectPr>
          <w:pgSz w:w="11900" w:h="16838" w:orient="portrait"/>
          <w:cols w:equalWidth="0" w:num="1">
            <w:col w:w="11120"/>
          </w:cols>
          <w:pgMar w:left="420" w:top="770" w:right="359" w:bottom="1440" w:gutter="0" w:footer="0" w:header="0"/>
        </w:sectPr>
      </w:pPr>
    </w:p>
    <w:bookmarkStart w:id="48" w:name="page49"/>
    <w:bookmarkEnd w:id="48"/>
    <w:p>
      <w:pPr>
        <w:jc w:val="right"/>
        <w:spacing w:after="0"/>
        <w:tabs>
          <w:tab w:leader="none" w:pos="7800" w:val="left"/>
          <w:tab w:leader="none" w:pos="2120" w:val="left"/>
        </w:tabs>
        <w:rPr>
          <w:sz w:val="20"/>
          <w:szCs w:val="20"/>
          <w:color w:val="auto"/>
        </w:rPr>
      </w:pPr>
      <w:r>
        <w:rPr>
          <w:rFonts w:ascii="Times New Roman" w:cs="Times New Roman" w:eastAsia="Times New Roman" w:hAnsi="Times New Roman"/>
          <w:sz w:val="17"/>
          <w:szCs w:val="17"/>
          <w:color w:val="A6A6A6"/>
        </w:rPr>
        <w:drawing>
          <wp:anchor simplePos="0" relativeHeight="251657728" behindDoc="1" locked="0" layoutInCell="0" allowOverlap="1">
            <wp:simplePos x="0" y="0"/>
            <wp:positionH relativeFrom="page">
              <wp:posOffset>204470</wp:posOffset>
            </wp:positionH>
            <wp:positionV relativeFrom="page">
              <wp:posOffset>217805</wp:posOffset>
            </wp:positionV>
            <wp:extent cx="7140575" cy="69278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0575" cy="692785"/>
                    </a:xfrm>
                    <a:prstGeom prst="rect">
                      <a:avLst/>
                    </a:prstGeom>
                    <a:noFill/>
                  </pic:spPr>
                </pic:pic>
              </a:graphicData>
            </a:graphic>
          </wp:anchor>
        </w:drawing>
        <w:t>|</w:t>
      </w:r>
      <w:r>
        <w:rPr>
          <w:sz w:val="20"/>
          <w:szCs w:val="20"/>
          <w:color w:val="auto"/>
        </w:rPr>
        <w:tab/>
      </w:r>
      <w:r>
        <w:rPr>
          <w:rFonts w:ascii="Times New Roman" w:cs="Times New Roman" w:eastAsia="Times New Roman" w:hAnsi="Times New Roman"/>
          <w:sz w:val="14"/>
          <w:szCs w:val="14"/>
          <w:color w:val="FFFFFF"/>
        </w:rPr>
        <w:t>Earnings Release 1Q / 2026</w:t>
      </w:r>
      <w:r>
        <w:rPr>
          <w:sz w:val="20"/>
          <w:szCs w:val="20"/>
          <w:color w:val="auto"/>
        </w:rPr>
        <w:tab/>
      </w:r>
      <w:r>
        <w:rPr>
          <w:rFonts w:ascii="Times New Roman" w:cs="Times New Roman" w:eastAsia="Times New Roman" w:hAnsi="Times New Roman"/>
          <w:sz w:val="12"/>
          <w:szCs w:val="12"/>
          <w:color w:val="FF00FF"/>
        </w:rPr>
        <w:t>Analysis of 1Q26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297180</wp:posOffset>
            </wp:positionV>
            <wp:extent cx="7140575" cy="25781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0575" cy="257810"/>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FFFFFF"/>
        </w:rPr>
        <w:t>12. Appendix</w:t>
      </w:r>
    </w:p>
    <w:p>
      <w:pPr>
        <w:spacing w:after="0" w:line="29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Mortgage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187325</wp:posOffset>
            </wp:positionH>
            <wp:positionV relativeFrom="paragraph">
              <wp:posOffset>146685</wp:posOffset>
            </wp:positionV>
            <wp:extent cx="6616700" cy="222440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616700" cy="2224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Consumer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3482975</wp:posOffset>
            </wp:positionV>
            <wp:extent cx="7140575" cy="1587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0575" cy="15875"/>
                    </a:xfrm>
                    <a:prstGeom prst="rect">
                      <a:avLst/>
                    </a:prstGeom>
                    <a:noFill/>
                  </pic:spPr>
                </pic:pic>
              </a:graphicData>
            </a:graphic>
          </wp:anchor>
        </w:drawing>
        <w:drawing>
          <wp:anchor simplePos="0" relativeHeight="251657728" behindDoc="1" locked="0" layoutInCell="0" allowOverlap="1">
            <wp:simplePos x="0" y="0"/>
            <wp:positionH relativeFrom="column">
              <wp:posOffset>227330</wp:posOffset>
            </wp:positionH>
            <wp:positionV relativeFrom="paragraph">
              <wp:posOffset>146685</wp:posOffset>
            </wp:positionV>
            <wp:extent cx="6536055" cy="290957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536055" cy="2909570"/>
                    </a:xfrm>
                    <a:prstGeom prst="rect">
                      <a:avLst/>
                    </a:prstGeom>
                    <a:noFill/>
                  </pic:spPr>
                </pic:pic>
              </a:graphicData>
            </a:graphic>
          </wp:anchor>
        </w:drawing>
      </w:r>
    </w:p>
    <w:p>
      <w:pPr>
        <w:sectPr>
          <w:pgSz w:w="11900" w:h="16838" w:orient="portrait"/>
          <w:cols w:equalWidth="0" w:num="1">
            <w:col w:w="11120"/>
          </w:cols>
          <w:pgMar w:left="420" w:top="770" w:right="359" w:bottom="1440" w:gutter="0" w:footer="0" w:header="0"/>
        </w:sectPr>
      </w:pPr>
    </w:p>
    <w:bookmarkStart w:id="49" w:name="page50"/>
    <w:bookmarkEnd w:id="49"/>
    <w:p>
      <w:pPr>
        <w:jc w:val="right"/>
        <w:spacing w:after="0"/>
        <w:tabs>
          <w:tab w:leader="none" w:pos="7800" w:val="left"/>
          <w:tab w:leader="none" w:pos="2120" w:val="left"/>
        </w:tabs>
        <w:rPr>
          <w:sz w:val="20"/>
          <w:szCs w:val="20"/>
          <w:color w:val="auto"/>
        </w:rPr>
      </w:pPr>
      <w:r>
        <w:rPr>
          <w:rFonts w:ascii="Times New Roman" w:cs="Times New Roman" w:eastAsia="Times New Roman" w:hAnsi="Times New Roman"/>
          <w:sz w:val="17"/>
          <w:szCs w:val="17"/>
          <w:color w:val="A6A6A6"/>
        </w:rPr>
        <w:drawing>
          <wp:anchor simplePos="0" relativeHeight="251657728" behindDoc="1" locked="0" layoutInCell="0" allowOverlap="1">
            <wp:simplePos x="0" y="0"/>
            <wp:positionH relativeFrom="page">
              <wp:posOffset>204470</wp:posOffset>
            </wp:positionH>
            <wp:positionV relativeFrom="page">
              <wp:posOffset>217805</wp:posOffset>
            </wp:positionV>
            <wp:extent cx="7140575" cy="69278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0575" cy="692785"/>
                    </a:xfrm>
                    <a:prstGeom prst="rect">
                      <a:avLst/>
                    </a:prstGeom>
                    <a:noFill/>
                  </pic:spPr>
                </pic:pic>
              </a:graphicData>
            </a:graphic>
          </wp:anchor>
        </w:drawing>
        <w:t>|</w:t>
      </w:r>
      <w:r>
        <w:rPr>
          <w:sz w:val="20"/>
          <w:szCs w:val="20"/>
          <w:color w:val="auto"/>
        </w:rPr>
        <w:tab/>
      </w:r>
      <w:r>
        <w:rPr>
          <w:rFonts w:ascii="Times New Roman" w:cs="Times New Roman" w:eastAsia="Times New Roman" w:hAnsi="Times New Roman"/>
          <w:sz w:val="14"/>
          <w:szCs w:val="14"/>
          <w:color w:val="FFFFFF"/>
        </w:rPr>
        <w:t>Earnings Release 1Q / 2026</w:t>
      </w:r>
      <w:r>
        <w:rPr>
          <w:sz w:val="20"/>
          <w:szCs w:val="20"/>
          <w:color w:val="auto"/>
        </w:rPr>
        <w:tab/>
      </w:r>
      <w:r>
        <w:rPr>
          <w:rFonts w:ascii="Times New Roman" w:cs="Times New Roman" w:eastAsia="Times New Roman" w:hAnsi="Times New Roman"/>
          <w:sz w:val="12"/>
          <w:szCs w:val="12"/>
          <w:color w:val="FF00FF"/>
        </w:rPr>
        <w:t>Analysis of 1Q26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297180</wp:posOffset>
            </wp:positionV>
            <wp:extent cx="7140575" cy="25781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0575" cy="257810"/>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FFFFFF"/>
        </w:rPr>
        <w:t>12. Appendix</w:t>
      </w:r>
    </w:p>
    <w:p>
      <w:pPr>
        <w:spacing w:after="0" w:line="29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Credit Cards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146685</wp:posOffset>
            </wp:positionV>
            <wp:extent cx="6374765" cy="213550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374765" cy="213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Mibanco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wp:posOffset>
            </wp:positionH>
            <wp:positionV relativeFrom="paragraph">
              <wp:posOffset>146685</wp:posOffset>
            </wp:positionV>
            <wp:extent cx="6407150" cy="213550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407150" cy="213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BCP Bolivia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3418840</wp:posOffset>
            </wp:positionV>
            <wp:extent cx="7140575" cy="1587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0575" cy="15875"/>
                    </a:xfrm>
                    <a:prstGeom prst="rect">
                      <a:avLst/>
                    </a:prstGeom>
                    <a:noFill/>
                  </pic:spPr>
                </pic:pic>
              </a:graphicData>
            </a:graphic>
          </wp:anchor>
        </w:drawing>
        <w:drawing>
          <wp:anchor simplePos="0" relativeHeight="251657728" behindDoc="1" locked="0" layoutInCell="0" allowOverlap="1">
            <wp:simplePos x="0" y="0"/>
            <wp:positionH relativeFrom="column">
              <wp:posOffset>292100</wp:posOffset>
            </wp:positionH>
            <wp:positionV relativeFrom="paragraph">
              <wp:posOffset>146685</wp:posOffset>
            </wp:positionV>
            <wp:extent cx="6407150" cy="28448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407150" cy="2844800"/>
                    </a:xfrm>
                    <a:prstGeom prst="rect">
                      <a:avLst/>
                    </a:prstGeom>
                    <a:noFill/>
                  </pic:spPr>
                </pic:pic>
              </a:graphicData>
            </a:graphic>
          </wp:anchor>
        </w:drawing>
      </w:r>
    </w:p>
    <w:p>
      <w:pPr>
        <w:sectPr>
          <w:pgSz w:w="11900" w:h="16838" w:orient="portrait"/>
          <w:cols w:equalWidth="0" w:num="1">
            <w:col w:w="11120"/>
          </w:cols>
          <w:pgMar w:left="420" w:top="770" w:right="359" w:bottom="1440" w:gutter="0" w:footer="0" w:header="0"/>
        </w:sectPr>
      </w:pPr>
    </w:p>
    <w:bookmarkStart w:id="50" w:name="page51"/>
    <w:bookmarkEnd w:id="50"/>
    <w:p>
      <w:pPr>
        <w:ind w:left="3200"/>
        <w:spacing w:after="0"/>
        <w:tabs>
          <w:tab w:leader="none" w:pos="3380" w:val="left"/>
          <w:tab w:leader="none" w:pos="9060" w:val="left"/>
        </w:tabs>
        <w:rPr>
          <w:sz w:val="20"/>
          <w:szCs w:val="20"/>
          <w:color w:val="auto"/>
        </w:rPr>
      </w:pPr>
      <w:r>
        <w:rPr>
          <w:rFonts w:ascii="Times New Roman" w:cs="Times New Roman" w:eastAsia="Times New Roman" w:hAnsi="Times New Roman"/>
          <w:sz w:val="17"/>
          <w:szCs w:val="17"/>
          <w:color w:val="A6A6A6"/>
        </w:rPr>
        <w:drawing>
          <wp:anchor simplePos="0" relativeHeight="251657728" behindDoc="1" locked="0" layoutInCell="0" allowOverlap="1">
            <wp:simplePos x="0" y="0"/>
            <wp:positionH relativeFrom="page">
              <wp:posOffset>204470</wp:posOffset>
            </wp:positionH>
            <wp:positionV relativeFrom="page">
              <wp:posOffset>217805</wp:posOffset>
            </wp:positionV>
            <wp:extent cx="7140575" cy="69278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0575" cy="692785"/>
                    </a:xfrm>
                    <a:prstGeom prst="rect">
                      <a:avLst/>
                    </a:prstGeom>
                    <a:noFill/>
                  </pic:spPr>
                </pic:pic>
              </a:graphicData>
            </a:graphic>
          </wp:anchor>
        </w:drawing>
        <w:t>|</w:t>
      </w:r>
      <w:r>
        <w:rPr>
          <w:sz w:val="20"/>
          <w:szCs w:val="20"/>
          <w:color w:val="auto"/>
        </w:rPr>
        <w:tab/>
      </w:r>
      <w:r>
        <w:rPr>
          <w:rFonts w:ascii="Times New Roman" w:cs="Times New Roman" w:eastAsia="Times New Roman" w:hAnsi="Times New Roman"/>
          <w:sz w:val="14"/>
          <w:szCs w:val="14"/>
          <w:color w:val="FFFFFF"/>
        </w:rPr>
        <w:t>Earnings Release 1Q / 2026</w:t>
      </w:r>
      <w:r>
        <w:rPr>
          <w:sz w:val="20"/>
          <w:szCs w:val="20"/>
          <w:color w:val="auto"/>
        </w:rPr>
        <w:tab/>
      </w:r>
      <w:r>
        <w:rPr>
          <w:rFonts w:ascii="Times New Roman" w:cs="Times New Roman" w:eastAsia="Times New Roman" w:hAnsi="Times New Roman"/>
          <w:sz w:val="12"/>
          <w:szCs w:val="12"/>
          <w:color w:val="FF00FF"/>
        </w:rPr>
        <w:t>Analysis of 1Q26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297180</wp:posOffset>
            </wp:positionV>
            <wp:extent cx="7140575" cy="20955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0575" cy="20955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FFFFFF"/>
        </w:rPr>
        <w:t>12. Appendix</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12.3. Net Interest Income (NII)</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NII Summary</w:t>
      </w: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128"/>
        </w:trPr>
        <w:tc>
          <w:tcPr>
            <w:tcW w:w="5640" w:type="dxa"/>
            <w:vAlign w:val="bottom"/>
            <w:tcBorders>
              <w:top w:val="single" w:sz="8" w:color="auto"/>
              <w:left w:val="single" w:sz="8" w:color="auto"/>
              <w:right w:val="single" w:sz="8" w:color="auto"/>
            </w:tcBorders>
            <w:shd w:val="clear" w:color="auto" w:fill="2AD2C9"/>
          </w:tcPr>
          <w:p>
            <w:pPr>
              <w:ind w:left="100"/>
              <w:spacing w:after="0" w:line="128" w:lineRule="exact"/>
              <w:rPr>
                <w:sz w:val="20"/>
                <w:szCs w:val="20"/>
                <w:color w:val="auto"/>
              </w:rPr>
            </w:pPr>
            <w:r>
              <w:rPr>
                <w:rFonts w:ascii="Times New Roman" w:cs="Times New Roman" w:eastAsia="Times New Roman" w:hAnsi="Times New Roman"/>
                <w:sz w:val="14"/>
                <w:szCs w:val="14"/>
                <w:b w:val="1"/>
                <w:bCs w:val="1"/>
                <w:color w:val="FFFFFF"/>
              </w:rPr>
              <w:t>Net interest income</w:t>
            </w:r>
          </w:p>
        </w:tc>
        <w:tc>
          <w:tcPr>
            <w:tcW w:w="1120" w:type="dxa"/>
            <w:vAlign w:val="bottom"/>
            <w:tcBorders>
              <w:top w:val="single" w:sz="8" w:color="auto"/>
            </w:tcBorders>
            <w:shd w:val="clear" w:color="auto" w:fill="2AD2C9"/>
          </w:tcPr>
          <w:p>
            <w:pPr>
              <w:spacing w:after="0"/>
              <w:rPr>
                <w:sz w:val="11"/>
                <w:szCs w:val="11"/>
                <w:color w:val="auto"/>
              </w:rPr>
            </w:pPr>
          </w:p>
        </w:tc>
        <w:tc>
          <w:tcPr>
            <w:tcW w:w="1120" w:type="dxa"/>
            <w:vAlign w:val="bottom"/>
            <w:tcBorders>
              <w:top w:val="single" w:sz="8" w:color="auto"/>
            </w:tcBorders>
            <w:shd w:val="clear" w:color="auto" w:fill="2AD2C9"/>
          </w:tcPr>
          <w:p>
            <w:pPr>
              <w:ind w:left="320"/>
              <w:spacing w:after="0" w:line="128" w:lineRule="exact"/>
              <w:rPr>
                <w:sz w:val="20"/>
                <w:szCs w:val="20"/>
                <w:color w:val="auto"/>
              </w:rPr>
            </w:pPr>
            <w:r>
              <w:rPr>
                <w:rFonts w:ascii="Times New Roman" w:cs="Times New Roman" w:eastAsia="Times New Roman" w:hAnsi="Times New Roman"/>
                <w:sz w:val="14"/>
                <w:szCs w:val="14"/>
                <w:b w:val="1"/>
                <w:bCs w:val="1"/>
                <w:color w:val="FFFFFF"/>
              </w:rPr>
              <w:t>Quarter</w:t>
            </w:r>
          </w:p>
        </w:tc>
        <w:tc>
          <w:tcPr>
            <w:tcW w:w="1140" w:type="dxa"/>
            <w:vAlign w:val="bottom"/>
            <w:tcBorders>
              <w:top w:val="single" w:sz="8" w:color="auto"/>
              <w:right w:val="single" w:sz="8" w:color="auto"/>
            </w:tcBorders>
            <w:shd w:val="clear" w:color="auto" w:fill="2AD2C9"/>
          </w:tcPr>
          <w:p>
            <w:pPr>
              <w:spacing w:after="0"/>
              <w:rPr>
                <w:sz w:val="11"/>
                <w:szCs w:val="11"/>
                <w:color w:val="auto"/>
              </w:rPr>
            </w:pPr>
          </w:p>
        </w:tc>
        <w:tc>
          <w:tcPr>
            <w:tcW w:w="800" w:type="dxa"/>
            <w:vAlign w:val="bottom"/>
            <w:tcBorders>
              <w:top w:val="single" w:sz="8" w:color="auto"/>
            </w:tcBorders>
            <w:shd w:val="clear" w:color="auto" w:fill="2AD2C9"/>
          </w:tcPr>
          <w:p>
            <w:pPr>
              <w:spacing w:after="0"/>
              <w:rPr>
                <w:sz w:val="11"/>
                <w:szCs w:val="11"/>
                <w:color w:val="auto"/>
              </w:rPr>
            </w:pPr>
          </w:p>
        </w:tc>
        <w:tc>
          <w:tcPr>
            <w:tcW w:w="1440" w:type="dxa"/>
            <w:vAlign w:val="bottom"/>
            <w:tcBorders>
              <w:top w:val="single" w:sz="8" w:color="auto"/>
              <w:right w:val="single" w:sz="8" w:color="auto"/>
            </w:tcBorders>
            <w:shd w:val="clear" w:color="auto" w:fill="2AD2C9"/>
          </w:tcPr>
          <w:p>
            <w:pPr>
              <w:ind w:left="20"/>
              <w:spacing w:after="0" w:line="128" w:lineRule="exact"/>
              <w:rPr>
                <w:sz w:val="20"/>
                <w:szCs w:val="20"/>
                <w:color w:val="auto"/>
              </w:rPr>
            </w:pPr>
            <w:r>
              <w:rPr>
                <w:rFonts w:ascii="Times New Roman" w:cs="Times New Roman" w:eastAsia="Times New Roman" w:hAnsi="Times New Roman"/>
                <w:sz w:val="14"/>
                <w:szCs w:val="14"/>
                <w:b w:val="1"/>
                <w:bCs w:val="1"/>
                <w:color w:val="FFFFFF"/>
              </w:rPr>
              <w:t>% change</w:t>
            </w:r>
          </w:p>
        </w:tc>
      </w:tr>
      <w:tr>
        <w:trPr>
          <w:trHeight w:val="164"/>
        </w:trPr>
        <w:tc>
          <w:tcPr>
            <w:tcW w:w="5640" w:type="dxa"/>
            <w:vAlign w:val="bottom"/>
            <w:tcBorders>
              <w:left w:val="single" w:sz="8" w:color="auto"/>
              <w:bottom w:val="single" w:sz="8" w:color="auto"/>
              <w:right w:val="single" w:sz="8" w:color="auto"/>
            </w:tcBorders>
            <w:shd w:val="clear" w:color="auto" w:fill="2AD2C9"/>
          </w:tcPr>
          <w:p>
            <w:pPr>
              <w:ind w:left="100"/>
              <w:spacing w:after="0"/>
              <w:rPr>
                <w:sz w:val="20"/>
                <w:szCs w:val="20"/>
                <w:color w:val="auto"/>
              </w:rPr>
            </w:pPr>
            <w:r>
              <w:rPr>
                <w:rFonts w:ascii="Times New Roman" w:cs="Times New Roman" w:eastAsia="Times New Roman" w:hAnsi="Times New Roman"/>
                <w:sz w:val="14"/>
                <w:szCs w:val="14"/>
                <w:b w:val="1"/>
                <w:bCs w:val="1"/>
                <w:color w:val="FFFFFF"/>
              </w:rPr>
              <w:t>S/000</w:t>
            </w:r>
          </w:p>
        </w:tc>
        <w:tc>
          <w:tcPr>
            <w:tcW w:w="1120" w:type="dxa"/>
            <w:vAlign w:val="bottom"/>
            <w:tcBorders>
              <w:bottom w:val="single" w:sz="8" w:color="auto"/>
            </w:tcBorders>
            <w:shd w:val="clear" w:color="auto" w:fill="2AD2C9"/>
          </w:tcPr>
          <w:p>
            <w:pPr>
              <w:jc w:val="center"/>
              <w:spacing w:after="0"/>
              <w:rPr>
                <w:sz w:val="20"/>
                <w:szCs w:val="20"/>
                <w:color w:val="auto"/>
              </w:rPr>
            </w:pPr>
            <w:r>
              <w:rPr>
                <w:rFonts w:ascii="Times New Roman" w:cs="Times New Roman" w:eastAsia="Times New Roman" w:hAnsi="Times New Roman"/>
                <w:sz w:val="14"/>
                <w:szCs w:val="14"/>
                <w:b w:val="1"/>
                <w:bCs w:val="1"/>
                <w:color w:val="FFFFFF"/>
                <w:w w:val="93"/>
              </w:rPr>
              <w:t>1Q25</w:t>
            </w:r>
          </w:p>
        </w:tc>
        <w:tc>
          <w:tcPr>
            <w:tcW w:w="1120" w:type="dxa"/>
            <w:vAlign w:val="bottom"/>
            <w:tcBorders>
              <w:bottom w:val="single" w:sz="8" w:color="auto"/>
            </w:tcBorders>
            <w:shd w:val="clear" w:color="auto" w:fill="2AD2C9"/>
          </w:tcPr>
          <w:p>
            <w:pPr>
              <w:jc w:val="center"/>
              <w:spacing w:after="0"/>
              <w:rPr>
                <w:sz w:val="20"/>
                <w:szCs w:val="20"/>
                <w:color w:val="auto"/>
              </w:rPr>
            </w:pPr>
            <w:r>
              <w:rPr>
                <w:rFonts w:ascii="Times New Roman" w:cs="Times New Roman" w:eastAsia="Times New Roman" w:hAnsi="Times New Roman"/>
                <w:sz w:val="14"/>
                <w:szCs w:val="14"/>
                <w:b w:val="1"/>
                <w:bCs w:val="1"/>
                <w:color w:val="FFFFFF"/>
              </w:rPr>
              <w:t>4Q25</w:t>
            </w:r>
          </w:p>
        </w:tc>
        <w:tc>
          <w:tcPr>
            <w:tcW w:w="114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Times New Roman" w:cs="Times New Roman" w:eastAsia="Times New Roman" w:hAnsi="Times New Roman"/>
                <w:sz w:val="14"/>
                <w:szCs w:val="14"/>
                <w:b w:val="1"/>
                <w:bCs w:val="1"/>
                <w:color w:val="FFFFFF"/>
              </w:rPr>
              <w:t>1Q26</w:t>
            </w:r>
          </w:p>
        </w:tc>
        <w:tc>
          <w:tcPr>
            <w:tcW w:w="800" w:type="dxa"/>
            <w:vAlign w:val="bottom"/>
            <w:tcBorders>
              <w:bottom w:val="single" w:sz="8" w:color="auto"/>
            </w:tcBorders>
            <w:shd w:val="clear" w:color="auto" w:fill="2AD2C9"/>
          </w:tcPr>
          <w:p>
            <w:pPr>
              <w:jc w:val="center"/>
              <w:ind w:left="213"/>
              <w:spacing w:after="0"/>
              <w:rPr>
                <w:sz w:val="20"/>
                <w:szCs w:val="20"/>
                <w:color w:val="auto"/>
              </w:rPr>
            </w:pPr>
            <w:r>
              <w:rPr>
                <w:rFonts w:ascii="Times New Roman" w:cs="Times New Roman" w:eastAsia="Times New Roman" w:hAnsi="Times New Roman"/>
                <w:sz w:val="14"/>
                <w:szCs w:val="14"/>
                <w:b w:val="1"/>
                <w:bCs w:val="1"/>
                <w:color w:val="FFFFFF"/>
                <w:w w:val="97"/>
              </w:rPr>
              <w:t>QoQ</w:t>
            </w:r>
          </w:p>
        </w:tc>
        <w:tc>
          <w:tcPr>
            <w:tcW w:w="1440" w:type="dxa"/>
            <w:vAlign w:val="bottom"/>
            <w:tcBorders>
              <w:bottom w:val="single" w:sz="8" w:color="auto"/>
              <w:right w:val="single" w:sz="8" w:color="auto"/>
            </w:tcBorders>
            <w:shd w:val="clear" w:color="auto" w:fill="2AD2C9"/>
          </w:tcPr>
          <w:p>
            <w:pPr>
              <w:jc w:val="center"/>
              <w:ind w:left="213"/>
              <w:spacing w:after="0"/>
              <w:rPr>
                <w:sz w:val="20"/>
                <w:szCs w:val="20"/>
                <w:color w:val="auto"/>
              </w:rPr>
            </w:pPr>
            <w:r>
              <w:rPr>
                <w:rFonts w:ascii="Times New Roman" w:cs="Times New Roman" w:eastAsia="Times New Roman" w:hAnsi="Times New Roman"/>
                <w:sz w:val="14"/>
                <w:szCs w:val="14"/>
                <w:b w:val="1"/>
                <w:bCs w:val="1"/>
                <w:color w:val="FFFFFF"/>
                <w:w w:val="87"/>
              </w:rPr>
              <w:t>YoY</w:t>
            </w:r>
          </w:p>
        </w:tc>
      </w:tr>
      <w:tr>
        <w:trPr>
          <w:trHeight w:val="112"/>
        </w:trPr>
        <w:tc>
          <w:tcPr>
            <w:tcW w:w="5640" w:type="dxa"/>
            <w:vAlign w:val="bottom"/>
            <w:tcBorders>
              <w:left w:val="single" w:sz="8" w:color="auto"/>
              <w:right w:val="single" w:sz="8" w:color="auto"/>
            </w:tcBorders>
          </w:tcPr>
          <w:p>
            <w:pPr>
              <w:ind w:left="100"/>
              <w:spacing w:after="0" w:line="112" w:lineRule="exact"/>
              <w:rPr>
                <w:sz w:val="20"/>
                <w:szCs w:val="20"/>
                <w:color w:val="auto"/>
              </w:rPr>
            </w:pPr>
            <w:r>
              <w:rPr>
                <w:rFonts w:ascii="Times New Roman" w:cs="Times New Roman" w:eastAsia="Times New Roman" w:hAnsi="Times New Roman"/>
                <w:sz w:val="12"/>
                <w:szCs w:val="12"/>
                <w:b w:val="1"/>
                <w:bCs w:val="1"/>
                <w:color w:val="auto"/>
              </w:rPr>
              <w:t>Interest income</w:t>
            </w:r>
          </w:p>
        </w:tc>
        <w:tc>
          <w:tcPr>
            <w:tcW w:w="1120" w:type="dxa"/>
            <w:vAlign w:val="bottom"/>
          </w:tcPr>
          <w:p>
            <w:pPr>
              <w:jc w:val="center"/>
              <w:spacing w:after="0" w:line="112" w:lineRule="exact"/>
              <w:rPr>
                <w:sz w:val="20"/>
                <w:szCs w:val="20"/>
                <w:color w:val="auto"/>
              </w:rPr>
            </w:pPr>
            <w:r>
              <w:rPr>
                <w:rFonts w:ascii="Times New Roman" w:cs="Times New Roman" w:eastAsia="Times New Roman" w:hAnsi="Times New Roman"/>
                <w:sz w:val="12"/>
                <w:szCs w:val="12"/>
                <w:b w:val="1"/>
                <w:bCs w:val="1"/>
                <w:color w:val="auto"/>
              </w:rPr>
              <w:t>4,894,790</w:t>
            </w:r>
          </w:p>
        </w:tc>
        <w:tc>
          <w:tcPr>
            <w:tcW w:w="1120" w:type="dxa"/>
            <w:vAlign w:val="bottom"/>
          </w:tcPr>
          <w:p>
            <w:pPr>
              <w:jc w:val="center"/>
              <w:spacing w:after="0" w:line="112" w:lineRule="exact"/>
              <w:rPr>
                <w:sz w:val="20"/>
                <w:szCs w:val="20"/>
                <w:color w:val="auto"/>
              </w:rPr>
            </w:pPr>
            <w:r>
              <w:rPr>
                <w:rFonts w:ascii="Times New Roman" w:cs="Times New Roman" w:eastAsia="Times New Roman" w:hAnsi="Times New Roman"/>
                <w:sz w:val="12"/>
                <w:szCs w:val="12"/>
                <w:b w:val="1"/>
                <w:bCs w:val="1"/>
                <w:color w:val="auto"/>
              </w:rPr>
              <w:t>5,125,394</w:t>
            </w:r>
          </w:p>
        </w:tc>
        <w:tc>
          <w:tcPr>
            <w:tcW w:w="1140" w:type="dxa"/>
            <w:vAlign w:val="bottom"/>
            <w:tcBorders>
              <w:right w:val="single" w:sz="8" w:color="auto"/>
            </w:tcBorders>
          </w:tcPr>
          <w:p>
            <w:pPr>
              <w:jc w:val="center"/>
              <w:spacing w:after="0" w:line="112" w:lineRule="exact"/>
              <w:rPr>
                <w:sz w:val="20"/>
                <w:szCs w:val="20"/>
                <w:color w:val="auto"/>
              </w:rPr>
            </w:pPr>
            <w:r>
              <w:rPr>
                <w:rFonts w:ascii="Times New Roman" w:cs="Times New Roman" w:eastAsia="Times New Roman" w:hAnsi="Times New Roman"/>
                <w:sz w:val="12"/>
                <w:szCs w:val="12"/>
                <w:b w:val="1"/>
                <w:bCs w:val="1"/>
                <w:color w:val="auto"/>
              </w:rPr>
              <w:t>5,212,412</w:t>
            </w:r>
          </w:p>
        </w:tc>
        <w:tc>
          <w:tcPr>
            <w:tcW w:w="800" w:type="dxa"/>
            <w:vAlign w:val="bottom"/>
          </w:tcPr>
          <w:p>
            <w:pPr>
              <w:jc w:val="center"/>
              <w:ind w:left="233"/>
              <w:spacing w:after="0" w:line="112" w:lineRule="exact"/>
              <w:rPr>
                <w:sz w:val="20"/>
                <w:szCs w:val="20"/>
                <w:color w:val="auto"/>
              </w:rPr>
            </w:pPr>
            <w:r>
              <w:rPr>
                <w:rFonts w:ascii="Times New Roman" w:cs="Times New Roman" w:eastAsia="Times New Roman" w:hAnsi="Times New Roman"/>
                <w:sz w:val="12"/>
                <w:szCs w:val="12"/>
                <w:b w:val="1"/>
                <w:bCs w:val="1"/>
                <w:color w:val="auto"/>
              </w:rPr>
              <w:t>1.7%</w:t>
            </w:r>
          </w:p>
        </w:tc>
        <w:tc>
          <w:tcPr>
            <w:tcW w:w="1440" w:type="dxa"/>
            <w:vAlign w:val="bottom"/>
            <w:tcBorders>
              <w:right w:val="single" w:sz="8" w:color="auto"/>
            </w:tcBorders>
          </w:tcPr>
          <w:p>
            <w:pPr>
              <w:jc w:val="center"/>
              <w:ind w:left="193"/>
              <w:spacing w:after="0" w:line="112" w:lineRule="exact"/>
              <w:rPr>
                <w:sz w:val="20"/>
                <w:szCs w:val="20"/>
                <w:color w:val="auto"/>
              </w:rPr>
            </w:pPr>
            <w:r>
              <w:rPr>
                <w:rFonts w:ascii="Times New Roman" w:cs="Times New Roman" w:eastAsia="Times New Roman" w:hAnsi="Times New Roman"/>
                <w:sz w:val="12"/>
                <w:szCs w:val="12"/>
                <w:b w:val="1"/>
                <w:bCs w:val="1"/>
                <w:color w:val="auto"/>
              </w:rPr>
              <w:t>6.5%</w:t>
            </w:r>
          </w:p>
        </w:tc>
      </w:tr>
      <w:tr>
        <w:trPr>
          <w:trHeight w:val="140"/>
        </w:trPr>
        <w:tc>
          <w:tcPr>
            <w:tcW w:w="5640" w:type="dxa"/>
            <w:vAlign w:val="bottom"/>
            <w:tcBorders>
              <w:left w:val="single" w:sz="8" w:color="auto"/>
              <w:right w:val="single" w:sz="8" w:color="auto"/>
            </w:tcBorders>
          </w:tcPr>
          <w:p>
            <w:pPr>
              <w:ind w:left="260"/>
              <w:spacing w:after="0" w:line="140" w:lineRule="exact"/>
              <w:rPr>
                <w:sz w:val="20"/>
                <w:szCs w:val="20"/>
                <w:color w:val="auto"/>
              </w:rPr>
            </w:pPr>
            <w:r>
              <w:rPr>
                <w:rFonts w:ascii="Times New Roman" w:cs="Times New Roman" w:eastAsia="Times New Roman" w:hAnsi="Times New Roman"/>
                <w:sz w:val="14"/>
                <w:szCs w:val="14"/>
                <w:color w:val="auto"/>
              </w:rPr>
              <w:t>Interest on loans</w:t>
            </w:r>
          </w:p>
        </w:tc>
        <w:tc>
          <w:tcPr>
            <w:tcW w:w="11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3,847,640</w:t>
            </w:r>
          </w:p>
        </w:tc>
        <w:tc>
          <w:tcPr>
            <w:tcW w:w="11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4,094,165</w:t>
            </w:r>
          </w:p>
        </w:tc>
        <w:tc>
          <w:tcPr>
            <w:tcW w:w="114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4,142,813</w:t>
            </w:r>
          </w:p>
        </w:tc>
        <w:tc>
          <w:tcPr>
            <w:tcW w:w="800" w:type="dxa"/>
            <w:vAlign w:val="bottom"/>
          </w:tcPr>
          <w:p>
            <w:pPr>
              <w:jc w:val="center"/>
              <w:ind w:left="213"/>
              <w:spacing w:after="0" w:line="140" w:lineRule="exact"/>
              <w:rPr>
                <w:sz w:val="20"/>
                <w:szCs w:val="20"/>
                <w:color w:val="auto"/>
              </w:rPr>
            </w:pPr>
            <w:r>
              <w:rPr>
                <w:rFonts w:ascii="Times New Roman" w:cs="Times New Roman" w:eastAsia="Times New Roman" w:hAnsi="Times New Roman"/>
                <w:sz w:val="14"/>
                <w:szCs w:val="14"/>
                <w:color w:val="auto"/>
                <w:w w:val="95"/>
              </w:rPr>
              <w:t>1.2%</w:t>
            </w:r>
          </w:p>
        </w:tc>
        <w:tc>
          <w:tcPr>
            <w:tcW w:w="1440" w:type="dxa"/>
            <w:vAlign w:val="bottom"/>
            <w:tcBorders>
              <w:right w:val="single" w:sz="8" w:color="auto"/>
            </w:tcBorders>
          </w:tcPr>
          <w:p>
            <w:pPr>
              <w:jc w:val="center"/>
              <w:ind w:left="213"/>
              <w:spacing w:after="0" w:line="140" w:lineRule="exact"/>
              <w:rPr>
                <w:sz w:val="20"/>
                <w:szCs w:val="20"/>
                <w:color w:val="auto"/>
              </w:rPr>
            </w:pPr>
            <w:r>
              <w:rPr>
                <w:rFonts w:ascii="Times New Roman" w:cs="Times New Roman" w:eastAsia="Times New Roman" w:hAnsi="Times New Roman"/>
                <w:sz w:val="14"/>
                <w:szCs w:val="14"/>
                <w:color w:val="auto"/>
                <w:w w:val="95"/>
              </w:rPr>
              <w:t>7.7%</w:t>
            </w:r>
          </w:p>
        </w:tc>
      </w:tr>
      <w:tr>
        <w:trPr>
          <w:trHeight w:val="140"/>
        </w:trPr>
        <w:tc>
          <w:tcPr>
            <w:tcW w:w="5640" w:type="dxa"/>
            <w:vAlign w:val="bottom"/>
            <w:tcBorders>
              <w:left w:val="single" w:sz="8" w:color="auto"/>
              <w:right w:val="single" w:sz="8" w:color="auto"/>
            </w:tcBorders>
          </w:tcPr>
          <w:p>
            <w:pPr>
              <w:ind w:left="260"/>
              <w:spacing w:after="0" w:line="140" w:lineRule="exact"/>
              <w:rPr>
                <w:sz w:val="20"/>
                <w:szCs w:val="20"/>
                <w:color w:val="auto"/>
              </w:rPr>
            </w:pPr>
            <w:r>
              <w:rPr>
                <w:rFonts w:ascii="Times New Roman" w:cs="Times New Roman" w:eastAsia="Times New Roman" w:hAnsi="Times New Roman"/>
                <w:sz w:val="14"/>
                <w:szCs w:val="14"/>
                <w:color w:val="auto"/>
              </w:rPr>
              <w:t>Dividends on investments</w:t>
            </w:r>
          </w:p>
        </w:tc>
        <w:tc>
          <w:tcPr>
            <w:tcW w:w="11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8"/>
              </w:rPr>
              <w:t>25,109</w:t>
            </w:r>
          </w:p>
        </w:tc>
        <w:tc>
          <w:tcPr>
            <w:tcW w:w="11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3"/>
              </w:rPr>
              <w:t>20,063</w:t>
            </w:r>
          </w:p>
        </w:tc>
        <w:tc>
          <w:tcPr>
            <w:tcW w:w="114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3"/>
              </w:rPr>
              <w:t>16,992</w:t>
            </w:r>
          </w:p>
        </w:tc>
        <w:tc>
          <w:tcPr>
            <w:tcW w:w="800" w:type="dxa"/>
            <w:vAlign w:val="bottom"/>
          </w:tcPr>
          <w:p>
            <w:pPr>
              <w:jc w:val="center"/>
              <w:ind w:left="213"/>
              <w:spacing w:after="0" w:line="140" w:lineRule="exact"/>
              <w:rPr>
                <w:sz w:val="20"/>
                <w:szCs w:val="20"/>
                <w:color w:val="auto"/>
              </w:rPr>
            </w:pPr>
            <w:r>
              <w:rPr>
                <w:rFonts w:ascii="Times New Roman" w:cs="Times New Roman" w:eastAsia="Times New Roman" w:hAnsi="Times New Roman"/>
                <w:sz w:val="14"/>
                <w:szCs w:val="14"/>
                <w:color w:val="auto"/>
                <w:w w:val="97"/>
              </w:rPr>
              <w:t>-15.3%</w:t>
            </w:r>
          </w:p>
        </w:tc>
        <w:tc>
          <w:tcPr>
            <w:tcW w:w="1440" w:type="dxa"/>
            <w:vAlign w:val="bottom"/>
            <w:tcBorders>
              <w:right w:val="single" w:sz="8" w:color="auto"/>
            </w:tcBorders>
          </w:tcPr>
          <w:p>
            <w:pPr>
              <w:jc w:val="center"/>
              <w:ind w:left="213"/>
              <w:spacing w:after="0" w:line="140" w:lineRule="exact"/>
              <w:rPr>
                <w:sz w:val="20"/>
                <w:szCs w:val="20"/>
                <w:color w:val="auto"/>
              </w:rPr>
            </w:pPr>
            <w:r>
              <w:rPr>
                <w:rFonts w:ascii="Times New Roman" w:cs="Times New Roman" w:eastAsia="Times New Roman" w:hAnsi="Times New Roman"/>
                <w:sz w:val="14"/>
                <w:szCs w:val="14"/>
                <w:color w:val="auto"/>
                <w:w w:val="97"/>
              </w:rPr>
              <w:t>-32.3%</w:t>
            </w:r>
          </w:p>
        </w:tc>
      </w:tr>
      <w:tr>
        <w:trPr>
          <w:trHeight w:val="140"/>
        </w:trPr>
        <w:tc>
          <w:tcPr>
            <w:tcW w:w="5640" w:type="dxa"/>
            <w:vAlign w:val="bottom"/>
            <w:tcBorders>
              <w:left w:val="single" w:sz="8" w:color="auto"/>
              <w:right w:val="single" w:sz="8" w:color="auto"/>
            </w:tcBorders>
          </w:tcPr>
          <w:p>
            <w:pPr>
              <w:ind w:left="260"/>
              <w:spacing w:after="0" w:line="140" w:lineRule="exact"/>
              <w:rPr>
                <w:sz w:val="20"/>
                <w:szCs w:val="20"/>
                <w:color w:val="auto"/>
              </w:rPr>
            </w:pPr>
            <w:r>
              <w:rPr>
                <w:rFonts w:ascii="Times New Roman" w:cs="Times New Roman" w:eastAsia="Times New Roman" w:hAnsi="Times New Roman"/>
                <w:sz w:val="14"/>
                <w:szCs w:val="14"/>
                <w:color w:val="auto"/>
              </w:rPr>
              <w:t>Interest on deposits with banks</w:t>
            </w:r>
          </w:p>
        </w:tc>
        <w:tc>
          <w:tcPr>
            <w:tcW w:w="11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344,622</w:t>
            </w:r>
          </w:p>
        </w:tc>
        <w:tc>
          <w:tcPr>
            <w:tcW w:w="11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366,208</w:t>
            </w:r>
          </w:p>
        </w:tc>
        <w:tc>
          <w:tcPr>
            <w:tcW w:w="114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321,572</w:t>
            </w:r>
          </w:p>
        </w:tc>
        <w:tc>
          <w:tcPr>
            <w:tcW w:w="800" w:type="dxa"/>
            <w:vAlign w:val="bottom"/>
          </w:tcPr>
          <w:p>
            <w:pPr>
              <w:jc w:val="center"/>
              <w:ind w:left="213"/>
              <w:spacing w:after="0" w:line="140" w:lineRule="exact"/>
              <w:rPr>
                <w:sz w:val="20"/>
                <w:szCs w:val="20"/>
                <w:color w:val="auto"/>
              </w:rPr>
            </w:pPr>
            <w:r>
              <w:rPr>
                <w:rFonts w:ascii="Times New Roman" w:cs="Times New Roman" w:eastAsia="Times New Roman" w:hAnsi="Times New Roman"/>
                <w:sz w:val="14"/>
                <w:szCs w:val="14"/>
                <w:color w:val="auto"/>
                <w:w w:val="97"/>
              </w:rPr>
              <w:t>-12.2%</w:t>
            </w:r>
          </w:p>
        </w:tc>
        <w:tc>
          <w:tcPr>
            <w:tcW w:w="1440" w:type="dxa"/>
            <w:vAlign w:val="bottom"/>
            <w:tcBorders>
              <w:right w:val="single" w:sz="8" w:color="auto"/>
            </w:tcBorders>
          </w:tcPr>
          <w:p>
            <w:pPr>
              <w:jc w:val="center"/>
              <w:ind w:left="213"/>
              <w:spacing w:after="0" w:line="140" w:lineRule="exact"/>
              <w:rPr>
                <w:sz w:val="20"/>
                <w:szCs w:val="20"/>
                <w:color w:val="auto"/>
              </w:rPr>
            </w:pPr>
            <w:r>
              <w:rPr>
                <w:rFonts w:ascii="Times New Roman" w:cs="Times New Roman" w:eastAsia="Times New Roman" w:hAnsi="Times New Roman"/>
                <w:sz w:val="14"/>
                <w:szCs w:val="14"/>
                <w:color w:val="auto"/>
                <w:w w:val="94"/>
              </w:rPr>
              <w:t>-6.7%</w:t>
            </w:r>
          </w:p>
        </w:tc>
      </w:tr>
      <w:tr>
        <w:trPr>
          <w:trHeight w:val="140"/>
        </w:trPr>
        <w:tc>
          <w:tcPr>
            <w:tcW w:w="5640" w:type="dxa"/>
            <w:vAlign w:val="bottom"/>
            <w:tcBorders>
              <w:left w:val="single" w:sz="8" w:color="auto"/>
              <w:right w:val="single" w:sz="8" w:color="auto"/>
            </w:tcBorders>
          </w:tcPr>
          <w:p>
            <w:pPr>
              <w:ind w:left="260"/>
              <w:spacing w:after="0" w:line="140" w:lineRule="exact"/>
              <w:rPr>
                <w:sz w:val="20"/>
                <w:szCs w:val="20"/>
                <w:color w:val="auto"/>
              </w:rPr>
            </w:pPr>
            <w:r>
              <w:rPr>
                <w:rFonts w:ascii="Times New Roman" w:cs="Times New Roman" w:eastAsia="Times New Roman" w:hAnsi="Times New Roman"/>
                <w:sz w:val="14"/>
                <w:szCs w:val="14"/>
                <w:color w:val="auto"/>
              </w:rPr>
              <w:t>Interest on securities</w:t>
            </w:r>
          </w:p>
        </w:tc>
        <w:tc>
          <w:tcPr>
            <w:tcW w:w="11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657,872</w:t>
            </w:r>
          </w:p>
        </w:tc>
        <w:tc>
          <w:tcPr>
            <w:tcW w:w="11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618,810</w:t>
            </w:r>
          </w:p>
        </w:tc>
        <w:tc>
          <w:tcPr>
            <w:tcW w:w="114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709,233</w:t>
            </w:r>
          </w:p>
        </w:tc>
        <w:tc>
          <w:tcPr>
            <w:tcW w:w="800" w:type="dxa"/>
            <w:vAlign w:val="bottom"/>
          </w:tcPr>
          <w:p>
            <w:pPr>
              <w:jc w:val="center"/>
              <w:ind w:left="233"/>
              <w:spacing w:after="0" w:line="140" w:lineRule="exact"/>
              <w:rPr>
                <w:sz w:val="20"/>
                <w:szCs w:val="20"/>
                <w:color w:val="auto"/>
              </w:rPr>
            </w:pPr>
            <w:r>
              <w:rPr>
                <w:rFonts w:ascii="Times New Roman" w:cs="Times New Roman" w:eastAsia="Times New Roman" w:hAnsi="Times New Roman"/>
                <w:sz w:val="14"/>
                <w:szCs w:val="14"/>
                <w:color w:val="auto"/>
                <w:w w:val="93"/>
              </w:rPr>
              <w:t>14.6%</w:t>
            </w:r>
          </w:p>
        </w:tc>
        <w:tc>
          <w:tcPr>
            <w:tcW w:w="1440" w:type="dxa"/>
            <w:vAlign w:val="bottom"/>
            <w:tcBorders>
              <w:right w:val="single" w:sz="8" w:color="auto"/>
            </w:tcBorders>
          </w:tcPr>
          <w:p>
            <w:pPr>
              <w:jc w:val="center"/>
              <w:ind w:left="213"/>
              <w:spacing w:after="0" w:line="140" w:lineRule="exact"/>
              <w:rPr>
                <w:sz w:val="20"/>
                <w:szCs w:val="20"/>
                <w:color w:val="auto"/>
              </w:rPr>
            </w:pPr>
            <w:r>
              <w:rPr>
                <w:rFonts w:ascii="Times New Roman" w:cs="Times New Roman" w:eastAsia="Times New Roman" w:hAnsi="Times New Roman"/>
                <w:sz w:val="14"/>
                <w:szCs w:val="14"/>
                <w:color w:val="auto"/>
                <w:w w:val="95"/>
              </w:rPr>
              <w:t>7.8%</w:t>
            </w:r>
          </w:p>
        </w:tc>
      </w:tr>
      <w:tr>
        <w:trPr>
          <w:trHeight w:val="136"/>
        </w:trPr>
        <w:tc>
          <w:tcPr>
            <w:tcW w:w="5640" w:type="dxa"/>
            <w:vAlign w:val="bottom"/>
            <w:tcBorders>
              <w:left w:val="single" w:sz="8" w:color="auto"/>
              <w:right w:val="single" w:sz="8" w:color="auto"/>
            </w:tcBorders>
          </w:tcPr>
          <w:p>
            <w:pPr>
              <w:ind w:left="260"/>
              <w:spacing w:after="0" w:line="136" w:lineRule="exact"/>
              <w:rPr>
                <w:sz w:val="20"/>
                <w:szCs w:val="20"/>
                <w:color w:val="auto"/>
              </w:rPr>
            </w:pPr>
            <w:r>
              <w:rPr>
                <w:rFonts w:ascii="Times New Roman" w:cs="Times New Roman" w:eastAsia="Times New Roman" w:hAnsi="Times New Roman"/>
                <w:sz w:val="14"/>
                <w:szCs w:val="14"/>
                <w:color w:val="auto"/>
              </w:rPr>
              <w:t>Other interest income</w:t>
            </w:r>
          </w:p>
        </w:tc>
        <w:tc>
          <w:tcPr>
            <w:tcW w:w="112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w w:val="98"/>
              </w:rPr>
              <w:t>19,547</w:t>
            </w:r>
          </w:p>
        </w:tc>
        <w:tc>
          <w:tcPr>
            <w:tcW w:w="112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w w:val="93"/>
              </w:rPr>
              <w:t>26,148</w:t>
            </w:r>
          </w:p>
        </w:tc>
        <w:tc>
          <w:tcPr>
            <w:tcW w:w="114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4"/>
                <w:szCs w:val="14"/>
                <w:color w:val="auto"/>
                <w:w w:val="93"/>
              </w:rPr>
              <w:t>21,802</w:t>
            </w:r>
          </w:p>
        </w:tc>
        <w:tc>
          <w:tcPr>
            <w:tcW w:w="800" w:type="dxa"/>
            <w:vAlign w:val="bottom"/>
          </w:tcPr>
          <w:p>
            <w:pPr>
              <w:jc w:val="center"/>
              <w:ind w:left="213"/>
              <w:spacing w:after="0" w:line="136" w:lineRule="exact"/>
              <w:rPr>
                <w:sz w:val="20"/>
                <w:szCs w:val="20"/>
                <w:color w:val="auto"/>
              </w:rPr>
            </w:pPr>
            <w:r>
              <w:rPr>
                <w:rFonts w:ascii="Times New Roman" w:cs="Times New Roman" w:eastAsia="Times New Roman" w:hAnsi="Times New Roman"/>
                <w:sz w:val="14"/>
                <w:szCs w:val="14"/>
                <w:color w:val="auto"/>
                <w:w w:val="97"/>
              </w:rPr>
              <w:t>-16.6%</w:t>
            </w:r>
          </w:p>
        </w:tc>
        <w:tc>
          <w:tcPr>
            <w:tcW w:w="1440" w:type="dxa"/>
            <w:vAlign w:val="bottom"/>
            <w:tcBorders>
              <w:right w:val="single" w:sz="8" w:color="auto"/>
            </w:tcBorders>
          </w:tcPr>
          <w:p>
            <w:pPr>
              <w:jc w:val="center"/>
              <w:ind w:left="193"/>
              <w:spacing w:after="0" w:line="136" w:lineRule="exact"/>
              <w:rPr>
                <w:sz w:val="20"/>
                <w:szCs w:val="20"/>
                <w:color w:val="auto"/>
              </w:rPr>
            </w:pPr>
            <w:r>
              <w:rPr>
                <w:rFonts w:ascii="Times New Roman" w:cs="Times New Roman" w:eastAsia="Times New Roman" w:hAnsi="Times New Roman"/>
                <w:sz w:val="14"/>
                <w:szCs w:val="14"/>
                <w:color w:val="auto"/>
                <w:w w:val="93"/>
              </w:rPr>
              <w:t>11.5%</w:t>
            </w:r>
          </w:p>
        </w:tc>
      </w:tr>
      <w:tr>
        <w:trPr>
          <w:trHeight w:val="140"/>
        </w:trPr>
        <w:tc>
          <w:tcPr>
            <w:tcW w:w="5640" w:type="dxa"/>
            <w:vAlign w:val="bottom"/>
            <w:tcBorders>
              <w:left w:val="single" w:sz="8" w:color="auto"/>
              <w:right w:val="single" w:sz="8" w:color="auto"/>
            </w:tcBorders>
          </w:tcPr>
          <w:p>
            <w:pPr>
              <w:ind w:left="100"/>
              <w:spacing w:after="0" w:line="140" w:lineRule="exact"/>
              <w:rPr>
                <w:sz w:val="20"/>
                <w:szCs w:val="20"/>
                <w:color w:val="auto"/>
              </w:rPr>
            </w:pPr>
            <w:r>
              <w:rPr>
                <w:rFonts w:ascii="Times New Roman" w:cs="Times New Roman" w:eastAsia="Times New Roman" w:hAnsi="Times New Roman"/>
                <w:sz w:val="14"/>
                <w:szCs w:val="14"/>
                <w:b w:val="1"/>
                <w:bCs w:val="1"/>
                <w:color w:val="auto"/>
              </w:rPr>
              <w:t>Interest expense</w:t>
            </w:r>
          </w:p>
        </w:tc>
        <w:tc>
          <w:tcPr>
            <w:tcW w:w="11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6"/>
              </w:rPr>
              <w:t>1,322,778</w:t>
            </w:r>
          </w:p>
        </w:tc>
        <w:tc>
          <w:tcPr>
            <w:tcW w:w="11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6"/>
              </w:rPr>
              <w:t>1,284,127</w:t>
            </w:r>
          </w:p>
        </w:tc>
        <w:tc>
          <w:tcPr>
            <w:tcW w:w="114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6"/>
              </w:rPr>
              <w:t>1,249,685</w:t>
            </w:r>
          </w:p>
        </w:tc>
        <w:tc>
          <w:tcPr>
            <w:tcW w:w="800" w:type="dxa"/>
            <w:vAlign w:val="bottom"/>
          </w:tcPr>
          <w:p>
            <w:pPr>
              <w:jc w:val="center"/>
              <w:ind w:left="233"/>
              <w:spacing w:after="0" w:line="140" w:lineRule="exact"/>
              <w:rPr>
                <w:sz w:val="20"/>
                <w:szCs w:val="20"/>
                <w:color w:val="auto"/>
              </w:rPr>
            </w:pPr>
            <w:r>
              <w:rPr>
                <w:rFonts w:ascii="Times New Roman" w:cs="Times New Roman" w:eastAsia="Times New Roman" w:hAnsi="Times New Roman"/>
                <w:sz w:val="14"/>
                <w:szCs w:val="14"/>
                <w:b w:val="1"/>
                <w:bCs w:val="1"/>
                <w:color w:val="auto"/>
                <w:w w:val="93"/>
              </w:rPr>
              <w:t>-2.7%</w:t>
            </w:r>
          </w:p>
        </w:tc>
        <w:tc>
          <w:tcPr>
            <w:tcW w:w="1440" w:type="dxa"/>
            <w:vAlign w:val="bottom"/>
            <w:tcBorders>
              <w:right w:val="single" w:sz="8" w:color="auto"/>
            </w:tcBorders>
          </w:tcPr>
          <w:p>
            <w:pPr>
              <w:jc w:val="center"/>
              <w:ind w:left="213"/>
              <w:spacing w:after="0" w:line="140" w:lineRule="exact"/>
              <w:rPr>
                <w:sz w:val="20"/>
                <w:szCs w:val="20"/>
                <w:color w:val="auto"/>
              </w:rPr>
            </w:pPr>
            <w:r>
              <w:rPr>
                <w:rFonts w:ascii="Times New Roman" w:cs="Times New Roman" w:eastAsia="Times New Roman" w:hAnsi="Times New Roman"/>
                <w:sz w:val="14"/>
                <w:szCs w:val="14"/>
                <w:b w:val="1"/>
                <w:bCs w:val="1"/>
                <w:color w:val="auto"/>
                <w:w w:val="99"/>
              </w:rPr>
              <w:t>-5.5%</w:t>
            </w:r>
          </w:p>
        </w:tc>
      </w:tr>
      <w:tr>
        <w:trPr>
          <w:trHeight w:val="144"/>
        </w:trPr>
        <w:tc>
          <w:tcPr>
            <w:tcW w:w="5640" w:type="dxa"/>
            <w:vAlign w:val="bottom"/>
            <w:tcBorders>
              <w:left w:val="single" w:sz="8" w:color="auto"/>
              <w:right w:val="single" w:sz="8" w:color="auto"/>
            </w:tcBorders>
          </w:tcPr>
          <w:p>
            <w:pPr>
              <w:ind w:left="260"/>
              <w:spacing w:after="0" w:line="144" w:lineRule="exact"/>
              <w:rPr>
                <w:sz w:val="20"/>
                <w:szCs w:val="20"/>
                <w:color w:val="auto"/>
              </w:rPr>
            </w:pPr>
            <w:r>
              <w:rPr>
                <w:rFonts w:ascii="Times New Roman" w:cs="Times New Roman" w:eastAsia="Times New Roman" w:hAnsi="Times New Roman"/>
                <w:sz w:val="14"/>
                <w:szCs w:val="14"/>
                <w:b w:val="1"/>
                <w:bCs w:val="1"/>
                <w:color w:val="auto"/>
              </w:rPr>
              <w:t>Interest expense (excluding Net Insurance Financial Expenses)</w:t>
            </w:r>
          </w:p>
        </w:tc>
        <w:tc>
          <w:tcPr>
            <w:tcW w:w="112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6"/>
              </w:rPr>
              <w:t>1,187,156</w:t>
            </w:r>
          </w:p>
        </w:tc>
        <w:tc>
          <w:tcPr>
            <w:tcW w:w="112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6"/>
              </w:rPr>
              <w:t>1,140,166</w:t>
            </w:r>
          </w:p>
        </w:tc>
        <w:tc>
          <w:tcPr>
            <w:tcW w:w="1140" w:type="dxa"/>
            <w:vAlign w:val="bottom"/>
            <w:tcBorders>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6"/>
              </w:rPr>
              <w:t>1,086,768</w:t>
            </w:r>
          </w:p>
        </w:tc>
        <w:tc>
          <w:tcPr>
            <w:tcW w:w="800" w:type="dxa"/>
            <w:vAlign w:val="bottom"/>
          </w:tcPr>
          <w:p>
            <w:pPr>
              <w:jc w:val="center"/>
              <w:ind w:left="233"/>
              <w:spacing w:after="0" w:line="144" w:lineRule="exact"/>
              <w:rPr>
                <w:sz w:val="20"/>
                <w:szCs w:val="20"/>
                <w:color w:val="auto"/>
              </w:rPr>
            </w:pPr>
            <w:r>
              <w:rPr>
                <w:rFonts w:ascii="Times New Roman" w:cs="Times New Roman" w:eastAsia="Times New Roman" w:hAnsi="Times New Roman"/>
                <w:sz w:val="14"/>
                <w:szCs w:val="14"/>
                <w:b w:val="1"/>
                <w:bCs w:val="1"/>
                <w:color w:val="auto"/>
                <w:w w:val="93"/>
              </w:rPr>
              <w:t>-4.7%</w:t>
            </w:r>
          </w:p>
        </w:tc>
        <w:tc>
          <w:tcPr>
            <w:tcW w:w="1440" w:type="dxa"/>
            <w:vAlign w:val="bottom"/>
            <w:tcBorders>
              <w:right w:val="single" w:sz="8" w:color="auto"/>
            </w:tcBorders>
          </w:tcPr>
          <w:p>
            <w:pPr>
              <w:jc w:val="center"/>
              <w:ind w:left="213"/>
              <w:spacing w:after="0" w:line="144" w:lineRule="exact"/>
              <w:rPr>
                <w:sz w:val="20"/>
                <w:szCs w:val="20"/>
                <w:color w:val="auto"/>
              </w:rPr>
            </w:pPr>
            <w:r>
              <w:rPr>
                <w:rFonts w:ascii="Times New Roman" w:cs="Times New Roman" w:eastAsia="Times New Roman" w:hAnsi="Times New Roman"/>
                <w:sz w:val="14"/>
                <w:szCs w:val="14"/>
                <w:b w:val="1"/>
                <w:bCs w:val="1"/>
                <w:color w:val="auto"/>
                <w:w w:val="99"/>
              </w:rPr>
              <w:t>-8.5%</w:t>
            </w:r>
          </w:p>
        </w:tc>
      </w:tr>
      <w:tr>
        <w:trPr>
          <w:trHeight w:val="140"/>
        </w:trPr>
        <w:tc>
          <w:tcPr>
            <w:tcW w:w="5640" w:type="dxa"/>
            <w:vAlign w:val="bottom"/>
            <w:tcBorders>
              <w:left w:val="single" w:sz="8" w:color="auto"/>
              <w:right w:val="single" w:sz="8" w:color="auto"/>
            </w:tcBorders>
          </w:tcPr>
          <w:p>
            <w:pPr>
              <w:ind w:left="260"/>
              <w:spacing w:after="0" w:line="140" w:lineRule="exact"/>
              <w:rPr>
                <w:sz w:val="20"/>
                <w:szCs w:val="20"/>
                <w:color w:val="auto"/>
              </w:rPr>
            </w:pPr>
            <w:r>
              <w:rPr>
                <w:rFonts w:ascii="Times New Roman" w:cs="Times New Roman" w:eastAsia="Times New Roman" w:hAnsi="Times New Roman"/>
                <w:sz w:val="14"/>
                <w:szCs w:val="14"/>
                <w:color w:val="auto"/>
              </w:rPr>
              <w:t>Interest on deposits</w:t>
            </w:r>
          </w:p>
        </w:tc>
        <w:tc>
          <w:tcPr>
            <w:tcW w:w="11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619,613</w:t>
            </w:r>
          </w:p>
        </w:tc>
        <w:tc>
          <w:tcPr>
            <w:tcW w:w="11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577,645</w:t>
            </w:r>
          </w:p>
        </w:tc>
        <w:tc>
          <w:tcPr>
            <w:tcW w:w="114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539,328</w:t>
            </w:r>
          </w:p>
        </w:tc>
        <w:tc>
          <w:tcPr>
            <w:tcW w:w="800" w:type="dxa"/>
            <w:vAlign w:val="bottom"/>
          </w:tcPr>
          <w:p>
            <w:pPr>
              <w:jc w:val="center"/>
              <w:ind w:left="213"/>
              <w:spacing w:after="0" w:line="140" w:lineRule="exact"/>
              <w:rPr>
                <w:sz w:val="20"/>
                <w:szCs w:val="20"/>
                <w:color w:val="auto"/>
              </w:rPr>
            </w:pPr>
            <w:r>
              <w:rPr>
                <w:rFonts w:ascii="Times New Roman" w:cs="Times New Roman" w:eastAsia="Times New Roman" w:hAnsi="Times New Roman"/>
                <w:sz w:val="14"/>
                <w:szCs w:val="14"/>
                <w:color w:val="auto"/>
                <w:w w:val="94"/>
              </w:rPr>
              <w:t>-6.6%</w:t>
            </w:r>
          </w:p>
        </w:tc>
        <w:tc>
          <w:tcPr>
            <w:tcW w:w="1440" w:type="dxa"/>
            <w:vAlign w:val="bottom"/>
            <w:tcBorders>
              <w:right w:val="single" w:sz="8" w:color="auto"/>
            </w:tcBorders>
          </w:tcPr>
          <w:p>
            <w:pPr>
              <w:jc w:val="center"/>
              <w:ind w:left="213"/>
              <w:spacing w:after="0" w:line="140" w:lineRule="exact"/>
              <w:rPr>
                <w:sz w:val="20"/>
                <w:szCs w:val="20"/>
                <w:color w:val="auto"/>
              </w:rPr>
            </w:pPr>
            <w:r>
              <w:rPr>
                <w:rFonts w:ascii="Times New Roman" w:cs="Times New Roman" w:eastAsia="Times New Roman" w:hAnsi="Times New Roman"/>
                <w:sz w:val="14"/>
                <w:szCs w:val="14"/>
                <w:color w:val="auto"/>
                <w:w w:val="97"/>
              </w:rPr>
              <w:t>-13.0%</w:t>
            </w:r>
          </w:p>
        </w:tc>
      </w:tr>
      <w:tr>
        <w:trPr>
          <w:trHeight w:val="140"/>
        </w:trPr>
        <w:tc>
          <w:tcPr>
            <w:tcW w:w="5640" w:type="dxa"/>
            <w:vAlign w:val="bottom"/>
            <w:tcBorders>
              <w:left w:val="single" w:sz="8" w:color="auto"/>
              <w:right w:val="single" w:sz="8" w:color="auto"/>
            </w:tcBorders>
          </w:tcPr>
          <w:p>
            <w:pPr>
              <w:ind w:left="260"/>
              <w:spacing w:after="0" w:line="140" w:lineRule="exact"/>
              <w:rPr>
                <w:sz w:val="20"/>
                <w:szCs w:val="20"/>
                <w:color w:val="auto"/>
              </w:rPr>
            </w:pPr>
            <w:r>
              <w:rPr>
                <w:rFonts w:ascii="Times New Roman" w:cs="Times New Roman" w:eastAsia="Times New Roman" w:hAnsi="Times New Roman"/>
                <w:sz w:val="14"/>
                <w:szCs w:val="14"/>
                <w:color w:val="auto"/>
              </w:rPr>
              <w:t>Interest on borrowed funds</w:t>
            </w:r>
          </w:p>
        </w:tc>
        <w:tc>
          <w:tcPr>
            <w:tcW w:w="11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266,202</w:t>
            </w:r>
          </w:p>
        </w:tc>
        <w:tc>
          <w:tcPr>
            <w:tcW w:w="11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245,191</w:t>
            </w:r>
          </w:p>
        </w:tc>
        <w:tc>
          <w:tcPr>
            <w:tcW w:w="114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210,799</w:t>
            </w:r>
          </w:p>
        </w:tc>
        <w:tc>
          <w:tcPr>
            <w:tcW w:w="800" w:type="dxa"/>
            <w:vAlign w:val="bottom"/>
          </w:tcPr>
          <w:p>
            <w:pPr>
              <w:jc w:val="center"/>
              <w:ind w:left="213"/>
              <w:spacing w:after="0" w:line="140" w:lineRule="exact"/>
              <w:rPr>
                <w:sz w:val="20"/>
                <w:szCs w:val="20"/>
                <w:color w:val="auto"/>
              </w:rPr>
            </w:pPr>
            <w:r>
              <w:rPr>
                <w:rFonts w:ascii="Times New Roman" w:cs="Times New Roman" w:eastAsia="Times New Roman" w:hAnsi="Times New Roman"/>
                <w:sz w:val="14"/>
                <w:szCs w:val="14"/>
                <w:color w:val="auto"/>
                <w:w w:val="97"/>
              </w:rPr>
              <w:t>-14.0%</w:t>
            </w:r>
          </w:p>
        </w:tc>
        <w:tc>
          <w:tcPr>
            <w:tcW w:w="1440" w:type="dxa"/>
            <w:vAlign w:val="bottom"/>
            <w:tcBorders>
              <w:right w:val="single" w:sz="8" w:color="auto"/>
            </w:tcBorders>
          </w:tcPr>
          <w:p>
            <w:pPr>
              <w:jc w:val="center"/>
              <w:ind w:left="213"/>
              <w:spacing w:after="0" w:line="140" w:lineRule="exact"/>
              <w:rPr>
                <w:sz w:val="20"/>
                <w:szCs w:val="20"/>
                <w:color w:val="auto"/>
              </w:rPr>
            </w:pPr>
            <w:r>
              <w:rPr>
                <w:rFonts w:ascii="Times New Roman" w:cs="Times New Roman" w:eastAsia="Times New Roman" w:hAnsi="Times New Roman"/>
                <w:sz w:val="14"/>
                <w:szCs w:val="14"/>
                <w:color w:val="auto"/>
                <w:w w:val="97"/>
              </w:rPr>
              <w:t>-20.8%</w:t>
            </w:r>
          </w:p>
        </w:tc>
      </w:tr>
      <w:tr>
        <w:trPr>
          <w:trHeight w:val="140"/>
        </w:trPr>
        <w:tc>
          <w:tcPr>
            <w:tcW w:w="5640" w:type="dxa"/>
            <w:vAlign w:val="bottom"/>
            <w:tcBorders>
              <w:left w:val="single" w:sz="8" w:color="auto"/>
              <w:right w:val="single" w:sz="8" w:color="auto"/>
            </w:tcBorders>
          </w:tcPr>
          <w:p>
            <w:pPr>
              <w:ind w:left="260"/>
              <w:spacing w:after="0" w:line="140" w:lineRule="exact"/>
              <w:rPr>
                <w:sz w:val="20"/>
                <w:szCs w:val="20"/>
                <w:color w:val="auto"/>
              </w:rPr>
            </w:pPr>
            <w:r>
              <w:rPr>
                <w:rFonts w:ascii="Times New Roman" w:cs="Times New Roman" w:eastAsia="Times New Roman" w:hAnsi="Times New Roman"/>
                <w:sz w:val="14"/>
                <w:szCs w:val="14"/>
                <w:color w:val="auto"/>
              </w:rPr>
              <w:t>Interest on bonds and subordinated notes</w:t>
            </w:r>
          </w:p>
        </w:tc>
        <w:tc>
          <w:tcPr>
            <w:tcW w:w="11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168,024</w:t>
            </w:r>
          </w:p>
        </w:tc>
        <w:tc>
          <w:tcPr>
            <w:tcW w:w="11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184,588</w:t>
            </w:r>
          </w:p>
        </w:tc>
        <w:tc>
          <w:tcPr>
            <w:tcW w:w="114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188,366</w:t>
            </w:r>
          </w:p>
        </w:tc>
        <w:tc>
          <w:tcPr>
            <w:tcW w:w="800" w:type="dxa"/>
            <w:vAlign w:val="bottom"/>
          </w:tcPr>
          <w:p>
            <w:pPr>
              <w:jc w:val="center"/>
              <w:ind w:left="213"/>
              <w:spacing w:after="0" w:line="140" w:lineRule="exact"/>
              <w:rPr>
                <w:sz w:val="20"/>
                <w:szCs w:val="20"/>
                <w:color w:val="auto"/>
              </w:rPr>
            </w:pPr>
            <w:r>
              <w:rPr>
                <w:rFonts w:ascii="Times New Roman" w:cs="Times New Roman" w:eastAsia="Times New Roman" w:hAnsi="Times New Roman"/>
                <w:sz w:val="14"/>
                <w:szCs w:val="14"/>
                <w:color w:val="auto"/>
                <w:w w:val="95"/>
              </w:rPr>
              <w:t>2.0%</w:t>
            </w:r>
          </w:p>
        </w:tc>
        <w:tc>
          <w:tcPr>
            <w:tcW w:w="1440" w:type="dxa"/>
            <w:vAlign w:val="bottom"/>
            <w:tcBorders>
              <w:right w:val="single" w:sz="8" w:color="auto"/>
            </w:tcBorders>
          </w:tcPr>
          <w:p>
            <w:pPr>
              <w:jc w:val="center"/>
              <w:ind w:left="213"/>
              <w:spacing w:after="0" w:line="140" w:lineRule="exact"/>
              <w:rPr>
                <w:sz w:val="20"/>
                <w:szCs w:val="20"/>
                <w:color w:val="auto"/>
              </w:rPr>
            </w:pPr>
            <w:r>
              <w:rPr>
                <w:rFonts w:ascii="Times New Roman" w:cs="Times New Roman" w:eastAsia="Times New Roman" w:hAnsi="Times New Roman"/>
                <w:sz w:val="14"/>
                <w:szCs w:val="14"/>
                <w:color w:val="auto"/>
                <w:w w:val="99"/>
              </w:rPr>
              <w:t>12.1%</w:t>
            </w:r>
          </w:p>
        </w:tc>
      </w:tr>
      <w:tr>
        <w:trPr>
          <w:trHeight w:val="136"/>
        </w:trPr>
        <w:tc>
          <w:tcPr>
            <w:tcW w:w="5640" w:type="dxa"/>
            <w:vAlign w:val="bottom"/>
            <w:tcBorders>
              <w:left w:val="single" w:sz="8" w:color="auto"/>
              <w:right w:val="single" w:sz="8" w:color="auto"/>
            </w:tcBorders>
          </w:tcPr>
          <w:p>
            <w:pPr>
              <w:ind w:left="260"/>
              <w:spacing w:after="0" w:line="136" w:lineRule="exact"/>
              <w:rPr>
                <w:sz w:val="20"/>
                <w:szCs w:val="20"/>
                <w:color w:val="auto"/>
              </w:rPr>
            </w:pPr>
            <w:r>
              <w:rPr>
                <w:rFonts w:ascii="Times New Roman" w:cs="Times New Roman" w:eastAsia="Times New Roman" w:hAnsi="Times New Roman"/>
                <w:sz w:val="14"/>
                <w:szCs w:val="14"/>
                <w:color w:val="auto"/>
              </w:rPr>
              <w:t>Other interest expense</w:t>
            </w:r>
          </w:p>
        </w:tc>
        <w:tc>
          <w:tcPr>
            <w:tcW w:w="112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w w:val="96"/>
              </w:rPr>
              <w:t>133,317</w:t>
            </w:r>
          </w:p>
        </w:tc>
        <w:tc>
          <w:tcPr>
            <w:tcW w:w="112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w w:val="96"/>
              </w:rPr>
              <w:t>132,742</w:t>
            </w:r>
          </w:p>
        </w:tc>
        <w:tc>
          <w:tcPr>
            <w:tcW w:w="114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4"/>
                <w:szCs w:val="14"/>
                <w:color w:val="auto"/>
                <w:w w:val="96"/>
              </w:rPr>
              <w:t>148,275</w:t>
            </w:r>
          </w:p>
        </w:tc>
        <w:tc>
          <w:tcPr>
            <w:tcW w:w="800" w:type="dxa"/>
            <w:vAlign w:val="bottom"/>
          </w:tcPr>
          <w:p>
            <w:pPr>
              <w:jc w:val="center"/>
              <w:ind w:left="233"/>
              <w:spacing w:after="0" w:line="136" w:lineRule="exact"/>
              <w:rPr>
                <w:sz w:val="20"/>
                <w:szCs w:val="20"/>
                <w:color w:val="auto"/>
              </w:rPr>
            </w:pPr>
            <w:r>
              <w:rPr>
                <w:rFonts w:ascii="Times New Roman" w:cs="Times New Roman" w:eastAsia="Times New Roman" w:hAnsi="Times New Roman"/>
                <w:sz w:val="14"/>
                <w:szCs w:val="14"/>
                <w:color w:val="auto"/>
                <w:w w:val="93"/>
              </w:rPr>
              <w:t>11.7%</w:t>
            </w:r>
          </w:p>
        </w:tc>
        <w:tc>
          <w:tcPr>
            <w:tcW w:w="1440" w:type="dxa"/>
            <w:vAlign w:val="bottom"/>
            <w:tcBorders>
              <w:right w:val="single" w:sz="8" w:color="auto"/>
            </w:tcBorders>
          </w:tcPr>
          <w:p>
            <w:pPr>
              <w:jc w:val="center"/>
              <w:ind w:left="193"/>
              <w:spacing w:after="0" w:line="136" w:lineRule="exact"/>
              <w:rPr>
                <w:sz w:val="20"/>
                <w:szCs w:val="20"/>
                <w:color w:val="auto"/>
              </w:rPr>
            </w:pPr>
            <w:r>
              <w:rPr>
                <w:rFonts w:ascii="Times New Roman" w:cs="Times New Roman" w:eastAsia="Times New Roman" w:hAnsi="Times New Roman"/>
                <w:sz w:val="14"/>
                <w:szCs w:val="14"/>
                <w:color w:val="auto"/>
                <w:w w:val="93"/>
              </w:rPr>
              <w:t>11.2%</w:t>
            </w:r>
          </w:p>
        </w:tc>
      </w:tr>
      <w:tr>
        <w:trPr>
          <w:trHeight w:val="164"/>
        </w:trPr>
        <w:tc>
          <w:tcPr>
            <w:tcW w:w="5640" w:type="dxa"/>
            <w:vAlign w:val="bottom"/>
            <w:tcBorders>
              <w:left w:val="single" w:sz="8" w:color="auto"/>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Net Insurance Financial Expenses</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135,622</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143,961</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162,917</w:t>
            </w:r>
          </w:p>
        </w:tc>
        <w:tc>
          <w:tcPr>
            <w:tcW w:w="800" w:type="dxa"/>
            <w:vAlign w:val="bottom"/>
            <w:tcBorders>
              <w:bottom w:val="single" w:sz="8" w:color="auto"/>
            </w:tcBorders>
          </w:tcPr>
          <w:p>
            <w:pPr>
              <w:jc w:val="center"/>
              <w:ind w:left="233"/>
              <w:spacing w:after="0"/>
              <w:rPr>
                <w:sz w:val="20"/>
                <w:szCs w:val="20"/>
                <w:color w:val="auto"/>
              </w:rPr>
            </w:pPr>
            <w:r>
              <w:rPr>
                <w:rFonts w:ascii="Times New Roman" w:cs="Times New Roman" w:eastAsia="Times New Roman" w:hAnsi="Times New Roman"/>
                <w:sz w:val="14"/>
                <w:szCs w:val="14"/>
                <w:b w:val="1"/>
                <w:bCs w:val="1"/>
                <w:color w:val="auto"/>
                <w:w w:val="98"/>
              </w:rPr>
              <w:t>13.2%</w:t>
            </w:r>
          </w:p>
        </w:tc>
        <w:tc>
          <w:tcPr>
            <w:tcW w:w="1440" w:type="dxa"/>
            <w:vAlign w:val="bottom"/>
            <w:tcBorders>
              <w:bottom w:val="single" w:sz="8" w:color="auto"/>
              <w:right w:val="single" w:sz="8" w:color="auto"/>
            </w:tcBorders>
          </w:tcPr>
          <w:p>
            <w:pPr>
              <w:jc w:val="center"/>
              <w:ind w:left="193"/>
              <w:spacing w:after="0"/>
              <w:rPr>
                <w:sz w:val="20"/>
                <w:szCs w:val="20"/>
                <w:color w:val="auto"/>
              </w:rPr>
            </w:pPr>
            <w:r>
              <w:rPr>
                <w:rFonts w:ascii="Times New Roman" w:cs="Times New Roman" w:eastAsia="Times New Roman" w:hAnsi="Times New Roman"/>
                <w:sz w:val="14"/>
                <w:szCs w:val="14"/>
                <w:b w:val="1"/>
                <w:bCs w:val="1"/>
                <w:color w:val="auto"/>
                <w:w w:val="98"/>
              </w:rPr>
              <w:t>20.1%</w:t>
            </w:r>
          </w:p>
        </w:tc>
      </w:tr>
      <w:tr>
        <w:trPr>
          <w:trHeight w:val="132"/>
        </w:trPr>
        <w:tc>
          <w:tcPr>
            <w:tcW w:w="5640" w:type="dxa"/>
            <w:vAlign w:val="bottom"/>
            <w:tcBorders>
              <w:left w:val="single" w:sz="8" w:color="auto"/>
              <w:bottom w:val="single" w:sz="8" w:color="auto"/>
              <w:right w:val="single" w:sz="8" w:color="auto"/>
            </w:tcBorders>
          </w:tcPr>
          <w:p>
            <w:pPr>
              <w:ind w:left="100"/>
              <w:spacing w:after="0" w:line="133" w:lineRule="exact"/>
              <w:rPr>
                <w:sz w:val="20"/>
                <w:szCs w:val="20"/>
                <w:color w:val="auto"/>
              </w:rPr>
            </w:pPr>
            <w:r>
              <w:rPr>
                <w:rFonts w:ascii="Times New Roman" w:cs="Times New Roman" w:eastAsia="Times New Roman" w:hAnsi="Times New Roman"/>
                <w:sz w:val="14"/>
                <w:szCs w:val="14"/>
                <w:b w:val="1"/>
                <w:bCs w:val="1"/>
                <w:color w:val="auto"/>
              </w:rPr>
              <w:t>Net interest, similar income and expenses</w:t>
            </w:r>
          </w:p>
        </w:tc>
        <w:tc>
          <w:tcPr>
            <w:tcW w:w="1120" w:type="dxa"/>
            <w:vAlign w:val="bottom"/>
            <w:tcBorders>
              <w:bottom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6"/>
              </w:rPr>
              <w:t>3,572,012</w:t>
            </w:r>
          </w:p>
        </w:tc>
        <w:tc>
          <w:tcPr>
            <w:tcW w:w="1120" w:type="dxa"/>
            <w:vAlign w:val="bottom"/>
            <w:tcBorders>
              <w:bottom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6"/>
              </w:rPr>
              <w:t>3,841,267</w:t>
            </w:r>
          </w:p>
        </w:tc>
        <w:tc>
          <w:tcPr>
            <w:tcW w:w="114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6"/>
              </w:rPr>
              <w:t>3,962,727</w:t>
            </w:r>
          </w:p>
        </w:tc>
        <w:tc>
          <w:tcPr>
            <w:tcW w:w="800" w:type="dxa"/>
            <w:vAlign w:val="bottom"/>
            <w:tcBorders>
              <w:bottom w:val="single" w:sz="8" w:color="auto"/>
            </w:tcBorders>
          </w:tcPr>
          <w:p>
            <w:pPr>
              <w:jc w:val="center"/>
              <w:ind w:left="233"/>
              <w:spacing w:after="0" w:line="133" w:lineRule="exact"/>
              <w:rPr>
                <w:sz w:val="20"/>
                <w:szCs w:val="20"/>
                <w:color w:val="auto"/>
              </w:rPr>
            </w:pPr>
            <w:r>
              <w:rPr>
                <w:rFonts w:ascii="Times New Roman" w:cs="Times New Roman" w:eastAsia="Times New Roman" w:hAnsi="Times New Roman"/>
                <w:sz w:val="14"/>
                <w:szCs w:val="14"/>
                <w:b w:val="1"/>
                <w:bCs w:val="1"/>
                <w:color w:val="auto"/>
                <w:w w:val="95"/>
              </w:rPr>
              <w:t>3.2%</w:t>
            </w:r>
          </w:p>
        </w:tc>
        <w:tc>
          <w:tcPr>
            <w:tcW w:w="1440" w:type="dxa"/>
            <w:vAlign w:val="bottom"/>
            <w:tcBorders>
              <w:bottom w:val="single" w:sz="8" w:color="auto"/>
              <w:right w:val="single" w:sz="8" w:color="auto"/>
            </w:tcBorders>
          </w:tcPr>
          <w:p>
            <w:pPr>
              <w:jc w:val="center"/>
              <w:ind w:left="193"/>
              <w:spacing w:after="0" w:line="133" w:lineRule="exact"/>
              <w:rPr>
                <w:sz w:val="20"/>
                <w:szCs w:val="20"/>
                <w:color w:val="auto"/>
              </w:rPr>
            </w:pPr>
            <w:r>
              <w:rPr>
                <w:rFonts w:ascii="Times New Roman" w:cs="Times New Roman" w:eastAsia="Times New Roman" w:hAnsi="Times New Roman"/>
                <w:sz w:val="14"/>
                <w:szCs w:val="14"/>
                <w:b w:val="1"/>
                <w:bCs w:val="1"/>
                <w:color w:val="auto"/>
                <w:w w:val="98"/>
              </w:rPr>
              <w:t>10.9%</w:t>
            </w:r>
          </w:p>
        </w:tc>
      </w:tr>
      <w:tr>
        <w:trPr>
          <w:trHeight w:val="132"/>
        </w:trPr>
        <w:tc>
          <w:tcPr>
            <w:tcW w:w="5640" w:type="dxa"/>
            <w:vAlign w:val="bottom"/>
            <w:tcBorders>
              <w:left w:val="single" w:sz="8" w:color="auto"/>
              <w:bottom w:val="single" w:sz="8" w:color="auto"/>
              <w:right w:val="single" w:sz="8" w:color="auto"/>
            </w:tcBorders>
          </w:tcPr>
          <w:p>
            <w:pPr>
              <w:ind w:left="100"/>
              <w:spacing w:after="0" w:line="133" w:lineRule="exact"/>
              <w:rPr>
                <w:sz w:val="20"/>
                <w:szCs w:val="20"/>
                <w:color w:val="auto"/>
              </w:rPr>
            </w:pPr>
            <w:r>
              <w:rPr>
                <w:rFonts w:ascii="Times New Roman" w:cs="Times New Roman" w:eastAsia="Times New Roman" w:hAnsi="Times New Roman"/>
                <w:sz w:val="14"/>
                <w:szCs w:val="14"/>
                <w:b w:val="1"/>
                <w:bCs w:val="1"/>
                <w:color w:val="auto"/>
              </w:rPr>
              <w:t>Provision for credit losses on loan portfolio, net of recoveries</w:t>
            </w:r>
          </w:p>
        </w:tc>
        <w:tc>
          <w:tcPr>
            <w:tcW w:w="1120" w:type="dxa"/>
            <w:vAlign w:val="bottom"/>
            <w:tcBorders>
              <w:bottom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6"/>
              </w:rPr>
              <w:t>581,893</w:t>
            </w:r>
          </w:p>
        </w:tc>
        <w:tc>
          <w:tcPr>
            <w:tcW w:w="1120" w:type="dxa"/>
            <w:vAlign w:val="bottom"/>
            <w:tcBorders>
              <w:bottom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6"/>
              </w:rPr>
              <w:t>646,286</w:t>
            </w:r>
          </w:p>
        </w:tc>
        <w:tc>
          <w:tcPr>
            <w:tcW w:w="114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6"/>
              </w:rPr>
              <w:t>482,088</w:t>
            </w:r>
          </w:p>
        </w:tc>
        <w:tc>
          <w:tcPr>
            <w:tcW w:w="800" w:type="dxa"/>
            <w:vAlign w:val="bottom"/>
            <w:tcBorders>
              <w:bottom w:val="single" w:sz="8" w:color="auto"/>
            </w:tcBorders>
          </w:tcPr>
          <w:p>
            <w:pPr>
              <w:jc w:val="center"/>
              <w:ind w:left="233"/>
              <w:spacing w:after="0" w:line="133" w:lineRule="exact"/>
              <w:rPr>
                <w:sz w:val="20"/>
                <w:szCs w:val="20"/>
                <w:color w:val="auto"/>
              </w:rPr>
            </w:pPr>
            <w:r>
              <w:rPr>
                <w:rFonts w:ascii="Times New Roman" w:cs="Times New Roman" w:eastAsia="Times New Roman" w:hAnsi="Times New Roman"/>
                <w:sz w:val="14"/>
                <w:szCs w:val="14"/>
                <w:b w:val="1"/>
                <w:bCs w:val="1"/>
                <w:color w:val="auto"/>
                <w:w w:val="97"/>
              </w:rPr>
              <w:t>-25.4%</w:t>
            </w:r>
          </w:p>
        </w:tc>
        <w:tc>
          <w:tcPr>
            <w:tcW w:w="1440" w:type="dxa"/>
            <w:vAlign w:val="bottom"/>
            <w:tcBorders>
              <w:bottom w:val="single" w:sz="8" w:color="auto"/>
              <w:right w:val="single" w:sz="8" w:color="auto"/>
            </w:tcBorders>
          </w:tcPr>
          <w:p>
            <w:pPr>
              <w:jc w:val="center"/>
              <w:ind w:left="193"/>
              <w:spacing w:after="0" w:line="133" w:lineRule="exact"/>
              <w:rPr>
                <w:sz w:val="20"/>
                <w:szCs w:val="20"/>
                <w:color w:val="auto"/>
              </w:rPr>
            </w:pPr>
            <w:r>
              <w:rPr>
                <w:rFonts w:ascii="Times New Roman" w:cs="Times New Roman" w:eastAsia="Times New Roman" w:hAnsi="Times New Roman"/>
                <w:sz w:val="14"/>
                <w:szCs w:val="14"/>
                <w:b w:val="1"/>
                <w:bCs w:val="1"/>
                <w:color w:val="auto"/>
                <w:w w:val="97"/>
              </w:rPr>
              <w:t>-17.2%</w:t>
            </w:r>
          </w:p>
        </w:tc>
      </w:tr>
      <w:tr>
        <w:trPr>
          <w:trHeight w:val="132"/>
        </w:trPr>
        <w:tc>
          <w:tcPr>
            <w:tcW w:w="5640" w:type="dxa"/>
            <w:vAlign w:val="bottom"/>
            <w:tcBorders>
              <w:left w:val="single" w:sz="8" w:color="auto"/>
              <w:bottom w:val="single" w:sz="8" w:color="auto"/>
              <w:right w:val="single" w:sz="8" w:color="auto"/>
            </w:tcBorders>
          </w:tcPr>
          <w:p>
            <w:pPr>
              <w:ind w:left="100"/>
              <w:spacing w:after="0" w:line="133" w:lineRule="exact"/>
              <w:rPr>
                <w:sz w:val="20"/>
                <w:szCs w:val="20"/>
                <w:color w:val="auto"/>
              </w:rPr>
            </w:pPr>
            <w:r>
              <w:rPr>
                <w:rFonts w:ascii="Times New Roman" w:cs="Times New Roman" w:eastAsia="Times New Roman" w:hAnsi="Times New Roman"/>
                <w:sz w:val="14"/>
                <w:szCs w:val="14"/>
                <w:b w:val="1"/>
                <w:bCs w:val="1"/>
                <w:color w:val="auto"/>
              </w:rPr>
              <w:t>Net interest, similar income and expenses, after provision for credit losses on loan portfolio</w:t>
            </w:r>
          </w:p>
        </w:tc>
        <w:tc>
          <w:tcPr>
            <w:tcW w:w="1120" w:type="dxa"/>
            <w:vAlign w:val="bottom"/>
            <w:tcBorders>
              <w:bottom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6"/>
              </w:rPr>
              <w:t>2,990,119</w:t>
            </w:r>
          </w:p>
        </w:tc>
        <w:tc>
          <w:tcPr>
            <w:tcW w:w="1120" w:type="dxa"/>
            <w:vAlign w:val="bottom"/>
            <w:tcBorders>
              <w:bottom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6"/>
              </w:rPr>
              <w:t>3,194,981</w:t>
            </w:r>
          </w:p>
        </w:tc>
        <w:tc>
          <w:tcPr>
            <w:tcW w:w="114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6"/>
              </w:rPr>
              <w:t>3,480,639</w:t>
            </w:r>
          </w:p>
        </w:tc>
        <w:tc>
          <w:tcPr>
            <w:tcW w:w="800" w:type="dxa"/>
            <w:vAlign w:val="bottom"/>
            <w:tcBorders>
              <w:bottom w:val="single" w:sz="8" w:color="auto"/>
            </w:tcBorders>
          </w:tcPr>
          <w:p>
            <w:pPr>
              <w:jc w:val="center"/>
              <w:ind w:left="233"/>
              <w:spacing w:after="0" w:line="133" w:lineRule="exact"/>
              <w:rPr>
                <w:sz w:val="20"/>
                <w:szCs w:val="20"/>
                <w:color w:val="auto"/>
              </w:rPr>
            </w:pPr>
            <w:r>
              <w:rPr>
                <w:rFonts w:ascii="Times New Roman" w:cs="Times New Roman" w:eastAsia="Times New Roman" w:hAnsi="Times New Roman"/>
                <w:sz w:val="14"/>
                <w:szCs w:val="14"/>
                <w:b w:val="1"/>
                <w:bCs w:val="1"/>
                <w:color w:val="auto"/>
                <w:w w:val="95"/>
              </w:rPr>
              <w:t>8.9%</w:t>
            </w:r>
          </w:p>
        </w:tc>
        <w:tc>
          <w:tcPr>
            <w:tcW w:w="1440" w:type="dxa"/>
            <w:vAlign w:val="bottom"/>
            <w:tcBorders>
              <w:bottom w:val="single" w:sz="8" w:color="auto"/>
              <w:right w:val="single" w:sz="8" w:color="auto"/>
            </w:tcBorders>
          </w:tcPr>
          <w:p>
            <w:pPr>
              <w:jc w:val="center"/>
              <w:ind w:left="193"/>
              <w:spacing w:after="0" w:line="133" w:lineRule="exact"/>
              <w:rPr>
                <w:sz w:val="20"/>
                <w:szCs w:val="20"/>
                <w:color w:val="auto"/>
              </w:rPr>
            </w:pPr>
            <w:r>
              <w:rPr>
                <w:rFonts w:ascii="Times New Roman" w:cs="Times New Roman" w:eastAsia="Times New Roman" w:hAnsi="Times New Roman"/>
                <w:sz w:val="14"/>
                <w:szCs w:val="14"/>
                <w:b w:val="1"/>
                <w:bCs w:val="1"/>
                <w:color w:val="auto"/>
                <w:w w:val="98"/>
              </w:rPr>
              <w:t>16.4%</w:t>
            </w:r>
          </w:p>
        </w:tc>
      </w:tr>
      <w:tr>
        <w:trPr>
          <w:trHeight w:val="132"/>
        </w:trPr>
        <w:tc>
          <w:tcPr>
            <w:tcW w:w="5640" w:type="dxa"/>
            <w:vAlign w:val="bottom"/>
            <w:tcBorders>
              <w:left w:val="single" w:sz="8" w:color="auto"/>
              <w:bottom w:val="single" w:sz="8" w:color="auto"/>
              <w:right w:val="single" w:sz="8" w:color="auto"/>
            </w:tcBorders>
          </w:tcPr>
          <w:p>
            <w:pPr>
              <w:ind w:left="100"/>
              <w:spacing w:after="0" w:line="133" w:lineRule="exact"/>
              <w:rPr>
                <w:sz w:val="20"/>
                <w:szCs w:val="20"/>
                <w:color w:val="auto"/>
              </w:rPr>
            </w:pPr>
            <w:r>
              <w:rPr>
                <w:rFonts w:ascii="Times New Roman" w:cs="Times New Roman" w:eastAsia="Times New Roman" w:hAnsi="Times New Roman"/>
                <w:sz w:val="14"/>
                <w:szCs w:val="14"/>
                <w:color w:val="auto"/>
              </w:rPr>
              <w:t>Average interest earning assets</w:t>
            </w:r>
          </w:p>
        </w:tc>
        <w:tc>
          <w:tcPr>
            <w:tcW w:w="1120" w:type="dxa"/>
            <w:vAlign w:val="bottom"/>
            <w:tcBorders>
              <w:bottom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color w:val="auto"/>
                <w:w w:val="97"/>
              </w:rPr>
              <w:t>238,435,117</w:t>
            </w:r>
          </w:p>
        </w:tc>
        <w:tc>
          <w:tcPr>
            <w:tcW w:w="1120" w:type="dxa"/>
            <w:vAlign w:val="bottom"/>
            <w:tcBorders>
              <w:bottom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color w:val="auto"/>
                <w:w w:val="97"/>
              </w:rPr>
              <w:t>240,783,785</w:t>
            </w:r>
          </w:p>
        </w:tc>
        <w:tc>
          <w:tcPr>
            <w:tcW w:w="114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color w:val="auto"/>
                <w:w w:val="97"/>
              </w:rPr>
              <w:t>250,941,843</w:t>
            </w:r>
          </w:p>
        </w:tc>
        <w:tc>
          <w:tcPr>
            <w:tcW w:w="800" w:type="dxa"/>
            <w:vAlign w:val="bottom"/>
            <w:tcBorders>
              <w:bottom w:val="single" w:sz="8" w:color="auto"/>
            </w:tcBorders>
          </w:tcPr>
          <w:p>
            <w:pPr>
              <w:jc w:val="center"/>
              <w:ind w:left="213"/>
              <w:spacing w:after="0" w:line="133" w:lineRule="exact"/>
              <w:rPr>
                <w:sz w:val="20"/>
                <w:szCs w:val="20"/>
                <w:color w:val="auto"/>
              </w:rPr>
            </w:pPr>
            <w:r>
              <w:rPr>
                <w:rFonts w:ascii="Times New Roman" w:cs="Times New Roman" w:eastAsia="Times New Roman" w:hAnsi="Times New Roman"/>
                <w:sz w:val="14"/>
                <w:szCs w:val="14"/>
                <w:color w:val="auto"/>
                <w:w w:val="95"/>
              </w:rPr>
              <w:t>4.2%</w:t>
            </w:r>
          </w:p>
        </w:tc>
        <w:tc>
          <w:tcPr>
            <w:tcW w:w="1440" w:type="dxa"/>
            <w:vAlign w:val="bottom"/>
            <w:tcBorders>
              <w:bottom w:val="single" w:sz="8" w:color="auto"/>
              <w:right w:val="single" w:sz="8" w:color="auto"/>
            </w:tcBorders>
          </w:tcPr>
          <w:p>
            <w:pPr>
              <w:jc w:val="center"/>
              <w:ind w:left="213"/>
              <w:spacing w:after="0" w:line="133" w:lineRule="exact"/>
              <w:rPr>
                <w:sz w:val="20"/>
                <w:szCs w:val="20"/>
                <w:color w:val="auto"/>
              </w:rPr>
            </w:pPr>
            <w:r>
              <w:rPr>
                <w:rFonts w:ascii="Times New Roman" w:cs="Times New Roman" w:eastAsia="Times New Roman" w:hAnsi="Times New Roman"/>
                <w:sz w:val="14"/>
                <w:szCs w:val="14"/>
                <w:color w:val="auto"/>
                <w:w w:val="95"/>
              </w:rPr>
              <w:t>5.2%</w:t>
            </w:r>
          </w:p>
        </w:tc>
      </w:tr>
      <w:tr>
        <w:trPr>
          <w:trHeight w:val="107"/>
        </w:trPr>
        <w:tc>
          <w:tcPr>
            <w:tcW w:w="5640" w:type="dxa"/>
            <w:vAlign w:val="bottom"/>
            <w:tcBorders>
              <w:left w:val="single" w:sz="8" w:color="auto"/>
              <w:right w:val="single" w:sz="8" w:color="auto"/>
            </w:tcBorders>
          </w:tcPr>
          <w:p>
            <w:pPr>
              <w:ind w:left="100"/>
              <w:spacing w:after="0" w:line="107" w:lineRule="exact"/>
              <w:rPr>
                <w:sz w:val="20"/>
                <w:szCs w:val="20"/>
                <w:color w:val="auto"/>
              </w:rPr>
            </w:pPr>
            <w:r>
              <w:rPr>
                <w:rFonts w:ascii="Times New Roman" w:cs="Times New Roman" w:eastAsia="Times New Roman" w:hAnsi="Times New Roman"/>
                <w:sz w:val="9"/>
                <w:szCs w:val="9"/>
                <w:b w:val="1"/>
                <w:bCs w:val="1"/>
                <w:color w:val="auto"/>
              </w:rPr>
              <w:t xml:space="preserve">Net interest margin </w:t>
            </w:r>
            <w:r>
              <w:rPr>
                <w:rFonts w:ascii="Times New Roman" w:cs="Times New Roman" w:eastAsia="Times New Roman" w:hAnsi="Times New Roman"/>
                <w:sz w:val="12"/>
                <w:szCs w:val="12"/>
                <w:b w:val="1"/>
                <w:bCs w:val="1"/>
                <w:color w:val="auto"/>
                <w:vertAlign w:val="superscript"/>
              </w:rPr>
              <w:t>(1)</w:t>
            </w:r>
          </w:p>
        </w:tc>
        <w:tc>
          <w:tcPr>
            <w:tcW w:w="1120" w:type="dxa"/>
            <w:vAlign w:val="bottom"/>
          </w:tcPr>
          <w:p>
            <w:pPr>
              <w:jc w:val="center"/>
              <w:spacing w:after="0" w:line="107" w:lineRule="exact"/>
              <w:rPr>
                <w:sz w:val="20"/>
                <w:szCs w:val="20"/>
                <w:color w:val="auto"/>
              </w:rPr>
            </w:pPr>
            <w:r>
              <w:rPr>
                <w:rFonts w:ascii="Times New Roman" w:cs="Times New Roman" w:eastAsia="Times New Roman" w:hAnsi="Times New Roman"/>
                <w:sz w:val="12"/>
                <w:szCs w:val="12"/>
                <w:b w:val="1"/>
                <w:bCs w:val="1"/>
                <w:color w:val="auto"/>
              </w:rPr>
              <w:t>6.22%</w:t>
            </w:r>
          </w:p>
        </w:tc>
        <w:tc>
          <w:tcPr>
            <w:tcW w:w="1120" w:type="dxa"/>
            <w:vAlign w:val="bottom"/>
          </w:tcPr>
          <w:p>
            <w:pPr>
              <w:jc w:val="center"/>
              <w:spacing w:after="0" w:line="107" w:lineRule="exact"/>
              <w:rPr>
                <w:sz w:val="20"/>
                <w:szCs w:val="20"/>
                <w:color w:val="auto"/>
              </w:rPr>
            </w:pPr>
            <w:r>
              <w:rPr>
                <w:rFonts w:ascii="Times New Roman" w:cs="Times New Roman" w:eastAsia="Times New Roman" w:hAnsi="Times New Roman"/>
                <w:sz w:val="12"/>
                <w:szCs w:val="12"/>
                <w:b w:val="1"/>
                <w:bCs w:val="1"/>
                <w:color w:val="auto"/>
              </w:rPr>
              <w:t>6.62%</w:t>
            </w:r>
          </w:p>
        </w:tc>
        <w:tc>
          <w:tcPr>
            <w:tcW w:w="1140" w:type="dxa"/>
            <w:vAlign w:val="bottom"/>
            <w:tcBorders>
              <w:right w:val="single" w:sz="8" w:color="auto"/>
            </w:tcBorders>
          </w:tcPr>
          <w:p>
            <w:pPr>
              <w:jc w:val="center"/>
              <w:spacing w:after="0" w:line="107" w:lineRule="exact"/>
              <w:rPr>
                <w:sz w:val="20"/>
                <w:szCs w:val="20"/>
                <w:color w:val="auto"/>
              </w:rPr>
            </w:pPr>
            <w:r>
              <w:rPr>
                <w:rFonts w:ascii="Times New Roman" w:cs="Times New Roman" w:eastAsia="Times New Roman" w:hAnsi="Times New Roman"/>
                <w:sz w:val="12"/>
                <w:szCs w:val="12"/>
                <w:b w:val="1"/>
                <w:bCs w:val="1"/>
                <w:color w:val="auto"/>
              </w:rPr>
              <w:t>6.58%</w:t>
            </w:r>
          </w:p>
        </w:tc>
        <w:tc>
          <w:tcPr>
            <w:tcW w:w="800" w:type="dxa"/>
            <w:vAlign w:val="bottom"/>
          </w:tcPr>
          <w:p>
            <w:pPr>
              <w:jc w:val="center"/>
              <w:ind w:left="233"/>
              <w:spacing w:after="0" w:line="107" w:lineRule="exact"/>
              <w:rPr>
                <w:sz w:val="20"/>
                <w:szCs w:val="20"/>
                <w:color w:val="auto"/>
              </w:rPr>
            </w:pPr>
            <w:r>
              <w:rPr>
                <w:rFonts w:ascii="Times New Roman" w:cs="Times New Roman" w:eastAsia="Times New Roman" w:hAnsi="Times New Roman"/>
                <w:sz w:val="12"/>
                <w:szCs w:val="12"/>
                <w:b w:val="1"/>
                <w:bCs w:val="1"/>
                <w:color w:val="auto"/>
              </w:rPr>
              <w:t>-4 bps</w:t>
            </w:r>
          </w:p>
        </w:tc>
        <w:tc>
          <w:tcPr>
            <w:tcW w:w="1440" w:type="dxa"/>
            <w:vAlign w:val="bottom"/>
            <w:tcBorders>
              <w:right w:val="single" w:sz="8" w:color="auto"/>
            </w:tcBorders>
          </w:tcPr>
          <w:p>
            <w:pPr>
              <w:jc w:val="center"/>
              <w:ind w:left="193"/>
              <w:spacing w:after="0" w:line="107" w:lineRule="exact"/>
              <w:rPr>
                <w:sz w:val="20"/>
                <w:szCs w:val="20"/>
                <w:color w:val="auto"/>
              </w:rPr>
            </w:pPr>
            <w:r>
              <w:rPr>
                <w:rFonts w:ascii="Times New Roman" w:cs="Times New Roman" w:eastAsia="Times New Roman" w:hAnsi="Times New Roman"/>
                <w:sz w:val="12"/>
                <w:szCs w:val="12"/>
                <w:b w:val="1"/>
                <w:bCs w:val="1"/>
                <w:color w:val="auto"/>
              </w:rPr>
              <w:t>36 bps</w:t>
            </w:r>
          </w:p>
        </w:tc>
      </w:tr>
      <w:tr>
        <w:trPr>
          <w:trHeight w:val="140"/>
        </w:trPr>
        <w:tc>
          <w:tcPr>
            <w:tcW w:w="5640" w:type="dxa"/>
            <w:vAlign w:val="bottom"/>
            <w:tcBorders>
              <w:left w:val="single" w:sz="8" w:color="auto"/>
              <w:right w:val="single" w:sz="8" w:color="auto"/>
            </w:tcBorders>
          </w:tcPr>
          <w:p>
            <w:pPr>
              <w:ind w:left="100"/>
              <w:spacing w:after="0" w:line="140" w:lineRule="exact"/>
              <w:rPr>
                <w:sz w:val="20"/>
                <w:szCs w:val="20"/>
                <w:color w:val="auto"/>
              </w:rPr>
            </w:pPr>
            <w:r>
              <w:rPr>
                <w:rFonts w:ascii="Times New Roman" w:cs="Times New Roman" w:eastAsia="Times New Roman" w:hAnsi="Times New Roman"/>
                <w:sz w:val="11"/>
                <w:szCs w:val="11"/>
                <w:b w:val="1"/>
                <w:bCs w:val="1"/>
                <w:color w:val="auto"/>
              </w:rPr>
              <w:t xml:space="preserve">Risk-adjusted Net interest margin </w:t>
            </w:r>
            <w:r>
              <w:rPr>
                <w:rFonts w:ascii="Times New Roman" w:cs="Times New Roman" w:eastAsia="Times New Roman" w:hAnsi="Times New Roman"/>
                <w:sz w:val="16"/>
                <w:szCs w:val="16"/>
                <w:b w:val="1"/>
                <w:bCs w:val="1"/>
                <w:color w:val="auto"/>
                <w:vertAlign w:val="superscript"/>
              </w:rPr>
              <w:t>(1)</w:t>
            </w:r>
          </w:p>
        </w:tc>
        <w:tc>
          <w:tcPr>
            <w:tcW w:w="11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8"/>
              </w:rPr>
              <w:t>5.24%</w:t>
            </w:r>
          </w:p>
        </w:tc>
        <w:tc>
          <w:tcPr>
            <w:tcW w:w="11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3"/>
              </w:rPr>
              <w:t>5.55%</w:t>
            </w:r>
          </w:p>
        </w:tc>
        <w:tc>
          <w:tcPr>
            <w:tcW w:w="114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3"/>
              </w:rPr>
              <w:t>5.81%</w:t>
            </w:r>
          </w:p>
        </w:tc>
        <w:tc>
          <w:tcPr>
            <w:tcW w:w="800" w:type="dxa"/>
            <w:vAlign w:val="bottom"/>
          </w:tcPr>
          <w:p>
            <w:pPr>
              <w:jc w:val="center"/>
              <w:ind w:left="233"/>
              <w:spacing w:after="0" w:line="140" w:lineRule="exact"/>
              <w:rPr>
                <w:sz w:val="20"/>
                <w:szCs w:val="20"/>
                <w:color w:val="auto"/>
              </w:rPr>
            </w:pPr>
            <w:r>
              <w:rPr>
                <w:rFonts w:ascii="Times New Roman" w:cs="Times New Roman" w:eastAsia="Times New Roman" w:hAnsi="Times New Roman"/>
                <w:sz w:val="14"/>
                <w:szCs w:val="14"/>
                <w:b w:val="1"/>
                <w:bCs w:val="1"/>
                <w:color w:val="auto"/>
                <w:w w:val="98"/>
              </w:rPr>
              <w:t>26 bps</w:t>
            </w:r>
          </w:p>
        </w:tc>
        <w:tc>
          <w:tcPr>
            <w:tcW w:w="1440" w:type="dxa"/>
            <w:vAlign w:val="bottom"/>
            <w:tcBorders>
              <w:right w:val="single" w:sz="8" w:color="auto"/>
            </w:tcBorders>
          </w:tcPr>
          <w:p>
            <w:pPr>
              <w:jc w:val="center"/>
              <w:ind w:left="193"/>
              <w:spacing w:after="0" w:line="140" w:lineRule="exact"/>
              <w:rPr>
                <w:sz w:val="20"/>
                <w:szCs w:val="20"/>
                <w:color w:val="auto"/>
              </w:rPr>
            </w:pPr>
            <w:r>
              <w:rPr>
                <w:rFonts w:ascii="Times New Roman" w:cs="Times New Roman" w:eastAsia="Times New Roman" w:hAnsi="Times New Roman"/>
                <w:sz w:val="14"/>
                <w:szCs w:val="14"/>
                <w:b w:val="1"/>
                <w:bCs w:val="1"/>
                <w:color w:val="auto"/>
                <w:w w:val="98"/>
              </w:rPr>
              <w:t>57 bps</w:t>
            </w:r>
          </w:p>
        </w:tc>
      </w:tr>
      <w:tr>
        <w:trPr>
          <w:trHeight w:val="165"/>
        </w:trPr>
        <w:tc>
          <w:tcPr>
            <w:tcW w:w="5640" w:type="dxa"/>
            <w:vAlign w:val="bottom"/>
            <w:tcBorders>
              <w:left w:val="single" w:sz="8" w:color="auto"/>
              <w:bottom w:val="single" w:sz="8" w:color="auto"/>
              <w:right w:val="single" w:sz="8" w:color="auto"/>
            </w:tcBorders>
          </w:tcPr>
          <w:p>
            <w:pPr>
              <w:ind w:left="100"/>
              <w:spacing w:after="0" w:line="165" w:lineRule="exact"/>
              <w:rPr>
                <w:sz w:val="20"/>
                <w:szCs w:val="20"/>
                <w:color w:val="auto"/>
              </w:rPr>
            </w:pPr>
            <w:r>
              <w:rPr>
                <w:rFonts w:ascii="Times New Roman" w:cs="Times New Roman" w:eastAsia="Times New Roman" w:hAnsi="Times New Roman"/>
                <w:sz w:val="12"/>
                <w:szCs w:val="12"/>
                <w:b w:val="1"/>
                <w:bCs w:val="1"/>
                <w:color w:val="auto"/>
              </w:rPr>
              <w:t xml:space="preserve">Net provisions for loan losses / Net interest income </w:t>
            </w:r>
            <w:r>
              <w:rPr>
                <w:rFonts w:ascii="Times New Roman" w:cs="Times New Roman" w:eastAsia="Times New Roman" w:hAnsi="Times New Roman"/>
                <w:sz w:val="19"/>
                <w:szCs w:val="19"/>
                <w:b w:val="1"/>
                <w:bCs w:val="1"/>
                <w:color w:val="auto"/>
                <w:vertAlign w:val="superscript"/>
              </w:rPr>
              <w:t>(1)</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16.29%</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16.82%</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12.17%</w:t>
            </w:r>
          </w:p>
        </w:tc>
        <w:tc>
          <w:tcPr>
            <w:tcW w:w="800" w:type="dxa"/>
            <w:vAlign w:val="bottom"/>
            <w:tcBorders>
              <w:bottom w:val="single" w:sz="8" w:color="auto"/>
            </w:tcBorders>
          </w:tcPr>
          <w:p>
            <w:pPr>
              <w:jc w:val="center"/>
              <w:ind w:left="213"/>
              <w:spacing w:after="0"/>
              <w:rPr>
                <w:sz w:val="20"/>
                <w:szCs w:val="20"/>
                <w:color w:val="auto"/>
              </w:rPr>
            </w:pPr>
            <w:r>
              <w:rPr>
                <w:rFonts w:ascii="Times New Roman" w:cs="Times New Roman" w:eastAsia="Times New Roman" w:hAnsi="Times New Roman"/>
                <w:sz w:val="14"/>
                <w:szCs w:val="14"/>
                <w:b w:val="1"/>
                <w:bCs w:val="1"/>
                <w:color w:val="auto"/>
                <w:w w:val="95"/>
              </w:rPr>
              <w:t>-465 bps</w:t>
            </w:r>
          </w:p>
        </w:tc>
        <w:tc>
          <w:tcPr>
            <w:tcW w:w="1440" w:type="dxa"/>
            <w:vAlign w:val="bottom"/>
            <w:tcBorders>
              <w:bottom w:val="single" w:sz="8" w:color="auto"/>
              <w:right w:val="single" w:sz="8" w:color="auto"/>
            </w:tcBorders>
          </w:tcPr>
          <w:p>
            <w:pPr>
              <w:jc w:val="center"/>
              <w:ind w:left="213"/>
              <w:spacing w:after="0"/>
              <w:rPr>
                <w:sz w:val="20"/>
                <w:szCs w:val="20"/>
                <w:color w:val="auto"/>
              </w:rPr>
            </w:pPr>
            <w:r>
              <w:rPr>
                <w:rFonts w:ascii="Times New Roman" w:cs="Times New Roman" w:eastAsia="Times New Roman" w:hAnsi="Times New Roman"/>
                <w:sz w:val="14"/>
                <w:szCs w:val="14"/>
                <w:b w:val="1"/>
                <w:bCs w:val="1"/>
                <w:color w:val="auto"/>
                <w:w w:val="95"/>
              </w:rPr>
              <w:t>-412 bps</w:t>
            </w:r>
          </w:p>
        </w:tc>
      </w:tr>
    </w:tbl>
    <w:p>
      <w:pPr>
        <w:spacing w:after="0" w:line="1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(1) Annualized. For further detail on the NIM calculation due to IFRS17, please refer to Annex 12.8.</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12.4. Net Interest Margin (NIM) and Risk-Adjusted NIM by Subsidiary</w:t>
      </w:r>
    </w:p>
    <w:p>
      <w:pPr>
        <w:spacing w:after="0" w:line="211" w:lineRule="exact"/>
        <w:rPr>
          <w:sz w:val="20"/>
          <w:szCs w:val="20"/>
          <w:color w:val="auto"/>
        </w:rPr>
      </w:pPr>
    </w:p>
    <w:tbl>
      <w:tblPr>
        <w:tblLayout w:type="fixed"/>
        <w:tblInd w:w="3390" w:type="dxa"/>
        <w:tblCellMar>
          <w:top w:w="0" w:type="dxa"/>
          <w:left w:w="0" w:type="dxa"/>
          <w:bottom w:w="0" w:type="dxa"/>
          <w:right w:w="0" w:type="dxa"/>
        </w:tblCellMar>
      </w:tblPr>
      <w:tr>
        <w:trPr>
          <w:trHeight w:val="216"/>
        </w:trPr>
        <w:tc>
          <w:tcPr>
            <w:tcW w:w="2220" w:type="dxa"/>
            <w:vAlign w:val="bottom"/>
            <w:tcBorders>
              <w:top w:val="single" w:sz="8" w:color="auto"/>
              <w:left w:val="single" w:sz="8" w:color="auto"/>
              <w:bottom w:val="single" w:sz="8" w:color="auto"/>
              <w:right w:val="single" w:sz="8" w:color="auto"/>
            </w:tcBorders>
            <w:shd w:val="clear" w:color="auto" w:fill="2AD2C9"/>
          </w:tcPr>
          <w:p>
            <w:pPr>
              <w:ind w:left="60"/>
              <w:spacing w:after="0"/>
              <w:rPr>
                <w:sz w:val="20"/>
                <w:szCs w:val="20"/>
                <w:color w:val="auto"/>
              </w:rPr>
            </w:pPr>
            <w:r>
              <w:rPr>
                <w:rFonts w:ascii="Times New Roman" w:cs="Times New Roman" w:eastAsia="Times New Roman" w:hAnsi="Times New Roman"/>
                <w:sz w:val="17"/>
                <w:szCs w:val="17"/>
                <w:b w:val="1"/>
                <w:bCs w:val="1"/>
                <w:color w:val="FFFFFF"/>
              </w:rPr>
              <w:t>NIM Breakdown</w:t>
            </w:r>
          </w:p>
        </w:tc>
        <w:tc>
          <w:tcPr>
            <w:tcW w:w="740" w:type="dxa"/>
            <w:vAlign w:val="bottom"/>
            <w:tcBorders>
              <w:top w:val="single" w:sz="8" w:color="auto"/>
              <w:bottom w:val="single" w:sz="8" w:color="auto"/>
            </w:tcBorders>
            <w:shd w:val="clear" w:color="auto" w:fill="2AD2C9"/>
          </w:tcPr>
          <w:p>
            <w:pPr>
              <w:jc w:val="center"/>
              <w:spacing w:after="0"/>
              <w:rPr>
                <w:sz w:val="20"/>
                <w:szCs w:val="20"/>
                <w:color w:val="auto"/>
              </w:rPr>
            </w:pPr>
            <w:r>
              <w:rPr>
                <w:rFonts w:ascii="Times New Roman" w:cs="Times New Roman" w:eastAsia="Times New Roman" w:hAnsi="Times New Roman"/>
                <w:sz w:val="17"/>
                <w:szCs w:val="17"/>
                <w:b w:val="1"/>
                <w:bCs w:val="1"/>
                <w:color w:val="FFFFFF"/>
              </w:rPr>
              <w:t>1Q25</w:t>
            </w:r>
          </w:p>
        </w:tc>
        <w:tc>
          <w:tcPr>
            <w:tcW w:w="760" w:type="dxa"/>
            <w:vAlign w:val="bottom"/>
            <w:tcBorders>
              <w:top w:val="single" w:sz="8" w:color="auto"/>
              <w:bottom w:val="single" w:sz="8" w:color="auto"/>
            </w:tcBorders>
            <w:shd w:val="clear" w:color="auto" w:fill="2AD2C9"/>
          </w:tcPr>
          <w:p>
            <w:pPr>
              <w:jc w:val="center"/>
              <w:spacing w:after="0"/>
              <w:rPr>
                <w:sz w:val="20"/>
                <w:szCs w:val="20"/>
                <w:color w:val="auto"/>
              </w:rPr>
            </w:pPr>
            <w:r>
              <w:rPr>
                <w:rFonts w:ascii="Times New Roman" w:cs="Times New Roman" w:eastAsia="Times New Roman" w:hAnsi="Times New Roman"/>
                <w:sz w:val="17"/>
                <w:szCs w:val="17"/>
                <w:b w:val="1"/>
                <w:bCs w:val="1"/>
                <w:color w:val="FFFFFF"/>
                <w:w w:val="97"/>
              </w:rPr>
              <w:t>4Q25</w:t>
            </w:r>
          </w:p>
        </w:tc>
        <w:tc>
          <w:tcPr>
            <w:tcW w:w="780" w:type="dxa"/>
            <w:vAlign w:val="bottom"/>
            <w:tcBorders>
              <w:top w:val="single" w:sz="8" w:color="auto"/>
              <w:bottom w:val="single" w:sz="8" w:color="auto"/>
              <w:right w:val="single" w:sz="8" w:color="auto"/>
            </w:tcBorders>
            <w:shd w:val="clear" w:color="auto" w:fill="2AD2C9"/>
          </w:tcPr>
          <w:p>
            <w:pPr>
              <w:jc w:val="center"/>
              <w:spacing w:after="0"/>
              <w:rPr>
                <w:sz w:val="20"/>
                <w:szCs w:val="20"/>
                <w:color w:val="auto"/>
              </w:rPr>
            </w:pPr>
            <w:r>
              <w:rPr>
                <w:rFonts w:ascii="Times New Roman" w:cs="Times New Roman" w:eastAsia="Times New Roman" w:hAnsi="Times New Roman"/>
                <w:sz w:val="17"/>
                <w:szCs w:val="17"/>
                <w:b w:val="1"/>
                <w:bCs w:val="1"/>
                <w:color w:val="FFFFFF"/>
                <w:w w:val="97"/>
              </w:rPr>
              <w:t>1Q26</w:t>
            </w:r>
          </w:p>
        </w:tc>
      </w:tr>
      <w:tr>
        <w:trPr>
          <w:trHeight w:val="175"/>
        </w:trPr>
        <w:tc>
          <w:tcPr>
            <w:tcW w:w="2220" w:type="dxa"/>
            <w:vAlign w:val="bottom"/>
            <w:tcBorders>
              <w:left w:val="single" w:sz="8" w:color="auto"/>
              <w:right w:val="single" w:sz="8" w:color="auto"/>
            </w:tcBorders>
          </w:tcPr>
          <w:p>
            <w:pPr>
              <w:ind w:left="60"/>
              <w:spacing w:after="0" w:line="176" w:lineRule="exact"/>
              <w:rPr>
                <w:sz w:val="20"/>
                <w:szCs w:val="20"/>
                <w:color w:val="auto"/>
              </w:rPr>
            </w:pPr>
            <w:r>
              <w:rPr>
                <w:rFonts w:ascii="Times New Roman" w:cs="Times New Roman" w:eastAsia="Times New Roman" w:hAnsi="Times New Roman"/>
                <w:sz w:val="17"/>
                <w:szCs w:val="17"/>
                <w:b w:val="1"/>
                <w:bCs w:val="1"/>
                <w:color w:val="auto"/>
              </w:rPr>
              <w:t>BCP</w:t>
            </w:r>
          </w:p>
        </w:tc>
        <w:tc>
          <w:tcPr>
            <w:tcW w:w="740" w:type="dxa"/>
            <w:vAlign w:val="bottom"/>
          </w:tcPr>
          <w:p>
            <w:pPr>
              <w:jc w:val="center"/>
              <w:spacing w:after="0" w:line="176" w:lineRule="exact"/>
              <w:rPr>
                <w:sz w:val="20"/>
                <w:szCs w:val="20"/>
                <w:color w:val="auto"/>
              </w:rPr>
            </w:pPr>
            <w:r>
              <w:rPr>
                <w:rFonts w:ascii="Times New Roman" w:cs="Times New Roman" w:eastAsia="Times New Roman" w:hAnsi="Times New Roman"/>
                <w:sz w:val="17"/>
                <w:szCs w:val="17"/>
                <w:color w:val="auto"/>
              </w:rPr>
              <w:t>5.80%</w:t>
            </w:r>
          </w:p>
        </w:tc>
        <w:tc>
          <w:tcPr>
            <w:tcW w:w="760" w:type="dxa"/>
            <w:vAlign w:val="bottom"/>
          </w:tcPr>
          <w:p>
            <w:pPr>
              <w:jc w:val="center"/>
              <w:spacing w:after="0" w:line="176" w:lineRule="exact"/>
              <w:rPr>
                <w:sz w:val="20"/>
                <w:szCs w:val="20"/>
                <w:color w:val="auto"/>
              </w:rPr>
            </w:pPr>
            <w:r>
              <w:rPr>
                <w:rFonts w:ascii="Times New Roman" w:cs="Times New Roman" w:eastAsia="Times New Roman" w:hAnsi="Times New Roman"/>
                <w:sz w:val="17"/>
                <w:szCs w:val="17"/>
                <w:color w:val="auto"/>
              </w:rPr>
              <w:t>6.11%</w:t>
            </w:r>
          </w:p>
        </w:tc>
        <w:tc>
          <w:tcPr>
            <w:tcW w:w="78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7"/>
                <w:szCs w:val="17"/>
                <w:color w:val="auto"/>
              </w:rPr>
              <w:t>6.00%</w:t>
            </w:r>
          </w:p>
        </w:tc>
      </w:tr>
      <w:tr>
        <w:trPr>
          <w:trHeight w:val="203"/>
        </w:trPr>
        <w:tc>
          <w:tcPr>
            <w:tcW w:w="22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Mibanco</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13.94%</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15.22%</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14.93%</w:t>
            </w:r>
          </w:p>
        </w:tc>
      </w:tr>
      <w:tr>
        <w:trPr>
          <w:trHeight w:val="223"/>
        </w:trPr>
        <w:tc>
          <w:tcPr>
            <w:tcW w:w="22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BCP Bolivia</w:t>
            </w: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2.85%</w:t>
            </w: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2.74%</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2.74%</w:t>
            </w:r>
          </w:p>
        </w:tc>
      </w:tr>
      <w:tr>
        <w:trPr>
          <w:trHeight w:val="196"/>
        </w:trPr>
        <w:tc>
          <w:tcPr>
            <w:tcW w:w="22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Credicorp</w:t>
            </w: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6.22%</w:t>
            </w: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6.62%</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6.58%</w:t>
            </w:r>
          </w:p>
        </w:tc>
      </w:tr>
    </w:tbl>
    <w:p>
      <w:pPr>
        <w:spacing w:after="0" w:line="18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2"/>
          <w:szCs w:val="12"/>
          <w:color w:val="auto"/>
        </w:rPr>
        <w:t>NIM: Annualized Net interest income (excluding Net Insurance Financial Expenses) / Average period end and period beginning interest-earning assets.</w:t>
      </w:r>
    </w:p>
    <w:p>
      <w:pPr>
        <w:spacing w:after="0" w:line="188" w:lineRule="exact"/>
        <w:rPr>
          <w:sz w:val="20"/>
          <w:szCs w:val="20"/>
          <w:color w:val="auto"/>
        </w:rPr>
      </w:pPr>
    </w:p>
    <w:tbl>
      <w:tblPr>
        <w:tblLayout w:type="fixed"/>
        <w:tblInd w:w="3390" w:type="dxa"/>
        <w:tblCellMar>
          <w:top w:w="0" w:type="dxa"/>
          <w:left w:w="0" w:type="dxa"/>
          <w:bottom w:w="0" w:type="dxa"/>
          <w:right w:w="0" w:type="dxa"/>
        </w:tblCellMar>
      </w:tblPr>
      <w:tr>
        <w:trPr>
          <w:trHeight w:val="195"/>
        </w:trPr>
        <w:tc>
          <w:tcPr>
            <w:tcW w:w="2220" w:type="dxa"/>
            <w:vAlign w:val="bottom"/>
            <w:tcBorders>
              <w:top w:val="single" w:sz="8" w:color="auto"/>
              <w:left w:val="single" w:sz="8" w:color="auto"/>
              <w:right w:val="single" w:sz="8" w:color="auto"/>
            </w:tcBorders>
            <w:shd w:val="clear" w:color="auto" w:fill="2AD2C9"/>
          </w:tcPr>
          <w:p>
            <w:pPr>
              <w:ind w:left="60"/>
              <w:spacing w:after="0"/>
              <w:rPr>
                <w:sz w:val="20"/>
                <w:szCs w:val="20"/>
                <w:color w:val="auto"/>
              </w:rPr>
            </w:pPr>
            <w:r>
              <w:rPr>
                <w:rFonts w:ascii="Times New Roman" w:cs="Times New Roman" w:eastAsia="Times New Roman" w:hAnsi="Times New Roman"/>
                <w:sz w:val="17"/>
                <w:szCs w:val="17"/>
                <w:b w:val="1"/>
                <w:bCs w:val="1"/>
                <w:color w:val="FFFFFF"/>
              </w:rPr>
              <w:t>Risk Adjusted NIM</w:t>
            </w:r>
          </w:p>
        </w:tc>
        <w:tc>
          <w:tcPr>
            <w:tcW w:w="760" w:type="dxa"/>
            <w:vAlign w:val="bottom"/>
            <w:tcBorders>
              <w:top w:val="single" w:sz="8" w:color="auto"/>
            </w:tcBorders>
            <w:vMerge w:val="restart"/>
            <w:shd w:val="clear" w:color="auto" w:fill="2AD2C9"/>
          </w:tcPr>
          <w:p>
            <w:pPr>
              <w:jc w:val="center"/>
              <w:spacing w:after="0"/>
              <w:rPr>
                <w:sz w:val="20"/>
                <w:szCs w:val="20"/>
                <w:color w:val="auto"/>
              </w:rPr>
            </w:pPr>
            <w:r>
              <w:rPr>
                <w:rFonts w:ascii="Times New Roman" w:cs="Times New Roman" w:eastAsia="Times New Roman" w:hAnsi="Times New Roman"/>
                <w:sz w:val="17"/>
                <w:szCs w:val="17"/>
                <w:b w:val="1"/>
                <w:bCs w:val="1"/>
                <w:color w:val="FFFFFF"/>
              </w:rPr>
              <w:t>1Q25</w:t>
            </w:r>
          </w:p>
        </w:tc>
        <w:tc>
          <w:tcPr>
            <w:tcW w:w="740" w:type="dxa"/>
            <w:vAlign w:val="bottom"/>
            <w:tcBorders>
              <w:top w:val="single" w:sz="8" w:color="auto"/>
            </w:tcBorders>
            <w:vMerge w:val="restart"/>
            <w:shd w:val="clear" w:color="auto" w:fill="2AD2C9"/>
          </w:tcPr>
          <w:p>
            <w:pPr>
              <w:jc w:val="center"/>
              <w:spacing w:after="0"/>
              <w:rPr>
                <w:sz w:val="20"/>
                <w:szCs w:val="20"/>
                <w:color w:val="auto"/>
              </w:rPr>
            </w:pPr>
            <w:r>
              <w:rPr>
                <w:rFonts w:ascii="Times New Roman" w:cs="Times New Roman" w:eastAsia="Times New Roman" w:hAnsi="Times New Roman"/>
                <w:sz w:val="17"/>
                <w:szCs w:val="17"/>
                <w:b w:val="1"/>
                <w:bCs w:val="1"/>
                <w:color w:val="FFFFFF"/>
                <w:w w:val="97"/>
              </w:rPr>
              <w:t>4Q25</w:t>
            </w:r>
          </w:p>
        </w:tc>
        <w:tc>
          <w:tcPr>
            <w:tcW w:w="780" w:type="dxa"/>
            <w:vAlign w:val="bottom"/>
            <w:tcBorders>
              <w:top w:val="single" w:sz="8" w:color="auto"/>
              <w:right w:val="single" w:sz="8" w:color="auto"/>
            </w:tcBorders>
            <w:vMerge w:val="restart"/>
            <w:shd w:val="clear" w:color="auto" w:fill="2AD2C9"/>
          </w:tcPr>
          <w:p>
            <w:pPr>
              <w:jc w:val="center"/>
              <w:spacing w:after="0"/>
              <w:rPr>
                <w:sz w:val="20"/>
                <w:szCs w:val="20"/>
                <w:color w:val="auto"/>
              </w:rPr>
            </w:pPr>
            <w:r>
              <w:rPr>
                <w:rFonts w:ascii="Times New Roman" w:cs="Times New Roman" w:eastAsia="Times New Roman" w:hAnsi="Times New Roman"/>
                <w:sz w:val="17"/>
                <w:szCs w:val="17"/>
                <w:b w:val="1"/>
                <w:bCs w:val="1"/>
                <w:color w:val="FFFFFF"/>
                <w:w w:val="97"/>
              </w:rPr>
              <w:t>1Q26</w:t>
            </w:r>
          </w:p>
        </w:tc>
        <w:tc>
          <w:tcPr>
            <w:tcW w:w="0" w:type="dxa"/>
            <w:vAlign w:val="bottom"/>
          </w:tcPr>
          <w:p>
            <w:pPr>
              <w:spacing w:after="0"/>
              <w:rPr>
                <w:sz w:val="1"/>
                <w:szCs w:val="1"/>
                <w:color w:val="auto"/>
              </w:rPr>
            </w:pPr>
          </w:p>
        </w:tc>
      </w:tr>
      <w:tr>
        <w:trPr>
          <w:trHeight w:val="121"/>
        </w:trPr>
        <w:tc>
          <w:tcPr>
            <w:tcW w:w="2220" w:type="dxa"/>
            <w:vAlign w:val="bottom"/>
            <w:tcBorders>
              <w:left w:val="single" w:sz="8" w:color="auto"/>
              <w:right w:val="single" w:sz="8" w:color="auto"/>
            </w:tcBorders>
            <w:vMerge w:val="restart"/>
            <w:shd w:val="clear" w:color="auto" w:fill="2AD2C9"/>
          </w:tcPr>
          <w:p>
            <w:pPr>
              <w:ind w:left="60"/>
              <w:spacing w:after="0"/>
              <w:rPr>
                <w:sz w:val="20"/>
                <w:szCs w:val="20"/>
                <w:color w:val="auto"/>
              </w:rPr>
            </w:pPr>
            <w:r>
              <w:rPr>
                <w:rFonts w:ascii="Times New Roman" w:cs="Times New Roman" w:eastAsia="Times New Roman" w:hAnsi="Times New Roman"/>
                <w:sz w:val="17"/>
                <w:szCs w:val="17"/>
                <w:b w:val="1"/>
                <w:bCs w:val="1"/>
                <w:color w:val="FFFFFF"/>
              </w:rPr>
              <w:t>Breakdown</w:t>
            </w:r>
          </w:p>
        </w:tc>
        <w:tc>
          <w:tcPr>
            <w:tcW w:w="760" w:type="dxa"/>
            <w:vAlign w:val="bottom"/>
            <w:vMerge w:val="continue"/>
            <w:shd w:val="clear" w:color="auto" w:fill="2AD2C9"/>
          </w:tcPr>
          <w:p>
            <w:pPr>
              <w:spacing w:after="0"/>
              <w:rPr>
                <w:sz w:val="10"/>
                <w:szCs w:val="10"/>
                <w:color w:val="auto"/>
              </w:rPr>
            </w:pPr>
          </w:p>
        </w:tc>
        <w:tc>
          <w:tcPr>
            <w:tcW w:w="740" w:type="dxa"/>
            <w:vAlign w:val="bottom"/>
            <w:vMerge w:val="continue"/>
            <w:shd w:val="clear" w:color="auto" w:fill="2AD2C9"/>
          </w:tcPr>
          <w:p>
            <w:pPr>
              <w:spacing w:after="0"/>
              <w:rPr>
                <w:sz w:val="10"/>
                <w:szCs w:val="10"/>
                <w:color w:val="auto"/>
              </w:rPr>
            </w:pPr>
          </w:p>
        </w:tc>
        <w:tc>
          <w:tcPr>
            <w:tcW w:w="780" w:type="dxa"/>
            <w:vAlign w:val="bottom"/>
            <w:tcBorders>
              <w:right w:val="single" w:sz="8" w:color="auto"/>
            </w:tcBorders>
            <w:vMerge w:val="continue"/>
            <w:shd w:val="clear" w:color="auto" w:fill="2AD2C9"/>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220" w:type="dxa"/>
            <w:vAlign w:val="bottom"/>
            <w:tcBorders>
              <w:left w:val="single" w:sz="8" w:color="auto"/>
              <w:bottom w:val="single" w:sz="8" w:color="auto"/>
              <w:right w:val="single" w:sz="8" w:color="auto"/>
            </w:tcBorders>
            <w:vMerge w:val="continue"/>
            <w:shd w:val="clear" w:color="auto" w:fill="2AD2C9"/>
          </w:tcPr>
          <w:p>
            <w:pPr>
              <w:spacing w:after="0"/>
              <w:rPr>
                <w:sz w:val="8"/>
                <w:szCs w:val="8"/>
                <w:color w:val="auto"/>
              </w:rPr>
            </w:pPr>
          </w:p>
        </w:tc>
        <w:tc>
          <w:tcPr>
            <w:tcW w:w="760" w:type="dxa"/>
            <w:vAlign w:val="bottom"/>
            <w:tcBorders>
              <w:bottom w:val="single" w:sz="8" w:color="auto"/>
            </w:tcBorders>
            <w:shd w:val="clear" w:color="auto" w:fill="2AD2C9"/>
          </w:tcPr>
          <w:p>
            <w:pPr>
              <w:spacing w:after="0"/>
              <w:rPr>
                <w:sz w:val="8"/>
                <w:szCs w:val="8"/>
                <w:color w:val="auto"/>
              </w:rPr>
            </w:pPr>
          </w:p>
        </w:tc>
        <w:tc>
          <w:tcPr>
            <w:tcW w:w="740" w:type="dxa"/>
            <w:vAlign w:val="bottom"/>
            <w:tcBorders>
              <w:bottom w:val="single" w:sz="8" w:color="auto"/>
            </w:tcBorders>
            <w:shd w:val="clear" w:color="auto" w:fill="2AD2C9"/>
          </w:tcPr>
          <w:p>
            <w:pPr>
              <w:spacing w:after="0"/>
              <w:rPr>
                <w:sz w:val="8"/>
                <w:szCs w:val="8"/>
                <w:color w:val="auto"/>
              </w:rPr>
            </w:pPr>
          </w:p>
        </w:tc>
        <w:tc>
          <w:tcPr>
            <w:tcW w:w="780" w:type="dxa"/>
            <w:vAlign w:val="bottom"/>
            <w:tcBorders>
              <w:bottom w:val="single" w:sz="8" w:color="auto"/>
              <w:right w:val="single" w:sz="8" w:color="auto"/>
            </w:tcBorders>
            <w:shd w:val="clear" w:color="auto" w:fill="2AD2C9"/>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220" w:type="dxa"/>
            <w:vAlign w:val="bottom"/>
            <w:tcBorders>
              <w:left w:val="single" w:sz="8" w:color="auto"/>
              <w:right w:val="single" w:sz="8" w:color="auto"/>
            </w:tcBorders>
          </w:tcPr>
          <w:p>
            <w:pPr>
              <w:ind w:left="60"/>
              <w:spacing w:after="0" w:line="176" w:lineRule="exact"/>
              <w:rPr>
                <w:sz w:val="20"/>
                <w:szCs w:val="20"/>
                <w:color w:val="auto"/>
              </w:rPr>
            </w:pPr>
            <w:r>
              <w:rPr>
                <w:rFonts w:ascii="Times New Roman" w:cs="Times New Roman" w:eastAsia="Times New Roman" w:hAnsi="Times New Roman"/>
                <w:sz w:val="17"/>
                <w:szCs w:val="17"/>
                <w:b w:val="1"/>
                <w:bCs w:val="1"/>
                <w:color w:val="auto"/>
              </w:rPr>
              <w:t>BCP</w:t>
            </w:r>
          </w:p>
        </w:tc>
        <w:tc>
          <w:tcPr>
            <w:tcW w:w="760" w:type="dxa"/>
            <w:vAlign w:val="bottom"/>
          </w:tcPr>
          <w:p>
            <w:pPr>
              <w:jc w:val="center"/>
              <w:spacing w:after="0" w:line="176" w:lineRule="exact"/>
              <w:rPr>
                <w:sz w:val="20"/>
                <w:szCs w:val="20"/>
                <w:color w:val="auto"/>
              </w:rPr>
            </w:pPr>
            <w:r>
              <w:rPr>
                <w:rFonts w:ascii="Times New Roman" w:cs="Times New Roman" w:eastAsia="Times New Roman" w:hAnsi="Times New Roman"/>
                <w:sz w:val="17"/>
                <w:szCs w:val="17"/>
                <w:color w:val="auto"/>
              </w:rPr>
              <w:t>4.98%</w:t>
            </w:r>
          </w:p>
        </w:tc>
        <w:tc>
          <w:tcPr>
            <w:tcW w:w="740" w:type="dxa"/>
            <w:vAlign w:val="bottom"/>
          </w:tcPr>
          <w:p>
            <w:pPr>
              <w:jc w:val="center"/>
              <w:spacing w:after="0" w:line="176" w:lineRule="exact"/>
              <w:rPr>
                <w:sz w:val="20"/>
                <w:szCs w:val="20"/>
                <w:color w:val="auto"/>
              </w:rPr>
            </w:pPr>
            <w:r>
              <w:rPr>
                <w:rFonts w:ascii="Times New Roman" w:cs="Times New Roman" w:eastAsia="Times New Roman" w:hAnsi="Times New Roman"/>
                <w:sz w:val="17"/>
                <w:szCs w:val="17"/>
                <w:color w:val="auto"/>
              </w:rPr>
              <w:t>5.19%</w:t>
            </w:r>
          </w:p>
        </w:tc>
        <w:tc>
          <w:tcPr>
            <w:tcW w:w="78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7"/>
                <w:szCs w:val="17"/>
                <w:color w:val="auto"/>
              </w:rPr>
              <w:t>5.50%</w:t>
            </w:r>
          </w:p>
        </w:tc>
        <w:tc>
          <w:tcPr>
            <w:tcW w:w="0" w:type="dxa"/>
            <w:vAlign w:val="bottom"/>
          </w:tcPr>
          <w:p>
            <w:pPr>
              <w:spacing w:after="0"/>
              <w:rPr>
                <w:sz w:val="1"/>
                <w:szCs w:val="1"/>
                <w:color w:val="auto"/>
              </w:rPr>
            </w:pPr>
          </w:p>
        </w:tc>
      </w:tr>
      <w:tr>
        <w:trPr>
          <w:trHeight w:val="203"/>
        </w:trPr>
        <w:tc>
          <w:tcPr>
            <w:tcW w:w="22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Mibanco</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10.14%</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11.57%</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11.25%</w:t>
            </w:r>
          </w:p>
        </w:tc>
        <w:tc>
          <w:tcPr>
            <w:tcW w:w="0" w:type="dxa"/>
            <w:vAlign w:val="bottom"/>
          </w:tcPr>
          <w:p>
            <w:pPr>
              <w:spacing w:after="0"/>
              <w:rPr>
                <w:sz w:val="1"/>
                <w:szCs w:val="1"/>
                <w:color w:val="auto"/>
              </w:rPr>
            </w:pPr>
          </w:p>
        </w:tc>
      </w:tr>
      <w:tr>
        <w:trPr>
          <w:trHeight w:val="223"/>
        </w:trPr>
        <w:tc>
          <w:tcPr>
            <w:tcW w:w="22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BCP Bolivia</w:t>
            </w: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2.62%</w:t>
            </w: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2.60%</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2.12%</w:t>
            </w:r>
          </w:p>
        </w:tc>
        <w:tc>
          <w:tcPr>
            <w:tcW w:w="0" w:type="dxa"/>
            <w:vAlign w:val="bottom"/>
          </w:tcPr>
          <w:p>
            <w:pPr>
              <w:spacing w:after="0"/>
              <w:rPr>
                <w:sz w:val="1"/>
                <w:szCs w:val="1"/>
                <w:color w:val="auto"/>
              </w:rPr>
            </w:pPr>
          </w:p>
        </w:tc>
      </w:tr>
      <w:tr>
        <w:trPr>
          <w:trHeight w:val="196"/>
        </w:trPr>
        <w:tc>
          <w:tcPr>
            <w:tcW w:w="22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Credicorp</w:t>
            </w: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5.24%</w:t>
            </w: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5.55%</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5.81%</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20" w:right="1260"/>
        <w:spacing w:after="0" w:line="247" w:lineRule="auto"/>
        <w:rPr>
          <w:sz w:val="20"/>
          <w:szCs w:val="20"/>
          <w:color w:val="auto"/>
        </w:rPr>
      </w:pPr>
      <w:r>
        <w:rPr>
          <w:rFonts w:ascii="Times New Roman" w:cs="Times New Roman" w:eastAsia="Times New Roman" w:hAnsi="Times New Roman"/>
          <w:sz w:val="12"/>
          <w:szCs w:val="12"/>
          <w:color w:val="auto"/>
        </w:rPr>
        <w:t>Risk-Adjusted NIM: (Annualized Net interest income (excluding Net Insurance Financial Expenses) - annualized provisions) / Average period end and period beginning interest-earning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1078865</wp:posOffset>
            </wp:positionV>
            <wp:extent cx="7140575" cy="1587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0575" cy="15875"/>
                    </a:xfrm>
                    <a:prstGeom prst="rect">
                      <a:avLst/>
                    </a:prstGeom>
                    <a:noFill/>
                  </pic:spPr>
                </pic:pic>
              </a:graphicData>
            </a:graphic>
          </wp:anchor>
        </w:drawing>
        <w:drawing>
          <wp:anchor simplePos="0" relativeHeight="251657728" behindDoc="1" locked="0" layoutInCell="0" allowOverlap="1">
            <wp:simplePos x="0" y="0"/>
            <wp:positionH relativeFrom="column">
              <wp:posOffset>363855</wp:posOffset>
            </wp:positionH>
            <wp:positionV relativeFrom="paragraph">
              <wp:posOffset>-8255</wp:posOffset>
            </wp:positionV>
            <wp:extent cx="6447155" cy="7899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447155" cy="789940"/>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51" w:name="page52"/>
    <w:bookmarkEnd w:id="51"/>
    <w:p>
      <w:pPr>
        <w:ind w:left="3200"/>
        <w:spacing w:after="0"/>
        <w:tabs>
          <w:tab w:leader="none" w:pos="3380" w:val="left"/>
          <w:tab w:leader="none" w:pos="9060" w:val="left"/>
        </w:tabs>
        <w:rPr>
          <w:sz w:val="20"/>
          <w:szCs w:val="20"/>
          <w:color w:val="auto"/>
        </w:rPr>
      </w:pPr>
      <w:r>
        <w:rPr>
          <w:rFonts w:ascii="Times New Roman" w:cs="Times New Roman" w:eastAsia="Times New Roman" w:hAnsi="Times New Roman"/>
          <w:sz w:val="17"/>
          <w:szCs w:val="17"/>
          <w:color w:val="A6A6A6"/>
        </w:rPr>
        <w:drawing>
          <wp:anchor simplePos="0" relativeHeight="251657728" behindDoc="1" locked="0" layoutInCell="0" allowOverlap="1">
            <wp:simplePos x="0" y="0"/>
            <wp:positionH relativeFrom="page">
              <wp:posOffset>204470</wp:posOffset>
            </wp:positionH>
            <wp:positionV relativeFrom="page">
              <wp:posOffset>217805</wp:posOffset>
            </wp:positionV>
            <wp:extent cx="7140575" cy="69278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0575" cy="692785"/>
                    </a:xfrm>
                    <a:prstGeom prst="rect">
                      <a:avLst/>
                    </a:prstGeom>
                    <a:noFill/>
                  </pic:spPr>
                </pic:pic>
              </a:graphicData>
            </a:graphic>
          </wp:anchor>
        </w:drawing>
        <w:t>|</w:t>
      </w:r>
      <w:r>
        <w:rPr>
          <w:sz w:val="20"/>
          <w:szCs w:val="20"/>
          <w:color w:val="auto"/>
        </w:rPr>
        <w:tab/>
      </w:r>
      <w:r>
        <w:rPr>
          <w:rFonts w:ascii="Times New Roman" w:cs="Times New Roman" w:eastAsia="Times New Roman" w:hAnsi="Times New Roman"/>
          <w:sz w:val="14"/>
          <w:szCs w:val="14"/>
          <w:color w:val="FFFFFF"/>
        </w:rPr>
        <w:t>Earnings Release 1Q / 2026</w:t>
      </w:r>
      <w:r>
        <w:rPr>
          <w:sz w:val="20"/>
          <w:szCs w:val="20"/>
          <w:color w:val="auto"/>
        </w:rPr>
        <w:tab/>
      </w:r>
      <w:r>
        <w:rPr>
          <w:rFonts w:ascii="Times New Roman" w:cs="Times New Roman" w:eastAsia="Times New Roman" w:hAnsi="Times New Roman"/>
          <w:sz w:val="12"/>
          <w:szCs w:val="12"/>
          <w:color w:val="FF00FF"/>
        </w:rPr>
        <w:t>Analysis of 1Q26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297180</wp:posOffset>
            </wp:positionV>
            <wp:extent cx="7140575" cy="20955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0575" cy="20955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FFFFFF"/>
        </w:rPr>
        <w:t>12. Appendix</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12.5. Physical Point of contact</w:t>
      </w:r>
    </w:p>
    <w:p>
      <w:pPr>
        <w:spacing w:after="0" w:line="205" w:lineRule="exact"/>
        <w:rPr>
          <w:sz w:val="20"/>
          <w:szCs w:val="20"/>
          <w:color w:val="auto"/>
        </w:rPr>
      </w:pPr>
    </w:p>
    <w:tbl>
      <w:tblPr>
        <w:tblLayout w:type="fixed"/>
        <w:tblInd w:w="1150" w:type="dxa"/>
        <w:tblCellMar>
          <w:top w:w="0" w:type="dxa"/>
          <w:left w:w="0" w:type="dxa"/>
          <w:bottom w:w="0" w:type="dxa"/>
          <w:right w:w="0" w:type="dxa"/>
        </w:tblCellMar>
      </w:tblPr>
      <w:tr>
        <w:trPr>
          <w:trHeight w:val="187"/>
        </w:trPr>
        <w:tc>
          <w:tcPr>
            <w:tcW w:w="4420" w:type="dxa"/>
            <w:vAlign w:val="bottom"/>
            <w:tcBorders>
              <w:top w:val="single" w:sz="8" w:color="auto"/>
              <w:left w:val="single" w:sz="8" w:color="auto"/>
              <w:right w:val="single" w:sz="8" w:color="auto"/>
            </w:tcBorders>
            <w:shd w:val="clear" w:color="auto" w:fill="2AD2C9"/>
          </w:tcPr>
          <w:p>
            <w:pPr>
              <w:ind w:left="60"/>
              <w:spacing w:after="0" w:line="187" w:lineRule="exact"/>
              <w:rPr>
                <w:sz w:val="20"/>
                <w:szCs w:val="20"/>
                <w:color w:val="auto"/>
              </w:rPr>
            </w:pPr>
            <w:r>
              <w:rPr>
                <w:rFonts w:ascii="Times New Roman" w:cs="Times New Roman" w:eastAsia="Times New Roman" w:hAnsi="Times New Roman"/>
                <w:sz w:val="13"/>
                <w:szCs w:val="13"/>
                <w:b w:val="1"/>
                <w:bCs w:val="1"/>
                <w:color w:val="FFFFFF"/>
              </w:rPr>
              <w:t xml:space="preserve">Physical Point of Contact </w:t>
            </w:r>
            <w:r>
              <w:rPr>
                <w:rFonts w:ascii="Times New Roman" w:cs="Times New Roman" w:eastAsia="Times New Roman" w:hAnsi="Times New Roman"/>
                <w:sz w:val="21"/>
                <w:szCs w:val="21"/>
                <w:b w:val="1"/>
                <w:bCs w:val="1"/>
                <w:color w:val="FFFFFF"/>
                <w:vertAlign w:val="superscript"/>
              </w:rPr>
              <w:t>(1)</w:t>
            </w:r>
          </w:p>
        </w:tc>
        <w:tc>
          <w:tcPr>
            <w:tcW w:w="900" w:type="dxa"/>
            <w:vAlign w:val="bottom"/>
            <w:tcBorders>
              <w:top w:val="single" w:sz="8" w:color="auto"/>
            </w:tcBorders>
            <w:shd w:val="clear" w:color="auto" w:fill="2AD2C9"/>
          </w:tcPr>
          <w:p>
            <w:pPr>
              <w:spacing w:after="0"/>
              <w:rPr>
                <w:sz w:val="16"/>
                <w:szCs w:val="16"/>
                <w:color w:val="auto"/>
              </w:rPr>
            </w:pPr>
          </w:p>
        </w:tc>
        <w:tc>
          <w:tcPr>
            <w:tcW w:w="860" w:type="dxa"/>
            <w:vAlign w:val="bottom"/>
            <w:tcBorders>
              <w:top w:val="single" w:sz="8" w:color="auto"/>
            </w:tcBorders>
            <w:shd w:val="clear" w:color="auto" w:fill="2AD2C9"/>
          </w:tcPr>
          <w:p>
            <w:pPr>
              <w:jc w:val="center"/>
              <w:spacing w:after="0"/>
              <w:rPr>
                <w:sz w:val="20"/>
                <w:szCs w:val="20"/>
                <w:color w:val="auto"/>
              </w:rPr>
            </w:pPr>
            <w:r>
              <w:rPr>
                <w:rFonts w:ascii="Times New Roman" w:cs="Times New Roman" w:eastAsia="Times New Roman" w:hAnsi="Times New Roman"/>
                <w:sz w:val="15"/>
                <w:szCs w:val="15"/>
                <w:b w:val="1"/>
                <w:bCs w:val="1"/>
                <w:color w:val="FFFFFF"/>
              </w:rPr>
              <w:t>As of</w:t>
            </w:r>
          </w:p>
        </w:tc>
        <w:tc>
          <w:tcPr>
            <w:tcW w:w="940" w:type="dxa"/>
            <w:vAlign w:val="bottom"/>
            <w:tcBorders>
              <w:top w:val="single" w:sz="8" w:color="auto"/>
              <w:right w:val="single" w:sz="8" w:color="auto"/>
            </w:tcBorders>
            <w:shd w:val="clear" w:color="auto" w:fill="2AD2C9"/>
          </w:tcPr>
          <w:p>
            <w:pPr>
              <w:spacing w:after="0"/>
              <w:rPr>
                <w:sz w:val="16"/>
                <w:szCs w:val="16"/>
                <w:color w:val="auto"/>
              </w:rPr>
            </w:pPr>
          </w:p>
        </w:tc>
        <w:tc>
          <w:tcPr>
            <w:tcW w:w="1860" w:type="dxa"/>
            <w:vAlign w:val="bottom"/>
            <w:tcBorders>
              <w:top w:val="single" w:sz="8" w:color="auto"/>
              <w:right w:val="single" w:sz="8" w:color="auto"/>
            </w:tcBorders>
            <w:gridSpan w:val="2"/>
            <w:shd w:val="clear" w:color="auto" w:fill="2AD2C9"/>
          </w:tcPr>
          <w:p>
            <w:pPr>
              <w:ind w:left="440"/>
              <w:spacing w:after="0"/>
              <w:rPr>
                <w:sz w:val="20"/>
                <w:szCs w:val="20"/>
                <w:color w:val="auto"/>
              </w:rPr>
            </w:pPr>
            <w:r>
              <w:rPr>
                <w:rFonts w:ascii="Times New Roman" w:cs="Times New Roman" w:eastAsia="Times New Roman" w:hAnsi="Times New Roman"/>
                <w:sz w:val="15"/>
                <w:szCs w:val="15"/>
                <w:b w:val="1"/>
                <w:bCs w:val="1"/>
                <w:color w:val="FFFFFF"/>
              </w:rPr>
              <w:t>Change (units)</w:t>
            </w:r>
          </w:p>
        </w:tc>
      </w:tr>
      <w:tr>
        <w:trPr>
          <w:trHeight w:val="204"/>
        </w:trPr>
        <w:tc>
          <w:tcPr>
            <w:tcW w:w="4420" w:type="dxa"/>
            <w:vAlign w:val="bottom"/>
            <w:tcBorders>
              <w:left w:val="single" w:sz="8" w:color="auto"/>
              <w:bottom w:val="single" w:sz="8" w:color="auto"/>
              <w:right w:val="single" w:sz="8" w:color="auto"/>
            </w:tcBorders>
            <w:shd w:val="clear" w:color="auto" w:fill="2AD2C9"/>
          </w:tcPr>
          <w:p>
            <w:pPr>
              <w:ind w:left="60"/>
              <w:spacing w:after="0"/>
              <w:rPr>
                <w:sz w:val="20"/>
                <w:szCs w:val="20"/>
                <w:color w:val="auto"/>
              </w:rPr>
            </w:pPr>
            <w:r>
              <w:rPr>
                <w:rFonts w:ascii="Times New Roman" w:cs="Times New Roman" w:eastAsia="Times New Roman" w:hAnsi="Times New Roman"/>
                <w:sz w:val="15"/>
                <w:szCs w:val="15"/>
                <w:b w:val="1"/>
                <w:bCs w:val="1"/>
                <w:color w:val="FFFFFF"/>
              </w:rPr>
              <w:t>(Units)</w:t>
            </w:r>
          </w:p>
        </w:tc>
        <w:tc>
          <w:tcPr>
            <w:tcW w:w="900" w:type="dxa"/>
            <w:vAlign w:val="bottom"/>
            <w:tcBorders>
              <w:bottom w:val="single" w:sz="8" w:color="auto"/>
            </w:tcBorders>
            <w:shd w:val="clear" w:color="auto" w:fill="2AD2C9"/>
          </w:tcPr>
          <w:p>
            <w:pPr>
              <w:ind w:left="200"/>
              <w:spacing w:after="0"/>
              <w:rPr>
                <w:sz w:val="20"/>
                <w:szCs w:val="20"/>
                <w:color w:val="auto"/>
              </w:rPr>
            </w:pPr>
            <w:r>
              <w:rPr>
                <w:rFonts w:ascii="Times New Roman" w:cs="Times New Roman" w:eastAsia="Times New Roman" w:hAnsi="Times New Roman"/>
                <w:sz w:val="15"/>
                <w:szCs w:val="15"/>
                <w:b w:val="1"/>
                <w:bCs w:val="1"/>
                <w:color w:val="FFFFFF"/>
              </w:rPr>
              <w:t>Mar 25</w:t>
            </w:r>
          </w:p>
        </w:tc>
        <w:tc>
          <w:tcPr>
            <w:tcW w:w="860" w:type="dxa"/>
            <w:vAlign w:val="bottom"/>
            <w:tcBorders>
              <w:bottom w:val="single" w:sz="8" w:color="auto"/>
            </w:tcBorders>
            <w:shd w:val="clear" w:color="auto" w:fill="2AD2C9"/>
          </w:tcPr>
          <w:p>
            <w:pPr>
              <w:jc w:val="center"/>
              <w:spacing w:after="0"/>
              <w:rPr>
                <w:sz w:val="20"/>
                <w:szCs w:val="20"/>
                <w:color w:val="auto"/>
              </w:rPr>
            </w:pPr>
            <w:r>
              <w:rPr>
                <w:rFonts w:ascii="Times New Roman" w:cs="Times New Roman" w:eastAsia="Times New Roman" w:hAnsi="Times New Roman"/>
                <w:sz w:val="15"/>
                <w:szCs w:val="15"/>
                <w:b w:val="1"/>
                <w:bCs w:val="1"/>
                <w:color w:val="FFFFFF"/>
              </w:rPr>
              <w:t>Dec 25</w:t>
            </w:r>
          </w:p>
        </w:tc>
        <w:tc>
          <w:tcPr>
            <w:tcW w:w="940" w:type="dxa"/>
            <w:vAlign w:val="bottom"/>
            <w:tcBorders>
              <w:bottom w:val="single" w:sz="8" w:color="auto"/>
              <w:right w:val="single" w:sz="8" w:color="auto"/>
            </w:tcBorders>
            <w:shd w:val="clear" w:color="auto" w:fill="2AD2C9"/>
          </w:tcPr>
          <w:p>
            <w:pPr>
              <w:ind w:left="220"/>
              <w:spacing w:after="0"/>
              <w:rPr>
                <w:sz w:val="20"/>
                <w:szCs w:val="20"/>
                <w:color w:val="auto"/>
              </w:rPr>
            </w:pPr>
            <w:r>
              <w:rPr>
                <w:rFonts w:ascii="Times New Roman" w:cs="Times New Roman" w:eastAsia="Times New Roman" w:hAnsi="Times New Roman"/>
                <w:sz w:val="15"/>
                <w:szCs w:val="15"/>
                <w:b w:val="1"/>
                <w:bCs w:val="1"/>
                <w:color w:val="FFFFFF"/>
              </w:rPr>
              <w:t>Mar 26</w:t>
            </w:r>
          </w:p>
        </w:tc>
        <w:tc>
          <w:tcPr>
            <w:tcW w:w="880" w:type="dxa"/>
            <w:vAlign w:val="bottom"/>
            <w:tcBorders>
              <w:bottom w:val="single" w:sz="8" w:color="auto"/>
            </w:tcBorders>
            <w:shd w:val="clear" w:color="auto" w:fill="2AD2C9"/>
          </w:tcPr>
          <w:p>
            <w:pPr>
              <w:ind w:left="220"/>
              <w:spacing w:after="0"/>
              <w:rPr>
                <w:sz w:val="20"/>
                <w:szCs w:val="20"/>
                <w:color w:val="auto"/>
              </w:rPr>
            </w:pPr>
            <w:r>
              <w:rPr>
                <w:rFonts w:ascii="Times New Roman" w:cs="Times New Roman" w:eastAsia="Times New Roman" w:hAnsi="Times New Roman"/>
                <w:sz w:val="15"/>
                <w:szCs w:val="15"/>
                <w:b w:val="1"/>
                <w:bCs w:val="1"/>
                <w:color w:val="FFFFFF"/>
              </w:rPr>
              <w:t>QoQ</w:t>
            </w:r>
          </w:p>
        </w:tc>
        <w:tc>
          <w:tcPr>
            <w:tcW w:w="980" w:type="dxa"/>
            <w:vAlign w:val="bottom"/>
            <w:tcBorders>
              <w:bottom w:val="single" w:sz="8" w:color="auto"/>
              <w:right w:val="single" w:sz="8" w:color="auto"/>
            </w:tcBorders>
            <w:shd w:val="clear" w:color="auto" w:fill="2AD2C9"/>
          </w:tcPr>
          <w:p>
            <w:pPr>
              <w:ind w:left="300"/>
              <w:spacing w:after="0"/>
              <w:rPr>
                <w:sz w:val="20"/>
                <w:szCs w:val="20"/>
                <w:color w:val="auto"/>
              </w:rPr>
            </w:pPr>
            <w:r>
              <w:rPr>
                <w:rFonts w:ascii="Times New Roman" w:cs="Times New Roman" w:eastAsia="Times New Roman" w:hAnsi="Times New Roman"/>
                <w:sz w:val="15"/>
                <w:szCs w:val="15"/>
                <w:b w:val="1"/>
                <w:bCs w:val="1"/>
                <w:color w:val="FFFFFF"/>
              </w:rPr>
              <w:t>YoY</w:t>
            </w:r>
          </w:p>
        </w:tc>
      </w:tr>
      <w:tr>
        <w:trPr>
          <w:trHeight w:val="173"/>
        </w:trPr>
        <w:tc>
          <w:tcPr>
            <w:tcW w:w="4420" w:type="dxa"/>
            <w:vAlign w:val="bottom"/>
            <w:tcBorders>
              <w:left w:val="single" w:sz="8" w:color="auto"/>
              <w:right w:val="single" w:sz="8" w:color="auto"/>
            </w:tcBorders>
          </w:tcPr>
          <w:p>
            <w:pPr>
              <w:ind w:left="60"/>
              <w:spacing w:after="0" w:line="173" w:lineRule="exact"/>
              <w:rPr>
                <w:sz w:val="20"/>
                <w:szCs w:val="20"/>
                <w:color w:val="auto"/>
              </w:rPr>
            </w:pPr>
            <w:r>
              <w:rPr>
                <w:rFonts w:ascii="Times New Roman" w:cs="Times New Roman" w:eastAsia="Times New Roman" w:hAnsi="Times New Roman"/>
                <w:sz w:val="13"/>
                <w:szCs w:val="13"/>
                <w:color w:val="auto"/>
              </w:rPr>
              <w:t xml:space="preserve">Branches </w:t>
            </w:r>
            <w:r>
              <w:rPr>
                <w:rFonts w:ascii="Times New Roman" w:cs="Times New Roman" w:eastAsia="Times New Roman" w:hAnsi="Times New Roman"/>
                <w:sz w:val="20"/>
                <w:szCs w:val="20"/>
                <w:color w:val="auto"/>
                <w:vertAlign w:val="superscript"/>
              </w:rPr>
              <w:t>(2)</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650</w:t>
            </w:r>
          </w:p>
        </w:tc>
        <w:tc>
          <w:tcPr>
            <w:tcW w:w="8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646</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648</w:t>
            </w:r>
          </w:p>
        </w:tc>
        <w:tc>
          <w:tcPr>
            <w:tcW w:w="880" w:type="dxa"/>
            <w:vAlign w:val="bottom"/>
          </w:tcPr>
          <w:p>
            <w:pPr>
              <w:jc w:val="center"/>
              <w:ind w:right="44"/>
              <w:spacing w:after="0"/>
              <w:rPr>
                <w:sz w:val="20"/>
                <w:szCs w:val="20"/>
                <w:color w:val="auto"/>
              </w:rPr>
            </w:pPr>
            <w:r>
              <w:rPr>
                <w:rFonts w:ascii="Times New Roman" w:cs="Times New Roman" w:eastAsia="Times New Roman" w:hAnsi="Times New Roman"/>
                <w:sz w:val="15"/>
                <w:szCs w:val="15"/>
                <w:color w:val="auto"/>
              </w:rPr>
              <w:t>2</w:t>
            </w:r>
          </w:p>
        </w:tc>
        <w:tc>
          <w:tcPr>
            <w:tcW w:w="980" w:type="dxa"/>
            <w:vAlign w:val="bottom"/>
            <w:tcBorders>
              <w:right w:val="single" w:sz="8" w:color="auto"/>
            </w:tcBorders>
          </w:tcPr>
          <w:p>
            <w:pPr>
              <w:jc w:val="center"/>
              <w:ind w:right="44"/>
              <w:spacing w:after="0"/>
              <w:rPr>
                <w:sz w:val="20"/>
                <w:szCs w:val="20"/>
                <w:color w:val="auto"/>
              </w:rPr>
            </w:pPr>
            <w:r>
              <w:rPr>
                <w:rFonts w:ascii="Times New Roman" w:cs="Times New Roman" w:eastAsia="Times New Roman" w:hAnsi="Times New Roman"/>
                <w:sz w:val="15"/>
                <w:szCs w:val="15"/>
                <w:color w:val="auto"/>
              </w:rPr>
              <w:t>(2)</w:t>
            </w:r>
          </w:p>
        </w:tc>
      </w:tr>
      <w:tr>
        <w:trPr>
          <w:trHeight w:val="190"/>
        </w:trPr>
        <w:tc>
          <w:tcPr>
            <w:tcW w:w="44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ATMs</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2,787</w:t>
            </w:r>
          </w:p>
        </w:tc>
        <w:tc>
          <w:tcPr>
            <w:tcW w:w="8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4,903</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4,833</w:t>
            </w:r>
          </w:p>
        </w:tc>
        <w:tc>
          <w:tcPr>
            <w:tcW w:w="880" w:type="dxa"/>
            <w:vAlign w:val="bottom"/>
          </w:tcPr>
          <w:p>
            <w:pPr>
              <w:jc w:val="center"/>
              <w:ind w:right="24"/>
              <w:spacing w:after="0"/>
              <w:rPr>
                <w:sz w:val="20"/>
                <w:szCs w:val="20"/>
                <w:color w:val="auto"/>
              </w:rPr>
            </w:pPr>
            <w:r>
              <w:rPr>
                <w:rFonts w:ascii="Times New Roman" w:cs="Times New Roman" w:eastAsia="Times New Roman" w:hAnsi="Times New Roman"/>
                <w:sz w:val="15"/>
                <w:szCs w:val="15"/>
                <w:color w:val="auto"/>
              </w:rPr>
              <w:t>(70)</w:t>
            </w:r>
          </w:p>
        </w:tc>
        <w:tc>
          <w:tcPr>
            <w:tcW w:w="980" w:type="dxa"/>
            <w:vAlign w:val="bottom"/>
            <w:tcBorders>
              <w:right w:val="single" w:sz="8" w:color="auto"/>
            </w:tcBorders>
          </w:tcPr>
          <w:p>
            <w:pPr>
              <w:jc w:val="center"/>
              <w:ind w:right="44"/>
              <w:spacing w:after="0"/>
              <w:rPr>
                <w:sz w:val="20"/>
                <w:szCs w:val="20"/>
                <w:color w:val="auto"/>
              </w:rPr>
            </w:pPr>
            <w:r>
              <w:rPr>
                <w:rFonts w:ascii="Times New Roman" w:cs="Times New Roman" w:eastAsia="Times New Roman" w:hAnsi="Times New Roman"/>
                <w:sz w:val="15"/>
                <w:szCs w:val="15"/>
                <w:color w:val="auto"/>
                <w:w w:val="97"/>
              </w:rPr>
              <w:t>531</w:t>
            </w:r>
          </w:p>
        </w:tc>
      </w:tr>
      <w:tr>
        <w:trPr>
          <w:trHeight w:val="200"/>
        </w:trPr>
        <w:tc>
          <w:tcPr>
            <w:tcW w:w="44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Agents</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12,434</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10,698</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9,731</w:t>
            </w:r>
          </w:p>
        </w:tc>
        <w:tc>
          <w:tcPr>
            <w:tcW w:w="88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5"/>
                <w:szCs w:val="15"/>
                <w:color w:val="auto"/>
                <w:w w:val="98"/>
              </w:rPr>
              <w:t>(967)</w:t>
            </w:r>
          </w:p>
        </w:tc>
        <w:tc>
          <w:tcPr>
            <w:tcW w:w="980" w:type="dxa"/>
            <w:vAlign w:val="bottom"/>
            <w:tcBorders>
              <w:bottom w:val="single" w:sz="8" w:color="auto"/>
              <w:right w:val="single" w:sz="8" w:color="auto"/>
            </w:tcBorders>
          </w:tcPr>
          <w:p>
            <w:pPr>
              <w:jc w:val="center"/>
              <w:ind w:right="44"/>
              <w:spacing w:after="0"/>
              <w:rPr>
                <w:sz w:val="20"/>
                <w:szCs w:val="20"/>
                <w:color w:val="auto"/>
              </w:rPr>
            </w:pPr>
            <w:r>
              <w:rPr>
                <w:rFonts w:ascii="Times New Roman" w:cs="Times New Roman" w:eastAsia="Times New Roman" w:hAnsi="Times New Roman"/>
                <w:sz w:val="15"/>
                <w:szCs w:val="15"/>
                <w:color w:val="auto"/>
              </w:rPr>
              <w:t>(418)</w:t>
            </w:r>
          </w:p>
        </w:tc>
      </w:tr>
      <w:tr>
        <w:trPr>
          <w:trHeight w:val="185"/>
        </w:trPr>
        <w:tc>
          <w:tcPr>
            <w:tcW w:w="44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15,871</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16,247</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15,212</w:t>
            </w:r>
          </w:p>
        </w:tc>
        <w:tc>
          <w:tcPr>
            <w:tcW w:w="88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5"/>
                <w:szCs w:val="15"/>
                <w:b w:val="1"/>
                <w:bCs w:val="1"/>
                <w:color w:val="auto"/>
              </w:rPr>
              <w:t>(1,035)</w:t>
            </w:r>
          </w:p>
        </w:tc>
        <w:tc>
          <w:tcPr>
            <w:tcW w:w="980" w:type="dxa"/>
            <w:vAlign w:val="bottom"/>
            <w:tcBorders>
              <w:bottom w:val="single" w:sz="8" w:color="auto"/>
              <w:right w:val="single" w:sz="8" w:color="auto"/>
            </w:tcBorders>
          </w:tcPr>
          <w:p>
            <w:pPr>
              <w:jc w:val="center"/>
              <w:ind w:right="44"/>
              <w:spacing w:after="0"/>
              <w:rPr>
                <w:sz w:val="20"/>
                <w:szCs w:val="20"/>
                <w:color w:val="auto"/>
              </w:rPr>
            </w:pPr>
            <w:r>
              <w:rPr>
                <w:rFonts w:ascii="Times New Roman" w:cs="Times New Roman" w:eastAsia="Times New Roman" w:hAnsi="Times New Roman"/>
                <w:sz w:val="15"/>
                <w:szCs w:val="15"/>
                <w:b w:val="1"/>
                <w:bCs w:val="1"/>
                <w:color w:val="auto"/>
                <w:w w:val="97"/>
              </w:rPr>
              <w:t>111</w:t>
            </w:r>
          </w:p>
        </w:tc>
      </w:tr>
    </w:tbl>
    <w:p>
      <w:pPr>
        <w:spacing w:after="0" w:line="187" w:lineRule="exact"/>
        <w:rPr>
          <w:sz w:val="20"/>
          <w:szCs w:val="20"/>
          <w:color w:val="auto"/>
        </w:rPr>
      </w:pPr>
    </w:p>
    <w:p>
      <w:pPr>
        <w:ind w:left="2300" w:hanging="166"/>
        <w:spacing w:after="0"/>
        <w:tabs>
          <w:tab w:leader="none" w:pos="230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Physical Point of Contact of BCP Stand-Alone, Mibanco and BCP Bolivia</w:t>
      </w:r>
    </w:p>
    <w:p>
      <w:pPr>
        <w:ind w:left="2300" w:hanging="166"/>
        <w:spacing w:after="0"/>
        <w:tabs>
          <w:tab w:leader="none" w:pos="230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Banco de la Nacion branches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12.6. Regulatory Capital</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Regulatory Capital and Capital Adequacy Ratios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(IFRS)</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128"/>
        </w:trPr>
        <w:tc>
          <w:tcPr>
            <w:tcW w:w="5520" w:type="dxa"/>
            <w:vAlign w:val="bottom"/>
            <w:tcBorders>
              <w:top w:val="single" w:sz="8" w:color="auto"/>
              <w:left w:val="single" w:sz="8" w:color="auto"/>
              <w:right w:val="single" w:sz="8" w:color="auto"/>
            </w:tcBorders>
            <w:shd w:val="clear" w:color="auto" w:fill="2AD2C9"/>
          </w:tcPr>
          <w:p>
            <w:pPr>
              <w:ind w:left="100"/>
              <w:spacing w:after="0" w:line="128" w:lineRule="exact"/>
              <w:rPr>
                <w:sz w:val="20"/>
                <w:szCs w:val="20"/>
                <w:color w:val="auto"/>
              </w:rPr>
            </w:pPr>
            <w:r>
              <w:rPr>
                <w:rFonts w:ascii="Times New Roman" w:cs="Times New Roman" w:eastAsia="Times New Roman" w:hAnsi="Times New Roman"/>
                <w:sz w:val="14"/>
                <w:szCs w:val="14"/>
                <w:b w:val="1"/>
                <w:bCs w:val="1"/>
                <w:color w:val="FFFFFF"/>
              </w:rPr>
              <w:t>Regulatory Capital and Capital Adequacy Ratios</w:t>
            </w:r>
          </w:p>
        </w:tc>
        <w:tc>
          <w:tcPr>
            <w:tcW w:w="1120" w:type="dxa"/>
            <w:vAlign w:val="bottom"/>
            <w:tcBorders>
              <w:top w:val="single" w:sz="8" w:color="auto"/>
            </w:tcBorders>
            <w:shd w:val="clear" w:color="auto" w:fill="2AD2C9"/>
          </w:tcPr>
          <w:p>
            <w:pPr>
              <w:spacing w:after="0"/>
              <w:rPr>
                <w:sz w:val="11"/>
                <w:szCs w:val="11"/>
                <w:color w:val="auto"/>
              </w:rPr>
            </w:pPr>
          </w:p>
        </w:tc>
        <w:tc>
          <w:tcPr>
            <w:tcW w:w="1120" w:type="dxa"/>
            <w:vAlign w:val="bottom"/>
            <w:tcBorders>
              <w:top w:val="single" w:sz="8" w:color="auto"/>
            </w:tcBorders>
            <w:shd w:val="clear" w:color="auto" w:fill="2AD2C9"/>
          </w:tcPr>
          <w:p>
            <w:pPr>
              <w:jc w:val="center"/>
              <w:spacing w:after="0" w:line="128" w:lineRule="exact"/>
              <w:rPr>
                <w:sz w:val="20"/>
                <w:szCs w:val="20"/>
                <w:color w:val="auto"/>
              </w:rPr>
            </w:pPr>
            <w:r>
              <w:rPr>
                <w:rFonts w:ascii="Times New Roman" w:cs="Times New Roman" w:eastAsia="Times New Roman" w:hAnsi="Times New Roman"/>
                <w:sz w:val="14"/>
                <w:szCs w:val="14"/>
                <w:b w:val="1"/>
                <w:bCs w:val="1"/>
                <w:color w:val="FFFFFF"/>
                <w:w w:val="97"/>
              </w:rPr>
              <w:t>As of</w:t>
            </w:r>
          </w:p>
        </w:tc>
        <w:tc>
          <w:tcPr>
            <w:tcW w:w="1140" w:type="dxa"/>
            <w:vAlign w:val="bottom"/>
            <w:tcBorders>
              <w:top w:val="single" w:sz="8" w:color="auto"/>
              <w:right w:val="single" w:sz="8" w:color="auto"/>
            </w:tcBorders>
            <w:shd w:val="clear" w:color="auto" w:fill="2AD2C9"/>
          </w:tcPr>
          <w:p>
            <w:pPr>
              <w:spacing w:after="0"/>
              <w:rPr>
                <w:sz w:val="11"/>
                <w:szCs w:val="11"/>
                <w:color w:val="auto"/>
              </w:rPr>
            </w:pPr>
          </w:p>
        </w:tc>
        <w:tc>
          <w:tcPr>
            <w:tcW w:w="800" w:type="dxa"/>
            <w:vAlign w:val="bottom"/>
            <w:tcBorders>
              <w:top w:val="single" w:sz="8" w:color="auto"/>
            </w:tcBorders>
            <w:shd w:val="clear" w:color="auto" w:fill="2AD2C9"/>
          </w:tcPr>
          <w:p>
            <w:pPr>
              <w:spacing w:after="0"/>
              <w:rPr>
                <w:sz w:val="11"/>
                <w:szCs w:val="11"/>
                <w:color w:val="auto"/>
              </w:rPr>
            </w:pPr>
          </w:p>
        </w:tc>
        <w:tc>
          <w:tcPr>
            <w:tcW w:w="1560" w:type="dxa"/>
            <w:vAlign w:val="bottom"/>
            <w:tcBorders>
              <w:top w:val="single" w:sz="8" w:color="auto"/>
              <w:right w:val="single" w:sz="8" w:color="auto"/>
            </w:tcBorders>
            <w:shd w:val="clear" w:color="auto" w:fill="2AD2C9"/>
          </w:tcPr>
          <w:p>
            <w:pPr>
              <w:ind w:left="60"/>
              <w:spacing w:after="0" w:line="128" w:lineRule="exact"/>
              <w:rPr>
                <w:sz w:val="20"/>
                <w:szCs w:val="20"/>
                <w:color w:val="auto"/>
              </w:rPr>
            </w:pPr>
            <w:r>
              <w:rPr>
                <w:rFonts w:ascii="Times New Roman" w:cs="Times New Roman" w:eastAsia="Times New Roman" w:hAnsi="Times New Roman"/>
                <w:sz w:val="14"/>
                <w:szCs w:val="14"/>
                <w:b w:val="1"/>
                <w:bCs w:val="1"/>
                <w:color w:val="FFFFFF"/>
              </w:rPr>
              <w:t>Change %</w:t>
            </w:r>
          </w:p>
        </w:tc>
        <w:tc>
          <w:tcPr>
            <w:tcW w:w="0" w:type="dxa"/>
            <w:vAlign w:val="bottom"/>
          </w:tcPr>
          <w:p>
            <w:pPr>
              <w:spacing w:after="0"/>
              <w:rPr>
                <w:sz w:val="1"/>
                <w:szCs w:val="1"/>
                <w:color w:val="auto"/>
              </w:rPr>
            </w:pPr>
          </w:p>
        </w:tc>
      </w:tr>
      <w:tr>
        <w:trPr>
          <w:trHeight w:val="164"/>
        </w:trPr>
        <w:tc>
          <w:tcPr>
            <w:tcW w:w="5520" w:type="dxa"/>
            <w:vAlign w:val="bottom"/>
            <w:tcBorders>
              <w:left w:val="single" w:sz="8" w:color="auto"/>
              <w:bottom w:val="single" w:sz="8" w:color="auto"/>
              <w:right w:val="single" w:sz="8" w:color="auto"/>
            </w:tcBorders>
            <w:shd w:val="clear" w:color="auto" w:fill="2AD2C9"/>
          </w:tcPr>
          <w:p>
            <w:pPr>
              <w:ind w:left="100"/>
              <w:spacing w:after="0"/>
              <w:rPr>
                <w:sz w:val="20"/>
                <w:szCs w:val="20"/>
                <w:color w:val="auto"/>
              </w:rPr>
            </w:pPr>
            <w:r>
              <w:rPr>
                <w:rFonts w:ascii="Times New Roman" w:cs="Times New Roman" w:eastAsia="Times New Roman" w:hAnsi="Times New Roman"/>
                <w:sz w:val="14"/>
                <w:szCs w:val="14"/>
                <w:b w:val="1"/>
                <w:bCs w:val="1"/>
                <w:color w:val="FFFFFF"/>
              </w:rPr>
              <w:t>S/000</w:t>
            </w:r>
          </w:p>
        </w:tc>
        <w:tc>
          <w:tcPr>
            <w:tcW w:w="1120" w:type="dxa"/>
            <w:vAlign w:val="bottom"/>
            <w:tcBorders>
              <w:bottom w:val="single" w:sz="8" w:color="auto"/>
            </w:tcBorders>
            <w:shd w:val="clear" w:color="auto" w:fill="2AD2C9"/>
          </w:tcPr>
          <w:p>
            <w:pPr>
              <w:ind w:left="340"/>
              <w:spacing w:after="0"/>
              <w:rPr>
                <w:sz w:val="20"/>
                <w:szCs w:val="20"/>
                <w:color w:val="auto"/>
              </w:rPr>
            </w:pPr>
            <w:r>
              <w:rPr>
                <w:rFonts w:ascii="Times New Roman" w:cs="Times New Roman" w:eastAsia="Times New Roman" w:hAnsi="Times New Roman"/>
                <w:sz w:val="14"/>
                <w:szCs w:val="14"/>
                <w:b w:val="1"/>
                <w:bCs w:val="1"/>
                <w:color w:val="FFFFFF"/>
              </w:rPr>
              <w:t>Mar 25</w:t>
            </w:r>
          </w:p>
        </w:tc>
        <w:tc>
          <w:tcPr>
            <w:tcW w:w="1120" w:type="dxa"/>
            <w:vAlign w:val="bottom"/>
            <w:tcBorders>
              <w:bottom w:val="single" w:sz="8" w:color="auto"/>
            </w:tcBorders>
            <w:shd w:val="clear" w:color="auto" w:fill="2AD2C9"/>
          </w:tcPr>
          <w:p>
            <w:pPr>
              <w:jc w:val="center"/>
              <w:spacing w:after="0"/>
              <w:rPr>
                <w:sz w:val="20"/>
                <w:szCs w:val="20"/>
                <w:color w:val="auto"/>
              </w:rPr>
            </w:pPr>
            <w:r>
              <w:rPr>
                <w:rFonts w:ascii="Times New Roman" w:cs="Times New Roman" w:eastAsia="Times New Roman" w:hAnsi="Times New Roman"/>
                <w:sz w:val="14"/>
                <w:szCs w:val="14"/>
                <w:b w:val="1"/>
                <w:bCs w:val="1"/>
                <w:color w:val="FFFFFF"/>
                <w:w w:val="94"/>
              </w:rPr>
              <w:t>Dec 25</w:t>
            </w:r>
          </w:p>
        </w:tc>
        <w:tc>
          <w:tcPr>
            <w:tcW w:w="1140" w:type="dxa"/>
            <w:vAlign w:val="bottom"/>
            <w:tcBorders>
              <w:bottom w:val="single" w:sz="8" w:color="auto"/>
              <w:right w:val="single" w:sz="8" w:color="auto"/>
            </w:tcBorders>
            <w:shd w:val="clear" w:color="auto" w:fill="2AD2C9"/>
          </w:tcPr>
          <w:p>
            <w:pPr>
              <w:ind w:left="360"/>
              <w:spacing w:after="0"/>
              <w:rPr>
                <w:sz w:val="20"/>
                <w:szCs w:val="20"/>
                <w:color w:val="auto"/>
              </w:rPr>
            </w:pPr>
            <w:r>
              <w:rPr>
                <w:rFonts w:ascii="Times New Roman" w:cs="Times New Roman" w:eastAsia="Times New Roman" w:hAnsi="Times New Roman"/>
                <w:sz w:val="14"/>
                <w:szCs w:val="14"/>
                <w:b w:val="1"/>
                <w:bCs w:val="1"/>
                <w:color w:val="FFFFFF"/>
              </w:rPr>
              <w:t>Mar 26</w:t>
            </w:r>
          </w:p>
        </w:tc>
        <w:tc>
          <w:tcPr>
            <w:tcW w:w="800" w:type="dxa"/>
            <w:vAlign w:val="bottom"/>
            <w:tcBorders>
              <w:bottom w:val="single" w:sz="8" w:color="auto"/>
            </w:tcBorders>
            <w:shd w:val="clear" w:color="auto" w:fill="2AD2C9"/>
          </w:tcPr>
          <w:p>
            <w:pPr>
              <w:ind w:left="360"/>
              <w:spacing w:after="0"/>
              <w:rPr>
                <w:sz w:val="20"/>
                <w:szCs w:val="20"/>
                <w:color w:val="auto"/>
              </w:rPr>
            </w:pPr>
            <w:r>
              <w:rPr>
                <w:rFonts w:ascii="Times New Roman" w:cs="Times New Roman" w:eastAsia="Times New Roman" w:hAnsi="Times New Roman"/>
                <w:sz w:val="14"/>
                <w:szCs w:val="14"/>
                <w:b w:val="1"/>
                <w:bCs w:val="1"/>
                <w:color w:val="FFFFFF"/>
              </w:rPr>
              <w:t>QoQ</w:t>
            </w:r>
          </w:p>
        </w:tc>
        <w:tc>
          <w:tcPr>
            <w:tcW w:w="1560" w:type="dxa"/>
            <w:vAlign w:val="bottom"/>
            <w:tcBorders>
              <w:bottom w:val="single" w:sz="8" w:color="auto"/>
              <w:right w:val="single" w:sz="8" w:color="auto"/>
            </w:tcBorders>
            <w:shd w:val="clear" w:color="auto" w:fill="2AD2C9"/>
          </w:tcPr>
          <w:p>
            <w:pPr>
              <w:jc w:val="center"/>
              <w:ind w:left="93"/>
              <w:spacing w:after="0"/>
              <w:rPr>
                <w:sz w:val="20"/>
                <w:szCs w:val="20"/>
                <w:color w:val="auto"/>
              </w:rPr>
            </w:pPr>
            <w:r>
              <w:rPr>
                <w:rFonts w:ascii="Times New Roman" w:cs="Times New Roman" w:eastAsia="Times New Roman" w:hAnsi="Times New Roman"/>
                <w:sz w:val="14"/>
                <w:szCs w:val="14"/>
                <w:b w:val="1"/>
                <w:bCs w:val="1"/>
                <w:color w:val="FFFFFF"/>
                <w:w w:val="87"/>
              </w:rPr>
              <w:t>YoY</w:t>
            </w:r>
          </w:p>
        </w:tc>
        <w:tc>
          <w:tcPr>
            <w:tcW w:w="0" w:type="dxa"/>
            <w:vAlign w:val="bottom"/>
          </w:tcPr>
          <w:p>
            <w:pPr>
              <w:spacing w:after="0"/>
              <w:rPr>
                <w:sz w:val="1"/>
                <w:szCs w:val="1"/>
                <w:color w:val="auto"/>
              </w:rPr>
            </w:pPr>
          </w:p>
        </w:tc>
      </w:tr>
      <w:tr>
        <w:trPr>
          <w:trHeight w:val="112"/>
        </w:trPr>
        <w:tc>
          <w:tcPr>
            <w:tcW w:w="5520" w:type="dxa"/>
            <w:vAlign w:val="bottom"/>
            <w:tcBorders>
              <w:left w:val="single" w:sz="8" w:color="auto"/>
              <w:right w:val="single" w:sz="8" w:color="auto"/>
            </w:tcBorders>
          </w:tcPr>
          <w:p>
            <w:pPr>
              <w:ind w:left="260"/>
              <w:spacing w:after="0" w:line="112" w:lineRule="exact"/>
              <w:rPr>
                <w:sz w:val="20"/>
                <w:szCs w:val="20"/>
                <w:color w:val="auto"/>
              </w:rPr>
            </w:pPr>
            <w:r>
              <w:rPr>
                <w:rFonts w:ascii="Times New Roman" w:cs="Times New Roman" w:eastAsia="Times New Roman" w:hAnsi="Times New Roman"/>
                <w:sz w:val="12"/>
                <w:szCs w:val="12"/>
                <w:color w:val="auto"/>
              </w:rPr>
              <w:t>Capital Stock</w:t>
            </w:r>
          </w:p>
        </w:tc>
        <w:tc>
          <w:tcPr>
            <w:tcW w:w="1120" w:type="dxa"/>
            <w:vAlign w:val="bottom"/>
          </w:tcPr>
          <w:p>
            <w:pPr>
              <w:jc w:val="center"/>
              <w:spacing w:after="0" w:line="112" w:lineRule="exact"/>
              <w:rPr>
                <w:sz w:val="20"/>
                <w:szCs w:val="20"/>
                <w:color w:val="auto"/>
              </w:rPr>
            </w:pPr>
            <w:r>
              <w:rPr>
                <w:rFonts w:ascii="Times New Roman" w:cs="Times New Roman" w:eastAsia="Times New Roman" w:hAnsi="Times New Roman"/>
                <w:sz w:val="12"/>
                <w:szCs w:val="12"/>
                <w:color w:val="auto"/>
              </w:rPr>
              <w:t>1,318,993</w:t>
            </w:r>
          </w:p>
        </w:tc>
        <w:tc>
          <w:tcPr>
            <w:tcW w:w="1120" w:type="dxa"/>
            <w:vAlign w:val="bottom"/>
          </w:tcPr>
          <w:p>
            <w:pPr>
              <w:jc w:val="center"/>
              <w:spacing w:after="0" w:line="112" w:lineRule="exact"/>
              <w:rPr>
                <w:sz w:val="20"/>
                <w:szCs w:val="20"/>
                <w:color w:val="auto"/>
              </w:rPr>
            </w:pPr>
            <w:r>
              <w:rPr>
                <w:rFonts w:ascii="Times New Roman" w:cs="Times New Roman" w:eastAsia="Times New Roman" w:hAnsi="Times New Roman"/>
                <w:sz w:val="12"/>
                <w:szCs w:val="12"/>
                <w:color w:val="auto"/>
              </w:rPr>
              <w:t>1,318,993</w:t>
            </w:r>
          </w:p>
        </w:tc>
        <w:tc>
          <w:tcPr>
            <w:tcW w:w="1140" w:type="dxa"/>
            <w:vAlign w:val="bottom"/>
            <w:tcBorders>
              <w:right w:val="single" w:sz="8" w:color="auto"/>
            </w:tcBorders>
          </w:tcPr>
          <w:p>
            <w:pPr>
              <w:jc w:val="center"/>
              <w:spacing w:after="0" w:line="112" w:lineRule="exact"/>
              <w:rPr>
                <w:sz w:val="20"/>
                <w:szCs w:val="20"/>
                <w:color w:val="auto"/>
              </w:rPr>
            </w:pPr>
            <w:r>
              <w:rPr>
                <w:rFonts w:ascii="Times New Roman" w:cs="Times New Roman" w:eastAsia="Times New Roman" w:hAnsi="Times New Roman"/>
                <w:sz w:val="12"/>
                <w:szCs w:val="12"/>
                <w:color w:val="auto"/>
              </w:rPr>
              <w:t>1,318,993</w:t>
            </w:r>
          </w:p>
        </w:tc>
        <w:tc>
          <w:tcPr>
            <w:tcW w:w="800" w:type="dxa"/>
            <w:vAlign w:val="bottom"/>
          </w:tcPr>
          <w:p>
            <w:pPr>
              <w:jc w:val="center"/>
              <w:ind w:left="133"/>
              <w:spacing w:after="0" w:line="112" w:lineRule="exact"/>
              <w:rPr>
                <w:sz w:val="20"/>
                <w:szCs w:val="20"/>
                <w:color w:val="auto"/>
              </w:rPr>
            </w:pPr>
            <w:r>
              <w:rPr>
                <w:rFonts w:ascii="Times New Roman" w:cs="Times New Roman" w:eastAsia="Times New Roman" w:hAnsi="Times New Roman"/>
                <w:sz w:val="12"/>
                <w:szCs w:val="12"/>
                <w:color w:val="auto"/>
                <w:w w:val="98"/>
              </w:rPr>
              <w:t>-</w:t>
            </w:r>
          </w:p>
        </w:tc>
        <w:tc>
          <w:tcPr>
            <w:tcW w:w="1560" w:type="dxa"/>
            <w:vAlign w:val="bottom"/>
            <w:tcBorders>
              <w:right w:val="single" w:sz="8" w:color="auto"/>
            </w:tcBorders>
          </w:tcPr>
          <w:p>
            <w:pPr>
              <w:jc w:val="center"/>
              <w:ind w:left="93"/>
              <w:spacing w:after="0" w:line="112" w:lineRule="exact"/>
              <w:rPr>
                <w:sz w:val="20"/>
                <w:szCs w:val="20"/>
                <w:color w:val="auto"/>
              </w:rPr>
            </w:pPr>
            <w:r>
              <w:rPr>
                <w:rFonts w:ascii="Times New Roman" w:cs="Times New Roman" w:eastAsia="Times New Roman" w:hAnsi="Times New Roman"/>
                <w:sz w:val="12"/>
                <w:szCs w:val="12"/>
                <w:color w:val="auto"/>
                <w:w w:val="98"/>
              </w:rPr>
              <w:t>-</w:t>
            </w:r>
          </w:p>
        </w:tc>
        <w:tc>
          <w:tcPr>
            <w:tcW w:w="0" w:type="dxa"/>
            <w:vAlign w:val="bottom"/>
          </w:tcPr>
          <w:p>
            <w:pPr>
              <w:spacing w:after="0"/>
              <w:rPr>
                <w:sz w:val="1"/>
                <w:szCs w:val="1"/>
                <w:color w:val="auto"/>
              </w:rPr>
            </w:pPr>
          </w:p>
        </w:tc>
      </w:tr>
      <w:tr>
        <w:trPr>
          <w:trHeight w:val="140"/>
        </w:trPr>
        <w:tc>
          <w:tcPr>
            <w:tcW w:w="5520" w:type="dxa"/>
            <w:vAlign w:val="bottom"/>
            <w:tcBorders>
              <w:left w:val="single" w:sz="8" w:color="auto"/>
              <w:right w:val="single" w:sz="8" w:color="auto"/>
            </w:tcBorders>
          </w:tcPr>
          <w:p>
            <w:pPr>
              <w:ind w:left="260"/>
              <w:spacing w:after="0" w:line="140" w:lineRule="exact"/>
              <w:rPr>
                <w:sz w:val="20"/>
                <w:szCs w:val="20"/>
                <w:color w:val="auto"/>
              </w:rPr>
            </w:pPr>
            <w:r>
              <w:rPr>
                <w:rFonts w:ascii="Times New Roman" w:cs="Times New Roman" w:eastAsia="Times New Roman" w:hAnsi="Times New Roman"/>
                <w:sz w:val="14"/>
                <w:szCs w:val="14"/>
                <w:color w:val="auto"/>
              </w:rPr>
              <w:t>Treasury Stocks</w:t>
            </w:r>
          </w:p>
        </w:tc>
        <w:tc>
          <w:tcPr>
            <w:tcW w:w="11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4"/>
              </w:rPr>
              <w:t>(209,845)</w:t>
            </w:r>
          </w:p>
        </w:tc>
        <w:tc>
          <w:tcPr>
            <w:tcW w:w="11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4"/>
              </w:rPr>
              <w:t>(209,845)</w:t>
            </w:r>
          </w:p>
        </w:tc>
        <w:tc>
          <w:tcPr>
            <w:tcW w:w="114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8"/>
              </w:rPr>
              <w:t>(208,702)</w:t>
            </w:r>
          </w:p>
        </w:tc>
        <w:tc>
          <w:tcPr>
            <w:tcW w:w="800" w:type="dxa"/>
            <w:vAlign w:val="bottom"/>
          </w:tcPr>
          <w:p>
            <w:pPr>
              <w:jc w:val="center"/>
              <w:ind w:left="133"/>
              <w:spacing w:after="0" w:line="140" w:lineRule="exact"/>
              <w:rPr>
                <w:sz w:val="20"/>
                <w:szCs w:val="20"/>
                <w:color w:val="auto"/>
              </w:rPr>
            </w:pPr>
            <w:r>
              <w:rPr>
                <w:rFonts w:ascii="Times New Roman" w:cs="Times New Roman" w:eastAsia="Times New Roman" w:hAnsi="Times New Roman"/>
                <w:sz w:val="14"/>
                <w:szCs w:val="14"/>
                <w:color w:val="auto"/>
                <w:w w:val="94"/>
              </w:rPr>
              <w:t>-0.5%</w:t>
            </w:r>
          </w:p>
        </w:tc>
        <w:tc>
          <w:tcPr>
            <w:tcW w:w="1560" w:type="dxa"/>
            <w:vAlign w:val="bottom"/>
            <w:tcBorders>
              <w:right w:val="single" w:sz="8" w:color="auto"/>
            </w:tcBorders>
          </w:tcPr>
          <w:p>
            <w:pPr>
              <w:jc w:val="center"/>
              <w:ind w:left="93"/>
              <w:spacing w:after="0" w:line="140" w:lineRule="exact"/>
              <w:rPr>
                <w:sz w:val="20"/>
                <w:szCs w:val="20"/>
                <w:color w:val="auto"/>
              </w:rPr>
            </w:pPr>
            <w:r>
              <w:rPr>
                <w:rFonts w:ascii="Times New Roman" w:cs="Times New Roman" w:eastAsia="Times New Roman" w:hAnsi="Times New Roman"/>
                <w:sz w:val="14"/>
                <w:szCs w:val="14"/>
                <w:color w:val="auto"/>
                <w:w w:val="94"/>
              </w:rPr>
              <w:t>-0.5%</w:t>
            </w:r>
          </w:p>
        </w:tc>
        <w:tc>
          <w:tcPr>
            <w:tcW w:w="0" w:type="dxa"/>
            <w:vAlign w:val="bottom"/>
          </w:tcPr>
          <w:p>
            <w:pPr>
              <w:spacing w:after="0"/>
              <w:rPr>
                <w:sz w:val="1"/>
                <w:szCs w:val="1"/>
                <w:color w:val="auto"/>
              </w:rPr>
            </w:pPr>
          </w:p>
        </w:tc>
      </w:tr>
      <w:tr>
        <w:trPr>
          <w:trHeight w:val="140"/>
        </w:trPr>
        <w:tc>
          <w:tcPr>
            <w:tcW w:w="5520" w:type="dxa"/>
            <w:vAlign w:val="bottom"/>
            <w:tcBorders>
              <w:left w:val="single" w:sz="8" w:color="auto"/>
              <w:right w:val="single" w:sz="8" w:color="auto"/>
            </w:tcBorders>
          </w:tcPr>
          <w:p>
            <w:pPr>
              <w:ind w:left="260"/>
              <w:spacing w:after="0" w:line="140" w:lineRule="exact"/>
              <w:rPr>
                <w:sz w:val="20"/>
                <w:szCs w:val="20"/>
                <w:color w:val="auto"/>
              </w:rPr>
            </w:pPr>
            <w:r>
              <w:rPr>
                <w:rFonts w:ascii="Times New Roman" w:cs="Times New Roman" w:eastAsia="Times New Roman" w:hAnsi="Times New Roman"/>
                <w:sz w:val="14"/>
                <w:szCs w:val="14"/>
                <w:color w:val="auto"/>
              </w:rPr>
              <w:t>Capital Surplus</w:t>
            </w:r>
          </w:p>
        </w:tc>
        <w:tc>
          <w:tcPr>
            <w:tcW w:w="11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124,148</w:t>
            </w:r>
          </w:p>
        </w:tc>
        <w:tc>
          <w:tcPr>
            <w:tcW w:w="11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148,730</w:t>
            </w:r>
          </w:p>
        </w:tc>
        <w:tc>
          <w:tcPr>
            <w:tcW w:w="114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2"/>
              </w:rPr>
              <w:t>112,194</w:t>
            </w:r>
          </w:p>
        </w:tc>
        <w:tc>
          <w:tcPr>
            <w:tcW w:w="800" w:type="dxa"/>
            <w:vAlign w:val="bottom"/>
          </w:tcPr>
          <w:p>
            <w:pPr>
              <w:jc w:val="center"/>
              <w:ind w:left="133"/>
              <w:spacing w:after="0" w:line="140" w:lineRule="exact"/>
              <w:rPr>
                <w:sz w:val="20"/>
                <w:szCs w:val="20"/>
                <w:color w:val="auto"/>
              </w:rPr>
            </w:pPr>
            <w:r>
              <w:rPr>
                <w:rFonts w:ascii="Times New Roman" w:cs="Times New Roman" w:eastAsia="Times New Roman" w:hAnsi="Times New Roman"/>
                <w:sz w:val="14"/>
                <w:szCs w:val="14"/>
                <w:color w:val="auto"/>
                <w:w w:val="97"/>
              </w:rPr>
              <w:t>-24.6%</w:t>
            </w:r>
          </w:p>
        </w:tc>
        <w:tc>
          <w:tcPr>
            <w:tcW w:w="1560" w:type="dxa"/>
            <w:vAlign w:val="bottom"/>
            <w:tcBorders>
              <w:right w:val="single" w:sz="8" w:color="auto"/>
            </w:tcBorders>
          </w:tcPr>
          <w:p>
            <w:pPr>
              <w:jc w:val="center"/>
              <w:ind w:left="93"/>
              <w:spacing w:after="0" w:line="140" w:lineRule="exact"/>
              <w:rPr>
                <w:sz w:val="20"/>
                <w:szCs w:val="20"/>
                <w:color w:val="auto"/>
              </w:rPr>
            </w:pPr>
            <w:r>
              <w:rPr>
                <w:rFonts w:ascii="Times New Roman" w:cs="Times New Roman" w:eastAsia="Times New Roman" w:hAnsi="Times New Roman"/>
                <w:sz w:val="14"/>
                <w:szCs w:val="14"/>
                <w:color w:val="auto"/>
                <w:w w:val="94"/>
              </w:rPr>
              <w:t>-9.6%</w:t>
            </w:r>
          </w:p>
        </w:tc>
        <w:tc>
          <w:tcPr>
            <w:tcW w:w="0" w:type="dxa"/>
            <w:vAlign w:val="bottom"/>
          </w:tcPr>
          <w:p>
            <w:pPr>
              <w:spacing w:after="0"/>
              <w:rPr>
                <w:sz w:val="1"/>
                <w:szCs w:val="1"/>
                <w:color w:val="auto"/>
              </w:rPr>
            </w:pPr>
          </w:p>
        </w:tc>
      </w:tr>
      <w:tr>
        <w:trPr>
          <w:trHeight w:val="140"/>
        </w:trPr>
        <w:tc>
          <w:tcPr>
            <w:tcW w:w="5520" w:type="dxa"/>
            <w:vAlign w:val="bottom"/>
            <w:tcBorders>
              <w:left w:val="single" w:sz="8" w:color="auto"/>
              <w:right w:val="single" w:sz="8" w:color="auto"/>
            </w:tcBorders>
          </w:tcPr>
          <w:p>
            <w:pPr>
              <w:ind w:left="260"/>
              <w:spacing w:after="0" w:line="140" w:lineRule="exact"/>
              <w:rPr>
                <w:sz w:val="20"/>
                <w:szCs w:val="20"/>
                <w:color w:val="auto"/>
              </w:rPr>
            </w:pPr>
            <w:r>
              <w:rPr>
                <w:rFonts w:ascii="Times New Roman" w:cs="Times New Roman" w:eastAsia="Times New Roman" w:hAnsi="Times New Roman"/>
                <w:sz w:val="14"/>
                <w:szCs w:val="14"/>
                <w:color w:val="auto"/>
              </w:rPr>
              <w:t>Legal and Other Capital reserves</w:t>
            </w:r>
          </w:p>
        </w:tc>
        <w:tc>
          <w:tcPr>
            <w:tcW w:w="11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5"/>
              </w:rPr>
              <w:t>32,792,830</w:t>
            </w:r>
          </w:p>
        </w:tc>
        <w:tc>
          <w:tcPr>
            <w:tcW w:w="11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5"/>
              </w:rPr>
              <w:t>29,648,582</w:t>
            </w:r>
          </w:p>
        </w:tc>
        <w:tc>
          <w:tcPr>
            <w:tcW w:w="114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8"/>
              </w:rPr>
              <w:t>36,483,716</w:t>
            </w:r>
          </w:p>
        </w:tc>
        <w:tc>
          <w:tcPr>
            <w:tcW w:w="800" w:type="dxa"/>
            <w:vAlign w:val="bottom"/>
          </w:tcPr>
          <w:p>
            <w:pPr>
              <w:jc w:val="center"/>
              <w:ind w:left="113"/>
              <w:spacing w:after="0" w:line="140" w:lineRule="exact"/>
              <w:rPr>
                <w:sz w:val="20"/>
                <w:szCs w:val="20"/>
                <w:color w:val="auto"/>
              </w:rPr>
            </w:pPr>
            <w:r>
              <w:rPr>
                <w:rFonts w:ascii="Times New Roman" w:cs="Times New Roman" w:eastAsia="Times New Roman" w:hAnsi="Times New Roman"/>
                <w:sz w:val="14"/>
                <w:szCs w:val="14"/>
                <w:color w:val="auto"/>
                <w:w w:val="93"/>
              </w:rPr>
              <w:t>23.1%</w:t>
            </w:r>
          </w:p>
        </w:tc>
        <w:tc>
          <w:tcPr>
            <w:tcW w:w="1560" w:type="dxa"/>
            <w:vAlign w:val="bottom"/>
            <w:tcBorders>
              <w:right w:val="single" w:sz="8" w:color="auto"/>
            </w:tcBorders>
          </w:tcPr>
          <w:p>
            <w:pPr>
              <w:jc w:val="center"/>
              <w:ind w:left="93"/>
              <w:spacing w:after="0" w:line="140" w:lineRule="exact"/>
              <w:rPr>
                <w:sz w:val="20"/>
                <w:szCs w:val="20"/>
                <w:color w:val="auto"/>
              </w:rPr>
            </w:pPr>
            <w:r>
              <w:rPr>
                <w:rFonts w:ascii="Times New Roman" w:cs="Times New Roman" w:eastAsia="Times New Roman" w:hAnsi="Times New Roman"/>
                <w:sz w:val="14"/>
                <w:szCs w:val="14"/>
                <w:color w:val="auto"/>
                <w:w w:val="99"/>
              </w:rPr>
              <w:t>11.3%</w:t>
            </w:r>
          </w:p>
        </w:tc>
        <w:tc>
          <w:tcPr>
            <w:tcW w:w="0" w:type="dxa"/>
            <w:vAlign w:val="bottom"/>
          </w:tcPr>
          <w:p>
            <w:pPr>
              <w:spacing w:after="0"/>
              <w:rPr>
                <w:sz w:val="1"/>
                <w:szCs w:val="1"/>
                <w:color w:val="auto"/>
              </w:rPr>
            </w:pPr>
          </w:p>
        </w:tc>
      </w:tr>
      <w:tr>
        <w:trPr>
          <w:trHeight w:val="136"/>
        </w:trPr>
        <w:tc>
          <w:tcPr>
            <w:tcW w:w="5520" w:type="dxa"/>
            <w:vAlign w:val="bottom"/>
            <w:tcBorders>
              <w:left w:val="single" w:sz="8" w:color="auto"/>
              <w:right w:val="single" w:sz="8" w:color="auto"/>
            </w:tcBorders>
          </w:tcPr>
          <w:p>
            <w:pPr>
              <w:ind w:left="260"/>
              <w:spacing w:after="0" w:line="137" w:lineRule="exact"/>
              <w:rPr>
                <w:sz w:val="20"/>
                <w:szCs w:val="20"/>
                <w:color w:val="auto"/>
              </w:rPr>
            </w:pPr>
            <w:r>
              <w:rPr>
                <w:rFonts w:ascii="Times New Roman" w:cs="Times New Roman" w:eastAsia="Times New Roman" w:hAnsi="Times New Roman"/>
                <w:sz w:val="14"/>
                <w:szCs w:val="14"/>
                <w:color w:val="auto"/>
              </w:rPr>
              <w:t>Minority interest</w:t>
            </w:r>
          </w:p>
        </w:tc>
        <w:tc>
          <w:tcPr>
            <w:tcW w:w="11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color w:val="auto"/>
                <w:w w:val="96"/>
              </w:rPr>
              <w:t>476,695</w:t>
            </w:r>
          </w:p>
        </w:tc>
        <w:tc>
          <w:tcPr>
            <w:tcW w:w="11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color w:val="auto"/>
                <w:w w:val="96"/>
              </w:rPr>
              <w:t>475,351</w:t>
            </w:r>
          </w:p>
        </w:tc>
        <w:tc>
          <w:tcPr>
            <w:tcW w:w="1140" w:type="dxa"/>
            <w:vAlign w:val="bottom"/>
            <w:tcBorders>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color w:val="auto"/>
                <w:w w:val="96"/>
              </w:rPr>
              <w:t>475,465</w:t>
            </w:r>
          </w:p>
        </w:tc>
        <w:tc>
          <w:tcPr>
            <w:tcW w:w="800" w:type="dxa"/>
            <w:vAlign w:val="bottom"/>
          </w:tcPr>
          <w:p>
            <w:pPr>
              <w:jc w:val="center"/>
              <w:ind w:left="133"/>
              <w:spacing w:after="0" w:line="137" w:lineRule="exact"/>
              <w:rPr>
                <w:sz w:val="20"/>
                <w:szCs w:val="20"/>
                <w:color w:val="auto"/>
              </w:rPr>
            </w:pPr>
            <w:r>
              <w:rPr>
                <w:rFonts w:ascii="Times New Roman" w:cs="Times New Roman" w:eastAsia="Times New Roman" w:hAnsi="Times New Roman"/>
                <w:sz w:val="14"/>
                <w:szCs w:val="14"/>
                <w:color w:val="auto"/>
                <w:w w:val="95"/>
              </w:rPr>
              <w:t>0.0%</w:t>
            </w:r>
          </w:p>
        </w:tc>
        <w:tc>
          <w:tcPr>
            <w:tcW w:w="1560" w:type="dxa"/>
            <w:vAlign w:val="bottom"/>
            <w:tcBorders>
              <w:right w:val="single" w:sz="8" w:color="auto"/>
            </w:tcBorders>
          </w:tcPr>
          <w:p>
            <w:pPr>
              <w:jc w:val="center"/>
              <w:ind w:left="93"/>
              <w:spacing w:after="0" w:line="137" w:lineRule="exact"/>
              <w:rPr>
                <w:sz w:val="20"/>
                <w:szCs w:val="20"/>
                <w:color w:val="auto"/>
              </w:rPr>
            </w:pPr>
            <w:r>
              <w:rPr>
                <w:rFonts w:ascii="Times New Roman" w:cs="Times New Roman" w:eastAsia="Times New Roman" w:hAnsi="Times New Roman"/>
                <w:sz w:val="14"/>
                <w:szCs w:val="14"/>
                <w:color w:val="auto"/>
                <w:w w:val="94"/>
              </w:rPr>
              <w:t>-0.3%</w:t>
            </w:r>
          </w:p>
        </w:tc>
        <w:tc>
          <w:tcPr>
            <w:tcW w:w="0" w:type="dxa"/>
            <w:vAlign w:val="bottom"/>
          </w:tcPr>
          <w:p>
            <w:pPr>
              <w:spacing w:after="0"/>
              <w:rPr>
                <w:sz w:val="1"/>
                <w:szCs w:val="1"/>
                <w:color w:val="auto"/>
              </w:rPr>
            </w:pPr>
          </w:p>
        </w:tc>
      </w:tr>
      <w:tr>
        <w:trPr>
          <w:trHeight w:val="140"/>
        </w:trPr>
        <w:tc>
          <w:tcPr>
            <w:tcW w:w="5520" w:type="dxa"/>
            <w:vAlign w:val="bottom"/>
            <w:tcBorders>
              <w:left w:val="single" w:sz="8" w:color="auto"/>
              <w:right w:val="single" w:sz="8" w:color="auto"/>
            </w:tcBorders>
          </w:tcPr>
          <w:p>
            <w:pPr>
              <w:ind w:left="280"/>
              <w:spacing w:after="0" w:line="140" w:lineRule="exact"/>
              <w:rPr>
                <w:sz w:val="20"/>
                <w:szCs w:val="20"/>
                <w:color w:val="auto"/>
              </w:rPr>
            </w:pPr>
            <w:r>
              <w:rPr>
                <w:rFonts w:ascii="Times New Roman" w:cs="Times New Roman" w:eastAsia="Times New Roman" w:hAnsi="Times New Roman"/>
                <w:sz w:val="11"/>
                <w:szCs w:val="11"/>
                <w:color w:val="auto"/>
              </w:rPr>
              <w:t xml:space="preserve">Current and Accumulated Earnings </w:t>
            </w:r>
            <w:r>
              <w:rPr>
                <w:rFonts w:ascii="Times New Roman" w:cs="Times New Roman" w:eastAsia="Times New Roman" w:hAnsi="Times New Roman"/>
                <w:sz w:val="16"/>
                <w:szCs w:val="16"/>
                <w:color w:val="auto"/>
                <w:vertAlign w:val="superscript"/>
              </w:rPr>
              <w:t>(1)</w:t>
            </w:r>
          </w:p>
        </w:tc>
        <w:tc>
          <w:tcPr>
            <w:tcW w:w="11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3,410,505</w:t>
            </w:r>
          </w:p>
        </w:tc>
        <w:tc>
          <w:tcPr>
            <w:tcW w:w="11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8,330,246</w:t>
            </w:r>
          </w:p>
        </w:tc>
        <w:tc>
          <w:tcPr>
            <w:tcW w:w="114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2,206,249</w:t>
            </w:r>
          </w:p>
        </w:tc>
        <w:tc>
          <w:tcPr>
            <w:tcW w:w="800" w:type="dxa"/>
            <w:vAlign w:val="bottom"/>
          </w:tcPr>
          <w:p>
            <w:pPr>
              <w:jc w:val="center"/>
              <w:ind w:left="133"/>
              <w:spacing w:after="0" w:line="140" w:lineRule="exact"/>
              <w:rPr>
                <w:sz w:val="20"/>
                <w:szCs w:val="20"/>
                <w:color w:val="auto"/>
              </w:rPr>
            </w:pPr>
            <w:r>
              <w:rPr>
                <w:rFonts w:ascii="Times New Roman" w:cs="Times New Roman" w:eastAsia="Times New Roman" w:hAnsi="Times New Roman"/>
                <w:sz w:val="14"/>
                <w:szCs w:val="14"/>
                <w:color w:val="auto"/>
                <w:w w:val="97"/>
              </w:rPr>
              <w:t>-73.5%</w:t>
            </w:r>
          </w:p>
        </w:tc>
        <w:tc>
          <w:tcPr>
            <w:tcW w:w="1560" w:type="dxa"/>
            <w:vAlign w:val="bottom"/>
            <w:tcBorders>
              <w:right w:val="single" w:sz="8" w:color="auto"/>
            </w:tcBorders>
          </w:tcPr>
          <w:p>
            <w:pPr>
              <w:jc w:val="center"/>
              <w:ind w:left="93"/>
              <w:spacing w:after="0" w:line="140" w:lineRule="exact"/>
              <w:rPr>
                <w:sz w:val="20"/>
                <w:szCs w:val="20"/>
                <w:color w:val="auto"/>
              </w:rPr>
            </w:pPr>
            <w:r>
              <w:rPr>
                <w:rFonts w:ascii="Times New Roman" w:cs="Times New Roman" w:eastAsia="Times New Roman" w:hAnsi="Times New Roman"/>
                <w:sz w:val="14"/>
                <w:szCs w:val="14"/>
                <w:color w:val="auto"/>
                <w:w w:val="97"/>
              </w:rPr>
              <w:t>-35.3%</w:t>
            </w:r>
          </w:p>
        </w:tc>
        <w:tc>
          <w:tcPr>
            <w:tcW w:w="0" w:type="dxa"/>
            <w:vAlign w:val="bottom"/>
          </w:tcPr>
          <w:p>
            <w:pPr>
              <w:spacing w:after="0"/>
              <w:rPr>
                <w:sz w:val="1"/>
                <w:szCs w:val="1"/>
                <w:color w:val="auto"/>
              </w:rPr>
            </w:pPr>
          </w:p>
        </w:tc>
      </w:tr>
      <w:tr>
        <w:trPr>
          <w:trHeight w:val="143"/>
        </w:trPr>
        <w:tc>
          <w:tcPr>
            <w:tcW w:w="5520" w:type="dxa"/>
            <w:vAlign w:val="bottom"/>
            <w:tcBorders>
              <w:left w:val="single" w:sz="8" w:color="auto"/>
              <w:right w:val="single" w:sz="8" w:color="auto"/>
            </w:tcBorders>
          </w:tcPr>
          <w:p>
            <w:pPr>
              <w:ind w:left="260"/>
              <w:spacing w:after="0" w:line="143" w:lineRule="exact"/>
              <w:rPr>
                <w:sz w:val="20"/>
                <w:szCs w:val="20"/>
                <w:color w:val="auto"/>
              </w:rPr>
            </w:pPr>
            <w:r>
              <w:rPr>
                <w:rFonts w:ascii="Times New Roman" w:cs="Times New Roman" w:eastAsia="Times New Roman" w:hAnsi="Times New Roman"/>
                <w:sz w:val="11"/>
                <w:szCs w:val="11"/>
                <w:color w:val="auto"/>
              </w:rPr>
              <w:t xml:space="preserve">Unrealized Gains or Losses </w:t>
            </w:r>
            <w:r>
              <w:rPr>
                <w:rFonts w:ascii="Times New Roman" w:cs="Times New Roman" w:eastAsia="Times New Roman" w:hAnsi="Times New Roman"/>
                <w:sz w:val="16"/>
                <w:szCs w:val="16"/>
                <w:color w:val="auto"/>
                <w:vertAlign w:val="superscript"/>
              </w:rPr>
              <w:t>(2)</w:t>
            </w:r>
          </w:p>
        </w:tc>
        <w:tc>
          <w:tcPr>
            <w:tcW w:w="112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color w:val="auto"/>
                <w:w w:val="94"/>
              </w:rPr>
              <w:t>(462,800)</w:t>
            </w:r>
          </w:p>
        </w:tc>
        <w:tc>
          <w:tcPr>
            <w:tcW w:w="112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color w:val="auto"/>
                <w:w w:val="96"/>
              </w:rPr>
              <w:t>159,324</w:t>
            </w:r>
          </w:p>
        </w:tc>
        <w:tc>
          <w:tcPr>
            <w:tcW w:w="1140" w:type="dxa"/>
            <w:vAlign w:val="bottom"/>
            <w:tcBorders>
              <w:right w:val="single" w:sz="8" w:color="auto"/>
            </w:tcBorders>
          </w:tcPr>
          <w:p>
            <w:pPr>
              <w:jc w:val="center"/>
              <w:spacing w:after="0" w:line="143" w:lineRule="exact"/>
              <w:rPr>
                <w:sz w:val="20"/>
                <w:szCs w:val="20"/>
                <w:color w:val="auto"/>
              </w:rPr>
            </w:pPr>
            <w:r>
              <w:rPr>
                <w:rFonts w:ascii="Times New Roman" w:cs="Times New Roman" w:eastAsia="Times New Roman" w:hAnsi="Times New Roman"/>
                <w:sz w:val="14"/>
                <w:szCs w:val="14"/>
                <w:color w:val="auto"/>
                <w:w w:val="96"/>
              </w:rPr>
              <w:t>(66,934)</w:t>
            </w:r>
          </w:p>
        </w:tc>
        <w:tc>
          <w:tcPr>
            <w:tcW w:w="800" w:type="dxa"/>
            <w:vAlign w:val="bottom"/>
          </w:tcPr>
          <w:p>
            <w:pPr>
              <w:jc w:val="center"/>
              <w:ind w:left="113"/>
              <w:spacing w:after="0" w:line="143" w:lineRule="exact"/>
              <w:rPr>
                <w:sz w:val="20"/>
                <w:szCs w:val="20"/>
                <w:color w:val="auto"/>
              </w:rPr>
            </w:pPr>
            <w:r>
              <w:rPr>
                <w:rFonts w:ascii="Times New Roman" w:cs="Times New Roman" w:eastAsia="Times New Roman" w:hAnsi="Times New Roman"/>
                <w:sz w:val="14"/>
                <w:szCs w:val="14"/>
                <w:color w:val="auto"/>
                <w:w w:val="96"/>
              </w:rPr>
              <w:t>-142.0%</w:t>
            </w:r>
          </w:p>
        </w:tc>
        <w:tc>
          <w:tcPr>
            <w:tcW w:w="1560" w:type="dxa"/>
            <w:vAlign w:val="bottom"/>
            <w:tcBorders>
              <w:right w:val="single" w:sz="8" w:color="auto"/>
            </w:tcBorders>
          </w:tcPr>
          <w:p>
            <w:pPr>
              <w:jc w:val="center"/>
              <w:ind w:left="93"/>
              <w:spacing w:after="0" w:line="143" w:lineRule="exact"/>
              <w:rPr>
                <w:sz w:val="20"/>
                <w:szCs w:val="20"/>
                <w:color w:val="auto"/>
              </w:rPr>
            </w:pPr>
            <w:r>
              <w:rPr>
                <w:rFonts w:ascii="Times New Roman" w:cs="Times New Roman" w:eastAsia="Times New Roman" w:hAnsi="Times New Roman"/>
                <w:sz w:val="14"/>
                <w:szCs w:val="14"/>
                <w:color w:val="auto"/>
                <w:w w:val="97"/>
              </w:rPr>
              <w:t>-85.5%</w:t>
            </w:r>
          </w:p>
        </w:tc>
        <w:tc>
          <w:tcPr>
            <w:tcW w:w="0" w:type="dxa"/>
            <w:vAlign w:val="bottom"/>
          </w:tcPr>
          <w:p>
            <w:pPr>
              <w:spacing w:after="0"/>
              <w:rPr>
                <w:sz w:val="1"/>
                <w:szCs w:val="1"/>
                <w:color w:val="auto"/>
              </w:rPr>
            </w:pPr>
          </w:p>
        </w:tc>
      </w:tr>
      <w:tr>
        <w:trPr>
          <w:trHeight w:val="136"/>
        </w:trPr>
        <w:tc>
          <w:tcPr>
            <w:tcW w:w="5520" w:type="dxa"/>
            <w:vAlign w:val="bottom"/>
            <w:tcBorders>
              <w:left w:val="single" w:sz="8" w:color="auto"/>
              <w:right w:val="single" w:sz="8" w:color="auto"/>
            </w:tcBorders>
          </w:tcPr>
          <w:p>
            <w:pPr>
              <w:ind w:left="260"/>
              <w:spacing w:after="0" w:line="137" w:lineRule="exact"/>
              <w:rPr>
                <w:sz w:val="20"/>
                <w:szCs w:val="20"/>
                <w:color w:val="auto"/>
              </w:rPr>
            </w:pPr>
            <w:r>
              <w:rPr>
                <w:rFonts w:ascii="Times New Roman" w:cs="Times New Roman" w:eastAsia="Times New Roman" w:hAnsi="Times New Roman"/>
                <w:sz w:val="14"/>
                <w:szCs w:val="14"/>
                <w:color w:val="auto"/>
              </w:rPr>
              <w:t>Goodwill</w:t>
            </w:r>
          </w:p>
        </w:tc>
        <w:tc>
          <w:tcPr>
            <w:tcW w:w="11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color w:val="auto"/>
                <w:w w:val="97"/>
              </w:rPr>
              <w:t>(1,698,492)</w:t>
            </w:r>
          </w:p>
        </w:tc>
        <w:tc>
          <w:tcPr>
            <w:tcW w:w="11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color w:val="auto"/>
                <w:w w:val="97"/>
              </w:rPr>
              <w:t>(1,252,858)</w:t>
            </w:r>
          </w:p>
        </w:tc>
        <w:tc>
          <w:tcPr>
            <w:tcW w:w="1140" w:type="dxa"/>
            <w:vAlign w:val="bottom"/>
            <w:tcBorders>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color w:val="auto"/>
                <w:w w:val="94"/>
              </w:rPr>
              <w:t>(1,263,931)</w:t>
            </w:r>
          </w:p>
        </w:tc>
        <w:tc>
          <w:tcPr>
            <w:tcW w:w="800" w:type="dxa"/>
            <w:vAlign w:val="bottom"/>
          </w:tcPr>
          <w:p>
            <w:pPr>
              <w:jc w:val="center"/>
              <w:ind w:left="133"/>
              <w:spacing w:after="0" w:line="137" w:lineRule="exact"/>
              <w:rPr>
                <w:sz w:val="20"/>
                <w:szCs w:val="20"/>
                <w:color w:val="auto"/>
              </w:rPr>
            </w:pPr>
            <w:r>
              <w:rPr>
                <w:rFonts w:ascii="Times New Roman" w:cs="Times New Roman" w:eastAsia="Times New Roman" w:hAnsi="Times New Roman"/>
                <w:sz w:val="14"/>
                <w:szCs w:val="14"/>
                <w:color w:val="auto"/>
                <w:w w:val="95"/>
              </w:rPr>
              <w:t>0.9%</w:t>
            </w:r>
          </w:p>
        </w:tc>
        <w:tc>
          <w:tcPr>
            <w:tcW w:w="1560" w:type="dxa"/>
            <w:vAlign w:val="bottom"/>
            <w:tcBorders>
              <w:right w:val="single" w:sz="8" w:color="auto"/>
            </w:tcBorders>
          </w:tcPr>
          <w:p>
            <w:pPr>
              <w:jc w:val="center"/>
              <w:ind w:left="93"/>
              <w:spacing w:after="0" w:line="137" w:lineRule="exact"/>
              <w:rPr>
                <w:sz w:val="20"/>
                <w:szCs w:val="20"/>
                <w:color w:val="auto"/>
              </w:rPr>
            </w:pPr>
            <w:r>
              <w:rPr>
                <w:rFonts w:ascii="Times New Roman" w:cs="Times New Roman" w:eastAsia="Times New Roman" w:hAnsi="Times New Roman"/>
                <w:sz w:val="14"/>
                <w:szCs w:val="14"/>
                <w:color w:val="auto"/>
                <w:w w:val="97"/>
              </w:rPr>
              <w:t>-25.6%</w:t>
            </w:r>
          </w:p>
        </w:tc>
        <w:tc>
          <w:tcPr>
            <w:tcW w:w="0" w:type="dxa"/>
            <w:vAlign w:val="bottom"/>
          </w:tcPr>
          <w:p>
            <w:pPr>
              <w:spacing w:after="0"/>
              <w:rPr>
                <w:sz w:val="1"/>
                <w:szCs w:val="1"/>
                <w:color w:val="auto"/>
              </w:rPr>
            </w:pPr>
          </w:p>
        </w:tc>
      </w:tr>
      <w:tr>
        <w:trPr>
          <w:trHeight w:val="140"/>
        </w:trPr>
        <w:tc>
          <w:tcPr>
            <w:tcW w:w="5520" w:type="dxa"/>
            <w:vAlign w:val="bottom"/>
            <w:tcBorders>
              <w:left w:val="single" w:sz="8" w:color="auto"/>
              <w:right w:val="single" w:sz="8" w:color="auto"/>
            </w:tcBorders>
          </w:tcPr>
          <w:p>
            <w:pPr>
              <w:ind w:left="260"/>
              <w:spacing w:after="0" w:line="140" w:lineRule="exact"/>
              <w:rPr>
                <w:sz w:val="20"/>
                <w:szCs w:val="20"/>
                <w:color w:val="auto"/>
              </w:rPr>
            </w:pPr>
            <w:r>
              <w:rPr>
                <w:rFonts w:ascii="Times New Roman" w:cs="Times New Roman" w:eastAsia="Times New Roman" w:hAnsi="Times New Roman"/>
                <w:sz w:val="11"/>
                <w:szCs w:val="11"/>
                <w:color w:val="auto"/>
              </w:rPr>
              <w:t xml:space="preserve">Intangible Assets </w:t>
            </w:r>
            <w:r>
              <w:rPr>
                <w:rFonts w:ascii="Times New Roman" w:cs="Times New Roman" w:eastAsia="Times New Roman" w:hAnsi="Times New Roman"/>
                <w:sz w:val="16"/>
                <w:szCs w:val="16"/>
                <w:color w:val="auto"/>
                <w:vertAlign w:val="superscript"/>
              </w:rPr>
              <w:t>(3)</w:t>
            </w:r>
          </w:p>
        </w:tc>
        <w:tc>
          <w:tcPr>
            <w:tcW w:w="11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7"/>
              </w:rPr>
              <w:t>(2,590,377)</w:t>
            </w:r>
          </w:p>
        </w:tc>
        <w:tc>
          <w:tcPr>
            <w:tcW w:w="11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7"/>
              </w:rPr>
              <w:t>(3,586,460)</w:t>
            </w:r>
          </w:p>
        </w:tc>
        <w:tc>
          <w:tcPr>
            <w:tcW w:w="114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4"/>
              </w:rPr>
              <w:t>(3,660,945)</w:t>
            </w:r>
          </w:p>
        </w:tc>
        <w:tc>
          <w:tcPr>
            <w:tcW w:w="800" w:type="dxa"/>
            <w:vAlign w:val="bottom"/>
          </w:tcPr>
          <w:p>
            <w:pPr>
              <w:jc w:val="center"/>
              <w:ind w:left="133"/>
              <w:spacing w:after="0" w:line="140" w:lineRule="exact"/>
              <w:rPr>
                <w:sz w:val="20"/>
                <w:szCs w:val="20"/>
                <w:color w:val="auto"/>
              </w:rPr>
            </w:pPr>
            <w:r>
              <w:rPr>
                <w:rFonts w:ascii="Times New Roman" w:cs="Times New Roman" w:eastAsia="Times New Roman" w:hAnsi="Times New Roman"/>
                <w:sz w:val="14"/>
                <w:szCs w:val="14"/>
                <w:color w:val="auto"/>
                <w:w w:val="95"/>
              </w:rPr>
              <w:t>2.1%</w:t>
            </w:r>
          </w:p>
        </w:tc>
        <w:tc>
          <w:tcPr>
            <w:tcW w:w="1560" w:type="dxa"/>
            <w:vAlign w:val="bottom"/>
            <w:tcBorders>
              <w:right w:val="single" w:sz="8" w:color="auto"/>
            </w:tcBorders>
          </w:tcPr>
          <w:p>
            <w:pPr>
              <w:jc w:val="center"/>
              <w:ind w:left="93"/>
              <w:spacing w:after="0" w:line="140" w:lineRule="exact"/>
              <w:rPr>
                <w:sz w:val="20"/>
                <w:szCs w:val="20"/>
                <w:color w:val="auto"/>
              </w:rPr>
            </w:pPr>
            <w:r>
              <w:rPr>
                <w:rFonts w:ascii="Times New Roman" w:cs="Times New Roman" w:eastAsia="Times New Roman" w:hAnsi="Times New Roman"/>
                <w:sz w:val="14"/>
                <w:szCs w:val="14"/>
                <w:color w:val="auto"/>
                <w:w w:val="99"/>
              </w:rPr>
              <w:t>41.3%</w:t>
            </w:r>
          </w:p>
        </w:tc>
        <w:tc>
          <w:tcPr>
            <w:tcW w:w="0" w:type="dxa"/>
            <w:vAlign w:val="bottom"/>
          </w:tcPr>
          <w:p>
            <w:pPr>
              <w:spacing w:after="0"/>
              <w:rPr>
                <w:sz w:val="1"/>
                <w:szCs w:val="1"/>
                <w:color w:val="auto"/>
              </w:rPr>
            </w:pPr>
          </w:p>
        </w:tc>
      </w:tr>
      <w:tr>
        <w:trPr>
          <w:trHeight w:val="143"/>
        </w:trPr>
        <w:tc>
          <w:tcPr>
            <w:tcW w:w="5520" w:type="dxa"/>
            <w:vAlign w:val="bottom"/>
            <w:tcBorders>
              <w:left w:val="single" w:sz="8" w:color="auto"/>
              <w:right w:val="single" w:sz="8" w:color="auto"/>
            </w:tcBorders>
          </w:tcPr>
          <w:p>
            <w:pPr>
              <w:ind w:left="260"/>
              <w:spacing w:after="0" w:line="143" w:lineRule="exact"/>
              <w:rPr>
                <w:sz w:val="20"/>
                <w:szCs w:val="20"/>
                <w:color w:val="auto"/>
              </w:rPr>
            </w:pPr>
            <w:r>
              <w:rPr>
                <w:rFonts w:ascii="Times New Roman" w:cs="Times New Roman" w:eastAsia="Times New Roman" w:hAnsi="Times New Roman"/>
                <w:sz w:val="11"/>
                <w:szCs w:val="11"/>
                <w:color w:val="auto"/>
              </w:rPr>
              <w:t xml:space="preserve">Deductions in Common Equity Tier 1 instruments </w:t>
            </w:r>
            <w:r>
              <w:rPr>
                <w:rFonts w:ascii="Times New Roman" w:cs="Times New Roman" w:eastAsia="Times New Roman" w:hAnsi="Times New Roman"/>
                <w:sz w:val="16"/>
                <w:szCs w:val="16"/>
                <w:color w:val="auto"/>
                <w:vertAlign w:val="superscript"/>
              </w:rPr>
              <w:t>(4)</w:t>
            </w:r>
          </w:p>
        </w:tc>
        <w:tc>
          <w:tcPr>
            <w:tcW w:w="112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color w:val="auto"/>
              </w:rPr>
              <w:t>(38,573)</w:t>
            </w:r>
          </w:p>
        </w:tc>
        <w:tc>
          <w:tcPr>
            <w:tcW w:w="112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color w:val="auto"/>
                <w:w w:val="96"/>
              </w:rPr>
              <w:t>(99,319)</w:t>
            </w:r>
          </w:p>
        </w:tc>
        <w:tc>
          <w:tcPr>
            <w:tcW w:w="1140" w:type="dxa"/>
            <w:vAlign w:val="bottom"/>
            <w:tcBorders>
              <w:right w:val="single" w:sz="8" w:color="auto"/>
            </w:tcBorders>
          </w:tcPr>
          <w:p>
            <w:pPr>
              <w:jc w:val="center"/>
              <w:spacing w:after="0" w:line="143" w:lineRule="exact"/>
              <w:rPr>
                <w:sz w:val="20"/>
                <w:szCs w:val="20"/>
                <w:color w:val="auto"/>
              </w:rPr>
            </w:pPr>
            <w:r>
              <w:rPr>
                <w:rFonts w:ascii="Times New Roman" w:cs="Times New Roman" w:eastAsia="Times New Roman" w:hAnsi="Times New Roman"/>
                <w:sz w:val="14"/>
                <w:szCs w:val="14"/>
                <w:color w:val="auto"/>
                <w:w w:val="96"/>
              </w:rPr>
              <w:t>(45,924)</w:t>
            </w:r>
          </w:p>
        </w:tc>
        <w:tc>
          <w:tcPr>
            <w:tcW w:w="800" w:type="dxa"/>
            <w:vAlign w:val="bottom"/>
          </w:tcPr>
          <w:p>
            <w:pPr>
              <w:jc w:val="center"/>
              <w:ind w:left="133"/>
              <w:spacing w:after="0" w:line="143" w:lineRule="exact"/>
              <w:rPr>
                <w:sz w:val="20"/>
                <w:szCs w:val="20"/>
                <w:color w:val="auto"/>
              </w:rPr>
            </w:pPr>
            <w:r>
              <w:rPr>
                <w:rFonts w:ascii="Times New Roman" w:cs="Times New Roman" w:eastAsia="Times New Roman" w:hAnsi="Times New Roman"/>
                <w:sz w:val="14"/>
                <w:szCs w:val="14"/>
                <w:color w:val="auto"/>
                <w:w w:val="97"/>
              </w:rPr>
              <w:t>-53.8%</w:t>
            </w:r>
          </w:p>
        </w:tc>
        <w:tc>
          <w:tcPr>
            <w:tcW w:w="1560" w:type="dxa"/>
            <w:vAlign w:val="bottom"/>
            <w:tcBorders>
              <w:right w:val="single" w:sz="8" w:color="auto"/>
            </w:tcBorders>
          </w:tcPr>
          <w:p>
            <w:pPr>
              <w:jc w:val="center"/>
              <w:ind w:left="93"/>
              <w:spacing w:after="0" w:line="143" w:lineRule="exact"/>
              <w:rPr>
                <w:sz w:val="20"/>
                <w:szCs w:val="20"/>
                <w:color w:val="auto"/>
              </w:rPr>
            </w:pPr>
            <w:r>
              <w:rPr>
                <w:rFonts w:ascii="Times New Roman" w:cs="Times New Roman" w:eastAsia="Times New Roman" w:hAnsi="Times New Roman"/>
                <w:sz w:val="14"/>
                <w:szCs w:val="14"/>
                <w:color w:val="auto"/>
                <w:w w:val="99"/>
              </w:rPr>
              <w:t>19.1%</w:t>
            </w:r>
          </w:p>
        </w:tc>
        <w:tc>
          <w:tcPr>
            <w:tcW w:w="0" w:type="dxa"/>
            <w:vAlign w:val="bottom"/>
          </w:tcPr>
          <w:p>
            <w:pPr>
              <w:spacing w:after="0"/>
              <w:rPr>
                <w:sz w:val="1"/>
                <w:szCs w:val="1"/>
                <w:color w:val="auto"/>
              </w:rPr>
            </w:pPr>
          </w:p>
        </w:tc>
      </w:tr>
      <w:tr>
        <w:trPr>
          <w:trHeight w:val="140"/>
        </w:trPr>
        <w:tc>
          <w:tcPr>
            <w:tcW w:w="5520" w:type="dxa"/>
            <w:vAlign w:val="bottom"/>
            <w:tcBorders>
              <w:left w:val="single" w:sz="8" w:color="auto"/>
              <w:right w:val="single" w:sz="8" w:color="auto"/>
            </w:tcBorders>
            <w:vMerge w:val="restart"/>
          </w:tcPr>
          <w:p>
            <w:pPr>
              <w:ind w:left="260"/>
              <w:spacing w:after="0"/>
              <w:rPr>
                <w:sz w:val="20"/>
                <w:szCs w:val="20"/>
                <w:color w:val="auto"/>
              </w:rPr>
            </w:pPr>
            <w:r>
              <w:rPr>
                <w:rFonts w:ascii="Times New Roman" w:cs="Times New Roman" w:eastAsia="Times New Roman" w:hAnsi="Times New Roman"/>
                <w:sz w:val="14"/>
                <w:szCs w:val="14"/>
                <w:color w:val="auto"/>
              </w:rPr>
              <w:t>Subordinated Debt</w:t>
            </w:r>
          </w:p>
        </w:tc>
        <w:tc>
          <w:tcPr>
            <w:tcW w:w="11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84"/>
              </w:rPr>
              <w:t>-</w:t>
            </w:r>
          </w:p>
        </w:tc>
        <w:tc>
          <w:tcPr>
            <w:tcW w:w="11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84"/>
              </w:rPr>
              <w:t>-</w:t>
            </w:r>
          </w:p>
        </w:tc>
        <w:tc>
          <w:tcPr>
            <w:tcW w:w="114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84"/>
              </w:rPr>
              <w:t>-</w:t>
            </w:r>
          </w:p>
        </w:tc>
        <w:tc>
          <w:tcPr>
            <w:tcW w:w="800" w:type="dxa"/>
            <w:vAlign w:val="bottom"/>
          </w:tcPr>
          <w:p>
            <w:pPr>
              <w:jc w:val="center"/>
              <w:ind w:left="133"/>
              <w:spacing w:after="0" w:line="140" w:lineRule="exact"/>
              <w:rPr>
                <w:sz w:val="20"/>
                <w:szCs w:val="20"/>
                <w:color w:val="auto"/>
              </w:rPr>
            </w:pPr>
            <w:r>
              <w:rPr>
                <w:rFonts w:ascii="Times New Roman" w:cs="Times New Roman" w:eastAsia="Times New Roman" w:hAnsi="Times New Roman"/>
                <w:sz w:val="14"/>
                <w:szCs w:val="14"/>
                <w:color w:val="auto"/>
                <w:w w:val="84"/>
              </w:rPr>
              <w:t>-</w:t>
            </w:r>
          </w:p>
        </w:tc>
        <w:tc>
          <w:tcPr>
            <w:tcW w:w="1560" w:type="dxa"/>
            <w:vAlign w:val="bottom"/>
            <w:tcBorders>
              <w:right w:val="single" w:sz="8" w:color="auto"/>
            </w:tcBorders>
          </w:tcPr>
          <w:p>
            <w:pPr>
              <w:jc w:val="center"/>
              <w:ind w:left="93"/>
              <w:spacing w:after="0" w:line="140" w:lineRule="exact"/>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136"/>
        </w:trPr>
        <w:tc>
          <w:tcPr>
            <w:tcW w:w="5520" w:type="dxa"/>
            <w:vAlign w:val="bottom"/>
            <w:tcBorders>
              <w:left w:val="single" w:sz="8" w:color="auto"/>
              <w:right w:val="single" w:sz="8" w:color="auto"/>
            </w:tcBorders>
            <w:vMerge w:val="continue"/>
          </w:tcPr>
          <w:p>
            <w:pPr>
              <w:spacing w:after="0"/>
              <w:rPr>
                <w:sz w:val="11"/>
                <w:szCs w:val="11"/>
                <w:color w:val="auto"/>
              </w:rPr>
            </w:pPr>
          </w:p>
        </w:tc>
        <w:tc>
          <w:tcPr>
            <w:tcW w:w="11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color w:val="auto"/>
                <w:w w:val="96"/>
              </w:rPr>
              <w:t>7,892,454</w:t>
            </w:r>
          </w:p>
        </w:tc>
        <w:tc>
          <w:tcPr>
            <w:tcW w:w="11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color w:val="auto"/>
                <w:w w:val="96"/>
              </w:rPr>
              <w:t>8,854,662</w:t>
            </w:r>
          </w:p>
        </w:tc>
        <w:tc>
          <w:tcPr>
            <w:tcW w:w="1140" w:type="dxa"/>
            <w:vAlign w:val="bottom"/>
            <w:tcBorders>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color w:val="auto"/>
                <w:w w:val="96"/>
              </w:rPr>
              <w:t>9,270,139</w:t>
            </w:r>
          </w:p>
        </w:tc>
        <w:tc>
          <w:tcPr>
            <w:tcW w:w="800" w:type="dxa"/>
            <w:vAlign w:val="bottom"/>
          </w:tcPr>
          <w:p>
            <w:pPr>
              <w:jc w:val="center"/>
              <w:ind w:left="133"/>
              <w:spacing w:after="0" w:line="137" w:lineRule="exact"/>
              <w:rPr>
                <w:sz w:val="20"/>
                <w:szCs w:val="20"/>
                <w:color w:val="auto"/>
              </w:rPr>
            </w:pPr>
            <w:r>
              <w:rPr>
                <w:rFonts w:ascii="Times New Roman" w:cs="Times New Roman" w:eastAsia="Times New Roman" w:hAnsi="Times New Roman"/>
                <w:sz w:val="14"/>
                <w:szCs w:val="14"/>
                <w:color w:val="auto"/>
                <w:w w:val="95"/>
              </w:rPr>
              <w:t>4.7%</w:t>
            </w:r>
          </w:p>
        </w:tc>
        <w:tc>
          <w:tcPr>
            <w:tcW w:w="1560" w:type="dxa"/>
            <w:vAlign w:val="bottom"/>
            <w:tcBorders>
              <w:right w:val="single" w:sz="8" w:color="auto"/>
            </w:tcBorders>
          </w:tcPr>
          <w:p>
            <w:pPr>
              <w:jc w:val="center"/>
              <w:ind w:left="93"/>
              <w:spacing w:after="0" w:line="137" w:lineRule="exact"/>
              <w:rPr>
                <w:sz w:val="20"/>
                <w:szCs w:val="20"/>
                <w:color w:val="auto"/>
              </w:rPr>
            </w:pPr>
            <w:r>
              <w:rPr>
                <w:rFonts w:ascii="Times New Roman" w:cs="Times New Roman" w:eastAsia="Times New Roman" w:hAnsi="Times New Roman"/>
                <w:sz w:val="14"/>
                <w:szCs w:val="14"/>
                <w:color w:val="auto"/>
                <w:w w:val="99"/>
              </w:rPr>
              <w:t>17.5%</w:t>
            </w:r>
          </w:p>
        </w:tc>
        <w:tc>
          <w:tcPr>
            <w:tcW w:w="0" w:type="dxa"/>
            <w:vAlign w:val="bottom"/>
          </w:tcPr>
          <w:p>
            <w:pPr>
              <w:spacing w:after="0"/>
              <w:rPr>
                <w:sz w:val="1"/>
                <w:szCs w:val="1"/>
                <w:color w:val="auto"/>
              </w:rPr>
            </w:pPr>
          </w:p>
        </w:tc>
      </w:tr>
      <w:tr>
        <w:trPr>
          <w:trHeight w:val="140"/>
        </w:trPr>
        <w:tc>
          <w:tcPr>
            <w:tcW w:w="5520" w:type="dxa"/>
            <w:vAlign w:val="bottom"/>
            <w:tcBorders>
              <w:left w:val="single" w:sz="8" w:color="auto"/>
              <w:right w:val="single" w:sz="8" w:color="auto"/>
            </w:tcBorders>
          </w:tcPr>
          <w:p>
            <w:pPr>
              <w:ind w:left="260"/>
              <w:spacing w:after="0" w:line="140" w:lineRule="exact"/>
              <w:rPr>
                <w:sz w:val="20"/>
                <w:szCs w:val="20"/>
                <w:color w:val="auto"/>
              </w:rPr>
            </w:pPr>
            <w:r>
              <w:rPr>
                <w:rFonts w:ascii="Times New Roman" w:cs="Times New Roman" w:eastAsia="Times New Roman" w:hAnsi="Times New Roman"/>
                <w:sz w:val="11"/>
                <w:szCs w:val="11"/>
                <w:color w:val="auto"/>
              </w:rPr>
              <w:t xml:space="preserve">Loan loss reserves </w:t>
            </w:r>
            <w:r>
              <w:rPr>
                <w:rFonts w:ascii="Times New Roman" w:cs="Times New Roman" w:eastAsia="Times New Roman" w:hAnsi="Times New Roman"/>
                <w:sz w:val="16"/>
                <w:szCs w:val="16"/>
                <w:color w:val="auto"/>
                <w:vertAlign w:val="superscript"/>
              </w:rPr>
              <w:t>(5)</w:t>
            </w:r>
          </w:p>
        </w:tc>
        <w:tc>
          <w:tcPr>
            <w:tcW w:w="11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1,972,285</w:t>
            </w:r>
          </w:p>
        </w:tc>
        <w:tc>
          <w:tcPr>
            <w:tcW w:w="11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2,062,637</w:t>
            </w:r>
          </w:p>
        </w:tc>
        <w:tc>
          <w:tcPr>
            <w:tcW w:w="114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2,128,083</w:t>
            </w:r>
          </w:p>
        </w:tc>
        <w:tc>
          <w:tcPr>
            <w:tcW w:w="800" w:type="dxa"/>
            <w:vAlign w:val="bottom"/>
          </w:tcPr>
          <w:p>
            <w:pPr>
              <w:jc w:val="center"/>
              <w:ind w:left="133"/>
              <w:spacing w:after="0" w:line="140" w:lineRule="exact"/>
              <w:rPr>
                <w:sz w:val="20"/>
                <w:szCs w:val="20"/>
                <w:color w:val="auto"/>
              </w:rPr>
            </w:pPr>
            <w:r>
              <w:rPr>
                <w:rFonts w:ascii="Times New Roman" w:cs="Times New Roman" w:eastAsia="Times New Roman" w:hAnsi="Times New Roman"/>
                <w:sz w:val="14"/>
                <w:szCs w:val="14"/>
                <w:color w:val="auto"/>
                <w:w w:val="95"/>
              </w:rPr>
              <w:t>3.2%</w:t>
            </w:r>
          </w:p>
        </w:tc>
        <w:tc>
          <w:tcPr>
            <w:tcW w:w="1560" w:type="dxa"/>
            <w:vAlign w:val="bottom"/>
            <w:tcBorders>
              <w:right w:val="single" w:sz="8" w:color="auto"/>
            </w:tcBorders>
          </w:tcPr>
          <w:p>
            <w:pPr>
              <w:jc w:val="center"/>
              <w:ind w:left="93"/>
              <w:spacing w:after="0" w:line="140" w:lineRule="exact"/>
              <w:rPr>
                <w:sz w:val="20"/>
                <w:szCs w:val="20"/>
                <w:color w:val="auto"/>
              </w:rPr>
            </w:pPr>
            <w:r>
              <w:rPr>
                <w:rFonts w:ascii="Times New Roman" w:cs="Times New Roman" w:eastAsia="Times New Roman" w:hAnsi="Times New Roman"/>
                <w:sz w:val="14"/>
                <w:szCs w:val="14"/>
                <w:color w:val="auto"/>
                <w:w w:val="95"/>
              </w:rPr>
              <w:t>7.9%</w:t>
            </w:r>
          </w:p>
        </w:tc>
        <w:tc>
          <w:tcPr>
            <w:tcW w:w="0" w:type="dxa"/>
            <w:vAlign w:val="bottom"/>
          </w:tcPr>
          <w:p>
            <w:pPr>
              <w:spacing w:after="0"/>
              <w:rPr>
                <w:sz w:val="1"/>
                <w:szCs w:val="1"/>
                <w:color w:val="auto"/>
              </w:rPr>
            </w:pPr>
          </w:p>
        </w:tc>
      </w:tr>
      <w:tr>
        <w:trPr>
          <w:trHeight w:val="163"/>
        </w:trPr>
        <w:tc>
          <w:tcPr>
            <w:tcW w:w="5520" w:type="dxa"/>
            <w:vAlign w:val="bottom"/>
            <w:tcBorders>
              <w:left w:val="single" w:sz="8" w:color="auto"/>
              <w:bottom w:val="single" w:sz="8" w:color="auto"/>
              <w:right w:val="single" w:sz="8" w:color="auto"/>
            </w:tcBorders>
          </w:tcPr>
          <w:p>
            <w:pPr>
              <w:ind w:left="260"/>
              <w:spacing w:after="0" w:line="163" w:lineRule="exact"/>
              <w:rPr>
                <w:sz w:val="20"/>
                <w:szCs w:val="20"/>
                <w:color w:val="auto"/>
              </w:rPr>
            </w:pPr>
            <w:r>
              <w:rPr>
                <w:rFonts w:ascii="Times New Roman" w:cs="Times New Roman" w:eastAsia="Times New Roman" w:hAnsi="Times New Roman"/>
                <w:sz w:val="12"/>
                <w:szCs w:val="12"/>
                <w:color w:val="auto"/>
              </w:rPr>
              <w:t xml:space="preserve">Deductions in Tier 2 instruments </w:t>
            </w:r>
            <w:r>
              <w:rPr>
                <w:rFonts w:ascii="Times New Roman" w:cs="Times New Roman" w:eastAsia="Times New Roman" w:hAnsi="Times New Roman"/>
                <w:sz w:val="18"/>
                <w:szCs w:val="18"/>
                <w:color w:val="auto"/>
                <w:vertAlign w:val="superscript"/>
              </w:rPr>
              <w:t>(6)</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(751,236)</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(2,036,821)</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(1,062,616)</w:t>
            </w:r>
          </w:p>
        </w:tc>
        <w:tc>
          <w:tcPr>
            <w:tcW w:w="800" w:type="dxa"/>
            <w:vAlign w:val="bottom"/>
            <w:tcBorders>
              <w:bottom w:val="single" w:sz="8" w:color="auto"/>
            </w:tcBorders>
          </w:tcPr>
          <w:p>
            <w:pPr>
              <w:jc w:val="center"/>
              <w:ind w:left="133"/>
              <w:spacing w:after="0"/>
              <w:rPr>
                <w:sz w:val="20"/>
                <w:szCs w:val="20"/>
                <w:color w:val="auto"/>
              </w:rPr>
            </w:pPr>
            <w:r>
              <w:rPr>
                <w:rFonts w:ascii="Times New Roman" w:cs="Times New Roman" w:eastAsia="Times New Roman" w:hAnsi="Times New Roman"/>
                <w:sz w:val="14"/>
                <w:szCs w:val="14"/>
                <w:color w:val="auto"/>
                <w:w w:val="97"/>
              </w:rPr>
              <w:t>-47.8%</w:t>
            </w:r>
          </w:p>
        </w:tc>
        <w:tc>
          <w:tcPr>
            <w:tcW w:w="1560" w:type="dxa"/>
            <w:vAlign w:val="bottom"/>
            <w:tcBorders>
              <w:bottom w:val="single" w:sz="8" w:color="auto"/>
              <w:right w:val="single" w:sz="8" w:color="auto"/>
            </w:tcBorders>
          </w:tcPr>
          <w:p>
            <w:pPr>
              <w:jc w:val="center"/>
              <w:ind w:left="93"/>
              <w:spacing w:after="0"/>
              <w:rPr>
                <w:sz w:val="20"/>
                <w:szCs w:val="20"/>
                <w:color w:val="auto"/>
              </w:rPr>
            </w:pPr>
            <w:r>
              <w:rPr>
                <w:rFonts w:ascii="Times New Roman" w:cs="Times New Roman" w:eastAsia="Times New Roman" w:hAnsi="Times New Roman"/>
                <w:sz w:val="14"/>
                <w:szCs w:val="14"/>
                <w:color w:val="auto"/>
                <w:w w:val="99"/>
              </w:rPr>
              <w:t>41.4%</w:t>
            </w:r>
          </w:p>
        </w:tc>
        <w:tc>
          <w:tcPr>
            <w:tcW w:w="0" w:type="dxa"/>
            <w:vAlign w:val="bottom"/>
          </w:tcPr>
          <w:p>
            <w:pPr>
              <w:spacing w:after="0"/>
              <w:rPr>
                <w:sz w:val="1"/>
                <w:szCs w:val="1"/>
                <w:color w:val="auto"/>
              </w:rPr>
            </w:pPr>
          </w:p>
        </w:tc>
      </w:tr>
      <w:tr>
        <w:trPr>
          <w:trHeight w:val="132"/>
        </w:trPr>
        <w:tc>
          <w:tcPr>
            <w:tcW w:w="5520" w:type="dxa"/>
            <w:vAlign w:val="bottom"/>
            <w:tcBorders>
              <w:left w:val="single" w:sz="8" w:color="auto"/>
              <w:bottom w:val="single" w:sz="8" w:color="auto"/>
              <w:right w:val="single" w:sz="8" w:color="auto"/>
            </w:tcBorders>
          </w:tcPr>
          <w:p>
            <w:pPr>
              <w:ind w:left="100"/>
              <w:spacing w:after="0" w:line="133" w:lineRule="exact"/>
              <w:rPr>
                <w:sz w:val="20"/>
                <w:szCs w:val="20"/>
                <w:color w:val="auto"/>
              </w:rPr>
            </w:pPr>
            <w:r>
              <w:rPr>
                <w:rFonts w:ascii="Times New Roman" w:cs="Times New Roman" w:eastAsia="Times New Roman" w:hAnsi="Times New Roman"/>
                <w:sz w:val="14"/>
                <w:szCs w:val="14"/>
                <w:b w:val="1"/>
                <w:bCs w:val="1"/>
                <w:color w:val="auto"/>
              </w:rPr>
              <w:t>Total Regulatory Capital (A)</w:t>
            </w:r>
          </w:p>
        </w:tc>
        <w:tc>
          <w:tcPr>
            <w:tcW w:w="1120" w:type="dxa"/>
            <w:vAlign w:val="bottom"/>
            <w:tcBorders>
              <w:bottom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5"/>
              </w:rPr>
              <w:t>42,236,587</w:t>
            </w:r>
          </w:p>
        </w:tc>
        <w:tc>
          <w:tcPr>
            <w:tcW w:w="1120" w:type="dxa"/>
            <w:vAlign w:val="bottom"/>
            <w:tcBorders>
              <w:bottom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5"/>
              </w:rPr>
              <w:t>43,813,222</w:t>
            </w:r>
          </w:p>
        </w:tc>
        <w:tc>
          <w:tcPr>
            <w:tcW w:w="114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8"/>
              </w:rPr>
              <w:t>45,685,787</w:t>
            </w:r>
          </w:p>
        </w:tc>
        <w:tc>
          <w:tcPr>
            <w:tcW w:w="800" w:type="dxa"/>
            <w:vAlign w:val="bottom"/>
            <w:tcBorders>
              <w:bottom w:val="single" w:sz="8" w:color="auto"/>
            </w:tcBorders>
          </w:tcPr>
          <w:p>
            <w:pPr>
              <w:jc w:val="center"/>
              <w:ind w:left="113"/>
              <w:spacing w:after="0" w:line="133" w:lineRule="exact"/>
              <w:rPr>
                <w:sz w:val="20"/>
                <w:szCs w:val="20"/>
                <w:color w:val="auto"/>
              </w:rPr>
            </w:pPr>
            <w:r>
              <w:rPr>
                <w:rFonts w:ascii="Times New Roman" w:cs="Times New Roman" w:eastAsia="Times New Roman" w:hAnsi="Times New Roman"/>
                <w:sz w:val="14"/>
                <w:szCs w:val="14"/>
                <w:b w:val="1"/>
                <w:bCs w:val="1"/>
                <w:color w:val="auto"/>
                <w:w w:val="95"/>
              </w:rPr>
              <w:t>4.3%</w:t>
            </w:r>
          </w:p>
        </w:tc>
        <w:tc>
          <w:tcPr>
            <w:tcW w:w="1560" w:type="dxa"/>
            <w:vAlign w:val="bottom"/>
            <w:tcBorders>
              <w:bottom w:val="single" w:sz="8" w:color="auto"/>
              <w:right w:val="single" w:sz="8" w:color="auto"/>
            </w:tcBorders>
          </w:tcPr>
          <w:p>
            <w:pPr>
              <w:jc w:val="center"/>
              <w:ind w:left="93"/>
              <w:spacing w:after="0" w:line="133" w:lineRule="exact"/>
              <w:rPr>
                <w:sz w:val="20"/>
                <w:szCs w:val="20"/>
                <w:color w:val="auto"/>
              </w:rPr>
            </w:pPr>
            <w:r>
              <w:rPr>
                <w:rFonts w:ascii="Times New Roman" w:cs="Times New Roman" w:eastAsia="Times New Roman" w:hAnsi="Times New Roman"/>
                <w:sz w:val="14"/>
                <w:szCs w:val="14"/>
                <w:b w:val="1"/>
                <w:bCs w:val="1"/>
                <w:color w:val="auto"/>
              </w:rPr>
              <w:t>8.2%</w:t>
            </w:r>
          </w:p>
        </w:tc>
        <w:tc>
          <w:tcPr>
            <w:tcW w:w="0" w:type="dxa"/>
            <w:vAlign w:val="bottom"/>
          </w:tcPr>
          <w:p>
            <w:pPr>
              <w:spacing w:after="0"/>
              <w:rPr>
                <w:sz w:val="1"/>
                <w:szCs w:val="1"/>
                <w:color w:val="auto"/>
              </w:rPr>
            </w:pPr>
          </w:p>
        </w:tc>
      </w:tr>
      <w:tr>
        <w:trPr>
          <w:trHeight w:val="132"/>
        </w:trPr>
        <w:tc>
          <w:tcPr>
            <w:tcW w:w="5520" w:type="dxa"/>
            <w:vAlign w:val="bottom"/>
            <w:tcBorders>
              <w:left w:val="single" w:sz="8" w:color="auto"/>
              <w:bottom w:val="single" w:sz="8" w:color="auto"/>
              <w:right w:val="single" w:sz="8" w:color="auto"/>
            </w:tcBorders>
          </w:tcPr>
          <w:p>
            <w:pPr>
              <w:ind w:left="100"/>
              <w:spacing w:after="0" w:line="133" w:lineRule="exact"/>
              <w:rPr>
                <w:sz w:val="20"/>
                <w:szCs w:val="20"/>
                <w:color w:val="auto"/>
              </w:rPr>
            </w:pPr>
            <w:r>
              <w:rPr>
                <w:rFonts w:ascii="Times New Roman" w:cs="Times New Roman" w:eastAsia="Times New Roman" w:hAnsi="Times New Roman"/>
                <w:sz w:val="14"/>
                <w:szCs w:val="14"/>
                <w:b w:val="1"/>
                <w:bCs w:val="1"/>
                <w:color w:val="auto"/>
              </w:rPr>
              <w:t>Total Regulatory Common Equity Tier 1 Capital (B)</w:t>
            </w:r>
          </w:p>
        </w:tc>
        <w:tc>
          <w:tcPr>
            <w:tcW w:w="1120" w:type="dxa"/>
            <w:vAlign w:val="bottom"/>
            <w:tcBorders>
              <w:bottom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5"/>
              </w:rPr>
              <w:t>33,123,084</w:t>
            </w:r>
          </w:p>
        </w:tc>
        <w:tc>
          <w:tcPr>
            <w:tcW w:w="1120" w:type="dxa"/>
            <w:vAlign w:val="bottom"/>
            <w:tcBorders>
              <w:bottom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5"/>
              </w:rPr>
              <w:t>34,932,743</w:t>
            </w:r>
          </w:p>
        </w:tc>
        <w:tc>
          <w:tcPr>
            <w:tcW w:w="114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8"/>
              </w:rPr>
              <w:t>35,350,180</w:t>
            </w:r>
          </w:p>
        </w:tc>
        <w:tc>
          <w:tcPr>
            <w:tcW w:w="800" w:type="dxa"/>
            <w:vAlign w:val="bottom"/>
            <w:tcBorders>
              <w:bottom w:val="single" w:sz="8" w:color="auto"/>
            </w:tcBorders>
          </w:tcPr>
          <w:p>
            <w:pPr>
              <w:jc w:val="center"/>
              <w:ind w:left="113"/>
              <w:spacing w:after="0" w:line="133" w:lineRule="exact"/>
              <w:rPr>
                <w:sz w:val="20"/>
                <w:szCs w:val="20"/>
                <w:color w:val="auto"/>
              </w:rPr>
            </w:pPr>
            <w:r>
              <w:rPr>
                <w:rFonts w:ascii="Times New Roman" w:cs="Times New Roman" w:eastAsia="Times New Roman" w:hAnsi="Times New Roman"/>
                <w:sz w:val="14"/>
                <w:szCs w:val="14"/>
                <w:b w:val="1"/>
                <w:bCs w:val="1"/>
                <w:color w:val="auto"/>
                <w:w w:val="95"/>
              </w:rPr>
              <w:t>1.2%</w:t>
            </w:r>
          </w:p>
        </w:tc>
        <w:tc>
          <w:tcPr>
            <w:tcW w:w="1560" w:type="dxa"/>
            <w:vAlign w:val="bottom"/>
            <w:tcBorders>
              <w:bottom w:val="single" w:sz="8" w:color="auto"/>
              <w:right w:val="single" w:sz="8" w:color="auto"/>
            </w:tcBorders>
          </w:tcPr>
          <w:p>
            <w:pPr>
              <w:jc w:val="center"/>
              <w:ind w:left="93"/>
              <w:spacing w:after="0" w:line="133" w:lineRule="exact"/>
              <w:rPr>
                <w:sz w:val="20"/>
                <w:szCs w:val="20"/>
                <w:color w:val="auto"/>
              </w:rPr>
            </w:pPr>
            <w:r>
              <w:rPr>
                <w:rFonts w:ascii="Times New Roman" w:cs="Times New Roman" w:eastAsia="Times New Roman" w:hAnsi="Times New Roman"/>
                <w:sz w:val="14"/>
                <w:szCs w:val="14"/>
                <w:b w:val="1"/>
                <w:bCs w:val="1"/>
                <w:color w:val="auto"/>
              </w:rPr>
              <w:t>6.7%</w:t>
            </w:r>
          </w:p>
        </w:tc>
        <w:tc>
          <w:tcPr>
            <w:tcW w:w="0" w:type="dxa"/>
            <w:vAlign w:val="bottom"/>
          </w:tcPr>
          <w:p>
            <w:pPr>
              <w:spacing w:after="0"/>
              <w:rPr>
                <w:sz w:val="1"/>
                <w:szCs w:val="1"/>
                <w:color w:val="auto"/>
              </w:rPr>
            </w:pPr>
          </w:p>
        </w:tc>
      </w:tr>
      <w:tr>
        <w:trPr>
          <w:trHeight w:val="132"/>
        </w:trPr>
        <w:tc>
          <w:tcPr>
            <w:tcW w:w="5520" w:type="dxa"/>
            <w:vAlign w:val="bottom"/>
            <w:tcBorders>
              <w:left w:val="single" w:sz="8" w:color="auto"/>
              <w:bottom w:val="single" w:sz="8" w:color="auto"/>
              <w:right w:val="single" w:sz="8" w:color="auto"/>
            </w:tcBorders>
          </w:tcPr>
          <w:p>
            <w:pPr>
              <w:ind w:left="100"/>
              <w:spacing w:after="0" w:line="133" w:lineRule="exact"/>
              <w:rPr>
                <w:sz w:val="20"/>
                <w:szCs w:val="20"/>
                <w:color w:val="auto"/>
              </w:rPr>
            </w:pPr>
            <w:r>
              <w:rPr>
                <w:rFonts w:ascii="Times New Roman" w:cs="Times New Roman" w:eastAsia="Times New Roman" w:hAnsi="Times New Roman"/>
                <w:sz w:val="14"/>
                <w:szCs w:val="14"/>
                <w:b w:val="1"/>
                <w:bCs w:val="1"/>
                <w:color w:val="auto"/>
              </w:rPr>
              <w:t>Total Regulatory Tier 1 Capital (C)</w:t>
            </w:r>
          </w:p>
        </w:tc>
        <w:tc>
          <w:tcPr>
            <w:tcW w:w="1120" w:type="dxa"/>
            <w:vAlign w:val="bottom"/>
            <w:tcBorders>
              <w:bottom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5"/>
              </w:rPr>
              <w:t>33,123,084</w:t>
            </w:r>
          </w:p>
        </w:tc>
        <w:tc>
          <w:tcPr>
            <w:tcW w:w="1120" w:type="dxa"/>
            <w:vAlign w:val="bottom"/>
            <w:tcBorders>
              <w:bottom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5"/>
              </w:rPr>
              <w:t>34,932,743</w:t>
            </w:r>
          </w:p>
        </w:tc>
        <w:tc>
          <w:tcPr>
            <w:tcW w:w="114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8"/>
              </w:rPr>
              <w:t>35,350,180</w:t>
            </w:r>
          </w:p>
        </w:tc>
        <w:tc>
          <w:tcPr>
            <w:tcW w:w="800" w:type="dxa"/>
            <w:vAlign w:val="bottom"/>
            <w:tcBorders>
              <w:bottom w:val="single" w:sz="8" w:color="auto"/>
            </w:tcBorders>
          </w:tcPr>
          <w:p>
            <w:pPr>
              <w:jc w:val="center"/>
              <w:ind w:left="113"/>
              <w:spacing w:after="0" w:line="133" w:lineRule="exact"/>
              <w:rPr>
                <w:sz w:val="20"/>
                <w:szCs w:val="20"/>
                <w:color w:val="auto"/>
              </w:rPr>
            </w:pPr>
            <w:r>
              <w:rPr>
                <w:rFonts w:ascii="Times New Roman" w:cs="Times New Roman" w:eastAsia="Times New Roman" w:hAnsi="Times New Roman"/>
                <w:sz w:val="14"/>
                <w:szCs w:val="14"/>
                <w:b w:val="1"/>
                <w:bCs w:val="1"/>
                <w:color w:val="auto"/>
                <w:w w:val="95"/>
              </w:rPr>
              <w:t>1.2%</w:t>
            </w:r>
          </w:p>
        </w:tc>
        <w:tc>
          <w:tcPr>
            <w:tcW w:w="1560" w:type="dxa"/>
            <w:vAlign w:val="bottom"/>
            <w:tcBorders>
              <w:bottom w:val="single" w:sz="8" w:color="auto"/>
              <w:right w:val="single" w:sz="8" w:color="auto"/>
            </w:tcBorders>
          </w:tcPr>
          <w:p>
            <w:pPr>
              <w:jc w:val="center"/>
              <w:ind w:left="93"/>
              <w:spacing w:after="0" w:line="133" w:lineRule="exact"/>
              <w:rPr>
                <w:sz w:val="20"/>
                <w:szCs w:val="20"/>
                <w:color w:val="auto"/>
              </w:rPr>
            </w:pPr>
            <w:r>
              <w:rPr>
                <w:rFonts w:ascii="Times New Roman" w:cs="Times New Roman" w:eastAsia="Times New Roman" w:hAnsi="Times New Roman"/>
                <w:sz w:val="14"/>
                <w:szCs w:val="14"/>
                <w:b w:val="1"/>
                <w:bCs w:val="1"/>
                <w:color w:val="auto"/>
              </w:rPr>
              <w:t>6.7%</w:t>
            </w:r>
          </w:p>
        </w:tc>
        <w:tc>
          <w:tcPr>
            <w:tcW w:w="0" w:type="dxa"/>
            <w:vAlign w:val="bottom"/>
          </w:tcPr>
          <w:p>
            <w:pPr>
              <w:spacing w:after="0"/>
              <w:rPr>
                <w:sz w:val="1"/>
                <w:szCs w:val="1"/>
                <w:color w:val="auto"/>
              </w:rPr>
            </w:pPr>
          </w:p>
        </w:tc>
      </w:tr>
      <w:tr>
        <w:trPr>
          <w:trHeight w:val="132"/>
        </w:trPr>
        <w:tc>
          <w:tcPr>
            <w:tcW w:w="5520" w:type="dxa"/>
            <w:vAlign w:val="bottom"/>
            <w:tcBorders>
              <w:left w:val="single" w:sz="8" w:color="auto"/>
              <w:bottom w:val="single" w:sz="8" w:color="auto"/>
              <w:right w:val="single" w:sz="8" w:color="auto"/>
            </w:tcBorders>
            <w:shd w:val="clear" w:color="auto" w:fill="F2F2F2"/>
          </w:tcPr>
          <w:p>
            <w:pPr>
              <w:ind w:left="100"/>
              <w:spacing w:after="0" w:line="133" w:lineRule="exact"/>
              <w:rPr>
                <w:sz w:val="20"/>
                <w:szCs w:val="20"/>
                <w:color w:val="auto"/>
              </w:rPr>
            </w:pPr>
            <w:r>
              <w:rPr>
                <w:rFonts w:ascii="Times New Roman" w:cs="Times New Roman" w:eastAsia="Times New Roman" w:hAnsi="Times New Roman"/>
                <w:sz w:val="14"/>
                <w:szCs w:val="14"/>
                <w:color w:val="auto"/>
              </w:rPr>
              <w:t>Total Regulatory Capital Requirement (D)</w:t>
            </w:r>
          </w:p>
        </w:tc>
        <w:tc>
          <w:tcPr>
            <w:tcW w:w="1120" w:type="dxa"/>
            <w:vAlign w:val="bottom"/>
            <w:tcBorders>
              <w:bottom w:val="single" w:sz="8" w:color="auto"/>
            </w:tcBorders>
            <w:shd w:val="clear" w:color="auto" w:fill="F2F2F2"/>
          </w:tcPr>
          <w:p>
            <w:pPr>
              <w:jc w:val="center"/>
              <w:spacing w:after="0" w:line="133" w:lineRule="exact"/>
              <w:rPr>
                <w:sz w:val="20"/>
                <w:szCs w:val="20"/>
                <w:color w:val="auto"/>
              </w:rPr>
            </w:pPr>
            <w:r>
              <w:rPr>
                <w:rFonts w:ascii="Times New Roman" w:cs="Times New Roman" w:eastAsia="Times New Roman" w:hAnsi="Times New Roman"/>
                <w:sz w:val="14"/>
                <w:szCs w:val="14"/>
                <w:color w:val="auto"/>
                <w:w w:val="95"/>
              </w:rPr>
              <w:t>30,571,363</w:t>
            </w:r>
          </w:p>
        </w:tc>
        <w:tc>
          <w:tcPr>
            <w:tcW w:w="1120" w:type="dxa"/>
            <w:vAlign w:val="bottom"/>
            <w:tcBorders>
              <w:bottom w:val="single" w:sz="8" w:color="auto"/>
            </w:tcBorders>
            <w:shd w:val="clear" w:color="auto" w:fill="F2F2F2"/>
          </w:tcPr>
          <w:p>
            <w:pPr>
              <w:jc w:val="center"/>
              <w:spacing w:after="0" w:line="133" w:lineRule="exact"/>
              <w:rPr>
                <w:sz w:val="20"/>
                <w:szCs w:val="20"/>
                <w:color w:val="auto"/>
              </w:rPr>
            </w:pPr>
            <w:r>
              <w:rPr>
                <w:rFonts w:ascii="Times New Roman" w:cs="Times New Roman" w:eastAsia="Times New Roman" w:hAnsi="Times New Roman"/>
                <w:sz w:val="14"/>
                <w:szCs w:val="14"/>
                <w:color w:val="auto"/>
                <w:w w:val="95"/>
              </w:rPr>
              <w:t>32,346,541</w:t>
            </w:r>
          </w:p>
        </w:tc>
        <w:tc>
          <w:tcPr>
            <w:tcW w:w="1140" w:type="dxa"/>
            <w:vAlign w:val="bottom"/>
            <w:tcBorders>
              <w:bottom w:val="single" w:sz="8" w:color="auto"/>
              <w:right w:val="single" w:sz="8" w:color="auto"/>
            </w:tcBorders>
            <w:shd w:val="clear" w:color="auto" w:fill="F2F2F2"/>
          </w:tcPr>
          <w:p>
            <w:pPr>
              <w:jc w:val="center"/>
              <w:spacing w:after="0" w:line="133" w:lineRule="exact"/>
              <w:rPr>
                <w:sz w:val="20"/>
                <w:szCs w:val="20"/>
                <w:color w:val="auto"/>
              </w:rPr>
            </w:pPr>
            <w:r>
              <w:rPr>
                <w:rFonts w:ascii="Times New Roman" w:cs="Times New Roman" w:eastAsia="Times New Roman" w:hAnsi="Times New Roman"/>
                <w:sz w:val="14"/>
                <w:szCs w:val="14"/>
                <w:color w:val="auto"/>
                <w:w w:val="98"/>
              </w:rPr>
              <w:t>33,801,576</w:t>
            </w:r>
          </w:p>
        </w:tc>
        <w:tc>
          <w:tcPr>
            <w:tcW w:w="800" w:type="dxa"/>
            <w:vAlign w:val="bottom"/>
            <w:tcBorders>
              <w:bottom w:val="single" w:sz="8" w:color="auto"/>
            </w:tcBorders>
            <w:shd w:val="clear" w:color="auto" w:fill="F2F2F2"/>
          </w:tcPr>
          <w:p>
            <w:pPr>
              <w:jc w:val="center"/>
              <w:ind w:left="113"/>
              <w:spacing w:after="0" w:line="133" w:lineRule="exact"/>
              <w:rPr>
                <w:sz w:val="20"/>
                <w:szCs w:val="20"/>
                <w:color w:val="auto"/>
              </w:rPr>
            </w:pPr>
            <w:r>
              <w:rPr>
                <w:rFonts w:ascii="Times New Roman" w:cs="Times New Roman" w:eastAsia="Times New Roman" w:hAnsi="Times New Roman"/>
                <w:sz w:val="14"/>
                <w:szCs w:val="14"/>
                <w:b w:val="1"/>
                <w:bCs w:val="1"/>
                <w:color w:val="auto"/>
                <w:w w:val="95"/>
              </w:rPr>
              <w:t>4.5%</w:t>
            </w:r>
          </w:p>
        </w:tc>
        <w:tc>
          <w:tcPr>
            <w:tcW w:w="1560" w:type="dxa"/>
            <w:vAlign w:val="bottom"/>
            <w:tcBorders>
              <w:bottom w:val="single" w:sz="8" w:color="auto"/>
              <w:right w:val="single" w:sz="8" w:color="auto"/>
            </w:tcBorders>
            <w:shd w:val="clear" w:color="auto" w:fill="F2F2F2"/>
          </w:tcPr>
          <w:p>
            <w:pPr>
              <w:jc w:val="center"/>
              <w:ind w:left="93"/>
              <w:spacing w:after="0" w:line="133" w:lineRule="exact"/>
              <w:rPr>
                <w:sz w:val="20"/>
                <w:szCs w:val="20"/>
                <w:color w:val="auto"/>
              </w:rPr>
            </w:pPr>
            <w:r>
              <w:rPr>
                <w:rFonts w:ascii="Times New Roman" w:cs="Times New Roman" w:eastAsia="Times New Roman" w:hAnsi="Times New Roman"/>
                <w:sz w:val="14"/>
                <w:szCs w:val="14"/>
                <w:b w:val="1"/>
                <w:bCs w:val="1"/>
                <w:color w:val="auto"/>
                <w:w w:val="93"/>
              </w:rPr>
              <w:t>10.6%</w:t>
            </w:r>
          </w:p>
        </w:tc>
        <w:tc>
          <w:tcPr>
            <w:tcW w:w="0" w:type="dxa"/>
            <w:vAlign w:val="bottom"/>
          </w:tcPr>
          <w:p>
            <w:pPr>
              <w:spacing w:after="0"/>
              <w:rPr>
                <w:sz w:val="1"/>
                <w:szCs w:val="1"/>
                <w:color w:val="auto"/>
              </w:rPr>
            </w:pPr>
          </w:p>
        </w:tc>
      </w:tr>
      <w:tr>
        <w:trPr>
          <w:trHeight w:val="132"/>
        </w:trPr>
        <w:tc>
          <w:tcPr>
            <w:tcW w:w="5520" w:type="dxa"/>
            <w:vAlign w:val="bottom"/>
            <w:tcBorders>
              <w:left w:val="single" w:sz="8" w:color="auto"/>
              <w:bottom w:val="single" w:sz="8" w:color="auto"/>
              <w:right w:val="single" w:sz="8" w:color="auto"/>
            </w:tcBorders>
            <w:shd w:val="clear" w:color="auto" w:fill="F2F2F2"/>
          </w:tcPr>
          <w:p>
            <w:pPr>
              <w:ind w:left="100"/>
              <w:spacing w:after="0" w:line="133" w:lineRule="exact"/>
              <w:rPr>
                <w:sz w:val="20"/>
                <w:szCs w:val="20"/>
                <w:color w:val="auto"/>
              </w:rPr>
            </w:pPr>
            <w:r>
              <w:rPr>
                <w:rFonts w:ascii="Times New Roman" w:cs="Times New Roman" w:eastAsia="Times New Roman" w:hAnsi="Times New Roman"/>
                <w:sz w:val="14"/>
                <w:szCs w:val="14"/>
                <w:color w:val="auto"/>
              </w:rPr>
              <w:t>Total Regulatory Common Equity Tier 1 Capital Requirement (E)</w:t>
            </w:r>
          </w:p>
        </w:tc>
        <w:tc>
          <w:tcPr>
            <w:tcW w:w="1120" w:type="dxa"/>
            <w:vAlign w:val="bottom"/>
            <w:tcBorders>
              <w:bottom w:val="single" w:sz="8" w:color="auto"/>
            </w:tcBorders>
            <w:shd w:val="clear" w:color="auto" w:fill="F2F2F2"/>
          </w:tcPr>
          <w:p>
            <w:pPr>
              <w:jc w:val="center"/>
              <w:spacing w:after="0" w:line="133" w:lineRule="exact"/>
              <w:rPr>
                <w:sz w:val="20"/>
                <w:szCs w:val="20"/>
                <w:color w:val="auto"/>
              </w:rPr>
            </w:pPr>
            <w:r>
              <w:rPr>
                <w:rFonts w:ascii="Times New Roman" w:cs="Times New Roman" w:eastAsia="Times New Roman" w:hAnsi="Times New Roman"/>
                <w:sz w:val="14"/>
                <w:szCs w:val="14"/>
                <w:color w:val="auto"/>
                <w:w w:val="95"/>
              </w:rPr>
              <w:t>15,997,614</w:t>
            </w:r>
          </w:p>
        </w:tc>
        <w:tc>
          <w:tcPr>
            <w:tcW w:w="1120" w:type="dxa"/>
            <w:vAlign w:val="bottom"/>
            <w:tcBorders>
              <w:bottom w:val="single" w:sz="8" w:color="auto"/>
            </w:tcBorders>
            <w:shd w:val="clear" w:color="auto" w:fill="F2F2F2"/>
          </w:tcPr>
          <w:p>
            <w:pPr>
              <w:jc w:val="center"/>
              <w:spacing w:after="0" w:line="133" w:lineRule="exact"/>
              <w:rPr>
                <w:sz w:val="20"/>
                <w:szCs w:val="20"/>
                <w:color w:val="auto"/>
              </w:rPr>
            </w:pPr>
            <w:r>
              <w:rPr>
                <w:rFonts w:ascii="Times New Roman" w:cs="Times New Roman" w:eastAsia="Times New Roman" w:hAnsi="Times New Roman"/>
                <w:sz w:val="14"/>
                <w:szCs w:val="14"/>
                <w:color w:val="auto"/>
                <w:w w:val="95"/>
              </w:rPr>
              <w:t>17,499,583</w:t>
            </w:r>
          </w:p>
        </w:tc>
        <w:tc>
          <w:tcPr>
            <w:tcW w:w="1140" w:type="dxa"/>
            <w:vAlign w:val="bottom"/>
            <w:tcBorders>
              <w:bottom w:val="single" w:sz="8" w:color="auto"/>
              <w:right w:val="single" w:sz="8" w:color="auto"/>
            </w:tcBorders>
            <w:shd w:val="clear" w:color="auto" w:fill="F2F2F2"/>
          </w:tcPr>
          <w:p>
            <w:pPr>
              <w:jc w:val="center"/>
              <w:spacing w:after="0" w:line="133" w:lineRule="exact"/>
              <w:rPr>
                <w:sz w:val="20"/>
                <w:szCs w:val="20"/>
                <w:color w:val="auto"/>
              </w:rPr>
            </w:pPr>
            <w:r>
              <w:rPr>
                <w:rFonts w:ascii="Times New Roman" w:cs="Times New Roman" w:eastAsia="Times New Roman" w:hAnsi="Times New Roman"/>
                <w:sz w:val="14"/>
                <w:szCs w:val="14"/>
                <w:color w:val="auto"/>
                <w:w w:val="98"/>
              </w:rPr>
              <w:t>18,287,421</w:t>
            </w:r>
          </w:p>
        </w:tc>
        <w:tc>
          <w:tcPr>
            <w:tcW w:w="800" w:type="dxa"/>
            <w:vAlign w:val="bottom"/>
            <w:tcBorders>
              <w:bottom w:val="single" w:sz="8" w:color="auto"/>
            </w:tcBorders>
            <w:shd w:val="clear" w:color="auto" w:fill="F2F2F2"/>
          </w:tcPr>
          <w:p>
            <w:pPr>
              <w:jc w:val="center"/>
              <w:ind w:left="113"/>
              <w:spacing w:after="0" w:line="133" w:lineRule="exact"/>
              <w:rPr>
                <w:sz w:val="20"/>
                <w:szCs w:val="20"/>
                <w:color w:val="auto"/>
              </w:rPr>
            </w:pPr>
            <w:r>
              <w:rPr>
                <w:rFonts w:ascii="Times New Roman" w:cs="Times New Roman" w:eastAsia="Times New Roman" w:hAnsi="Times New Roman"/>
                <w:sz w:val="14"/>
                <w:szCs w:val="14"/>
                <w:b w:val="1"/>
                <w:bCs w:val="1"/>
                <w:color w:val="auto"/>
                <w:w w:val="95"/>
              </w:rPr>
              <w:t>4.5%</w:t>
            </w:r>
          </w:p>
        </w:tc>
        <w:tc>
          <w:tcPr>
            <w:tcW w:w="1560" w:type="dxa"/>
            <w:vAlign w:val="bottom"/>
            <w:tcBorders>
              <w:bottom w:val="single" w:sz="8" w:color="auto"/>
              <w:right w:val="single" w:sz="8" w:color="auto"/>
            </w:tcBorders>
            <w:shd w:val="clear" w:color="auto" w:fill="F2F2F2"/>
          </w:tcPr>
          <w:p>
            <w:pPr>
              <w:jc w:val="center"/>
              <w:ind w:left="93"/>
              <w:spacing w:after="0" w:line="133" w:lineRule="exact"/>
              <w:rPr>
                <w:sz w:val="20"/>
                <w:szCs w:val="20"/>
                <w:color w:val="auto"/>
              </w:rPr>
            </w:pPr>
            <w:r>
              <w:rPr>
                <w:rFonts w:ascii="Times New Roman" w:cs="Times New Roman" w:eastAsia="Times New Roman" w:hAnsi="Times New Roman"/>
                <w:sz w:val="14"/>
                <w:szCs w:val="14"/>
                <w:b w:val="1"/>
                <w:bCs w:val="1"/>
                <w:color w:val="auto"/>
                <w:w w:val="93"/>
              </w:rPr>
              <w:t>14.3%</w:t>
            </w:r>
          </w:p>
        </w:tc>
        <w:tc>
          <w:tcPr>
            <w:tcW w:w="0" w:type="dxa"/>
            <w:vAlign w:val="bottom"/>
          </w:tcPr>
          <w:p>
            <w:pPr>
              <w:spacing w:after="0"/>
              <w:rPr>
                <w:sz w:val="1"/>
                <w:szCs w:val="1"/>
                <w:color w:val="auto"/>
              </w:rPr>
            </w:pPr>
          </w:p>
        </w:tc>
      </w:tr>
      <w:tr>
        <w:trPr>
          <w:trHeight w:val="132"/>
        </w:trPr>
        <w:tc>
          <w:tcPr>
            <w:tcW w:w="5520" w:type="dxa"/>
            <w:vAlign w:val="bottom"/>
            <w:tcBorders>
              <w:left w:val="single" w:sz="8" w:color="auto"/>
              <w:bottom w:val="single" w:sz="8" w:color="auto"/>
              <w:right w:val="single" w:sz="8" w:color="auto"/>
            </w:tcBorders>
            <w:shd w:val="clear" w:color="auto" w:fill="F2F2F2"/>
          </w:tcPr>
          <w:p>
            <w:pPr>
              <w:ind w:left="100"/>
              <w:spacing w:after="0" w:line="133" w:lineRule="exact"/>
              <w:rPr>
                <w:sz w:val="20"/>
                <w:szCs w:val="20"/>
                <w:color w:val="auto"/>
              </w:rPr>
            </w:pPr>
            <w:r>
              <w:rPr>
                <w:rFonts w:ascii="Times New Roman" w:cs="Times New Roman" w:eastAsia="Times New Roman" w:hAnsi="Times New Roman"/>
                <w:sz w:val="14"/>
                <w:szCs w:val="14"/>
                <w:color w:val="auto"/>
              </w:rPr>
              <w:t>Total Regulatory Tier 1 Capital Requirement (F)</w:t>
            </w:r>
          </w:p>
        </w:tc>
        <w:tc>
          <w:tcPr>
            <w:tcW w:w="1120" w:type="dxa"/>
            <w:vAlign w:val="bottom"/>
            <w:tcBorders>
              <w:bottom w:val="single" w:sz="8" w:color="auto"/>
            </w:tcBorders>
            <w:shd w:val="clear" w:color="auto" w:fill="F2F2F2"/>
          </w:tcPr>
          <w:p>
            <w:pPr>
              <w:jc w:val="center"/>
              <w:spacing w:after="0" w:line="133" w:lineRule="exact"/>
              <w:rPr>
                <w:sz w:val="20"/>
                <w:szCs w:val="20"/>
                <w:color w:val="auto"/>
              </w:rPr>
            </w:pPr>
            <w:r>
              <w:rPr>
                <w:rFonts w:ascii="Times New Roman" w:cs="Times New Roman" w:eastAsia="Times New Roman" w:hAnsi="Times New Roman"/>
                <w:sz w:val="14"/>
                <w:szCs w:val="14"/>
                <w:color w:val="auto"/>
                <w:w w:val="95"/>
              </w:rPr>
              <w:t>19,424,645</w:t>
            </w:r>
          </w:p>
        </w:tc>
        <w:tc>
          <w:tcPr>
            <w:tcW w:w="1120" w:type="dxa"/>
            <w:vAlign w:val="bottom"/>
            <w:tcBorders>
              <w:bottom w:val="single" w:sz="8" w:color="auto"/>
            </w:tcBorders>
            <w:shd w:val="clear" w:color="auto" w:fill="F2F2F2"/>
          </w:tcPr>
          <w:p>
            <w:pPr>
              <w:jc w:val="center"/>
              <w:spacing w:after="0" w:line="133" w:lineRule="exact"/>
              <w:rPr>
                <w:sz w:val="20"/>
                <w:szCs w:val="20"/>
                <w:color w:val="auto"/>
              </w:rPr>
            </w:pPr>
            <w:r>
              <w:rPr>
                <w:rFonts w:ascii="Times New Roman" w:cs="Times New Roman" w:eastAsia="Times New Roman" w:hAnsi="Times New Roman"/>
                <w:sz w:val="14"/>
                <w:szCs w:val="14"/>
                <w:color w:val="auto"/>
                <w:w w:val="95"/>
              </w:rPr>
              <w:t>20,978,426</w:t>
            </w:r>
          </w:p>
        </w:tc>
        <w:tc>
          <w:tcPr>
            <w:tcW w:w="1140" w:type="dxa"/>
            <w:vAlign w:val="bottom"/>
            <w:tcBorders>
              <w:bottom w:val="single" w:sz="8" w:color="auto"/>
              <w:right w:val="single" w:sz="8" w:color="auto"/>
            </w:tcBorders>
            <w:shd w:val="clear" w:color="auto" w:fill="F2F2F2"/>
          </w:tcPr>
          <w:p>
            <w:pPr>
              <w:jc w:val="center"/>
              <w:spacing w:after="0" w:line="133" w:lineRule="exact"/>
              <w:rPr>
                <w:sz w:val="20"/>
                <w:szCs w:val="20"/>
                <w:color w:val="auto"/>
              </w:rPr>
            </w:pPr>
            <w:r>
              <w:rPr>
                <w:rFonts w:ascii="Times New Roman" w:cs="Times New Roman" w:eastAsia="Times New Roman" w:hAnsi="Times New Roman"/>
                <w:sz w:val="14"/>
                <w:szCs w:val="14"/>
                <w:color w:val="auto"/>
                <w:w w:val="98"/>
              </w:rPr>
              <w:t>21,925,953</w:t>
            </w:r>
          </w:p>
        </w:tc>
        <w:tc>
          <w:tcPr>
            <w:tcW w:w="800" w:type="dxa"/>
            <w:vAlign w:val="bottom"/>
            <w:tcBorders>
              <w:bottom w:val="single" w:sz="8" w:color="auto"/>
            </w:tcBorders>
            <w:shd w:val="clear" w:color="auto" w:fill="F2F2F2"/>
          </w:tcPr>
          <w:p>
            <w:pPr>
              <w:jc w:val="center"/>
              <w:ind w:left="113"/>
              <w:spacing w:after="0" w:line="133" w:lineRule="exact"/>
              <w:rPr>
                <w:sz w:val="20"/>
                <w:szCs w:val="20"/>
                <w:color w:val="auto"/>
              </w:rPr>
            </w:pPr>
            <w:r>
              <w:rPr>
                <w:rFonts w:ascii="Times New Roman" w:cs="Times New Roman" w:eastAsia="Times New Roman" w:hAnsi="Times New Roman"/>
                <w:sz w:val="14"/>
                <w:szCs w:val="14"/>
                <w:b w:val="1"/>
                <w:bCs w:val="1"/>
                <w:color w:val="auto"/>
                <w:w w:val="95"/>
              </w:rPr>
              <w:t>4.5%</w:t>
            </w:r>
          </w:p>
        </w:tc>
        <w:tc>
          <w:tcPr>
            <w:tcW w:w="1560" w:type="dxa"/>
            <w:vAlign w:val="bottom"/>
            <w:tcBorders>
              <w:bottom w:val="single" w:sz="8" w:color="auto"/>
              <w:right w:val="single" w:sz="8" w:color="auto"/>
            </w:tcBorders>
            <w:shd w:val="clear" w:color="auto" w:fill="F2F2F2"/>
          </w:tcPr>
          <w:p>
            <w:pPr>
              <w:jc w:val="center"/>
              <w:ind w:left="93"/>
              <w:spacing w:after="0" w:line="133" w:lineRule="exact"/>
              <w:rPr>
                <w:sz w:val="20"/>
                <w:szCs w:val="20"/>
                <w:color w:val="auto"/>
              </w:rPr>
            </w:pPr>
            <w:r>
              <w:rPr>
                <w:rFonts w:ascii="Times New Roman" w:cs="Times New Roman" w:eastAsia="Times New Roman" w:hAnsi="Times New Roman"/>
                <w:sz w:val="14"/>
                <w:szCs w:val="14"/>
                <w:b w:val="1"/>
                <w:bCs w:val="1"/>
                <w:color w:val="auto"/>
                <w:w w:val="93"/>
              </w:rPr>
              <w:t>12.9%</w:t>
            </w:r>
          </w:p>
        </w:tc>
        <w:tc>
          <w:tcPr>
            <w:tcW w:w="0" w:type="dxa"/>
            <w:vAlign w:val="bottom"/>
          </w:tcPr>
          <w:p>
            <w:pPr>
              <w:spacing w:after="0"/>
              <w:rPr>
                <w:sz w:val="1"/>
                <w:szCs w:val="1"/>
                <w:color w:val="auto"/>
              </w:rPr>
            </w:pPr>
          </w:p>
        </w:tc>
      </w:tr>
      <w:tr>
        <w:trPr>
          <w:trHeight w:val="132"/>
        </w:trPr>
        <w:tc>
          <w:tcPr>
            <w:tcW w:w="5520" w:type="dxa"/>
            <w:vAlign w:val="bottom"/>
            <w:tcBorders>
              <w:left w:val="single" w:sz="8" w:color="auto"/>
              <w:bottom w:val="single" w:sz="8" w:color="auto"/>
              <w:right w:val="single" w:sz="8" w:color="auto"/>
            </w:tcBorders>
          </w:tcPr>
          <w:p>
            <w:pPr>
              <w:ind w:left="100"/>
              <w:spacing w:after="0" w:line="133" w:lineRule="exact"/>
              <w:rPr>
                <w:sz w:val="20"/>
                <w:szCs w:val="20"/>
                <w:color w:val="auto"/>
              </w:rPr>
            </w:pPr>
            <w:r>
              <w:rPr>
                <w:rFonts w:ascii="Times New Roman" w:cs="Times New Roman" w:eastAsia="Times New Roman" w:hAnsi="Times New Roman"/>
                <w:sz w:val="14"/>
                <w:szCs w:val="14"/>
                <w:b w:val="1"/>
                <w:bCs w:val="1"/>
                <w:color w:val="auto"/>
              </w:rPr>
              <w:t>Regulatory Capital Ratio (A) / (D)</w:t>
            </w:r>
          </w:p>
        </w:tc>
        <w:tc>
          <w:tcPr>
            <w:tcW w:w="1120" w:type="dxa"/>
            <w:vAlign w:val="bottom"/>
            <w:tcBorders>
              <w:bottom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7"/>
              </w:rPr>
              <w:t>138%</w:t>
            </w:r>
          </w:p>
        </w:tc>
        <w:tc>
          <w:tcPr>
            <w:tcW w:w="1120" w:type="dxa"/>
            <w:vAlign w:val="bottom"/>
            <w:tcBorders>
              <w:bottom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7"/>
              </w:rPr>
              <w:t>135%</w:t>
            </w:r>
          </w:p>
        </w:tc>
        <w:tc>
          <w:tcPr>
            <w:tcW w:w="114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7"/>
              </w:rPr>
              <w:t>135%</w:t>
            </w:r>
          </w:p>
        </w:tc>
        <w:tc>
          <w:tcPr>
            <w:tcW w:w="800" w:type="dxa"/>
            <w:vAlign w:val="bottom"/>
            <w:tcBorders>
              <w:bottom w:val="single" w:sz="8" w:color="auto"/>
            </w:tcBorders>
          </w:tcPr>
          <w:p>
            <w:pPr>
              <w:jc w:val="center"/>
              <w:ind w:left="113"/>
              <w:spacing w:after="0" w:line="133" w:lineRule="exact"/>
              <w:rPr>
                <w:sz w:val="20"/>
                <w:szCs w:val="20"/>
                <w:color w:val="auto"/>
              </w:rPr>
            </w:pPr>
            <w:r>
              <w:rPr>
                <w:rFonts w:ascii="Times New Roman" w:cs="Times New Roman" w:eastAsia="Times New Roman" w:hAnsi="Times New Roman"/>
                <w:sz w:val="14"/>
                <w:szCs w:val="14"/>
                <w:b w:val="1"/>
                <w:bCs w:val="1"/>
                <w:color w:val="auto"/>
                <w:w w:val="94"/>
              </w:rPr>
              <w:t>(29)</w:t>
            </w:r>
          </w:p>
        </w:tc>
        <w:tc>
          <w:tcPr>
            <w:tcW w:w="1560" w:type="dxa"/>
            <w:vAlign w:val="bottom"/>
            <w:tcBorders>
              <w:bottom w:val="single" w:sz="8" w:color="auto"/>
              <w:right w:val="single" w:sz="8" w:color="auto"/>
            </w:tcBorders>
          </w:tcPr>
          <w:p>
            <w:pPr>
              <w:jc w:val="center"/>
              <w:ind w:left="93"/>
              <w:spacing w:after="0" w:line="133" w:lineRule="exact"/>
              <w:rPr>
                <w:sz w:val="20"/>
                <w:szCs w:val="20"/>
                <w:color w:val="auto"/>
              </w:rPr>
            </w:pPr>
            <w:r>
              <w:rPr>
                <w:rFonts w:ascii="Times New Roman" w:cs="Times New Roman" w:eastAsia="Times New Roman" w:hAnsi="Times New Roman"/>
                <w:sz w:val="14"/>
                <w:szCs w:val="14"/>
                <w:b w:val="1"/>
                <w:bCs w:val="1"/>
                <w:color w:val="auto"/>
                <w:w w:val="95"/>
              </w:rPr>
              <w:t>-300 bps</w:t>
            </w:r>
          </w:p>
        </w:tc>
        <w:tc>
          <w:tcPr>
            <w:tcW w:w="0" w:type="dxa"/>
            <w:vAlign w:val="bottom"/>
          </w:tcPr>
          <w:p>
            <w:pPr>
              <w:spacing w:after="0"/>
              <w:rPr>
                <w:sz w:val="1"/>
                <w:szCs w:val="1"/>
                <w:color w:val="auto"/>
              </w:rPr>
            </w:pPr>
          </w:p>
        </w:tc>
      </w:tr>
      <w:tr>
        <w:trPr>
          <w:trHeight w:val="132"/>
        </w:trPr>
        <w:tc>
          <w:tcPr>
            <w:tcW w:w="5520" w:type="dxa"/>
            <w:vAlign w:val="bottom"/>
            <w:tcBorders>
              <w:left w:val="single" w:sz="8" w:color="auto"/>
              <w:bottom w:val="single" w:sz="8" w:color="auto"/>
              <w:right w:val="single" w:sz="8" w:color="auto"/>
            </w:tcBorders>
          </w:tcPr>
          <w:p>
            <w:pPr>
              <w:ind w:left="100"/>
              <w:spacing w:after="0" w:line="133" w:lineRule="exact"/>
              <w:rPr>
                <w:sz w:val="20"/>
                <w:szCs w:val="20"/>
                <w:color w:val="auto"/>
              </w:rPr>
            </w:pPr>
            <w:r>
              <w:rPr>
                <w:rFonts w:ascii="Times New Roman" w:cs="Times New Roman" w:eastAsia="Times New Roman" w:hAnsi="Times New Roman"/>
                <w:sz w:val="14"/>
                <w:szCs w:val="14"/>
                <w:b w:val="1"/>
                <w:bCs w:val="1"/>
                <w:color w:val="auto"/>
              </w:rPr>
              <w:t>Regulatory Common Equity Tier 1 Capital Ratio (B) / (E)</w:t>
            </w:r>
          </w:p>
        </w:tc>
        <w:tc>
          <w:tcPr>
            <w:tcW w:w="1120" w:type="dxa"/>
            <w:vAlign w:val="bottom"/>
            <w:tcBorders>
              <w:bottom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7"/>
              </w:rPr>
              <w:t>207%</w:t>
            </w:r>
          </w:p>
        </w:tc>
        <w:tc>
          <w:tcPr>
            <w:tcW w:w="1120" w:type="dxa"/>
            <w:vAlign w:val="bottom"/>
            <w:tcBorders>
              <w:bottom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7"/>
              </w:rPr>
              <w:t>200%</w:t>
            </w:r>
          </w:p>
        </w:tc>
        <w:tc>
          <w:tcPr>
            <w:tcW w:w="114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7"/>
              </w:rPr>
              <w:t>193%</w:t>
            </w:r>
          </w:p>
        </w:tc>
        <w:tc>
          <w:tcPr>
            <w:tcW w:w="800" w:type="dxa"/>
            <w:vAlign w:val="bottom"/>
            <w:tcBorders>
              <w:bottom w:val="single" w:sz="8" w:color="auto"/>
            </w:tcBorders>
          </w:tcPr>
          <w:p>
            <w:pPr>
              <w:jc w:val="center"/>
              <w:ind w:left="113"/>
              <w:spacing w:after="0" w:line="133" w:lineRule="exact"/>
              <w:rPr>
                <w:sz w:val="20"/>
                <w:szCs w:val="20"/>
                <w:color w:val="auto"/>
              </w:rPr>
            </w:pPr>
            <w:r>
              <w:rPr>
                <w:rFonts w:ascii="Times New Roman" w:cs="Times New Roman" w:eastAsia="Times New Roman" w:hAnsi="Times New Roman"/>
                <w:sz w:val="14"/>
                <w:szCs w:val="14"/>
                <w:b w:val="1"/>
                <w:bCs w:val="1"/>
                <w:color w:val="auto"/>
                <w:w w:val="98"/>
              </w:rPr>
              <w:t>(632)</w:t>
            </w:r>
          </w:p>
        </w:tc>
        <w:tc>
          <w:tcPr>
            <w:tcW w:w="1560" w:type="dxa"/>
            <w:vAlign w:val="bottom"/>
            <w:tcBorders>
              <w:bottom w:val="single" w:sz="8" w:color="auto"/>
              <w:right w:val="single" w:sz="8" w:color="auto"/>
            </w:tcBorders>
          </w:tcPr>
          <w:p>
            <w:pPr>
              <w:jc w:val="center"/>
              <w:ind w:left="93"/>
              <w:spacing w:after="0" w:line="133" w:lineRule="exact"/>
              <w:rPr>
                <w:sz w:val="20"/>
                <w:szCs w:val="20"/>
                <w:color w:val="auto"/>
              </w:rPr>
            </w:pPr>
            <w:r>
              <w:rPr>
                <w:rFonts w:ascii="Times New Roman" w:cs="Times New Roman" w:eastAsia="Times New Roman" w:hAnsi="Times New Roman"/>
                <w:sz w:val="14"/>
                <w:szCs w:val="14"/>
                <w:b w:val="1"/>
                <w:bCs w:val="1"/>
                <w:color w:val="auto"/>
                <w:w w:val="97"/>
              </w:rPr>
              <w:t>-1375 bps</w:t>
            </w:r>
          </w:p>
        </w:tc>
        <w:tc>
          <w:tcPr>
            <w:tcW w:w="0" w:type="dxa"/>
            <w:vAlign w:val="bottom"/>
          </w:tcPr>
          <w:p>
            <w:pPr>
              <w:spacing w:after="0"/>
              <w:rPr>
                <w:sz w:val="1"/>
                <w:szCs w:val="1"/>
                <w:color w:val="auto"/>
              </w:rPr>
            </w:pPr>
          </w:p>
        </w:tc>
      </w:tr>
      <w:tr>
        <w:trPr>
          <w:trHeight w:val="132"/>
        </w:trPr>
        <w:tc>
          <w:tcPr>
            <w:tcW w:w="5520" w:type="dxa"/>
            <w:vAlign w:val="bottom"/>
            <w:tcBorders>
              <w:left w:val="single" w:sz="8" w:color="auto"/>
              <w:bottom w:val="single" w:sz="8" w:color="auto"/>
              <w:right w:val="single" w:sz="8" w:color="auto"/>
            </w:tcBorders>
          </w:tcPr>
          <w:p>
            <w:pPr>
              <w:ind w:left="100"/>
              <w:spacing w:after="0" w:line="133" w:lineRule="exact"/>
              <w:rPr>
                <w:sz w:val="20"/>
                <w:szCs w:val="20"/>
                <w:color w:val="auto"/>
              </w:rPr>
            </w:pPr>
            <w:r>
              <w:rPr>
                <w:rFonts w:ascii="Times New Roman" w:cs="Times New Roman" w:eastAsia="Times New Roman" w:hAnsi="Times New Roman"/>
                <w:sz w:val="14"/>
                <w:szCs w:val="14"/>
                <w:b w:val="1"/>
                <w:bCs w:val="1"/>
                <w:color w:val="auto"/>
              </w:rPr>
              <w:t>Regulatory Tier 1 Capital Ratio (C) / (F)</w:t>
            </w:r>
          </w:p>
        </w:tc>
        <w:tc>
          <w:tcPr>
            <w:tcW w:w="1120" w:type="dxa"/>
            <w:vAlign w:val="bottom"/>
            <w:tcBorders>
              <w:bottom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7"/>
              </w:rPr>
              <w:t>171%</w:t>
            </w:r>
          </w:p>
        </w:tc>
        <w:tc>
          <w:tcPr>
            <w:tcW w:w="1120" w:type="dxa"/>
            <w:vAlign w:val="bottom"/>
            <w:tcBorders>
              <w:bottom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7"/>
              </w:rPr>
              <w:t>167%</w:t>
            </w:r>
          </w:p>
        </w:tc>
        <w:tc>
          <w:tcPr>
            <w:tcW w:w="114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7"/>
              </w:rPr>
              <w:t>161%</w:t>
            </w:r>
          </w:p>
        </w:tc>
        <w:tc>
          <w:tcPr>
            <w:tcW w:w="800" w:type="dxa"/>
            <w:vAlign w:val="bottom"/>
            <w:tcBorders>
              <w:bottom w:val="single" w:sz="8" w:color="auto"/>
            </w:tcBorders>
          </w:tcPr>
          <w:p>
            <w:pPr>
              <w:jc w:val="center"/>
              <w:ind w:left="113"/>
              <w:spacing w:after="0" w:line="133" w:lineRule="exact"/>
              <w:rPr>
                <w:sz w:val="20"/>
                <w:szCs w:val="20"/>
                <w:color w:val="auto"/>
              </w:rPr>
            </w:pPr>
            <w:r>
              <w:rPr>
                <w:rFonts w:ascii="Times New Roman" w:cs="Times New Roman" w:eastAsia="Times New Roman" w:hAnsi="Times New Roman"/>
                <w:sz w:val="14"/>
                <w:szCs w:val="14"/>
                <w:b w:val="1"/>
                <w:bCs w:val="1"/>
                <w:color w:val="auto"/>
                <w:w w:val="98"/>
              </w:rPr>
              <w:t>(529)</w:t>
            </w:r>
          </w:p>
        </w:tc>
        <w:tc>
          <w:tcPr>
            <w:tcW w:w="1560" w:type="dxa"/>
            <w:vAlign w:val="bottom"/>
            <w:tcBorders>
              <w:bottom w:val="single" w:sz="8" w:color="auto"/>
              <w:right w:val="single" w:sz="8" w:color="auto"/>
            </w:tcBorders>
          </w:tcPr>
          <w:p>
            <w:pPr>
              <w:jc w:val="center"/>
              <w:ind w:left="93"/>
              <w:spacing w:after="0" w:line="133" w:lineRule="exact"/>
              <w:rPr>
                <w:sz w:val="20"/>
                <w:szCs w:val="20"/>
                <w:color w:val="auto"/>
              </w:rPr>
            </w:pPr>
            <w:r>
              <w:rPr>
                <w:rFonts w:ascii="Times New Roman" w:cs="Times New Roman" w:eastAsia="Times New Roman" w:hAnsi="Times New Roman"/>
                <w:sz w:val="14"/>
                <w:szCs w:val="14"/>
                <w:b w:val="1"/>
                <w:bCs w:val="1"/>
                <w:color w:val="auto"/>
                <w:w w:val="95"/>
              </w:rPr>
              <w:t>-930 bps</w:t>
            </w:r>
          </w:p>
        </w:tc>
        <w:tc>
          <w:tcPr>
            <w:tcW w:w="0" w:type="dxa"/>
            <w:vAlign w:val="bottom"/>
          </w:tcPr>
          <w:p>
            <w:pPr>
              <w:spacing w:after="0"/>
              <w:rPr>
                <w:sz w:val="1"/>
                <w:szCs w:val="1"/>
                <w:color w:val="auto"/>
              </w:rPr>
            </w:pPr>
          </w:p>
        </w:tc>
      </w:tr>
    </w:tbl>
    <w:p>
      <w:pPr>
        <w:spacing w:after="0" w:line="111" w:lineRule="exact"/>
        <w:rPr>
          <w:sz w:val="20"/>
          <w:szCs w:val="20"/>
          <w:color w:val="auto"/>
        </w:rPr>
      </w:pPr>
    </w:p>
    <w:p>
      <w:pPr>
        <w:ind w:left="780" w:hanging="169"/>
        <w:spacing w:after="0"/>
        <w:tabs>
          <w:tab w:leader="none" w:pos="78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Earnings include Banco de Crédito del Perú and Mibanco Perú. Losses include all subsidiaries.</w:t>
      </w:r>
    </w:p>
    <w:p>
      <w:pPr>
        <w:ind w:left="780" w:hanging="169"/>
        <w:spacing w:after="0" w:line="220" w:lineRule="auto"/>
        <w:tabs>
          <w:tab w:leader="none" w:pos="78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Gains include Investment Grade Government Bonds and Peruvian Central Bank Certificates of Deposits. Losses include all bonds.</w:t>
      </w:r>
    </w:p>
    <w:p>
      <w:pPr>
        <w:ind w:left="780" w:hanging="169"/>
        <w:spacing w:after="0" w:line="220" w:lineRule="auto"/>
        <w:tabs>
          <w:tab w:leader="none" w:pos="78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Different to Goodwill. Includes Diferred Tax Assets.</w:t>
      </w:r>
    </w:p>
    <w:p>
      <w:pPr>
        <w:ind w:left="780" w:hanging="169"/>
        <w:spacing w:after="0" w:line="220" w:lineRule="auto"/>
        <w:tabs>
          <w:tab w:leader="none" w:pos="78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Investments in Equity.</w:t>
      </w:r>
    </w:p>
    <w:p>
      <w:pPr>
        <w:ind w:left="780" w:hanging="169"/>
        <w:spacing w:after="0" w:line="220" w:lineRule="auto"/>
        <w:tabs>
          <w:tab w:leader="none" w:pos="78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Up to 1.25% of total risk-weighted assets of Banco de Crédito del Perú, Solución Empresa Administradora Hipotecaria, Mibanco and Atlantic Security Bank.</w:t>
      </w:r>
    </w:p>
    <w:p>
      <w:pPr>
        <w:ind w:left="780" w:hanging="169"/>
        <w:spacing w:after="0"/>
        <w:tabs>
          <w:tab w:leader="none" w:pos="78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Investments in Tier 2 Subordinated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938530</wp:posOffset>
            </wp:positionV>
            <wp:extent cx="7140575" cy="1587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0575" cy="15875"/>
                    </a:xfrm>
                    <a:prstGeom prst="rect">
                      <a:avLst/>
                    </a:prstGeom>
                    <a:noFill/>
                  </pic:spPr>
                </pic:pic>
              </a:graphicData>
            </a:graphic>
          </wp:anchor>
        </w:drawing>
        <w:drawing>
          <wp:anchor simplePos="0" relativeHeight="251657728" behindDoc="1" locked="0" layoutInCell="0" allowOverlap="1">
            <wp:simplePos x="0" y="0"/>
            <wp:positionH relativeFrom="column">
              <wp:posOffset>331470</wp:posOffset>
            </wp:positionH>
            <wp:positionV relativeFrom="paragraph">
              <wp:posOffset>124460</wp:posOffset>
            </wp:positionV>
            <wp:extent cx="6447155" cy="51562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447155" cy="515620"/>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52" w:name="page53"/>
    <w:bookmarkEnd w:id="52"/>
    <w:p>
      <w:pPr>
        <w:ind w:left="3200"/>
        <w:spacing w:after="0"/>
        <w:tabs>
          <w:tab w:leader="none" w:pos="3380" w:val="left"/>
          <w:tab w:leader="none" w:pos="9060" w:val="left"/>
        </w:tabs>
        <w:rPr>
          <w:sz w:val="20"/>
          <w:szCs w:val="20"/>
          <w:color w:val="auto"/>
        </w:rPr>
      </w:pPr>
      <w:r>
        <w:rPr>
          <w:rFonts w:ascii="Times New Roman" w:cs="Times New Roman" w:eastAsia="Times New Roman" w:hAnsi="Times New Roman"/>
          <w:sz w:val="17"/>
          <w:szCs w:val="17"/>
          <w:color w:val="A6A6A6"/>
        </w:rPr>
        <w:drawing>
          <wp:anchor simplePos="0" relativeHeight="251657728" behindDoc="1" locked="0" layoutInCell="0" allowOverlap="1">
            <wp:simplePos x="0" y="0"/>
            <wp:positionH relativeFrom="page">
              <wp:posOffset>204470</wp:posOffset>
            </wp:positionH>
            <wp:positionV relativeFrom="page">
              <wp:posOffset>217805</wp:posOffset>
            </wp:positionV>
            <wp:extent cx="7140575" cy="69278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0575" cy="692785"/>
                    </a:xfrm>
                    <a:prstGeom prst="rect">
                      <a:avLst/>
                    </a:prstGeom>
                    <a:noFill/>
                  </pic:spPr>
                </pic:pic>
              </a:graphicData>
            </a:graphic>
          </wp:anchor>
        </w:drawing>
        <w:t>|</w:t>
      </w:r>
      <w:r>
        <w:rPr>
          <w:sz w:val="20"/>
          <w:szCs w:val="20"/>
          <w:color w:val="auto"/>
        </w:rPr>
        <w:tab/>
      </w:r>
      <w:r>
        <w:rPr>
          <w:rFonts w:ascii="Times New Roman" w:cs="Times New Roman" w:eastAsia="Times New Roman" w:hAnsi="Times New Roman"/>
          <w:sz w:val="14"/>
          <w:szCs w:val="14"/>
          <w:color w:val="FFFFFF"/>
        </w:rPr>
        <w:t>Earnings Release 1Q / 2026</w:t>
      </w:r>
      <w:r>
        <w:rPr>
          <w:sz w:val="20"/>
          <w:szCs w:val="20"/>
          <w:color w:val="auto"/>
        </w:rPr>
        <w:tab/>
      </w:r>
      <w:r>
        <w:rPr>
          <w:rFonts w:ascii="Times New Roman" w:cs="Times New Roman" w:eastAsia="Times New Roman" w:hAnsi="Times New Roman"/>
          <w:sz w:val="12"/>
          <w:szCs w:val="12"/>
          <w:color w:val="FF00FF"/>
        </w:rPr>
        <w:t>Analysis of 1Q26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297180</wp:posOffset>
            </wp:positionV>
            <wp:extent cx="7140575" cy="20955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40575" cy="20955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FFFFFF"/>
        </w:rPr>
        <w:t>12. Appendix</w:t>
      </w:r>
    </w:p>
    <w:p>
      <w:pPr>
        <w:spacing w:after="0" w:line="2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Regulatory and Capital Adequacy Ratios at BCP Stand-alone</w:t>
      </w:r>
    </w:p>
    <w:p>
      <w:pPr>
        <w:spacing w:after="0" w:line="211" w:lineRule="exact"/>
        <w:rPr>
          <w:sz w:val="20"/>
          <w:szCs w:val="20"/>
          <w:color w:val="auto"/>
        </w:rPr>
      </w:pPr>
    </w:p>
    <w:tbl>
      <w:tblPr>
        <w:tblLayout w:type="fixed"/>
        <w:tblInd w:w="10" w:type="dxa"/>
        <w:tblCellMar>
          <w:top w:w="0" w:type="dxa"/>
          <w:left w:w="0" w:type="dxa"/>
          <w:bottom w:w="0" w:type="dxa"/>
          <w:right w:w="0" w:type="dxa"/>
        </w:tblCellMar>
      </w:tblPr>
      <w:tr>
        <w:trPr>
          <w:trHeight w:val="128"/>
        </w:trPr>
        <w:tc>
          <w:tcPr>
            <w:tcW w:w="5660" w:type="dxa"/>
            <w:vAlign w:val="bottom"/>
            <w:tcBorders>
              <w:top w:val="single" w:sz="8" w:color="auto"/>
              <w:left w:val="single" w:sz="8" w:color="auto"/>
              <w:right w:val="single" w:sz="8" w:color="auto"/>
            </w:tcBorders>
            <w:shd w:val="clear" w:color="auto" w:fill="2AD2C9"/>
          </w:tcPr>
          <w:p>
            <w:pPr>
              <w:ind w:left="60"/>
              <w:spacing w:after="0" w:line="128" w:lineRule="exact"/>
              <w:rPr>
                <w:sz w:val="20"/>
                <w:szCs w:val="20"/>
                <w:color w:val="auto"/>
              </w:rPr>
            </w:pPr>
            <w:r>
              <w:rPr>
                <w:rFonts w:ascii="Times New Roman" w:cs="Times New Roman" w:eastAsia="Times New Roman" w:hAnsi="Times New Roman"/>
                <w:sz w:val="14"/>
                <w:szCs w:val="14"/>
                <w:b w:val="1"/>
                <w:bCs w:val="1"/>
                <w:color w:val="FFFFFF"/>
              </w:rPr>
              <w:t>Regulatory Capital</w:t>
            </w:r>
          </w:p>
        </w:tc>
        <w:tc>
          <w:tcPr>
            <w:tcW w:w="1280" w:type="dxa"/>
            <w:vAlign w:val="bottom"/>
            <w:tcBorders>
              <w:top w:val="single" w:sz="8" w:color="auto"/>
            </w:tcBorders>
            <w:shd w:val="clear" w:color="auto" w:fill="2AD2C9"/>
          </w:tcPr>
          <w:p>
            <w:pPr>
              <w:spacing w:after="0"/>
              <w:rPr>
                <w:sz w:val="11"/>
                <w:szCs w:val="11"/>
                <w:color w:val="auto"/>
              </w:rPr>
            </w:pPr>
          </w:p>
        </w:tc>
        <w:tc>
          <w:tcPr>
            <w:tcW w:w="1160" w:type="dxa"/>
            <w:vAlign w:val="bottom"/>
            <w:tcBorders>
              <w:top w:val="single" w:sz="8" w:color="auto"/>
            </w:tcBorders>
            <w:shd w:val="clear" w:color="auto" w:fill="2AD2C9"/>
          </w:tcPr>
          <w:p>
            <w:pPr>
              <w:jc w:val="center"/>
              <w:spacing w:after="0" w:line="128" w:lineRule="exact"/>
              <w:rPr>
                <w:sz w:val="20"/>
                <w:szCs w:val="20"/>
                <w:color w:val="auto"/>
              </w:rPr>
            </w:pPr>
            <w:r>
              <w:rPr>
                <w:rFonts w:ascii="Times New Roman" w:cs="Times New Roman" w:eastAsia="Times New Roman" w:hAnsi="Times New Roman"/>
                <w:sz w:val="14"/>
                <w:szCs w:val="14"/>
                <w:b w:val="1"/>
                <w:bCs w:val="1"/>
                <w:color w:val="FFFFFF"/>
                <w:w w:val="93"/>
              </w:rPr>
              <w:t>Quarter</w:t>
            </w:r>
          </w:p>
        </w:tc>
        <w:tc>
          <w:tcPr>
            <w:tcW w:w="1280" w:type="dxa"/>
            <w:vAlign w:val="bottom"/>
            <w:tcBorders>
              <w:top w:val="single" w:sz="8" w:color="auto"/>
              <w:right w:val="single" w:sz="8" w:color="auto"/>
            </w:tcBorders>
            <w:shd w:val="clear" w:color="auto" w:fill="2AD2C9"/>
          </w:tcPr>
          <w:p>
            <w:pPr>
              <w:spacing w:after="0"/>
              <w:rPr>
                <w:sz w:val="11"/>
                <w:szCs w:val="11"/>
                <w:color w:val="auto"/>
              </w:rPr>
            </w:pPr>
          </w:p>
        </w:tc>
        <w:tc>
          <w:tcPr>
            <w:tcW w:w="1880" w:type="dxa"/>
            <w:vAlign w:val="bottom"/>
            <w:tcBorders>
              <w:top w:val="single" w:sz="8" w:color="auto"/>
              <w:right w:val="single" w:sz="8" w:color="auto"/>
            </w:tcBorders>
            <w:gridSpan w:val="2"/>
            <w:shd w:val="clear" w:color="auto" w:fill="2AD2C9"/>
          </w:tcPr>
          <w:p>
            <w:pPr>
              <w:ind w:left="600"/>
              <w:spacing w:after="0" w:line="128" w:lineRule="exact"/>
              <w:rPr>
                <w:sz w:val="20"/>
                <w:szCs w:val="20"/>
                <w:color w:val="auto"/>
              </w:rPr>
            </w:pPr>
            <w:r>
              <w:rPr>
                <w:rFonts w:ascii="Times New Roman" w:cs="Times New Roman" w:eastAsia="Times New Roman" w:hAnsi="Times New Roman"/>
                <w:sz w:val="14"/>
                <w:szCs w:val="14"/>
                <w:b w:val="1"/>
                <w:bCs w:val="1"/>
                <w:color w:val="FFFFFF"/>
              </w:rPr>
              <w:t>% Change</w:t>
            </w:r>
          </w:p>
        </w:tc>
      </w:tr>
      <w:tr>
        <w:trPr>
          <w:trHeight w:val="164"/>
        </w:trPr>
        <w:tc>
          <w:tcPr>
            <w:tcW w:w="5660" w:type="dxa"/>
            <w:vAlign w:val="bottom"/>
            <w:tcBorders>
              <w:left w:val="single" w:sz="8" w:color="auto"/>
              <w:bottom w:val="single" w:sz="8" w:color="auto"/>
              <w:right w:val="single" w:sz="8" w:color="auto"/>
            </w:tcBorders>
            <w:shd w:val="clear" w:color="auto" w:fill="2AD2C9"/>
          </w:tcPr>
          <w:p>
            <w:pPr>
              <w:ind w:left="100"/>
              <w:spacing w:after="0"/>
              <w:rPr>
                <w:sz w:val="20"/>
                <w:szCs w:val="20"/>
                <w:color w:val="auto"/>
              </w:rPr>
            </w:pPr>
            <w:r>
              <w:rPr>
                <w:rFonts w:ascii="Times New Roman" w:cs="Times New Roman" w:eastAsia="Times New Roman" w:hAnsi="Times New Roman"/>
                <w:sz w:val="14"/>
                <w:szCs w:val="14"/>
                <w:color w:val="FFFFFF"/>
              </w:rPr>
              <w:t>(S/ thousand)</w:t>
            </w:r>
          </w:p>
        </w:tc>
        <w:tc>
          <w:tcPr>
            <w:tcW w:w="1280" w:type="dxa"/>
            <w:vAlign w:val="bottom"/>
            <w:tcBorders>
              <w:bottom w:val="single" w:sz="8" w:color="auto"/>
            </w:tcBorders>
            <w:shd w:val="clear" w:color="auto" w:fill="2AD2C9"/>
          </w:tcPr>
          <w:p>
            <w:pPr>
              <w:jc w:val="center"/>
              <w:ind w:right="33"/>
              <w:spacing w:after="0"/>
              <w:rPr>
                <w:sz w:val="20"/>
                <w:szCs w:val="20"/>
                <w:color w:val="auto"/>
              </w:rPr>
            </w:pPr>
            <w:r>
              <w:rPr>
                <w:rFonts w:ascii="Times New Roman" w:cs="Times New Roman" w:eastAsia="Times New Roman" w:hAnsi="Times New Roman"/>
                <w:sz w:val="14"/>
                <w:szCs w:val="14"/>
                <w:b w:val="1"/>
                <w:bCs w:val="1"/>
                <w:color w:val="FFFFFF"/>
                <w:w w:val="95"/>
              </w:rPr>
              <w:t>Mar 25</w:t>
            </w:r>
          </w:p>
        </w:tc>
        <w:tc>
          <w:tcPr>
            <w:tcW w:w="1160" w:type="dxa"/>
            <w:vAlign w:val="bottom"/>
            <w:tcBorders>
              <w:bottom w:val="single" w:sz="8" w:color="auto"/>
            </w:tcBorders>
            <w:shd w:val="clear" w:color="auto" w:fill="2AD2C9"/>
          </w:tcPr>
          <w:p>
            <w:pPr>
              <w:jc w:val="center"/>
              <w:spacing w:after="0"/>
              <w:rPr>
                <w:sz w:val="20"/>
                <w:szCs w:val="20"/>
                <w:color w:val="auto"/>
              </w:rPr>
            </w:pPr>
            <w:r>
              <w:rPr>
                <w:rFonts w:ascii="Times New Roman" w:cs="Times New Roman" w:eastAsia="Times New Roman" w:hAnsi="Times New Roman"/>
                <w:sz w:val="14"/>
                <w:szCs w:val="14"/>
                <w:b w:val="1"/>
                <w:bCs w:val="1"/>
                <w:color w:val="FFFFFF"/>
                <w:w w:val="94"/>
              </w:rPr>
              <w:t>Dec 25</w:t>
            </w:r>
          </w:p>
        </w:tc>
        <w:tc>
          <w:tcPr>
            <w:tcW w:w="1280" w:type="dxa"/>
            <w:vAlign w:val="bottom"/>
            <w:tcBorders>
              <w:bottom w:val="single" w:sz="8" w:color="auto"/>
              <w:right w:val="single" w:sz="8" w:color="auto"/>
            </w:tcBorders>
            <w:shd w:val="clear" w:color="auto" w:fill="2AD2C9"/>
          </w:tcPr>
          <w:p>
            <w:pPr>
              <w:ind w:left="420"/>
              <w:spacing w:after="0"/>
              <w:rPr>
                <w:sz w:val="20"/>
                <w:szCs w:val="20"/>
                <w:color w:val="auto"/>
              </w:rPr>
            </w:pPr>
            <w:r>
              <w:rPr>
                <w:rFonts w:ascii="Times New Roman" w:cs="Times New Roman" w:eastAsia="Times New Roman" w:hAnsi="Times New Roman"/>
                <w:sz w:val="14"/>
                <w:szCs w:val="14"/>
                <w:b w:val="1"/>
                <w:bCs w:val="1"/>
                <w:color w:val="FFFFFF"/>
              </w:rPr>
              <w:t>Mar 26</w:t>
            </w:r>
          </w:p>
        </w:tc>
        <w:tc>
          <w:tcPr>
            <w:tcW w:w="960" w:type="dxa"/>
            <w:vAlign w:val="bottom"/>
            <w:tcBorders>
              <w:bottom w:val="single" w:sz="8" w:color="auto"/>
            </w:tcBorders>
            <w:shd w:val="clear" w:color="auto" w:fill="2AD2C9"/>
          </w:tcPr>
          <w:p>
            <w:pPr>
              <w:jc w:val="center"/>
              <w:spacing w:after="0"/>
              <w:rPr>
                <w:sz w:val="20"/>
                <w:szCs w:val="20"/>
                <w:color w:val="auto"/>
              </w:rPr>
            </w:pPr>
            <w:r>
              <w:rPr>
                <w:rFonts w:ascii="Times New Roman" w:cs="Times New Roman" w:eastAsia="Times New Roman" w:hAnsi="Times New Roman"/>
                <w:sz w:val="14"/>
                <w:szCs w:val="14"/>
                <w:b w:val="1"/>
                <w:bCs w:val="1"/>
                <w:color w:val="FFFFFF"/>
                <w:w w:val="90"/>
              </w:rPr>
              <w:t>QoQ</w:t>
            </w:r>
          </w:p>
        </w:tc>
        <w:tc>
          <w:tcPr>
            <w:tcW w:w="92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Times New Roman" w:cs="Times New Roman" w:eastAsia="Times New Roman" w:hAnsi="Times New Roman"/>
                <w:sz w:val="14"/>
                <w:szCs w:val="14"/>
                <w:b w:val="1"/>
                <w:bCs w:val="1"/>
                <w:color w:val="FFFFFF"/>
                <w:w w:val="95"/>
              </w:rPr>
              <w:t>YoY</w:t>
            </w:r>
          </w:p>
        </w:tc>
      </w:tr>
      <w:tr>
        <w:trPr>
          <w:trHeight w:val="112"/>
        </w:trPr>
        <w:tc>
          <w:tcPr>
            <w:tcW w:w="5660" w:type="dxa"/>
            <w:vAlign w:val="bottom"/>
            <w:tcBorders>
              <w:left w:val="single" w:sz="8" w:color="auto"/>
              <w:right w:val="single" w:sz="8" w:color="auto"/>
            </w:tcBorders>
          </w:tcPr>
          <w:p>
            <w:pPr>
              <w:ind w:left="60"/>
              <w:spacing w:after="0" w:line="112" w:lineRule="exact"/>
              <w:rPr>
                <w:sz w:val="20"/>
                <w:szCs w:val="20"/>
                <w:color w:val="auto"/>
              </w:rPr>
            </w:pPr>
            <w:r>
              <w:rPr>
                <w:rFonts w:ascii="Times New Roman" w:cs="Times New Roman" w:eastAsia="Times New Roman" w:hAnsi="Times New Roman"/>
                <w:sz w:val="12"/>
                <w:szCs w:val="12"/>
                <w:color w:val="auto"/>
              </w:rPr>
              <w:t>Capital Stock</w:t>
            </w:r>
          </w:p>
        </w:tc>
        <w:tc>
          <w:tcPr>
            <w:tcW w:w="1280" w:type="dxa"/>
            <w:vAlign w:val="bottom"/>
          </w:tcPr>
          <w:p>
            <w:pPr>
              <w:jc w:val="center"/>
              <w:ind w:right="33"/>
              <w:spacing w:after="0" w:line="112" w:lineRule="exact"/>
              <w:rPr>
                <w:sz w:val="20"/>
                <w:szCs w:val="20"/>
                <w:color w:val="auto"/>
              </w:rPr>
            </w:pPr>
            <w:r>
              <w:rPr>
                <w:rFonts w:ascii="Times New Roman" w:cs="Times New Roman" w:eastAsia="Times New Roman" w:hAnsi="Times New Roman"/>
                <w:sz w:val="12"/>
                <w:szCs w:val="12"/>
                <w:color w:val="auto"/>
              </w:rPr>
              <w:t>12,973,175</w:t>
            </w:r>
          </w:p>
        </w:tc>
        <w:tc>
          <w:tcPr>
            <w:tcW w:w="1160" w:type="dxa"/>
            <w:vAlign w:val="bottom"/>
          </w:tcPr>
          <w:p>
            <w:pPr>
              <w:jc w:val="center"/>
              <w:spacing w:after="0" w:line="112" w:lineRule="exact"/>
              <w:rPr>
                <w:sz w:val="20"/>
                <w:szCs w:val="20"/>
                <w:color w:val="auto"/>
              </w:rPr>
            </w:pPr>
            <w:r>
              <w:rPr>
                <w:rFonts w:ascii="Times New Roman" w:cs="Times New Roman" w:eastAsia="Times New Roman" w:hAnsi="Times New Roman"/>
                <w:sz w:val="12"/>
                <w:szCs w:val="12"/>
                <w:color w:val="auto"/>
              </w:rPr>
              <w:t>12,973,175</w:t>
            </w:r>
          </w:p>
        </w:tc>
        <w:tc>
          <w:tcPr>
            <w:tcW w:w="1280" w:type="dxa"/>
            <w:vAlign w:val="bottom"/>
            <w:tcBorders>
              <w:right w:val="single" w:sz="8" w:color="auto"/>
            </w:tcBorders>
          </w:tcPr>
          <w:p>
            <w:pPr>
              <w:jc w:val="center"/>
              <w:spacing w:after="0" w:line="112" w:lineRule="exact"/>
              <w:rPr>
                <w:sz w:val="20"/>
                <w:szCs w:val="20"/>
                <w:color w:val="auto"/>
              </w:rPr>
            </w:pPr>
            <w:r>
              <w:rPr>
                <w:rFonts w:ascii="Times New Roman" w:cs="Times New Roman" w:eastAsia="Times New Roman" w:hAnsi="Times New Roman"/>
                <w:sz w:val="12"/>
                <w:szCs w:val="12"/>
                <w:color w:val="auto"/>
              </w:rPr>
              <w:t>12,973,175</w:t>
            </w:r>
          </w:p>
        </w:tc>
        <w:tc>
          <w:tcPr>
            <w:tcW w:w="960" w:type="dxa"/>
            <w:vAlign w:val="bottom"/>
          </w:tcPr>
          <w:p>
            <w:pPr>
              <w:jc w:val="center"/>
              <w:spacing w:after="0" w:line="112" w:lineRule="exact"/>
              <w:rPr>
                <w:sz w:val="20"/>
                <w:szCs w:val="20"/>
                <w:color w:val="auto"/>
              </w:rPr>
            </w:pPr>
            <w:r>
              <w:rPr>
                <w:rFonts w:ascii="Times New Roman" w:cs="Times New Roman" w:eastAsia="Times New Roman" w:hAnsi="Times New Roman"/>
                <w:sz w:val="12"/>
                <w:szCs w:val="12"/>
                <w:color w:val="auto"/>
              </w:rPr>
              <w:t>0.0%</w:t>
            </w:r>
          </w:p>
        </w:tc>
        <w:tc>
          <w:tcPr>
            <w:tcW w:w="920" w:type="dxa"/>
            <w:vAlign w:val="bottom"/>
            <w:tcBorders>
              <w:right w:val="single" w:sz="8" w:color="auto"/>
            </w:tcBorders>
          </w:tcPr>
          <w:p>
            <w:pPr>
              <w:jc w:val="center"/>
              <w:spacing w:after="0" w:line="112" w:lineRule="exact"/>
              <w:rPr>
                <w:sz w:val="20"/>
                <w:szCs w:val="20"/>
                <w:color w:val="auto"/>
              </w:rPr>
            </w:pPr>
            <w:r>
              <w:rPr>
                <w:rFonts w:ascii="Times New Roman" w:cs="Times New Roman" w:eastAsia="Times New Roman" w:hAnsi="Times New Roman"/>
                <w:sz w:val="12"/>
                <w:szCs w:val="12"/>
                <w:color w:val="auto"/>
              </w:rPr>
              <w:t>0.0%</w:t>
            </w:r>
          </w:p>
        </w:tc>
      </w:tr>
      <w:tr>
        <w:trPr>
          <w:trHeight w:val="140"/>
        </w:trPr>
        <w:tc>
          <w:tcPr>
            <w:tcW w:w="5660" w:type="dxa"/>
            <w:vAlign w:val="bottom"/>
            <w:tcBorders>
              <w:left w:val="single" w:sz="8" w:color="auto"/>
              <w:right w:val="single" w:sz="8" w:color="auto"/>
            </w:tcBorders>
          </w:tcPr>
          <w:p>
            <w:pPr>
              <w:ind w:left="60"/>
              <w:spacing w:after="0" w:line="140" w:lineRule="exact"/>
              <w:rPr>
                <w:sz w:val="20"/>
                <w:szCs w:val="20"/>
                <w:color w:val="auto"/>
              </w:rPr>
            </w:pPr>
            <w:r>
              <w:rPr>
                <w:rFonts w:ascii="Times New Roman" w:cs="Times New Roman" w:eastAsia="Times New Roman" w:hAnsi="Times New Roman"/>
                <w:sz w:val="14"/>
                <w:szCs w:val="14"/>
                <w:color w:val="auto"/>
              </w:rPr>
              <w:t>Reserves</w:t>
            </w:r>
          </w:p>
        </w:tc>
        <w:tc>
          <w:tcPr>
            <w:tcW w:w="1280" w:type="dxa"/>
            <w:vAlign w:val="bottom"/>
          </w:tcPr>
          <w:p>
            <w:pPr>
              <w:jc w:val="center"/>
              <w:ind w:right="33"/>
              <w:spacing w:after="0" w:line="140" w:lineRule="exact"/>
              <w:rPr>
                <w:sz w:val="20"/>
                <w:szCs w:val="20"/>
                <w:color w:val="auto"/>
              </w:rPr>
            </w:pPr>
            <w:r>
              <w:rPr>
                <w:rFonts w:ascii="Times New Roman" w:cs="Times New Roman" w:eastAsia="Times New Roman" w:hAnsi="Times New Roman"/>
                <w:sz w:val="14"/>
                <w:szCs w:val="14"/>
                <w:color w:val="auto"/>
                <w:w w:val="96"/>
              </w:rPr>
              <w:t>6,124,302</w:t>
            </w:r>
          </w:p>
        </w:tc>
        <w:tc>
          <w:tcPr>
            <w:tcW w:w="11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6,125,452</w:t>
            </w:r>
          </w:p>
        </w:tc>
        <w:tc>
          <w:tcPr>
            <w:tcW w:w="128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6,125,452</w:t>
            </w:r>
          </w:p>
        </w:tc>
        <w:tc>
          <w:tcPr>
            <w:tcW w:w="9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rPr>
              <w:t>0.0%</w:t>
            </w:r>
          </w:p>
        </w:tc>
        <w:tc>
          <w:tcPr>
            <w:tcW w:w="92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rPr>
              <w:t>0.0%</w:t>
            </w:r>
          </w:p>
        </w:tc>
      </w:tr>
      <w:tr>
        <w:trPr>
          <w:trHeight w:val="136"/>
        </w:trPr>
        <w:tc>
          <w:tcPr>
            <w:tcW w:w="5660" w:type="dxa"/>
            <w:vAlign w:val="bottom"/>
            <w:tcBorders>
              <w:left w:val="single" w:sz="8" w:color="auto"/>
              <w:right w:val="single" w:sz="8" w:color="auto"/>
            </w:tcBorders>
          </w:tcPr>
          <w:p>
            <w:pPr>
              <w:ind w:left="60"/>
              <w:spacing w:after="0" w:line="137" w:lineRule="exact"/>
              <w:rPr>
                <w:sz w:val="20"/>
                <w:szCs w:val="20"/>
                <w:color w:val="auto"/>
              </w:rPr>
            </w:pPr>
            <w:r>
              <w:rPr>
                <w:rFonts w:ascii="Times New Roman" w:cs="Times New Roman" w:eastAsia="Times New Roman" w:hAnsi="Times New Roman"/>
                <w:sz w:val="14"/>
                <w:szCs w:val="14"/>
                <w:color w:val="auto"/>
              </w:rPr>
              <w:t>Accumulated earnings</w:t>
            </w:r>
          </w:p>
        </w:tc>
        <w:tc>
          <w:tcPr>
            <w:tcW w:w="1280" w:type="dxa"/>
            <w:vAlign w:val="bottom"/>
          </w:tcPr>
          <w:p>
            <w:pPr>
              <w:jc w:val="center"/>
              <w:ind w:right="33"/>
              <w:spacing w:after="0" w:line="137" w:lineRule="exact"/>
              <w:rPr>
                <w:sz w:val="20"/>
                <w:szCs w:val="20"/>
                <w:color w:val="auto"/>
              </w:rPr>
            </w:pPr>
            <w:r>
              <w:rPr>
                <w:rFonts w:ascii="Times New Roman" w:cs="Times New Roman" w:eastAsia="Times New Roman" w:hAnsi="Times New Roman"/>
                <w:sz w:val="14"/>
                <w:szCs w:val="14"/>
                <w:color w:val="auto"/>
                <w:w w:val="96"/>
              </w:rPr>
              <w:t>3,418,149</w:t>
            </w:r>
          </w:p>
        </w:tc>
        <w:tc>
          <w:tcPr>
            <w:tcW w:w="11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color w:val="auto"/>
                <w:w w:val="96"/>
              </w:rPr>
              <w:t>8,320,658</w:t>
            </w:r>
          </w:p>
        </w:tc>
        <w:tc>
          <w:tcPr>
            <w:tcW w:w="1280" w:type="dxa"/>
            <w:vAlign w:val="bottom"/>
            <w:tcBorders>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color w:val="auto"/>
                <w:w w:val="96"/>
              </w:rPr>
              <w:t>4,827,901</w:t>
            </w:r>
          </w:p>
        </w:tc>
        <w:tc>
          <w:tcPr>
            <w:tcW w:w="9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color w:val="auto"/>
                <w:w w:val="92"/>
              </w:rPr>
              <w:t>-42.0%</w:t>
            </w:r>
          </w:p>
        </w:tc>
        <w:tc>
          <w:tcPr>
            <w:tcW w:w="920" w:type="dxa"/>
            <w:vAlign w:val="bottom"/>
            <w:tcBorders>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color w:val="auto"/>
                <w:w w:val="93"/>
              </w:rPr>
              <w:t>41.2%</w:t>
            </w:r>
          </w:p>
        </w:tc>
      </w:tr>
      <w:tr>
        <w:trPr>
          <w:trHeight w:val="143"/>
        </w:trPr>
        <w:tc>
          <w:tcPr>
            <w:tcW w:w="5660" w:type="dxa"/>
            <w:vAlign w:val="bottom"/>
            <w:tcBorders>
              <w:left w:val="single" w:sz="8" w:color="auto"/>
              <w:right w:val="single" w:sz="8" w:color="auto"/>
            </w:tcBorders>
          </w:tcPr>
          <w:p>
            <w:pPr>
              <w:ind w:left="60"/>
              <w:spacing w:after="0" w:line="143" w:lineRule="exact"/>
              <w:rPr>
                <w:sz w:val="20"/>
                <w:szCs w:val="20"/>
                <w:color w:val="auto"/>
              </w:rPr>
            </w:pPr>
            <w:r>
              <w:rPr>
                <w:rFonts w:ascii="Times New Roman" w:cs="Times New Roman" w:eastAsia="Times New Roman" w:hAnsi="Times New Roman"/>
                <w:sz w:val="11"/>
                <w:szCs w:val="11"/>
                <w:color w:val="auto"/>
              </w:rPr>
              <w:t xml:space="preserve">Loan loss reserves </w:t>
            </w:r>
            <w:r>
              <w:rPr>
                <w:rFonts w:ascii="Times New Roman" w:cs="Times New Roman" w:eastAsia="Times New Roman" w:hAnsi="Times New Roman"/>
                <w:sz w:val="16"/>
                <w:szCs w:val="16"/>
                <w:color w:val="auto"/>
                <w:vertAlign w:val="superscript"/>
              </w:rPr>
              <w:t>(1)</w:t>
            </w:r>
          </w:p>
        </w:tc>
        <w:tc>
          <w:tcPr>
            <w:tcW w:w="1280" w:type="dxa"/>
            <w:vAlign w:val="bottom"/>
          </w:tcPr>
          <w:p>
            <w:pPr>
              <w:jc w:val="center"/>
              <w:ind w:right="33"/>
              <w:spacing w:after="0" w:line="143" w:lineRule="exact"/>
              <w:rPr>
                <w:sz w:val="20"/>
                <w:szCs w:val="20"/>
                <w:color w:val="auto"/>
              </w:rPr>
            </w:pPr>
            <w:r>
              <w:rPr>
                <w:rFonts w:ascii="Times New Roman" w:cs="Times New Roman" w:eastAsia="Times New Roman" w:hAnsi="Times New Roman"/>
                <w:sz w:val="14"/>
                <w:szCs w:val="14"/>
                <w:color w:val="auto"/>
                <w:w w:val="96"/>
              </w:rPr>
              <w:t>1,740,158</w:t>
            </w:r>
          </w:p>
        </w:tc>
        <w:tc>
          <w:tcPr>
            <w:tcW w:w="116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color w:val="auto"/>
                <w:w w:val="96"/>
              </w:rPr>
              <w:t>1,799,773</w:t>
            </w:r>
          </w:p>
        </w:tc>
        <w:tc>
          <w:tcPr>
            <w:tcW w:w="1280" w:type="dxa"/>
            <w:vAlign w:val="bottom"/>
            <w:tcBorders>
              <w:right w:val="single" w:sz="8" w:color="auto"/>
            </w:tcBorders>
          </w:tcPr>
          <w:p>
            <w:pPr>
              <w:jc w:val="center"/>
              <w:spacing w:after="0" w:line="143" w:lineRule="exact"/>
              <w:rPr>
                <w:sz w:val="20"/>
                <w:szCs w:val="20"/>
                <w:color w:val="auto"/>
              </w:rPr>
            </w:pPr>
            <w:r>
              <w:rPr>
                <w:rFonts w:ascii="Times New Roman" w:cs="Times New Roman" w:eastAsia="Times New Roman" w:hAnsi="Times New Roman"/>
                <w:sz w:val="14"/>
                <w:szCs w:val="14"/>
                <w:color w:val="auto"/>
                <w:w w:val="96"/>
              </w:rPr>
              <w:t>1,867,164</w:t>
            </w:r>
          </w:p>
        </w:tc>
        <w:tc>
          <w:tcPr>
            <w:tcW w:w="96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color w:val="auto"/>
              </w:rPr>
              <w:t>3.7%</w:t>
            </w:r>
          </w:p>
        </w:tc>
        <w:tc>
          <w:tcPr>
            <w:tcW w:w="920" w:type="dxa"/>
            <w:vAlign w:val="bottom"/>
            <w:tcBorders>
              <w:right w:val="single" w:sz="8" w:color="auto"/>
            </w:tcBorders>
          </w:tcPr>
          <w:p>
            <w:pPr>
              <w:jc w:val="center"/>
              <w:spacing w:after="0" w:line="143" w:lineRule="exact"/>
              <w:rPr>
                <w:sz w:val="20"/>
                <w:szCs w:val="20"/>
                <w:color w:val="auto"/>
              </w:rPr>
            </w:pPr>
            <w:r>
              <w:rPr>
                <w:rFonts w:ascii="Times New Roman" w:cs="Times New Roman" w:eastAsia="Times New Roman" w:hAnsi="Times New Roman"/>
                <w:sz w:val="14"/>
                <w:szCs w:val="14"/>
                <w:color w:val="auto"/>
              </w:rPr>
              <w:t>7.3%</w:t>
            </w:r>
          </w:p>
        </w:tc>
      </w:tr>
      <w:tr>
        <w:trPr>
          <w:trHeight w:val="140"/>
        </w:trPr>
        <w:tc>
          <w:tcPr>
            <w:tcW w:w="5660" w:type="dxa"/>
            <w:vAlign w:val="bottom"/>
            <w:tcBorders>
              <w:left w:val="single" w:sz="8" w:color="auto"/>
              <w:right w:val="single" w:sz="8" w:color="auto"/>
            </w:tcBorders>
          </w:tcPr>
          <w:p>
            <w:pPr>
              <w:ind w:left="60"/>
              <w:spacing w:after="0" w:line="140" w:lineRule="exact"/>
              <w:rPr>
                <w:sz w:val="20"/>
                <w:szCs w:val="20"/>
                <w:color w:val="auto"/>
              </w:rPr>
            </w:pPr>
            <w:r>
              <w:rPr>
                <w:rFonts w:ascii="Times New Roman" w:cs="Times New Roman" w:eastAsia="Times New Roman" w:hAnsi="Times New Roman"/>
                <w:sz w:val="14"/>
                <w:szCs w:val="14"/>
                <w:color w:val="auto"/>
              </w:rPr>
              <w:t>Subordinated Debt</w:t>
            </w:r>
          </w:p>
        </w:tc>
        <w:tc>
          <w:tcPr>
            <w:tcW w:w="1280" w:type="dxa"/>
            <w:vAlign w:val="bottom"/>
          </w:tcPr>
          <w:p>
            <w:pPr>
              <w:jc w:val="center"/>
              <w:ind w:right="33"/>
              <w:spacing w:after="0" w:line="140" w:lineRule="exact"/>
              <w:rPr>
                <w:sz w:val="20"/>
                <w:szCs w:val="20"/>
                <w:color w:val="auto"/>
              </w:rPr>
            </w:pPr>
            <w:r>
              <w:rPr>
                <w:rFonts w:ascii="Times New Roman" w:cs="Times New Roman" w:eastAsia="Times New Roman" w:hAnsi="Times New Roman"/>
                <w:sz w:val="14"/>
                <w:szCs w:val="14"/>
                <w:color w:val="auto"/>
                <w:w w:val="96"/>
              </w:rPr>
              <w:t>7,152,600</w:t>
            </w:r>
          </w:p>
        </w:tc>
        <w:tc>
          <w:tcPr>
            <w:tcW w:w="11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7,903,050</w:t>
            </w:r>
          </w:p>
        </w:tc>
        <w:tc>
          <w:tcPr>
            <w:tcW w:w="128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8,203,850</w:t>
            </w:r>
          </w:p>
        </w:tc>
        <w:tc>
          <w:tcPr>
            <w:tcW w:w="9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rPr>
              <w:t>3.8%</w:t>
            </w:r>
          </w:p>
        </w:tc>
        <w:tc>
          <w:tcPr>
            <w:tcW w:w="92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3"/>
              </w:rPr>
              <w:t>14.7%</w:t>
            </w:r>
          </w:p>
        </w:tc>
      </w:tr>
      <w:tr>
        <w:trPr>
          <w:trHeight w:val="140"/>
        </w:trPr>
        <w:tc>
          <w:tcPr>
            <w:tcW w:w="5660" w:type="dxa"/>
            <w:vAlign w:val="bottom"/>
            <w:tcBorders>
              <w:left w:val="single" w:sz="8" w:color="auto"/>
              <w:right w:val="single" w:sz="8" w:color="auto"/>
            </w:tcBorders>
          </w:tcPr>
          <w:p>
            <w:pPr>
              <w:ind w:left="60"/>
              <w:spacing w:after="0" w:line="140" w:lineRule="exact"/>
              <w:rPr>
                <w:sz w:val="20"/>
                <w:szCs w:val="20"/>
                <w:color w:val="auto"/>
              </w:rPr>
            </w:pPr>
            <w:r>
              <w:rPr>
                <w:rFonts w:ascii="Times New Roman" w:cs="Times New Roman" w:eastAsia="Times New Roman" w:hAnsi="Times New Roman"/>
                <w:sz w:val="14"/>
                <w:szCs w:val="14"/>
                <w:color w:val="auto"/>
              </w:rPr>
              <w:t>Unrealized Profit or Losses</w:t>
            </w:r>
          </w:p>
        </w:tc>
        <w:tc>
          <w:tcPr>
            <w:tcW w:w="1280" w:type="dxa"/>
            <w:vAlign w:val="bottom"/>
          </w:tcPr>
          <w:p>
            <w:pPr>
              <w:jc w:val="center"/>
              <w:ind w:right="33"/>
              <w:spacing w:after="0" w:line="140" w:lineRule="exact"/>
              <w:rPr>
                <w:sz w:val="20"/>
                <w:szCs w:val="20"/>
                <w:color w:val="auto"/>
              </w:rPr>
            </w:pPr>
            <w:r>
              <w:rPr>
                <w:rFonts w:ascii="Times New Roman" w:cs="Times New Roman" w:eastAsia="Times New Roman" w:hAnsi="Times New Roman"/>
                <w:sz w:val="14"/>
                <w:szCs w:val="14"/>
                <w:color w:val="auto"/>
                <w:w w:val="98"/>
              </w:rPr>
              <w:t>(341,947)</w:t>
            </w:r>
          </w:p>
        </w:tc>
        <w:tc>
          <w:tcPr>
            <w:tcW w:w="11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2"/>
              </w:rPr>
              <w:t>138,930</w:t>
            </w:r>
          </w:p>
        </w:tc>
        <w:tc>
          <w:tcPr>
            <w:tcW w:w="128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8"/>
              </w:rPr>
              <w:t>(241,505)</w:t>
            </w:r>
          </w:p>
        </w:tc>
        <w:tc>
          <w:tcPr>
            <w:tcW w:w="9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-273.8%</w:t>
            </w:r>
          </w:p>
        </w:tc>
        <w:tc>
          <w:tcPr>
            <w:tcW w:w="92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2"/>
              </w:rPr>
              <w:t>-29.4%</w:t>
            </w:r>
          </w:p>
        </w:tc>
      </w:tr>
      <w:tr>
        <w:trPr>
          <w:trHeight w:val="140"/>
        </w:trPr>
        <w:tc>
          <w:tcPr>
            <w:tcW w:w="5660" w:type="dxa"/>
            <w:vAlign w:val="bottom"/>
            <w:tcBorders>
              <w:left w:val="single" w:sz="8" w:color="auto"/>
              <w:right w:val="single" w:sz="8" w:color="auto"/>
            </w:tcBorders>
          </w:tcPr>
          <w:p>
            <w:pPr>
              <w:ind w:left="60"/>
              <w:spacing w:after="0" w:line="140" w:lineRule="exact"/>
              <w:rPr>
                <w:sz w:val="20"/>
                <w:szCs w:val="20"/>
                <w:color w:val="auto"/>
              </w:rPr>
            </w:pPr>
            <w:r>
              <w:rPr>
                <w:rFonts w:ascii="Times New Roman" w:cs="Times New Roman" w:eastAsia="Times New Roman" w:hAnsi="Times New Roman"/>
                <w:sz w:val="14"/>
                <w:szCs w:val="14"/>
                <w:color w:val="auto"/>
              </w:rPr>
              <w:t>Investment in subsidiaries and others, net of unrealized profit and net income in subsidiaries</w:t>
            </w:r>
          </w:p>
        </w:tc>
        <w:tc>
          <w:tcPr>
            <w:tcW w:w="1280" w:type="dxa"/>
            <w:vAlign w:val="bottom"/>
          </w:tcPr>
          <w:p>
            <w:pPr>
              <w:jc w:val="center"/>
              <w:ind w:right="33"/>
              <w:spacing w:after="0" w:line="140" w:lineRule="exact"/>
              <w:rPr>
                <w:sz w:val="20"/>
                <w:szCs w:val="20"/>
                <w:color w:val="auto"/>
              </w:rPr>
            </w:pPr>
            <w:r>
              <w:rPr>
                <w:rFonts w:ascii="Times New Roman" w:cs="Times New Roman" w:eastAsia="Times New Roman" w:hAnsi="Times New Roman"/>
                <w:sz w:val="14"/>
                <w:szCs w:val="14"/>
                <w:color w:val="auto"/>
                <w:w w:val="94"/>
              </w:rPr>
              <w:t>(2,310,402)</w:t>
            </w:r>
          </w:p>
        </w:tc>
        <w:tc>
          <w:tcPr>
            <w:tcW w:w="11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4"/>
              </w:rPr>
              <w:t>(2,691,973)</w:t>
            </w:r>
          </w:p>
        </w:tc>
        <w:tc>
          <w:tcPr>
            <w:tcW w:w="128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4"/>
              </w:rPr>
              <w:t>(2,549,702)</w:t>
            </w:r>
          </w:p>
        </w:tc>
        <w:tc>
          <w:tcPr>
            <w:tcW w:w="9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rPr>
              <w:t>-5.3%</w:t>
            </w:r>
          </w:p>
        </w:tc>
        <w:tc>
          <w:tcPr>
            <w:tcW w:w="92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3"/>
              </w:rPr>
              <w:t>10.4%</w:t>
            </w:r>
          </w:p>
        </w:tc>
      </w:tr>
      <w:tr>
        <w:trPr>
          <w:trHeight w:val="140"/>
        </w:trPr>
        <w:tc>
          <w:tcPr>
            <w:tcW w:w="5660" w:type="dxa"/>
            <w:vAlign w:val="bottom"/>
            <w:tcBorders>
              <w:left w:val="single" w:sz="8" w:color="auto"/>
              <w:right w:val="single" w:sz="8" w:color="auto"/>
            </w:tcBorders>
          </w:tcPr>
          <w:p>
            <w:pPr>
              <w:ind w:left="60"/>
              <w:spacing w:after="0" w:line="140" w:lineRule="exact"/>
              <w:rPr>
                <w:sz w:val="20"/>
                <w:szCs w:val="20"/>
                <w:color w:val="auto"/>
              </w:rPr>
            </w:pPr>
            <w:r>
              <w:rPr>
                <w:rFonts w:ascii="Times New Roman" w:cs="Times New Roman" w:eastAsia="Times New Roman" w:hAnsi="Times New Roman"/>
                <w:sz w:val="14"/>
                <w:szCs w:val="14"/>
                <w:color w:val="auto"/>
              </w:rPr>
              <w:t>Intangibles</w:t>
            </w:r>
          </w:p>
        </w:tc>
        <w:tc>
          <w:tcPr>
            <w:tcW w:w="1280" w:type="dxa"/>
            <w:vAlign w:val="bottom"/>
          </w:tcPr>
          <w:p>
            <w:pPr>
              <w:jc w:val="center"/>
              <w:ind w:right="33"/>
              <w:spacing w:after="0" w:line="140" w:lineRule="exact"/>
              <w:rPr>
                <w:sz w:val="20"/>
                <w:szCs w:val="20"/>
                <w:color w:val="auto"/>
              </w:rPr>
            </w:pPr>
            <w:r>
              <w:rPr>
                <w:rFonts w:ascii="Times New Roman" w:cs="Times New Roman" w:eastAsia="Times New Roman" w:hAnsi="Times New Roman"/>
                <w:sz w:val="14"/>
                <w:szCs w:val="14"/>
                <w:color w:val="auto"/>
                <w:w w:val="94"/>
              </w:rPr>
              <w:t>(1,509,701)</w:t>
            </w:r>
          </w:p>
        </w:tc>
        <w:tc>
          <w:tcPr>
            <w:tcW w:w="11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4"/>
              </w:rPr>
              <w:t>(1,795,540)</w:t>
            </w:r>
          </w:p>
        </w:tc>
        <w:tc>
          <w:tcPr>
            <w:tcW w:w="128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4"/>
              </w:rPr>
              <w:t>(1,784,514)</w:t>
            </w:r>
          </w:p>
        </w:tc>
        <w:tc>
          <w:tcPr>
            <w:tcW w:w="9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rPr>
              <w:t>-0.6%</w:t>
            </w:r>
          </w:p>
        </w:tc>
        <w:tc>
          <w:tcPr>
            <w:tcW w:w="92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3"/>
              </w:rPr>
              <w:t>18.2%</w:t>
            </w:r>
          </w:p>
        </w:tc>
      </w:tr>
      <w:tr>
        <w:trPr>
          <w:trHeight w:val="160"/>
        </w:trPr>
        <w:tc>
          <w:tcPr>
            <w:tcW w:w="5660" w:type="dxa"/>
            <w:vAlign w:val="bottom"/>
            <w:tcBorders>
              <w:left w:val="single" w:sz="8" w:color="auto"/>
              <w:bottom w:val="single" w:sz="8" w:color="auto"/>
              <w:right w:val="single" w:sz="8" w:color="auto"/>
            </w:tcBorders>
          </w:tcPr>
          <w:p>
            <w:pPr>
              <w:ind w:left="60"/>
              <w:spacing w:after="0" w:line="160" w:lineRule="exact"/>
              <w:rPr>
                <w:sz w:val="20"/>
                <w:szCs w:val="20"/>
                <w:color w:val="auto"/>
              </w:rPr>
            </w:pPr>
            <w:r>
              <w:rPr>
                <w:rFonts w:ascii="Times New Roman" w:cs="Times New Roman" w:eastAsia="Times New Roman" w:hAnsi="Times New Roman"/>
                <w:sz w:val="14"/>
                <w:szCs w:val="14"/>
                <w:color w:val="auto"/>
              </w:rPr>
              <w:t>Goodwill</w:t>
            </w:r>
          </w:p>
        </w:tc>
        <w:tc>
          <w:tcPr>
            <w:tcW w:w="1280" w:type="dxa"/>
            <w:vAlign w:val="bottom"/>
            <w:tcBorders>
              <w:bottom w:val="single" w:sz="8" w:color="auto"/>
            </w:tcBorders>
          </w:tcPr>
          <w:p>
            <w:pPr>
              <w:jc w:val="center"/>
              <w:ind w:right="33"/>
              <w:spacing w:after="0" w:line="160" w:lineRule="exact"/>
              <w:rPr>
                <w:sz w:val="20"/>
                <w:szCs w:val="20"/>
                <w:color w:val="auto"/>
              </w:rPr>
            </w:pPr>
            <w:r>
              <w:rPr>
                <w:rFonts w:ascii="Times New Roman" w:cs="Times New Roman" w:eastAsia="Times New Roman" w:hAnsi="Times New Roman"/>
                <w:sz w:val="14"/>
                <w:szCs w:val="14"/>
                <w:color w:val="auto"/>
                <w:w w:val="98"/>
              </w:rPr>
              <w:t>(122,083)</w:t>
            </w:r>
          </w:p>
        </w:tc>
        <w:tc>
          <w:tcPr>
            <w:tcW w:w="116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w w:val="98"/>
              </w:rPr>
              <w:t>(122,083)</w:t>
            </w:r>
          </w:p>
        </w:tc>
        <w:tc>
          <w:tcPr>
            <w:tcW w:w="1280" w:type="dxa"/>
            <w:vAlign w:val="bottom"/>
            <w:tcBorders>
              <w:bottom w:val="single" w:sz="8" w:color="auto"/>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w w:val="98"/>
              </w:rPr>
              <w:t>(122,083)</w:t>
            </w:r>
          </w:p>
        </w:tc>
        <w:tc>
          <w:tcPr>
            <w:tcW w:w="96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rPr>
              <w:t>0.0%</w:t>
            </w:r>
          </w:p>
        </w:tc>
        <w:tc>
          <w:tcPr>
            <w:tcW w:w="920" w:type="dxa"/>
            <w:vAlign w:val="bottom"/>
            <w:tcBorders>
              <w:bottom w:val="single" w:sz="8" w:color="auto"/>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rPr>
              <w:t>0.0%</w:t>
            </w:r>
          </w:p>
        </w:tc>
      </w:tr>
      <w:tr>
        <w:trPr>
          <w:trHeight w:val="132"/>
        </w:trPr>
        <w:tc>
          <w:tcPr>
            <w:tcW w:w="5660" w:type="dxa"/>
            <w:vAlign w:val="bottom"/>
            <w:tcBorders>
              <w:left w:val="single" w:sz="8" w:color="auto"/>
              <w:bottom w:val="single" w:sz="8" w:color="auto"/>
              <w:right w:val="single" w:sz="8" w:color="auto"/>
            </w:tcBorders>
          </w:tcPr>
          <w:p>
            <w:pPr>
              <w:ind w:left="60"/>
              <w:spacing w:after="0" w:line="133" w:lineRule="exact"/>
              <w:rPr>
                <w:sz w:val="20"/>
                <w:szCs w:val="20"/>
                <w:color w:val="auto"/>
              </w:rPr>
            </w:pPr>
            <w:r>
              <w:rPr>
                <w:rFonts w:ascii="Times New Roman" w:cs="Times New Roman" w:eastAsia="Times New Roman" w:hAnsi="Times New Roman"/>
                <w:sz w:val="14"/>
                <w:szCs w:val="14"/>
                <w:b w:val="1"/>
                <w:bCs w:val="1"/>
                <w:color w:val="auto"/>
              </w:rPr>
              <w:t>Total Regulatory Capital</w:t>
            </w:r>
          </w:p>
        </w:tc>
        <w:tc>
          <w:tcPr>
            <w:tcW w:w="1280" w:type="dxa"/>
            <w:vAlign w:val="bottom"/>
            <w:tcBorders>
              <w:bottom w:val="single" w:sz="8" w:color="auto"/>
            </w:tcBorders>
          </w:tcPr>
          <w:p>
            <w:pPr>
              <w:jc w:val="center"/>
              <w:ind w:right="33"/>
              <w:spacing w:after="0" w:line="133" w:lineRule="exact"/>
              <w:rPr>
                <w:sz w:val="20"/>
                <w:szCs w:val="20"/>
                <w:color w:val="auto"/>
              </w:rPr>
            </w:pPr>
            <w:r>
              <w:rPr>
                <w:rFonts w:ascii="Times New Roman" w:cs="Times New Roman" w:eastAsia="Times New Roman" w:hAnsi="Times New Roman"/>
                <w:sz w:val="14"/>
                <w:szCs w:val="14"/>
                <w:b w:val="1"/>
                <w:bCs w:val="1"/>
                <w:color w:val="auto"/>
                <w:w w:val="98"/>
              </w:rPr>
              <w:t>27,124,251</w:t>
            </w:r>
          </w:p>
        </w:tc>
        <w:tc>
          <w:tcPr>
            <w:tcW w:w="1160" w:type="dxa"/>
            <w:vAlign w:val="bottom"/>
            <w:tcBorders>
              <w:bottom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8"/>
              </w:rPr>
              <w:t>32,651,442</w:t>
            </w:r>
          </w:p>
        </w:tc>
        <w:tc>
          <w:tcPr>
            <w:tcW w:w="128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8"/>
              </w:rPr>
              <w:t>29,299,737</w:t>
            </w:r>
          </w:p>
        </w:tc>
        <w:tc>
          <w:tcPr>
            <w:tcW w:w="960" w:type="dxa"/>
            <w:vAlign w:val="bottom"/>
            <w:tcBorders>
              <w:bottom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7"/>
              </w:rPr>
              <w:t>-10.3%</w:t>
            </w:r>
          </w:p>
        </w:tc>
        <w:tc>
          <w:tcPr>
            <w:tcW w:w="92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5"/>
              </w:rPr>
              <w:t>8.0%</w:t>
            </w:r>
          </w:p>
        </w:tc>
      </w:tr>
      <w:tr>
        <w:trPr>
          <w:trHeight w:val="132"/>
        </w:trPr>
        <w:tc>
          <w:tcPr>
            <w:tcW w:w="5660" w:type="dxa"/>
            <w:vAlign w:val="bottom"/>
            <w:tcBorders>
              <w:left w:val="single" w:sz="8" w:color="auto"/>
              <w:bottom w:val="single" w:sz="8" w:color="auto"/>
              <w:right w:val="single" w:sz="8" w:color="auto"/>
            </w:tcBorders>
          </w:tcPr>
          <w:p>
            <w:pPr>
              <w:ind w:left="60"/>
              <w:spacing w:after="0" w:line="133" w:lineRule="exact"/>
              <w:rPr>
                <w:sz w:val="20"/>
                <w:szCs w:val="20"/>
                <w:color w:val="auto"/>
              </w:rPr>
            </w:pPr>
            <w:r>
              <w:rPr>
                <w:rFonts w:ascii="Times New Roman" w:cs="Times New Roman" w:eastAsia="Times New Roman" w:hAnsi="Times New Roman"/>
                <w:sz w:val="10"/>
                <w:szCs w:val="10"/>
                <w:b w:val="1"/>
                <w:bCs w:val="1"/>
                <w:color w:val="auto"/>
              </w:rPr>
              <w:t xml:space="preserve">Tier 1 Common Equity </w:t>
            </w:r>
            <w:r>
              <w:rPr>
                <w:rFonts w:ascii="Times New Roman" w:cs="Times New Roman" w:eastAsia="Times New Roman" w:hAnsi="Times New Roman"/>
                <w:sz w:val="15"/>
                <w:szCs w:val="15"/>
                <w:b w:val="1"/>
                <w:bCs w:val="1"/>
                <w:color w:val="auto"/>
                <w:vertAlign w:val="superscript"/>
              </w:rPr>
              <w:t>(2)</w:t>
            </w:r>
          </w:p>
        </w:tc>
        <w:tc>
          <w:tcPr>
            <w:tcW w:w="1280" w:type="dxa"/>
            <w:vAlign w:val="bottom"/>
            <w:tcBorders>
              <w:bottom w:val="single" w:sz="8" w:color="auto"/>
            </w:tcBorders>
          </w:tcPr>
          <w:p>
            <w:pPr>
              <w:jc w:val="center"/>
              <w:ind w:right="33"/>
              <w:spacing w:after="0" w:line="133" w:lineRule="exact"/>
              <w:rPr>
                <w:sz w:val="20"/>
                <w:szCs w:val="20"/>
                <w:color w:val="auto"/>
              </w:rPr>
            </w:pPr>
            <w:r>
              <w:rPr>
                <w:rFonts w:ascii="Times New Roman" w:cs="Times New Roman" w:eastAsia="Times New Roman" w:hAnsi="Times New Roman"/>
                <w:sz w:val="14"/>
                <w:szCs w:val="14"/>
                <w:b w:val="1"/>
                <w:bCs w:val="1"/>
                <w:color w:val="auto"/>
                <w:w w:val="98"/>
              </w:rPr>
              <w:t>18,231,493</w:t>
            </w:r>
          </w:p>
        </w:tc>
        <w:tc>
          <w:tcPr>
            <w:tcW w:w="1160" w:type="dxa"/>
            <w:vAlign w:val="bottom"/>
            <w:tcBorders>
              <w:bottom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8"/>
              </w:rPr>
              <w:t>22,948,619</w:t>
            </w:r>
          </w:p>
        </w:tc>
        <w:tc>
          <w:tcPr>
            <w:tcW w:w="128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8"/>
              </w:rPr>
              <w:t>19,228,724</w:t>
            </w:r>
          </w:p>
        </w:tc>
        <w:tc>
          <w:tcPr>
            <w:tcW w:w="960" w:type="dxa"/>
            <w:vAlign w:val="bottom"/>
            <w:tcBorders>
              <w:bottom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7"/>
              </w:rPr>
              <w:t>-16.2%</w:t>
            </w:r>
          </w:p>
        </w:tc>
        <w:tc>
          <w:tcPr>
            <w:tcW w:w="92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5"/>
              </w:rPr>
              <w:t>5.5%</w:t>
            </w:r>
          </w:p>
        </w:tc>
      </w:tr>
      <w:tr>
        <w:trPr>
          <w:trHeight w:val="132"/>
        </w:trPr>
        <w:tc>
          <w:tcPr>
            <w:tcW w:w="5660" w:type="dxa"/>
            <w:vAlign w:val="bottom"/>
            <w:tcBorders>
              <w:left w:val="single" w:sz="8" w:color="auto"/>
              <w:bottom w:val="single" w:sz="8" w:color="auto"/>
              <w:right w:val="single" w:sz="8" w:color="auto"/>
            </w:tcBorders>
          </w:tcPr>
          <w:p>
            <w:pPr>
              <w:ind w:left="60"/>
              <w:spacing w:after="0" w:line="133" w:lineRule="exact"/>
              <w:rPr>
                <w:sz w:val="20"/>
                <w:szCs w:val="20"/>
                <w:color w:val="auto"/>
              </w:rPr>
            </w:pPr>
            <w:r>
              <w:rPr>
                <w:rFonts w:ascii="Times New Roman" w:cs="Times New Roman" w:eastAsia="Times New Roman" w:hAnsi="Times New Roman"/>
                <w:sz w:val="10"/>
                <w:szCs w:val="10"/>
                <w:b w:val="1"/>
                <w:bCs w:val="1"/>
                <w:color w:val="auto"/>
              </w:rPr>
              <w:t xml:space="preserve">Regulatory Tier 1 Capital </w:t>
            </w:r>
            <w:r>
              <w:rPr>
                <w:rFonts w:ascii="Times New Roman" w:cs="Times New Roman" w:eastAsia="Times New Roman" w:hAnsi="Times New Roman"/>
                <w:sz w:val="15"/>
                <w:szCs w:val="15"/>
                <w:b w:val="1"/>
                <w:bCs w:val="1"/>
                <w:color w:val="auto"/>
                <w:vertAlign w:val="superscript"/>
              </w:rPr>
              <w:t>(3)</w:t>
            </w:r>
          </w:p>
        </w:tc>
        <w:tc>
          <w:tcPr>
            <w:tcW w:w="1280" w:type="dxa"/>
            <w:vAlign w:val="bottom"/>
            <w:tcBorders>
              <w:bottom w:val="single" w:sz="8" w:color="auto"/>
            </w:tcBorders>
          </w:tcPr>
          <w:p>
            <w:pPr>
              <w:jc w:val="center"/>
              <w:ind w:right="33"/>
              <w:spacing w:after="0" w:line="133" w:lineRule="exact"/>
              <w:rPr>
                <w:sz w:val="20"/>
                <w:szCs w:val="20"/>
                <w:color w:val="auto"/>
              </w:rPr>
            </w:pPr>
            <w:r>
              <w:rPr>
                <w:rFonts w:ascii="Times New Roman" w:cs="Times New Roman" w:eastAsia="Times New Roman" w:hAnsi="Times New Roman"/>
                <w:sz w:val="14"/>
                <w:szCs w:val="14"/>
                <w:b w:val="1"/>
                <w:bCs w:val="1"/>
                <w:color w:val="auto"/>
                <w:w w:val="98"/>
              </w:rPr>
              <w:t>18,231,493</w:t>
            </w:r>
          </w:p>
        </w:tc>
        <w:tc>
          <w:tcPr>
            <w:tcW w:w="1160" w:type="dxa"/>
            <w:vAlign w:val="bottom"/>
            <w:tcBorders>
              <w:bottom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8"/>
              </w:rPr>
              <w:t>22,948,619</w:t>
            </w:r>
          </w:p>
        </w:tc>
        <w:tc>
          <w:tcPr>
            <w:tcW w:w="128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8"/>
              </w:rPr>
              <w:t>19,228,724</w:t>
            </w:r>
          </w:p>
        </w:tc>
        <w:tc>
          <w:tcPr>
            <w:tcW w:w="960" w:type="dxa"/>
            <w:vAlign w:val="bottom"/>
            <w:tcBorders>
              <w:bottom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7"/>
              </w:rPr>
              <w:t>-16.2%</w:t>
            </w:r>
          </w:p>
        </w:tc>
        <w:tc>
          <w:tcPr>
            <w:tcW w:w="92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5"/>
              </w:rPr>
              <w:t>5.5%</w:t>
            </w:r>
          </w:p>
        </w:tc>
      </w:tr>
      <w:tr>
        <w:trPr>
          <w:trHeight w:val="132"/>
        </w:trPr>
        <w:tc>
          <w:tcPr>
            <w:tcW w:w="5660" w:type="dxa"/>
            <w:vAlign w:val="bottom"/>
            <w:tcBorders>
              <w:left w:val="single" w:sz="8" w:color="auto"/>
              <w:bottom w:val="single" w:sz="8" w:color="auto"/>
              <w:right w:val="single" w:sz="8" w:color="auto"/>
            </w:tcBorders>
          </w:tcPr>
          <w:p>
            <w:pPr>
              <w:ind w:left="60"/>
              <w:spacing w:after="0" w:line="133" w:lineRule="exact"/>
              <w:rPr>
                <w:sz w:val="20"/>
                <w:szCs w:val="20"/>
                <w:color w:val="auto"/>
              </w:rPr>
            </w:pPr>
            <w:r>
              <w:rPr>
                <w:rFonts w:ascii="Times New Roman" w:cs="Times New Roman" w:eastAsia="Times New Roman" w:hAnsi="Times New Roman"/>
                <w:sz w:val="10"/>
                <w:szCs w:val="10"/>
                <w:b w:val="1"/>
                <w:bCs w:val="1"/>
                <w:color w:val="auto"/>
              </w:rPr>
              <w:t xml:space="preserve">Regulatory Tier 2 Capital </w:t>
            </w:r>
            <w:r>
              <w:rPr>
                <w:rFonts w:ascii="Times New Roman" w:cs="Times New Roman" w:eastAsia="Times New Roman" w:hAnsi="Times New Roman"/>
                <w:sz w:val="15"/>
                <w:szCs w:val="15"/>
                <w:b w:val="1"/>
                <w:bCs w:val="1"/>
                <w:color w:val="auto"/>
                <w:vertAlign w:val="superscript"/>
              </w:rPr>
              <w:t>(4)</w:t>
            </w:r>
          </w:p>
        </w:tc>
        <w:tc>
          <w:tcPr>
            <w:tcW w:w="1280" w:type="dxa"/>
            <w:vAlign w:val="bottom"/>
            <w:tcBorders>
              <w:bottom w:val="single" w:sz="8" w:color="auto"/>
            </w:tcBorders>
          </w:tcPr>
          <w:p>
            <w:pPr>
              <w:jc w:val="center"/>
              <w:ind w:right="33"/>
              <w:spacing w:after="0" w:line="133" w:lineRule="exact"/>
              <w:rPr>
                <w:sz w:val="20"/>
                <w:szCs w:val="20"/>
                <w:color w:val="auto"/>
              </w:rPr>
            </w:pPr>
            <w:r>
              <w:rPr>
                <w:rFonts w:ascii="Times New Roman" w:cs="Times New Roman" w:eastAsia="Times New Roman" w:hAnsi="Times New Roman"/>
                <w:sz w:val="14"/>
                <w:szCs w:val="14"/>
                <w:b w:val="1"/>
                <w:bCs w:val="1"/>
                <w:color w:val="auto"/>
                <w:w w:val="96"/>
              </w:rPr>
              <w:t>8,892,758</w:t>
            </w:r>
          </w:p>
        </w:tc>
        <w:tc>
          <w:tcPr>
            <w:tcW w:w="1160" w:type="dxa"/>
            <w:vAlign w:val="bottom"/>
            <w:tcBorders>
              <w:bottom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6"/>
              </w:rPr>
              <w:t>9,702,823</w:t>
            </w:r>
          </w:p>
        </w:tc>
        <w:tc>
          <w:tcPr>
            <w:tcW w:w="128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8"/>
              </w:rPr>
              <w:t>10,071,014</w:t>
            </w:r>
          </w:p>
        </w:tc>
        <w:tc>
          <w:tcPr>
            <w:tcW w:w="960" w:type="dxa"/>
            <w:vAlign w:val="bottom"/>
            <w:tcBorders>
              <w:bottom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5"/>
              </w:rPr>
              <w:t>3.8%</w:t>
            </w:r>
          </w:p>
        </w:tc>
        <w:tc>
          <w:tcPr>
            <w:tcW w:w="92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8"/>
              </w:rPr>
              <w:t>13.2%</w:t>
            </w:r>
          </w:p>
        </w:tc>
      </w:tr>
      <w:tr>
        <w:trPr>
          <w:trHeight w:val="132"/>
        </w:trPr>
        <w:tc>
          <w:tcPr>
            <w:tcW w:w="566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r>
      <w:tr>
        <w:trPr>
          <w:trHeight w:val="108"/>
        </w:trPr>
        <w:tc>
          <w:tcPr>
            <w:tcW w:w="5660" w:type="dxa"/>
            <w:vAlign w:val="bottom"/>
            <w:tcBorders>
              <w:left w:val="single" w:sz="8" w:color="auto"/>
              <w:right w:val="single" w:sz="8" w:color="auto"/>
            </w:tcBorders>
            <w:shd w:val="clear" w:color="auto" w:fill="2AD2C9"/>
          </w:tcPr>
          <w:p>
            <w:pPr>
              <w:ind w:left="60"/>
              <w:spacing w:after="0" w:line="108" w:lineRule="exact"/>
              <w:rPr>
                <w:sz w:val="20"/>
                <w:szCs w:val="20"/>
                <w:color w:val="auto"/>
              </w:rPr>
            </w:pPr>
            <w:r>
              <w:rPr>
                <w:rFonts w:ascii="Times New Roman" w:cs="Times New Roman" w:eastAsia="Times New Roman" w:hAnsi="Times New Roman"/>
                <w:sz w:val="12"/>
                <w:szCs w:val="12"/>
                <w:b w:val="1"/>
                <w:bCs w:val="1"/>
                <w:color w:val="FFFFFF"/>
              </w:rPr>
              <w:t>Total risk-weighted assets</w:t>
            </w:r>
          </w:p>
        </w:tc>
        <w:tc>
          <w:tcPr>
            <w:tcW w:w="1280" w:type="dxa"/>
            <w:vAlign w:val="bottom"/>
            <w:shd w:val="clear" w:color="auto" w:fill="2AD2C9"/>
          </w:tcPr>
          <w:p>
            <w:pPr>
              <w:spacing w:after="0"/>
              <w:rPr>
                <w:sz w:val="9"/>
                <w:szCs w:val="9"/>
                <w:color w:val="auto"/>
              </w:rPr>
            </w:pPr>
          </w:p>
        </w:tc>
        <w:tc>
          <w:tcPr>
            <w:tcW w:w="1160" w:type="dxa"/>
            <w:vAlign w:val="bottom"/>
            <w:shd w:val="clear" w:color="auto" w:fill="2AD2C9"/>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FFFFFF"/>
              </w:rPr>
              <w:t>Quarter</w:t>
            </w:r>
          </w:p>
        </w:tc>
        <w:tc>
          <w:tcPr>
            <w:tcW w:w="1280" w:type="dxa"/>
            <w:vAlign w:val="bottom"/>
            <w:tcBorders>
              <w:right w:val="single" w:sz="8" w:color="auto"/>
            </w:tcBorders>
            <w:shd w:val="clear" w:color="auto" w:fill="2AD2C9"/>
          </w:tcPr>
          <w:p>
            <w:pPr>
              <w:spacing w:after="0"/>
              <w:rPr>
                <w:sz w:val="9"/>
                <w:szCs w:val="9"/>
                <w:color w:val="auto"/>
              </w:rPr>
            </w:pPr>
          </w:p>
        </w:tc>
        <w:tc>
          <w:tcPr>
            <w:tcW w:w="1880" w:type="dxa"/>
            <w:vAlign w:val="bottom"/>
            <w:tcBorders>
              <w:right w:val="single" w:sz="8" w:color="auto"/>
            </w:tcBorders>
            <w:gridSpan w:val="2"/>
            <w:shd w:val="clear" w:color="auto" w:fill="2AD2C9"/>
          </w:tcPr>
          <w:p>
            <w:pPr>
              <w:ind w:left="600"/>
              <w:spacing w:after="0" w:line="108" w:lineRule="exact"/>
              <w:rPr>
                <w:sz w:val="20"/>
                <w:szCs w:val="20"/>
                <w:color w:val="auto"/>
              </w:rPr>
            </w:pPr>
            <w:r>
              <w:rPr>
                <w:rFonts w:ascii="Times New Roman" w:cs="Times New Roman" w:eastAsia="Times New Roman" w:hAnsi="Times New Roman"/>
                <w:sz w:val="12"/>
                <w:szCs w:val="12"/>
                <w:b w:val="1"/>
                <w:bCs w:val="1"/>
                <w:color w:val="FFFFFF"/>
              </w:rPr>
              <w:t>% Change</w:t>
            </w:r>
          </w:p>
        </w:tc>
      </w:tr>
      <w:tr>
        <w:trPr>
          <w:trHeight w:val="164"/>
        </w:trPr>
        <w:tc>
          <w:tcPr>
            <w:tcW w:w="5660" w:type="dxa"/>
            <w:vAlign w:val="bottom"/>
            <w:tcBorders>
              <w:left w:val="single" w:sz="8" w:color="auto"/>
              <w:bottom w:val="single" w:sz="8" w:color="auto"/>
              <w:right w:val="single" w:sz="8" w:color="auto"/>
            </w:tcBorders>
            <w:shd w:val="clear" w:color="auto" w:fill="2AD2C9"/>
          </w:tcPr>
          <w:p>
            <w:pPr>
              <w:ind w:left="100"/>
              <w:spacing w:after="0"/>
              <w:rPr>
                <w:sz w:val="20"/>
                <w:szCs w:val="20"/>
                <w:color w:val="auto"/>
              </w:rPr>
            </w:pPr>
            <w:r>
              <w:rPr>
                <w:rFonts w:ascii="Times New Roman" w:cs="Times New Roman" w:eastAsia="Times New Roman" w:hAnsi="Times New Roman"/>
                <w:sz w:val="14"/>
                <w:szCs w:val="14"/>
                <w:color w:val="FFFFFF"/>
              </w:rPr>
              <w:t>(S/ thousand)</w:t>
            </w:r>
          </w:p>
        </w:tc>
        <w:tc>
          <w:tcPr>
            <w:tcW w:w="1280" w:type="dxa"/>
            <w:vAlign w:val="bottom"/>
            <w:tcBorders>
              <w:bottom w:val="single" w:sz="8" w:color="auto"/>
            </w:tcBorders>
            <w:shd w:val="clear" w:color="auto" w:fill="2AD2C9"/>
          </w:tcPr>
          <w:p>
            <w:pPr>
              <w:jc w:val="center"/>
              <w:ind w:right="33"/>
              <w:spacing w:after="0"/>
              <w:rPr>
                <w:sz w:val="20"/>
                <w:szCs w:val="20"/>
                <w:color w:val="auto"/>
              </w:rPr>
            </w:pPr>
            <w:r>
              <w:rPr>
                <w:rFonts w:ascii="Times New Roman" w:cs="Times New Roman" w:eastAsia="Times New Roman" w:hAnsi="Times New Roman"/>
                <w:sz w:val="14"/>
                <w:szCs w:val="14"/>
                <w:b w:val="1"/>
                <w:bCs w:val="1"/>
                <w:color w:val="FFFFFF"/>
                <w:w w:val="95"/>
              </w:rPr>
              <w:t>Mar 25</w:t>
            </w:r>
          </w:p>
        </w:tc>
        <w:tc>
          <w:tcPr>
            <w:tcW w:w="1160" w:type="dxa"/>
            <w:vAlign w:val="bottom"/>
            <w:tcBorders>
              <w:bottom w:val="single" w:sz="8" w:color="auto"/>
            </w:tcBorders>
            <w:shd w:val="clear" w:color="auto" w:fill="2AD2C9"/>
          </w:tcPr>
          <w:p>
            <w:pPr>
              <w:jc w:val="center"/>
              <w:spacing w:after="0"/>
              <w:rPr>
                <w:sz w:val="20"/>
                <w:szCs w:val="20"/>
                <w:color w:val="auto"/>
              </w:rPr>
            </w:pPr>
            <w:r>
              <w:rPr>
                <w:rFonts w:ascii="Times New Roman" w:cs="Times New Roman" w:eastAsia="Times New Roman" w:hAnsi="Times New Roman"/>
                <w:sz w:val="14"/>
                <w:szCs w:val="14"/>
                <w:b w:val="1"/>
                <w:bCs w:val="1"/>
                <w:color w:val="FFFFFF"/>
                <w:w w:val="94"/>
              </w:rPr>
              <w:t>Dec 25</w:t>
            </w:r>
          </w:p>
        </w:tc>
        <w:tc>
          <w:tcPr>
            <w:tcW w:w="1280" w:type="dxa"/>
            <w:vAlign w:val="bottom"/>
            <w:tcBorders>
              <w:bottom w:val="single" w:sz="8" w:color="auto"/>
              <w:right w:val="single" w:sz="8" w:color="auto"/>
            </w:tcBorders>
            <w:shd w:val="clear" w:color="auto" w:fill="2AD2C9"/>
          </w:tcPr>
          <w:p>
            <w:pPr>
              <w:ind w:left="420"/>
              <w:spacing w:after="0"/>
              <w:rPr>
                <w:sz w:val="20"/>
                <w:szCs w:val="20"/>
                <w:color w:val="auto"/>
              </w:rPr>
            </w:pPr>
            <w:r>
              <w:rPr>
                <w:rFonts w:ascii="Times New Roman" w:cs="Times New Roman" w:eastAsia="Times New Roman" w:hAnsi="Times New Roman"/>
                <w:sz w:val="14"/>
                <w:szCs w:val="14"/>
                <w:b w:val="1"/>
                <w:bCs w:val="1"/>
                <w:color w:val="FFFFFF"/>
              </w:rPr>
              <w:t>Mar 26</w:t>
            </w:r>
          </w:p>
        </w:tc>
        <w:tc>
          <w:tcPr>
            <w:tcW w:w="960" w:type="dxa"/>
            <w:vAlign w:val="bottom"/>
            <w:tcBorders>
              <w:bottom w:val="single" w:sz="8" w:color="auto"/>
            </w:tcBorders>
            <w:shd w:val="clear" w:color="auto" w:fill="2AD2C9"/>
          </w:tcPr>
          <w:p>
            <w:pPr>
              <w:jc w:val="center"/>
              <w:spacing w:after="0"/>
              <w:rPr>
                <w:sz w:val="20"/>
                <w:szCs w:val="20"/>
                <w:color w:val="auto"/>
              </w:rPr>
            </w:pPr>
            <w:r>
              <w:rPr>
                <w:rFonts w:ascii="Times New Roman" w:cs="Times New Roman" w:eastAsia="Times New Roman" w:hAnsi="Times New Roman"/>
                <w:sz w:val="14"/>
                <w:szCs w:val="14"/>
                <w:b w:val="1"/>
                <w:bCs w:val="1"/>
                <w:color w:val="FFFFFF"/>
                <w:w w:val="90"/>
              </w:rPr>
              <w:t>QoQ</w:t>
            </w:r>
          </w:p>
        </w:tc>
        <w:tc>
          <w:tcPr>
            <w:tcW w:w="92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Times New Roman" w:cs="Times New Roman" w:eastAsia="Times New Roman" w:hAnsi="Times New Roman"/>
                <w:sz w:val="14"/>
                <w:szCs w:val="14"/>
                <w:b w:val="1"/>
                <w:bCs w:val="1"/>
                <w:color w:val="FFFFFF"/>
                <w:w w:val="95"/>
              </w:rPr>
              <w:t>YoY</w:t>
            </w:r>
          </w:p>
        </w:tc>
      </w:tr>
      <w:tr>
        <w:trPr>
          <w:trHeight w:val="112"/>
        </w:trPr>
        <w:tc>
          <w:tcPr>
            <w:tcW w:w="5660" w:type="dxa"/>
            <w:vAlign w:val="bottom"/>
            <w:tcBorders>
              <w:left w:val="single" w:sz="8" w:color="auto"/>
              <w:right w:val="single" w:sz="8" w:color="auto"/>
            </w:tcBorders>
          </w:tcPr>
          <w:p>
            <w:pPr>
              <w:ind w:left="60"/>
              <w:spacing w:after="0" w:line="112" w:lineRule="exact"/>
              <w:rPr>
                <w:sz w:val="20"/>
                <w:szCs w:val="20"/>
                <w:color w:val="auto"/>
              </w:rPr>
            </w:pPr>
            <w:r>
              <w:rPr>
                <w:rFonts w:ascii="Times New Roman" w:cs="Times New Roman" w:eastAsia="Times New Roman" w:hAnsi="Times New Roman"/>
                <w:sz w:val="12"/>
                <w:szCs w:val="12"/>
                <w:color w:val="auto"/>
              </w:rPr>
              <w:t>Market risk-weighted assets</w:t>
            </w:r>
          </w:p>
        </w:tc>
        <w:tc>
          <w:tcPr>
            <w:tcW w:w="1280" w:type="dxa"/>
            <w:vAlign w:val="bottom"/>
          </w:tcPr>
          <w:p>
            <w:pPr>
              <w:jc w:val="center"/>
              <w:ind w:right="33"/>
              <w:spacing w:after="0" w:line="112" w:lineRule="exact"/>
              <w:rPr>
                <w:sz w:val="20"/>
                <w:szCs w:val="20"/>
                <w:color w:val="auto"/>
              </w:rPr>
            </w:pPr>
            <w:r>
              <w:rPr>
                <w:rFonts w:ascii="Times New Roman" w:cs="Times New Roman" w:eastAsia="Times New Roman" w:hAnsi="Times New Roman"/>
                <w:sz w:val="12"/>
                <w:szCs w:val="12"/>
                <w:color w:val="auto"/>
              </w:rPr>
              <w:t>3,903,493</w:t>
            </w:r>
          </w:p>
        </w:tc>
        <w:tc>
          <w:tcPr>
            <w:tcW w:w="1160" w:type="dxa"/>
            <w:vAlign w:val="bottom"/>
          </w:tcPr>
          <w:p>
            <w:pPr>
              <w:jc w:val="center"/>
              <w:spacing w:after="0" w:line="112" w:lineRule="exact"/>
              <w:rPr>
                <w:sz w:val="20"/>
                <w:szCs w:val="20"/>
                <w:color w:val="auto"/>
              </w:rPr>
            </w:pPr>
            <w:r>
              <w:rPr>
                <w:rFonts w:ascii="Times New Roman" w:cs="Times New Roman" w:eastAsia="Times New Roman" w:hAnsi="Times New Roman"/>
                <w:sz w:val="12"/>
                <w:szCs w:val="12"/>
                <w:color w:val="auto"/>
              </w:rPr>
              <w:t>5,019,033</w:t>
            </w:r>
          </w:p>
        </w:tc>
        <w:tc>
          <w:tcPr>
            <w:tcW w:w="1280" w:type="dxa"/>
            <w:vAlign w:val="bottom"/>
            <w:tcBorders>
              <w:right w:val="single" w:sz="8" w:color="auto"/>
            </w:tcBorders>
          </w:tcPr>
          <w:p>
            <w:pPr>
              <w:jc w:val="center"/>
              <w:spacing w:after="0" w:line="112" w:lineRule="exact"/>
              <w:rPr>
                <w:sz w:val="20"/>
                <w:szCs w:val="20"/>
                <w:color w:val="auto"/>
              </w:rPr>
            </w:pPr>
            <w:r>
              <w:rPr>
                <w:rFonts w:ascii="Times New Roman" w:cs="Times New Roman" w:eastAsia="Times New Roman" w:hAnsi="Times New Roman"/>
                <w:sz w:val="12"/>
                <w:szCs w:val="12"/>
                <w:color w:val="auto"/>
              </w:rPr>
              <w:t>6,640,053</w:t>
            </w:r>
          </w:p>
        </w:tc>
        <w:tc>
          <w:tcPr>
            <w:tcW w:w="960" w:type="dxa"/>
            <w:vAlign w:val="bottom"/>
          </w:tcPr>
          <w:p>
            <w:pPr>
              <w:jc w:val="center"/>
              <w:spacing w:after="0" w:line="112" w:lineRule="exact"/>
              <w:rPr>
                <w:sz w:val="20"/>
                <w:szCs w:val="20"/>
                <w:color w:val="auto"/>
              </w:rPr>
            </w:pPr>
            <w:r>
              <w:rPr>
                <w:rFonts w:ascii="Times New Roman" w:cs="Times New Roman" w:eastAsia="Times New Roman" w:hAnsi="Times New Roman"/>
                <w:sz w:val="12"/>
                <w:szCs w:val="12"/>
                <w:color w:val="auto"/>
              </w:rPr>
              <w:t>32.3%</w:t>
            </w:r>
          </w:p>
        </w:tc>
        <w:tc>
          <w:tcPr>
            <w:tcW w:w="920" w:type="dxa"/>
            <w:vAlign w:val="bottom"/>
            <w:tcBorders>
              <w:right w:val="single" w:sz="8" w:color="auto"/>
            </w:tcBorders>
          </w:tcPr>
          <w:p>
            <w:pPr>
              <w:jc w:val="center"/>
              <w:spacing w:after="0" w:line="112" w:lineRule="exact"/>
              <w:rPr>
                <w:sz w:val="20"/>
                <w:szCs w:val="20"/>
                <w:color w:val="auto"/>
              </w:rPr>
            </w:pPr>
            <w:r>
              <w:rPr>
                <w:rFonts w:ascii="Times New Roman" w:cs="Times New Roman" w:eastAsia="Times New Roman" w:hAnsi="Times New Roman"/>
                <w:sz w:val="12"/>
                <w:szCs w:val="12"/>
                <w:color w:val="auto"/>
              </w:rPr>
              <w:t>70.1%</w:t>
            </w:r>
          </w:p>
        </w:tc>
      </w:tr>
      <w:tr>
        <w:trPr>
          <w:trHeight w:val="140"/>
        </w:trPr>
        <w:tc>
          <w:tcPr>
            <w:tcW w:w="5660" w:type="dxa"/>
            <w:vAlign w:val="bottom"/>
            <w:tcBorders>
              <w:left w:val="single" w:sz="8" w:color="auto"/>
              <w:right w:val="single" w:sz="8" w:color="auto"/>
            </w:tcBorders>
          </w:tcPr>
          <w:p>
            <w:pPr>
              <w:ind w:left="60"/>
              <w:spacing w:after="0" w:line="140" w:lineRule="exact"/>
              <w:rPr>
                <w:sz w:val="20"/>
                <w:szCs w:val="20"/>
                <w:color w:val="auto"/>
              </w:rPr>
            </w:pPr>
            <w:r>
              <w:rPr>
                <w:rFonts w:ascii="Times New Roman" w:cs="Times New Roman" w:eastAsia="Times New Roman" w:hAnsi="Times New Roman"/>
                <w:sz w:val="14"/>
                <w:szCs w:val="14"/>
                <w:color w:val="auto"/>
              </w:rPr>
              <w:t>Credit risk-weighted assets</w:t>
            </w:r>
          </w:p>
        </w:tc>
        <w:tc>
          <w:tcPr>
            <w:tcW w:w="1280" w:type="dxa"/>
            <w:vAlign w:val="bottom"/>
          </w:tcPr>
          <w:p>
            <w:pPr>
              <w:jc w:val="center"/>
              <w:ind w:right="13"/>
              <w:spacing w:after="0" w:line="140" w:lineRule="exact"/>
              <w:rPr>
                <w:sz w:val="20"/>
                <w:szCs w:val="20"/>
                <w:color w:val="auto"/>
              </w:rPr>
            </w:pPr>
            <w:r>
              <w:rPr>
                <w:rFonts w:ascii="Times New Roman" w:cs="Times New Roman" w:eastAsia="Times New Roman" w:hAnsi="Times New Roman"/>
                <w:sz w:val="14"/>
                <w:szCs w:val="14"/>
                <w:color w:val="auto"/>
                <w:w w:val="97"/>
              </w:rPr>
              <w:t>138,028,766</w:t>
            </w:r>
          </w:p>
        </w:tc>
        <w:tc>
          <w:tcPr>
            <w:tcW w:w="11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4"/>
              </w:rPr>
              <w:t>142,806,023</w:t>
            </w:r>
          </w:p>
        </w:tc>
        <w:tc>
          <w:tcPr>
            <w:tcW w:w="128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7"/>
              </w:rPr>
              <w:t>148,234,223</w:t>
            </w:r>
          </w:p>
        </w:tc>
        <w:tc>
          <w:tcPr>
            <w:tcW w:w="9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rPr>
              <w:t>3.8%</w:t>
            </w:r>
          </w:p>
        </w:tc>
        <w:tc>
          <w:tcPr>
            <w:tcW w:w="92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rPr>
              <w:t>7.4%</w:t>
            </w:r>
          </w:p>
        </w:tc>
      </w:tr>
      <w:tr>
        <w:trPr>
          <w:trHeight w:val="160"/>
        </w:trPr>
        <w:tc>
          <w:tcPr>
            <w:tcW w:w="5660" w:type="dxa"/>
            <w:vAlign w:val="bottom"/>
            <w:tcBorders>
              <w:left w:val="single" w:sz="8" w:color="auto"/>
              <w:bottom w:val="single" w:sz="8" w:color="auto"/>
              <w:right w:val="single" w:sz="8" w:color="auto"/>
            </w:tcBorders>
          </w:tcPr>
          <w:p>
            <w:pPr>
              <w:ind w:left="60"/>
              <w:spacing w:after="0" w:line="160" w:lineRule="exact"/>
              <w:rPr>
                <w:sz w:val="20"/>
                <w:szCs w:val="20"/>
                <w:color w:val="auto"/>
              </w:rPr>
            </w:pPr>
            <w:r>
              <w:rPr>
                <w:rFonts w:ascii="Times New Roman" w:cs="Times New Roman" w:eastAsia="Times New Roman" w:hAnsi="Times New Roman"/>
                <w:sz w:val="14"/>
                <w:szCs w:val="14"/>
                <w:color w:val="auto"/>
              </w:rPr>
              <w:t>Operational risk-weighted assets</w:t>
            </w:r>
          </w:p>
        </w:tc>
        <w:tc>
          <w:tcPr>
            <w:tcW w:w="1280" w:type="dxa"/>
            <w:vAlign w:val="bottom"/>
            <w:tcBorders>
              <w:bottom w:val="single" w:sz="8" w:color="auto"/>
            </w:tcBorders>
          </w:tcPr>
          <w:p>
            <w:pPr>
              <w:jc w:val="center"/>
              <w:ind w:right="33"/>
              <w:spacing w:after="0" w:line="160" w:lineRule="exact"/>
              <w:rPr>
                <w:sz w:val="20"/>
                <w:szCs w:val="20"/>
                <w:color w:val="auto"/>
              </w:rPr>
            </w:pPr>
            <w:r>
              <w:rPr>
                <w:rFonts w:ascii="Times New Roman" w:cs="Times New Roman" w:eastAsia="Times New Roman" w:hAnsi="Times New Roman"/>
                <w:sz w:val="14"/>
                <w:szCs w:val="14"/>
                <w:color w:val="auto"/>
                <w:w w:val="98"/>
              </w:rPr>
              <w:t>18,895,091</w:t>
            </w:r>
          </w:p>
        </w:tc>
        <w:tc>
          <w:tcPr>
            <w:tcW w:w="116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w w:val="98"/>
              </w:rPr>
              <w:t>20,123,383</w:t>
            </w:r>
          </w:p>
        </w:tc>
        <w:tc>
          <w:tcPr>
            <w:tcW w:w="1280" w:type="dxa"/>
            <w:vAlign w:val="bottom"/>
            <w:tcBorders>
              <w:bottom w:val="single" w:sz="8" w:color="auto"/>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w w:val="98"/>
              </w:rPr>
              <w:t>20,574,067</w:t>
            </w:r>
          </w:p>
        </w:tc>
        <w:tc>
          <w:tcPr>
            <w:tcW w:w="96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rPr>
              <w:t>2.2%</w:t>
            </w:r>
          </w:p>
        </w:tc>
        <w:tc>
          <w:tcPr>
            <w:tcW w:w="920" w:type="dxa"/>
            <w:vAlign w:val="bottom"/>
            <w:tcBorders>
              <w:bottom w:val="single" w:sz="8" w:color="auto"/>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rPr>
              <w:t>8.9%</w:t>
            </w:r>
          </w:p>
        </w:tc>
      </w:tr>
      <w:tr>
        <w:trPr>
          <w:trHeight w:val="132"/>
        </w:trPr>
        <w:tc>
          <w:tcPr>
            <w:tcW w:w="5660" w:type="dxa"/>
            <w:vAlign w:val="bottom"/>
            <w:tcBorders>
              <w:left w:val="single" w:sz="8" w:color="auto"/>
              <w:bottom w:val="single" w:sz="8" w:color="auto"/>
              <w:right w:val="single" w:sz="8" w:color="auto"/>
            </w:tcBorders>
          </w:tcPr>
          <w:p>
            <w:pPr>
              <w:ind w:left="40"/>
              <w:spacing w:after="0" w:line="133" w:lineRule="exact"/>
              <w:rPr>
                <w:sz w:val="20"/>
                <w:szCs w:val="20"/>
                <w:color w:val="auto"/>
              </w:rPr>
            </w:pPr>
            <w:r>
              <w:rPr>
                <w:rFonts w:ascii="Times New Roman" w:cs="Times New Roman" w:eastAsia="Times New Roman" w:hAnsi="Times New Roman"/>
                <w:sz w:val="14"/>
                <w:szCs w:val="14"/>
                <w:b w:val="1"/>
                <w:bCs w:val="1"/>
                <w:color w:val="auto"/>
              </w:rPr>
              <w:t>Total</w:t>
            </w:r>
          </w:p>
        </w:tc>
        <w:tc>
          <w:tcPr>
            <w:tcW w:w="1280" w:type="dxa"/>
            <w:vAlign w:val="bottom"/>
            <w:tcBorders>
              <w:bottom w:val="single" w:sz="8" w:color="auto"/>
            </w:tcBorders>
          </w:tcPr>
          <w:p>
            <w:pPr>
              <w:jc w:val="center"/>
              <w:ind w:right="13"/>
              <w:spacing w:after="0" w:line="133" w:lineRule="exact"/>
              <w:rPr>
                <w:sz w:val="20"/>
                <w:szCs w:val="20"/>
                <w:color w:val="auto"/>
              </w:rPr>
            </w:pPr>
            <w:r>
              <w:rPr>
                <w:rFonts w:ascii="Times New Roman" w:cs="Times New Roman" w:eastAsia="Times New Roman" w:hAnsi="Times New Roman"/>
                <w:sz w:val="14"/>
                <w:szCs w:val="14"/>
                <w:b w:val="1"/>
                <w:bCs w:val="1"/>
                <w:color w:val="auto"/>
                <w:w w:val="97"/>
              </w:rPr>
              <w:t>160,827,350</w:t>
            </w:r>
          </w:p>
        </w:tc>
        <w:tc>
          <w:tcPr>
            <w:tcW w:w="1160" w:type="dxa"/>
            <w:vAlign w:val="bottom"/>
            <w:tcBorders>
              <w:bottom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4"/>
              </w:rPr>
              <w:t>167,948,439</w:t>
            </w:r>
          </w:p>
        </w:tc>
        <w:tc>
          <w:tcPr>
            <w:tcW w:w="128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7"/>
              </w:rPr>
              <w:t>175,448,343</w:t>
            </w:r>
          </w:p>
        </w:tc>
        <w:tc>
          <w:tcPr>
            <w:tcW w:w="960" w:type="dxa"/>
            <w:vAlign w:val="bottom"/>
            <w:tcBorders>
              <w:bottom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5"/>
              </w:rPr>
              <w:t>4.5%</w:t>
            </w:r>
          </w:p>
        </w:tc>
        <w:tc>
          <w:tcPr>
            <w:tcW w:w="92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5"/>
              </w:rPr>
              <w:t>9.1%</w:t>
            </w:r>
          </w:p>
        </w:tc>
      </w:tr>
      <w:tr>
        <w:trPr>
          <w:trHeight w:val="132"/>
        </w:trPr>
        <w:tc>
          <w:tcPr>
            <w:tcW w:w="566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r>
      <w:tr>
        <w:trPr>
          <w:trHeight w:val="108"/>
        </w:trPr>
        <w:tc>
          <w:tcPr>
            <w:tcW w:w="5660" w:type="dxa"/>
            <w:vAlign w:val="bottom"/>
            <w:tcBorders>
              <w:left w:val="single" w:sz="8" w:color="auto"/>
              <w:right w:val="single" w:sz="8" w:color="auto"/>
            </w:tcBorders>
            <w:shd w:val="clear" w:color="auto" w:fill="2AD2C9"/>
          </w:tcPr>
          <w:p>
            <w:pPr>
              <w:ind w:left="60"/>
              <w:spacing w:after="0" w:line="108" w:lineRule="exact"/>
              <w:rPr>
                <w:sz w:val="20"/>
                <w:szCs w:val="20"/>
                <w:color w:val="auto"/>
              </w:rPr>
            </w:pPr>
            <w:r>
              <w:rPr>
                <w:rFonts w:ascii="Times New Roman" w:cs="Times New Roman" w:eastAsia="Times New Roman" w:hAnsi="Times New Roman"/>
                <w:sz w:val="12"/>
                <w:szCs w:val="12"/>
                <w:b w:val="1"/>
                <w:bCs w:val="1"/>
                <w:color w:val="FFFFFF"/>
              </w:rPr>
              <w:t>Capital requirement</w:t>
            </w:r>
          </w:p>
        </w:tc>
        <w:tc>
          <w:tcPr>
            <w:tcW w:w="1280" w:type="dxa"/>
            <w:vAlign w:val="bottom"/>
            <w:shd w:val="clear" w:color="auto" w:fill="2AD2C9"/>
          </w:tcPr>
          <w:p>
            <w:pPr>
              <w:spacing w:after="0"/>
              <w:rPr>
                <w:sz w:val="9"/>
                <w:szCs w:val="9"/>
                <w:color w:val="auto"/>
              </w:rPr>
            </w:pPr>
          </w:p>
        </w:tc>
        <w:tc>
          <w:tcPr>
            <w:tcW w:w="1160" w:type="dxa"/>
            <w:vAlign w:val="bottom"/>
            <w:shd w:val="clear" w:color="auto" w:fill="2AD2C9"/>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FFFFFF"/>
              </w:rPr>
              <w:t>Quarter</w:t>
            </w:r>
          </w:p>
        </w:tc>
        <w:tc>
          <w:tcPr>
            <w:tcW w:w="1280" w:type="dxa"/>
            <w:vAlign w:val="bottom"/>
            <w:tcBorders>
              <w:right w:val="single" w:sz="8" w:color="auto"/>
            </w:tcBorders>
            <w:shd w:val="clear" w:color="auto" w:fill="2AD2C9"/>
          </w:tcPr>
          <w:p>
            <w:pPr>
              <w:spacing w:after="0"/>
              <w:rPr>
                <w:sz w:val="9"/>
                <w:szCs w:val="9"/>
                <w:color w:val="auto"/>
              </w:rPr>
            </w:pPr>
          </w:p>
        </w:tc>
        <w:tc>
          <w:tcPr>
            <w:tcW w:w="1880" w:type="dxa"/>
            <w:vAlign w:val="bottom"/>
            <w:tcBorders>
              <w:right w:val="single" w:sz="8" w:color="auto"/>
            </w:tcBorders>
            <w:gridSpan w:val="2"/>
            <w:shd w:val="clear" w:color="auto" w:fill="2AD2C9"/>
          </w:tcPr>
          <w:p>
            <w:pPr>
              <w:ind w:left="600"/>
              <w:spacing w:after="0" w:line="108" w:lineRule="exact"/>
              <w:rPr>
                <w:sz w:val="20"/>
                <w:szCs w:val="20"/>
                <w:color w:val="auto"/>
              </w:rPr>
            </w:pPr>
            <w:r>
              <w:rPr>
                <w:rFonts w:ascii="Times New Roman" w:cs="Times New Roman" w:eastAsia="Times New Roman" w:hAnsi="Times New Roman"/>
                <w:sz w:val="12"/>
                <w:szCs w:val="12"/>
                <w:b w:val="1"/>
                <w:bCs w:val="1"/>
                <w:color w:val="FFFFFF"/>
              </w:rPr>
              <w:t>% Change</w:t>
            </w:r>
          </w:p>
        </w:tc>
      </w:tr>
      <w:tr>
        <w:trPr>
          <w:trHeight w:val="164"/>
        </w:trPr>
        <w:tc>
          <w:tcPr>
            <w:tcW w:w="5660" w:type="dxa"/>
            <w:vAlign w:val="bottom"/>
            <w:tcBorders>
              <w:left w:val="single" w:sz="8" w:color="auto"/>
              <w:bottom w:val="single" w:sz="8" w:color="auto"/>
              <w:right w:val="single" w:sz="8" w:color="auto"/>
            </w:tcBorders>
            <w:shd w:val="clear" w:color="auto" w:fill="2AD2C9"/>
          </w:tcPr>
          <w:p>
            <w:pPr>
              <w:ind w:left="100"/>
              <w:spacing w:after="0"/>
              <w:rPr>
                <w:sz w:val="20"/>
                <w:szCs w:val="20"/>
                <w:color w:val="auto"/>
              </w:rPr>
            </w:pPr>
            <w:r>
              <w:rPr>
                <w:rFonts w:ascii="Times New Roman" w:cs="Times New Roman" w:eastAsia="Times New Roman" w:hAnsi="Times New Roman"/>
                <w:sz w:val="14"/>
                <w:szCs w:val="14"/>
                <w:color w:val="FFFFFF"/>
              </w:rPr>
              <w:t>(S/ thousand)</w:t>
            </w:r>
          </w:p>
        </w:tc>
        <w:tc>
          <w:tcPr>
            <w:tcW w:w="1280" w:type="dxa"/>
            <w:vAlign w:val="bottom"/>
            <w:tcBorders>
              <w:bottom w:val="single" w:sz="8" w:color="auto"/>
            </w:tcBorders>
            <w:shd w:val="clear" w:color="auto" w:fill="2AD2C9"/>
          </w:tcPr>
          <w:p>
            <w:pPr>
              <w:jc w:val="center"/>
              <w:ind w:right="33"/>
              <w:spacing w:after="0"/>
              <w:rPr>
                <w:sz w:val="20"/>
                <w:szCs w:val="20"/>
                <w:color w:val="auto"/>
              </w:rPr>
            </w:pPr>
            <w:r>
              <w:rPr>
                <w:rFonts w:ascii="Times New Roman" w:cs="Times New Roman" w:eastAsia="Times New Roman" w:hAnsi="Times New Roman"/>
                <w:sz w:val="14"/>
                <w:szCs w:val="14"/>
                <w:b w:val="1"/>
                <w:bCs w:val="1"/>
                <w:color w:val="FFFFFF"/>
                <w:w w:val="95"/>
              </w:rPr>
              <w:t>Mar 25</w:t>
            </w:r>
          </w:p>
        </w:tc>
        <w:tc>
          <w:tcPr>
            <w:tcW w:w="1160" w:type="dxa"/>
            <w:vAlign w:val="bottom"/>
            <w:tcBorders>
              <w:bottom w:val="single" w:sz="8" w:color="auto"/>
            </w:tcBorders>
            <w:shd w:val="clear" w:color="auto" w:fill="2AD2C9"/>
          </w:tcPr>
          <w:p>
            <w:pPr>
              <w:jc w:val="center"/>
              <w:spacing w:after="0"/>
              <w:rPr>
                <w:sz w:val="20"/>
                <w:szCs w:val="20"/>
                <w:color w:val="auto"/>
              </w:rPr>
            </w:pPr>
            <w:r>
              <w:rPr>
                <w:rFonts w:ascii="Times New Roman" w:cs="Times New Roman" w:eastAsia="Times New Roman" w:hAnsi="Times New Roman"/>
                <w:sz w:val="14"/>
                <w:szCs w:val="14"/>
                <w:b w:val="1"/>
                <w:bCs w:val="1"/>
                <w:color w:val="FFFFFF"/>
                <w:w w:val="94"/>
              </w:rPr>
              <w:t>Dec 25</w:t>
            </w:r>
          </w:p>
        </w:tc>
        <w:tc>
          <w:tcPr>
            <w:tcW w:w="1280" w:type="dxa"/>
            <w:vAlign w:val="bottom"/>
            <w:tcBorders>
              <w:bottom w:val="single" w:sz="8" w:color="auto"/>
              <w:right w:val="single" w:sz="8" w:color="auto"/>
            </w:tcBorders>
            <w:shd w:val="clear" w:color="auto" w:fill="2AD2C9"/>
          </w:tcPr>
          <w:p>
            <w:pPr>
              <w:ind w:left="420"/>
              <w:spacing w:after="0"/>
              <w:rPr>
                <w:sz w:val="20"/>
                <w:szCs w:val="20"/>
                <w:color w:val="auto"/>
              </w:rPr>
            </w:pPr>
            <w:r>
              <w:rPr>
                <w:rFonts w:ascii="Times New Roman" w:cs="Times New Roman" w:eastAsia="Times New Roman" w:hAnsi="Times New Roman"/>
                <w:sz w:val="14"/>
                <w:szCs w:val="14"/>
                <w:b w:val="1"/>
                <w:bCs w:val="1"/>
                <w:color w:val="FFFFFF"/>
              </w:rPr>
              <w:t>Mar 26</w:t>
            </w:r>
          </w:p>
        </w:tc>
        <w:tc>
          <w:tcPr>
            <w:tcW w:w="960" w:type="dxa"/>
            <w:vAlign w:val="bottom"/>
            <w:tcBorders>
              <w:bottom w:val="single" w:sz="8" w:color="auto"/>
            </w:tcBorders>
            <w:shd w:val="clear" w:color="auto" w:fill="2AD2C9"/>
          </w:tcPr>
          <w:p>
            <w:pPr>
              <w:jc w:val="center"/>
              <w:spacing w:after="0"/>
              <w:rPr>
                <w:sz w:val="20"/>
                <w:szCs w:val="20"/>
                <w:color w:val="auto"/>
              </w:rPr>
            </w:pPr>
            <w:r>
              <w:rPr>
                <w:rFonts w:ascii="Times New Roman" w:cs="Times New Roman" w:eastAsia="Times New Roman" w:hAnsi="Times New Roman"/>
                <w:sz w:val="14"/>
                <w:szCs w:val="14"/>
                <w:b w:val="1"/>
                <w:bCs w:val="1"/>
                <w:color w:val="FFFFFF"/>
                <w:w w:val="90"/>
              </w:rPr>
              <w:t>QoQ</w:t>
            </w:r>
          </w:p>
        </w:tc>
        <w:tc>
          <w:tcPr>
            <w:tcW w:w="92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Times New Roman" w:cs="Times New Roman" w:eastAsia="Times New Roman" w:hAnsi="Times New Roman"/>
                <w:sz w:val="14"/>
                <w:szCs w:val="14"/>
                <w:b w:val="1"/>
                <w:bCs w:val="1"/>
                <w:color w:val="FFFFFF"/>
                <w:w w:val="95"/>
              </w:rPr>
              <w:t>YoY</w:t>
            </w:r>
          </w:p>
        </w:tc>
      </w:tr>
      <w:tr>
        <w:trPr>
          <w:trHeight w:val="112"/>
        </w:trPr>
        <w:tc>
          <w:tcPr>
            <w:tcW w:w="5660" w:type="dxa"/>
            <w:vAlign w:val="bottom"/>
            <w:tcBorders>
              <w:left w:val="single" w:sz="8" w:color="auto"/>
              <w:right w:val="single" w:sz="8" w:color="auto"/>
            </w:tcBorders>
          </w:tcPr>
          <w:p>
            <w:pPr>
              <w:ind w:left="60"/>
              <w:spacing w:after="0" w:line="112" w:lineRule="exact"/>
              <w:rPr>
                <w:sz w:val="20"/>
                <w:szCs w:val="20"/>
                <w:color w:val="auto"/>
              </w:rPr>
            </w:pPr>
            <w:r>
              <w:rPr>
                <w:rFonts w:ascii="Times New Roman" w:cs="Times New Roman" w:eastAsia="Times New Roman" w:hAnsi="Times New Roman"/>
                <w:sz w:val="12"/>
                <w:szCs w:val="12"/>
                <w:color w:val="auto"/>
              </w:rPr>
              <w:t>Market risk capital requirement</w:t>
            </w:r>
          </w:p>
        </w:tc>
        <w:tc>
          <w:tcPr>
            <w:tcW w:w="1280" w:type="dxa"/>
            <w:vAlign w:val="bottom"/>
          </w:tcPr>
          <w:p>
            <w:pPr>
              <w:jc w:val="center"/>
              <w:ind w:right="13"/>
              <w:spacing w:after="0" w:line="112" w:lineRule="exact"/>
              <w:rPr>
                <w:sz w:val="20"/>
                <w:szCs w:val="20"/>
                <w:color w:val="auto"/>
              </w:rPr>
            </w:pPr>
            <w:r>
              <w:rPr>
                <w:rFonts w:ascii="Times New Roman" w:cs="Times New Roman" w:eastAsia="Times New Roman" w:hAnsi="Times New Roman"/>
                <w:sz w:val="12"/>
                <w:szCs w:val="12"/>
                <w:color w:val="auto"/>
              </w:rPr>
              <w:t>390,349</w:t>
            </w:r>
          </w:p>
        </w:tc>
        <w:tc>
          <w:tcPr>
            <w:tcW w:w="1160" w:type="dxa"/>
            <w:vAlign w:val="bottom"/>
          </w:tcPr>
          <w:p>
            <w:pPr>
              <w:jc w:val="center"/>
              <w:spacing w:after="0" w:line="112" w:lineRule="exact"/>
              <w:rPr>
                <w:sz w:val="20"/>
                <w:szCs w:val="20"/>
                <w:color w:val="auto"/>
              </w:rPr>
            </w:pPr>
            <w:r>
              <w:rPr>
                <w:rFonts w:ascii="Times New Roman" w:cs="Times New Roman" w:eastAsia="Times New Roman" w:hAnsi="Times New Roman"/>
                <w:sz w:val="12"/>
                <w:szCs w:val="12"/>
                <w:color w:val="auto"/>
              </w:rPr>
              <w:t>501,903</w:t>
            </w:r>
          </w:p>
        </w:tc>
        <w:tc>
          <w:tcPr>
            <w:tcW w:w="1280" w:type="dxa"/>
            <w:vAlign w:val="bottom"/>
            <w:tcBorders>
              <w:right w:val="single" w:sz="8" w:color="auto"/>
            </w:tcBorders>
          </w:tcPr>
          <w:p>
            <w:pPr>
              <w:jc w:val="center"/>
              <w:spacing w:after="0" w:line="112" w:lineRule="exact"/>
              <w:rPr>
                <w:sz w:val="20"/>
                <w:szCs w:val="20"/>
                <w:color w:val="auto"/>
              </w:rPr>
            </w:pPr>
            <w:r>
              <w:rPr>
                <w:rFonts w:ascii="Times New Roman" w:cs="Times New Roman" w:eastAsia="Times New Roman" w:hAnsi="Times New Roman"/>
                <w:sz w:val="12"/>
                <w:szCs w:val="12"/>
                <w:color w:val="auto"/>
              </w:rPr>
              <w:t>664,005</w:t>
            </w:r>
          </w:p>
        </w:tc>
        <w:tc>
          <w:tcPr>
            <w:tcW w:w="960" w:type="dxa"/>
            <w:vAlign w:val="bottom"/>
          </w:tcPr>
          <w:p>
            <w:pPr>
              <w:jc w:val="center"/>
              <w:spacing w:after="0" w:line="112" w:lineRule="exact"/>
              <w:rPr>
                <w:sz w:val="20"/>
                <w:szCs w:val="20"/>
                <w:color w:val="auto"/>
              </w:rPr>
            </w:pPr>
            <w:r>
              <w:rPr>
                <w:rFonts w:ascii="Times New Roman" w:cs="Times New Roman" w:eastAsia="Times New Roman" w:hAnsi="Times New Roman"/>
                <w:sz w:val="12"/>
                <w:szCs w:val="12"/>
                <w:color w:val="auto"/>
              </w:rPr>
              <w:t>32.3%</w:t>
            </w:r>
          </w:p>
        </w:tc>
        <w:tc>
          <w:tcPr>
            <w:tcW w:w="920" w:type="dxa"/>
            <w:vAlign w:val="bottom"/>
            <w:tcBorders>
              <w:right w:val="single" w:sz="8" w:color="auto"/>
            </w:tcBorders>
          </w:tcPr>
          <w:p>
            <w:pPr>
              <w:jc w:val="center"/>
              <w:spacing w:after="0" w:line="112" w:lineRule="exact"/>
              <w:rPr>
                <w:sz w:val="20"/>
                <w:szCs w:val="20"/>
                <w:color w:val="auto"/>
              </w:rPr>
            </w:pPr>
            <w:r>
              <w:rPr>
                <w:rFonts w:ascii="Times New Roman" w:cs="Times New Roman" w:eastAsia="Times New Roman" w:hAnsi="Times New Roman"/>
                <w:sz w:val="12"/>
                <w:szCs w:val="12"/>
                <w:color w:val="auto"/>
              </w:rPr>
              <w:t>70.1%</w:t>
            </w:r>
          </w:p>
        </w:tc>
      </w:tr>
      <w:tr>
        <w:trPr>
          <w:trHeight w:val="140"/>
        </w:trPr>
        <w:tc>
          <w:tcPr>
            <w:tcW w:w="5660" w:type="dxa"/>
            <w:vAlign w:val="bottom"/>
            <w:tcBorders>
              <w:left w:val="single" w:sz="8" w:color="auto"/>
              <w:right w:val="single" w:sz="8" w:color="auto"/>
            </w:tcBorders>
          </w:tcPr>
          <w:p>
            <w:pPr>
              <w:ind w:left="60"/>
              <w:spacing w:after="0" w:line="140" w:lineRule="exact"/>
              <w:rPr>
                <w:sz w:val="20"/>
                <w:szCs w:val="20"/>
                <w:color w:val="auto"/>
              </w:rPr>
            </w:pPr>
            <w:r>
              <w:rPr>
                <w:rFonts w:ascii="Times New Roman" w:cs="Times New Roman" w:eastAsia="Times New Roman" w:hAnsi="Times New Roman"/>
                <w:sz w:val="14"/>
                <w:szCs w:val="14"/>
                <w:color w:val="auto"/>
              </w:rPr>
              <w:t>Credit risk capital requirement</w:t>
            </w:r>
          </w:p>
        </w:tc>
        <w:tc>
          <w:tcPr>
            <w:tcW w:w="1280" w:type="dxa"/>
            <w:vAlign w:val="bottom"/>
          </w:tcPr>
          <w:p>
            <w:pPr>
              <w:jc w:val="center"/>
              <w:ind w:right="33"/>
              <w:spacing w:after="0" w:line="140" w:lineRule="exact"/>
              <w:rPr>
                <w:sz w:val="20"/>
                <w:szCs w:val="20"/>
                <w:color w:val="auto"/>
              </w:rPr>
            </w:pPr>
            <w:r>
              <w:rPr>
                <w:rFonts w:ascii="Times New Roman" w:cs="Times New Roman" w:eastAsia="Times New Roman" w:hAnsi="Times New Roman"/>
                <w:sz w:val="14"/>
                <w:szCs w:val="14"/>
                <w:color w:val="auto"/>
                <w:w w:val="98"/>
              </w:rPr>
              <w:t>13,802,877</w:t>
            </w:r>
          </w:p>
        </w:tc>
        <w:tc>
          <w:tcPr>
            <w:tcW w:w="11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8"/>
              </w:rPr>
              <w:t>14,280,602</w:t>
            </w:r>
          </w:p>
        </w:tc>
        <w:tc>
          <w:tcPr>
            <w:tcW w:w="128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8"/>
              </w:rPr>
              <w:t>14,823,422</w:t>
            </w:r>
          </w:p>
        </w:tc>
        <w:tc>
          <w:tcPr>
            <w:tcW w:w="9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rPr>
              <w:t>3.8%</w:t>
            </w:r>
          </w:p>
        </w:tc>
        <w:tc>
          <w:tcPr>
            <w:tcW w:w="92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rPr>
              <w:t>7.4%</w:t>
            </w:r>
          </w:p>
        </w:tc>
      </w:tr>
      <w:tr>
        <w:trPr>
          <w:trHeight w:val="140"/>
        </w:trPr>
        <w:tc>
          <w:tcPr>
            <w:tcW w:w="5660" w:type="dxa"/>
            <w:vAlign w:val="bottom"/>
            <w:tcBorders>
              <w:left w:val="single" w:sz="8" w:color="auto"/>
              <w:right w:val="single" w:sz="8" w:color="auto"/>
            </w:tcBorders>
          </w:tcPr>
          <w:p>
            <w:pPr>
              <w:ind w:left="60"/>
              <w:spacing w:after="0" w:line="140" w:lineRule="exact"/>
              <w:rPr>
                <w:sz w:val="20"/>
                <w:szCs w:val="20"/>
                <w:color w:val="auto"/>
              </w:rPr>
            </w:pPr>
            <w:r>
              <w:rPr>
                <w:rFonts w:ascii="Times New Roman" w:cs="Times New Roman" w:eastAsia="Times New Roman" w:hAnsi="Times New Roman"/>
                <w:sz w:val="14"/>
                <w:szCs w:val="14"/>
                <w:color w:val="auto"/>
              </w:rPr>
              <w:t>Operational risk capital requirement</w:t>
            </w:r>
          </w:p>
        </w:tc>
        <w:tc>
          <w:tcPr>
            <w:tcW w:w="1280" w:type="dxa"/>
            <w:vAlign w:val="bottom"/>
          </w:tcPr>
          <w:p>
            <w:pPr>
              <w:jc w:val="center"/>
              <w:ind w:right="33"/>
              <w:spacing w:after="0" w:line="140" w:lineRule="exact"/>
              <w:rPr>
                <w:sz w:val="20"/>
                <w:szCs w:val="20"/>
                <w:color w:val="auto"/>
              </w:rPr>
            </w:pPr>
            <w:r>
              <w:rPr>
                <w:rFonts w:ascii="Times New Roman" w:cs="Times New Roman" w:eastAsia="Times New Roman" w:hAnsi="Times New Roman"/>
                <w:sz w:val="14"/>
                <w:szCs w:val="14"/>
                <w:color w:val="auto"/>
                <w:w w:val="96"/>
              </w:rPr>
              <w:t>1,889,509</w:t>
            </w:r>
          </w:p>
        </w:tc>
        <w:tc>
          <w:tcPr>
            <w:tcW w:w="11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2,012,338</w:t>
            </w:r>
          </w:p>
        </w:tc>
        <w:tc>
          <w:tcPr>
            <w:tcW w:w="128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2,057,407</w:t>
            </w:r>
          </w:p>
        </w:tc>
        <w:tc>
          <w:tcPr>
            <w:tcW w:w="9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rPr>
              <w:t>2.2%</w:t>
            </w:r>
          </w:p>
        </w:tc>
        <w:tc>
          <w:tcPr>
            <w:tcW w:w="92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rPr>
              <w:t>8.9%</w:t>
            </w:r>
          </w:p>
        </w:tc>
      </w:tr>
      <w:tr>
        <w:trPr>
          <w:trHeight w:val="160"/>
        </w:trPr>
        <w:tc>
          <w:tcPr>
            <w:tcW w:w="5660" w:type="dxa"/>
            <w:vAlign w:val="bottom"/>
            <w:tcBorders>
              <w:left w:val="single" w:sz="8" w:color="auto"/>
              <w:bottom w:val="single" w:sz="8" w:color="auto"/>
              <w:right w:val="single" w:sz="8" w:color="auto"/>
            </w:tcBorders>
          </w:tcPr>
          <w:p>
            <w:pPr>
              <w:ind w:left="60"/>
              <w:spacing w:after="0" w:line="160" w:lineRule="exact"/>
              <w:rPr>
                <w:sz w:val="20"/>
                <w:szCs w:val="20"/>
                <w:color w:val="auto"/>
              </w:rPr>
            </w:pPr>
            <w:r>
              <w:rPr>
                <w:rFonts w:ascii="Times New Roman" w:cs="Times New Roman" w:eastAsia="Times New Roman" w:hAnsi="Times New Roman"/>
                <w:sz w:val="14"/>
                <w:szCs w:val="14"/>
                <w:color w:val="auto"/>
              </w:rPr>
              <w:t>Additional capital requirements</w:t>
            </w:r>
          </w:p>
        </w:tc>
        <w:tc>
          <w:tcPr>
            <w:tcW w:w="1280" w:type="dxa"/>
            <w:vAlign w:val="bottom"/>
            <w:tcBorders>
              <w:bottom w:val="single" w:sz="8" w:color="auto"/>
            </w:tcBorders>
          </w:tcPr>
          <w:p>
            <w:pPr>
              <w:jc w:val="center"/>
              <w:ind w:right="33"/>
              <w:spacing w:after="0" w:line="160" w:lineRule="exact"/>
              <w:rPr>
                <w:sz w:val="20"/>
                <w:szCs w:val="20"/>
                <w:color w:val="auto"/>
              </w:rPr>
            </w:pPr>
            <w:r>
              <w:rPr>
                <w:rFonts w:ascii="Times New Roman" w:cs="Times New Roman" w:eastAsia="Times New Roman" w:hAnsi="Times New Roman"/>
                <w:sz w:val="14"/>
                <w:szCs w:val="14"/>
                <w:color w:val="auto"/>
                <w:w w:val="96"/>
              </w:rPr>
              <w:t>7,057,150</w:t>
            </w:r>
          </w:p>
        </w:tc>
        <w:tc>
          <w:tcPr>
            <w:tcW w:w="116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w w:val="96"/>
              </w:rPr>
              <w:t>8,400,182</w:t>
            </w:r>
          </w:p>
        </w:tc>
        <w:tc>
          <w:tcPr>
            <w:tcW w:w="1280" w:type="dxa"/>
            <w:vAlign w:val="bottom"/>
            <w:tcBorders>
              <w:bottom w:val="single" w:sz="8" w:color="auto"/>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w w:val="96"/>
              </w:rPr>
              <w:t>8,765,691</w:t>
            </w:r>
          </w:p>
        </w:tc>
        <w:tc>
          <w:tcPr>
            <w:tcW w:w="96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rPr>
              <w:t>4.4%</w:t>
            </w:r>
          </w:p>
        </w:tc>
        <w:tc>
          <w:tcPr>
            <w:tcW w:w="920" w:type="dxa"/>
            <w:vAlign w:val="bottom"/>
            <w:tcBorders>
              <w:bottom w:val="single" w:sz="8" w:color="auto"/>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w w:val="93"/>
              </w:rPr>
              <w:t>24.2%</w:t>
            </w:r>
          </w:p>
        </w:tc>
      </w:tr>
      <w:tr>
        <w:trPr>
          <w:trHeight w:val="132"/>
        </w:trPr>
        <w:tc>
          <w:tcPr>
            <w:tcW w:w="5660" w:type="dxa"/>
            <w:vAlign w:val="bottom"/>
            <w:tcBorders>
              <w:left w:val="single" w:sz="8" w:color="auto"/>
              <w:bottom w:val="single" w:sz="8" w:color="auto"/>
              <w:right w:val="single" w:sz="8" w:color="auto"/>
            </w:tcBorders>
          </w:tcPr>
          <w:p>
            <w:pPr>
              <w:ind w:left="40"/>
              <w:spacing w:after="0" w:line="133" w:lineRule="exact"/>
              <w:rPr>
                <w:sz w:val="20"/>
                <w:szCs w:val="20"/>
                <w:color w:val="auto"/>
              </w:rPr>
            </w:pPr>
            <w:r>
              <w:rPr>
                <w:rFonts w:ascii="Times New Roman" w:cs="Times New Roman" w:eastAsia="Times New Roman" w:hAnsi="Times New Roman"/>
                <w:sz w:val="14"/>
                <w:szCs w:val="14"/>
                <w:b w:val="1"/>
                <w:bCs w:val="1"/>
                <w:color w:val="auto"/>
              </w:rPr>
              <w:t>Total</w:t>
            </w:r>
          </w:p>
        </w:tc>
        <w:tc>
          <w:tcPr>
            <w:tcW w:w="1280" w:type="dxa"/>
            <w:vAlign w:val="bottom"/>
            <w:tcBorders>
              <w:bottom w:val="single" w:sz="8" w:color="auto"/>
            </w:tcBorders>
          </w:tcPr>
          <w:p>
            <w:pPr>
              <w:jc w:val="center"/>
              <w:ind w:right="33"/>
              <w:spacing w:after="0" w:line="133" w:lineRule="exact"/>
              <w:rPr>
                <w:sz w:val="20"/>
                <w:szCs w:val="20"/>
                <w:color w:val="auto"/>
              </w:rPr>
            </w:pPr>
            <w:r>
              <w:rPr>
                <w:rFonts w:ascii="Times New Roman" w:cs="Times New Roman" w:eastAsia="Times New Roman" w:hAnsi="Times New Roman"/>
                <w:sz w:val="14"/>
                <w:szCs w:val="14"/>
                <w:b w:val="1"/>
                <w:bCs w:val="1"/>
                <w:color w:val="auto"/>
                <w:w w:val="98"/>
              </w:rPr>
              <w:t>23,139,885</w:t>
            </w:r>
          </w:p>
        </w:tc>
        <w:tc>
          <w:tcPr>
            <w:tcW w:w="1160" w:type="dxa"/>
            <w:vAlign w:val="bottom"/>
            <w:tcBorders>
              <w:bottom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8"/>
              </w:rPr>
              <w:t>25,195,026</w:t>
            </w:r>
          </w:p>
        </w:tc>
        <w:tc>
          <w:tcPr>
            <w:tcW w:w="128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8"/>
              </w:rPr>
              <w:t>26,310,526</w:t>
            </w:r>
          </w:p>
        </w:tc>
        <w:tc>
          <w:tcPr>
            <w:tcW w:w="960" w:type="dxa"/>
            <w:vAlign w:val="bottom"/>
            <w:tcBorders>
              <w:bottom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5"/>
              </w:rPr>
              <w:t>4.4%</w:t>
            </w:r>
          </w:p>
        </w:tc>
        <w:tc>
          <w:tcPr>
            <w:tcW w:w="92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8"/>
              </w:rPr>
              <w:t>13.7%</w:t>
            </w:r>
          </w:p>
        </w:tc>
      </w:tr>
      <w:tr>
        <w:trPr>
          <w:trHeight w:val="350"/>
        </w:trPr>
        <w:tc>
          <w:tcPr>
            <w:tcW w:w="6940" w:type="dxa"/>
            <w:vAlign w:val="bottom"/>
            <w:gridSpan w:val="2"/>
          </w:tcPr>
          <w:p>
            <w:pPr>
              <w:ind w:left="4500"/>
              <w:spacing w:after="0"/>
              <w:rPr>
                <w:sz w:val="20"/>
                <w:szCs w:val="20"/>
                <w:color w:val="auto"/>
              </w:rPr>
            </w:pPr>
            <w:r>
              <w:rPr>
                <w:rFonts w:ascii="Times New Roman" w:cs="Times New Roman" w:eastAsia="Times New Roman" w:hAnsi="Times New Roman"/>
                <w:sz w:val="14"/>
                <w:szCs w:val="14"/>
                <w:b w:val="1"/>
                <w:bCs w:val="1"/>
                <w:color w:val="auto"/>
              </w:rPr>
              <w:t>Capital Ratios under Local Regulation</w:t>
            </w:r>
          </w:p>
        </w:tc>
        <w:tc>
          <w:tcPr>
            <w:tcW w:w="1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25"/>
        </w:trPr>
        <w:tc>
          <w:tcPr>
            <w:tcW w:w="566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gridSpan w:val="2"/>
          </w:tcPr>
          <w:p>
            <w:pPr>
              <w:spacing w:after="0"/>
              <w:rPr>
                <w:sz w:val="10"/>
                <w:szCs w:val="10"/>
                <w:color w:val="auto"/>
              </w:rPr>
            </w:pPr>
          </w:p>
        </w:tc>
      </w:tr>
      <w:tr>
        <w:trPr>
          <w:trHeight w:val="108"/>
        </w:trPr>
        <w:tc>
          <w:tcPr>
            <w:tcW w:w="5660" w:type="dxa"/>
            <w:vAlign w:val="bottom"/>
            <w:tcBorders>
              <w:left w:val="single" w:sz="8" w:color="auto"/>
              <w:right w:val="single" w:sz="8" w:color="auto"/>
            </w:tcBorders>
            <w:shd w:val="clear" w:color="auto" w:fill="2AD2C9"/>
          </w:tcPr>
          <w:p>
            <w:pPr>
              <w:ind w:left="60"/>
              <w:spacing w:after="0" w:line="108" w:lineRule="exact"/>
              <w:rPr>
                <w:sz w:val="20"/>
                <w:szCs w:val="20"/>
                <w:color w:val="auto"/>
              </w:rPr>
            </w:pPr>
            <w:r>
              <w:rPr>
                <w:rFonts w:ascii="Times New Roman" w:cs="Times New Roman" w:eastAsia="Times New Roman" w:hAnsi="Times New Roman"/>
                <w:sz w:val="12"/>
                <w:szCs w:val="12"/>
                <w:b w:val="1"/>
                <w:bCs w:val="1"/>
                <w:color w:val="FFFFFF"/>
              </w:rPr>
              <w:t>Capital ratios under Local Regulation</w:t>
            </w:r>
          </w:p>
        </w:tc>
        <w:tc>
          <w:tcPr>
            <w:tcW w:w="1280" w:type="dxa"/>
            <w:vAlign w:val="bottom"/>
            <w:shd w:val="clear" w:color="auto" w:fill="2AD2C9"/>
          </w:tcPr>
          <w:p>
            <w:pPr>
              <w:spacing w:after="0"/>
              <w:rPr>
                <w:sz w:val="9"/>
                <w:szCs w:val="9"/>
                <w:color w:val="auto"/>
              </w:rPr>
            </w:pPr>
          </w:p>
        </w:tc>
        <w:tc>
          <w:tcPr>
            <w:tcW w:w="1160" w:type="dxa"/>
            <w:vAlign w:val="bottom"/>
            <w:shd w:val="clear" w:color="auto" w:fill="2AD2C9"/>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FFFFFF"/>
              </w:rPr>
              <w:t>Quarter</w:t>
            </w:r>
          </w:p>
        </w:tc>
        <w:tc>
          <w:tcPr>
            <w:tcW w:w="1280" w:type="dxa"/>
            <w:vAlign w:val="bottom"/>
            <w:tcBorders>
              <w:right w:val="single" w:sz="8" w:color="auto"/>
            </w:tcBorders>
            <w:shd w:val="clear" w:color="auto" w:fill="2AD2C9"/>
          </w:tcPr>
          <w:p>
            <w:pPr>
              <w:spacing w:after="0"/>
              <w:rPr>
                <w:sz w:val="9"/>
                <w:szCs w:val="9"/>
                <w:color w:val="auto"/>
              </w:rPr>
            </w:pPr>
          </w:p>
        </w:tc>
        <w:tc>
          <w:tcPr>
            <w:tcW w:w="1880" w:type="dxa"/>
            <w:vAlign w:val="bottom"/>
            <w:tcBorders>
              <w:right w:val="single" w:sz="8" w:color="auto"/>
            </w:tcBorders>
            <w:gridSpan w:val="2"/>
            <w:shd w:val="clear" w:color="auto" w:fill="2AD2C9"/>
          </w:tcPr>
          <w:p>
            <w:pPr>
              <w:ind w:left="620"/>
              <w:spacing w:after="0" w:line="108" w:lineRule="exact"/>
              <w:rPr>
                <w:sz w:val="20"/>
                <w:szCs w:val="20"/>
                <w:color w:val="auto"/>
              </w:rPr>
            </w:pPr>
            <w:r>
              <w:rPr>
                <w:rFonts w:ascii="Times New Roman" w:cs="Times New Roman" w:eastAsia="Times New Roman" w:hAnsi="Times New Roman"/>
                <w:sz w:val="12"/>
                <w:szCs w:val="12"/>
                <w:b w:val="1"/>
                <w:bCs w:val="1"/>
                <w:color w:val="FFFFFF"/>
              </w:rPr>
              <w:t>% Change</w:t>
            </w:r>
          </w:p>
        </w:tc>
      </w:tr>
      <w:tr>
        <w:trPr>
          <w:trHeight w:val="164"/>
        </w:trPr>
        <w:tc>
          <w:tcPr>
            <w:tcW w:w="5660" w:type="dxa"/>
            <w:vAlign w:val="bottom"/>
            <w:tcBorders>
              <w:left w:val="single" w:sz="8" w:color="auto"/>
              <w:bottom w:val="single" w:sz="8" w:color="auto"/>
              <w:right w:val="single" w:sz="8" w:color="auto"/>
            </w:tcBorders>
            <w:shd w:val="clear" w:color="auto" w:fill="2AD2C9"/>
          </w:tcPr>
          <w:p>
            <w:pPr>
              <w:spacing w:after="0"/>
              <w:rPr>
                <w:sz w:val="14"/>
                <w:szCs w:val="14"/>
                <w:color w:val="auto"/>
              </w:rPr>
            </w:pPr>
          </w:p>
        </w:tc>
        <w:tc>
          <w:tcPr>
            <w:tcW w:w="1280" w:type="dxa"/>
            <w:vAlign w:val="bottom"/>
            <w:tcBorders>
              <w:bottom w:val="single" w:sz="8" w:color="auto"/>
            </w:tcBorders>
            <w:shd w:val="clear" w:color="auto" w:fill="2AD2C9"/>
          </w:tcPr>
          <w:p>
            <w:pPr>
              <w:jc w:val="center"/>
              <w:spacing w:after="0"/>
              <w:rPr>
                <w:sz w:val="20"/>
                <w:szCs w:val="20"/>
                <w:color w:val="auto"/>
              </w:rPr>
            </w:pPr>
            <w:r>
              <w:rPr>
                <w:rFonts w:ascii="Times New Roman" w:cs="Times New Roman" w:eastAsia="Times New Roman" w:hAnsi="Times New Roman"/>
                <w:sz w:val="14"/>
                <w:szCs w:val="14"/>
                <w:b w:val="1"/>
                <w:bCs w:val="1"/>
                <w:color w:val="FFFFFF"/>
                <w:w w:val="95"/>
              </w:rPr>
              <w:t>Mar 25</w:t>
            </w:r>
          </w:p>
        </w:tc>
        <w:tc>
          <w:tcPr>
            <w:tcW w:w="1160" w:type="dxa"/>
            <w:vAlign w:val="bottom"/>
            <w:tcBorders>
              <w:bottom w:val="single" w:sz="8" w:color="auto"/>
            </w:tcBorders>
            <w:shd w:val="clear" w:color="auto" w:fill="2AD2C9"/>
          </w:tcPr>
          <w:p>
            <w:pPr>
              <w:jc w:val="center"/>
              <w:spacing w:after="0"/>
              <w:rPr>
                <w:sz w:val="20"/>
                <w:szCs w:val="20"/>
                <w:color w:val="auto"/>
              </w:rPr>
            </w:pPr>
            <w:r>
              <w:rPr>
                <w:rFonts w:ascii="Times New Roman" w:cs="Times New Roman" w:eastAsia="Times New Roman" w:hAnsi="Times New Roman"/>
                <w:sz w:val="14"/>
                <w:szCs w:val="14"/>
                <w:b w:val="1"/>
                <w:bCs w:val="1"/>
                <w:color w:val="FFFFFF"/>
                <w:w w:val="99"/>
              </w:rPr>
              <w:t>Dec 25</w:t>
            </w:r>
          </w:p>
        </w:tc>
        <w:tc>
          <w:tcPr>
            <w:tcW w:w="1280" w:type="dxa"/>
            <w:vAlign w:val="bottom"/>
            <w:tcBorders>
              <w:bottom w:val="single" w:sz="8" w:color="auto"/>
              <w:right w:val="single" w:sz="8" w:color="auto"/>
            </w:tcBorders>
            <w:shd w:val="clear" w:color="auto" w:fill="2AD2C9"/>
          </w:tcPr>
          <w:p>
            <w:pPr>
              <w:ind w:left="420"/>
              <w:spacing w:after="0"/>
              <w:rPr>
                <w:sz w:val="20"/>
                <w:szCs w:val="20"/>
                <w:color w:val="auto"/>
              </w:rPr>
            </w:pPr>
            <w:r>
              <w:rPr>
                <w:rFonts w:ascii="Times New Roman" w:cs="Times New Roman" w:eastAsia="Times New Roman" w:hAnsi="Times New Roman"/>
                <w:sz w:val="14"/>
                <w:szCs w:val="14"/>
                <w:b w:val="1"/>
                <w:bCs w:val="1"/>
                <w:color w:val="FFFFFF"/>
              </w:rPr>
              <w:t>Mar 26</w:t>
            </w:r>
          </w:p>
        </w:tc>
        <w:tc>
          <w:tcPr>
            <w:tcW w:w="960" w:type="dxa"/>
            <w:vAlign w:val="bottom"/>
            <w:tcBorders>
              <w:bottom w:val="single" w:sz="8" w:color="auto"/>
            </w:tcBorders>
            <w:shd w:val="clear" w:color="auto" w:fill="2AD2C9"/>
          </w:tcPr>
          <w:p>
            <w:pPr>
              <w:jc w:val="center"/>
              <w:spacing w:after="0"/>
              <w:rPr>
                <w:sz w:val="20"/>
                <w:szCs w:val="20"/>
                <w:color w:val="auto"/>
              </w:rPr>
            </w:pPr>
            <w:r>
              <w:rPr>
                <w:rFonts w:ascii="Times New Roman" w:cs="Times New Roman" w:eastAsia="Times New Roman" w:hAnsi="Times New Roman"/>
                <w:sz w:val="14"/>
                <w:szCs w:val="14"/>
                <w:b w:val="1"/>
                <w:bCs w:val="1"/>
                <w:color w:val="FFFFFF"/>
                <w:w w:val="97"/>
              </w:rPr>
              <w:t>QoQ</w:t>
            </w:r>
          </w:p>
        </w:tc>
        <w:tc>
          <w:tcPr>
            <w:tcW w:w="92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Times New Roman" w:cs="Times New Roman" w:eastAsia="Times New Roman" w:hAnsi="Times New Roman"/>
                <w:sz w:val="14"/>
                <w:szCs w:val="14"/>
                <w:b w:val="1"/>
                <w:bCs w:val="1"/>
                <w:color w:val="FFFFFF"/>
                <w:w w:val="87"/>
              </w:rPr>
              <w:t>YoY</w:t>
            </w:r>
          </w:p>
        </w:tc>
      </w:tr>
      <w:tr>
        <w:trPr>
          <w:trHeight w:val="108"/>
        </w:trPr>
        <w:tc>
          <w:tcPr>
            <w:tcW w:w="5660" w:type="dxa"/>
            <w:vAlign w:val="bottom"/>
            <w:tcBorders>
              <w:left w:val="single" w:sz="8" w:color="auto"/>
              <w:right w:val="single" w:sz="8" w:color="auto"/>
            </w:tcBorders>
          </w:tcPr>
          <w:p>
            <w:pPr>
              <w:ind w:left="60"/>
              <w:spacing w:after="0" w:line="108" w:lineRule="exact"/>
              <w:rPr>
                <w:sz w:val="20"/>
                <w:szCs w:val="20"/>
                <w:color w:val="auto"/>
              </w:rPr>
            </w:pPr>
            <w:r>
              <w:rPr>
                <w:rFonts w:ascii="Times New Roman" w:cs="Times New Roman" w:eastAsia="Times New Roman" w:hAnsi="Times New Roman"/>
                <w:sz w:val="12"/>
                <w:szCs w:val="12"/>
                <w:b w:val="1"/>
                <w:bCs w:val="1"/>
                <w:color w:val="auto"/>
              </w:rPr>
              <w:t>Common Equity Tier 1 ratio</w:t>
            </w:r>
          </w:p>
        </w:tc>
        <w:tc>
          <w:tcPr>
            <w:tcW w:w="1280" w:type="dxa"/>
            <w:vAlign w:val="bottom"/>
          </w:tcPr>
          <w:p>
            <w:pPr>
              <w:jc w:val="center"/>
              <w:spacing w:after="0" w:line="108" w:lineRule="exact"/>
              <w:rPr>
                <w:sz w:val="20"/>
                <w:szCs w:val="20"/>
                <w:color w:val="auto"/>
              </w:rPr>
            </w:pPr>
            <w:r>
              <w:rPr>
                <w:rFonts w:ascii="Times New Roman" w:cs="Times New Roman" w:eastAsia="Times New Roman" w:hAnsi="Times New Roman"/>
                <w:sz w:val="12"/>
                <w:szCs w:val="12"/>
                <w:color w:val="auto"/>
              </w:rPr>
              <w:t>11.34%</w:t>
            </w:r>
          </w:p>
        </w:tc>
        <w:tc>
          <w:tcPr>
            <w:tcW w:w="1160" w:type="dxa"/>
            <w:vAlign w:val="bottom"/>
          </w:tcPr>
          <w:p>
            <w:pPr>
              <w:jc w:val="center"/>
              <w:spacing w:after="0" w:line="108" w:lineRule="exact"/>
              <w:rPr>
                <w:sz w:val="20"/>
                <w:szCs w:val="20"/>
                <w:color w:val="auto"/>
              </w:rPr>
            </w:pPr>
            <w:r>
              <w:rPr>
                <w:rFonts w:ascii="Times New Roman" w:cs="Times New Roman" w:eastAsia="Times New Roman" w:hAnsi="Times New Roman"/>
                <w:sz w:val="12"/>
                <w:szCs w:val="12"/>
                <w:color w:val="auto"/>
              </w:rPr>
              <w:t>13.66%</w:t>
            </w:r>
          </w:p>
        </w:tc>
        <w:tc>
          <w:tcPr>
            <w:tcW w:w="1280" w:type="dxa"/>
            <w:vAlign w:val="bottom"/>
            <w:tcBorders>
              <w:right w:val="single" w:sz="8" w:color="auto"/>
            </w:tcBorders>
          </w:tcPr>
          <w:p>
            <w:pPr>
              <w:ind w:left="440"/>
              <w:spacing w:after="0" w:line="108" w:lineRule="exact"/>
              <w:rPr>
                <w:sz w:val="20"/>
                <w:szCs w:val="20"/>
                <w:color w:val="auto"/>
              </w:rPr>
            </w:pPr>
            <w:r>
              <w:rPr>
                <w:rFonts w:ascii="Times New Roman" w:cs="Times New Roman" w:eastAsia="Times New Roman" w:hAnsi="Times New Roman"/>
                <w:sz w:val="12"/>
                <w:szCs w:val="12"/>
                <w:color w:val="auto"/>
              </w:rPr>
              <w:t>10.96%</w:t>
            </w:r>
          </w:p>
        </w:tc>
        <w:tc>
          <w:tcPr>
            <w:tcW w:w="960" w:type="dxa"/>
            <w:vAlign w:val="bottom"/>
          </w:tcPr>
          <w:p>
            <w:pPr>
              <w:jc w:val="center"/>
              <w:spacing w:after="0" w:line="108" w:lineRule="exact"/>
              <w:rPr>
                <w:sz w:val="20"/>
                <w:szCs w:val="20"/>
                <w:color w:val="auto"/>
              </w:rPr>
            </w:pPr>
            <w:r>
              <w:rPr>
                <w:rFonts w:ascii="Times New Roman" w:cs="Times New Roman" w:eastAsia="Times New Roman" w:hAnsi="Times New Roman"/>
                <w:sz w:val="12"/>
                <w:szCs w:val="12"/>
                <w:color w:val="auto"/>
              </w:rPr>
              <w:t>-270 bps</w:t>
            </w:r>
          </w:p>
        </w:tc>
        <w:tc>
          <w:tcPr>
            <w:tcW w:w="920" w:type="dxa"/>
            <w:vAlign w:val="bottom"/>
            <w:tcBorders>
              <w:right w:val="single" w:sz="8" w:color="auto"/>
            </w:tcBorders>
          </w:tcPr>
          <w:p>
            <w:pPr>
              <w:jc w:val="center"/>
              <w:spacing w:after="0" w:line="108" w:lineRule="exact"/>
              <w:rPr>
                <w:sz w:val="20"/>
                <w:szCs w:val="20"/>
                <w:color w:val="auto"/>
              </w:rPr>
            </w:pPr>
            <w:r>
              <w:rPr>
                <w:rFonts w:ascii="Times New Roman" w:cs="Times New Roman" w:eastAsia="Times New Roman" w:hAnsi="Times New Roman"/>
                <w:sz w:val="12"/>
                <w:szCs w:val="12"/>
                <w:color w:val="auto"/>
              </w:rPr>
              <w:t>-38 bps</w:t>
            </w:r>
          </w:p>
        </w:tc>
      </w:tr>
      <w:tr>
        <w:trPr>
          <w:trHeight w:val="140"/>
        </w:trPr>
        <w:tc>
          <w:tcPr>
            <w:tcW w:w="5660" w:type="dxa"/>
            <w:vAlign w:val="bottom"/>
            <w:tcBorders>
              <w:left w:val="single" w:sz="8" w:color="auto"/>
              <w:right w:val="single" w:sz="8" w:color="auto"/>
            </w:tcBorders>
          </w:tcPr>
          <w:p>
            <w:pPr>
              <w:ind w:left="60"/>
              <w:spacing w:after="0" w:line="140" w:lineRule="exact"/>
              <w:rPr>
                <w:sz w:val="20"/>
                <w:szCs w:val="20"/>
                <w:color w:val="auto"/>
              </w:rPr>
            </w:pPr>
            <w:r>
              <w:rPr>
                <w:rFonts w:ascii="Times New Roman" w:cs="Times New Roman" w:eastAsia="Times New Roman" w:hAnsi="Times New Roman"/>
                <w:sz w:val="14"/>
                <w:szCs w:val="14"/>
                <w:b w:val="1"/>
                <w:bCs w:val="1"/>
                <w:color w:val="auto"/>
              </w:rPr>
              <w:t>Tier 1 Capital ratio</w:t>
            </w:r>
          </w:p>
        </w:tc>
        <w:tc>
          <w:tcPr>
            <w:tcW w:w="128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7"/>
              </w:rPr>
              <w:t>11.34%</w:t>
            </w:r>
          </w:p>
        </w:tc>
        <w:tc>
          <w:tcPr>
            <w:tcW w:w="11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7"/>
              </w:rPr>
              <w:t>13.66%</w:t>
            </w:r>
          </w:p>
        </w:tc>
        <w:tc>
          <w:tcPr>
            <w:tcW w:w="1280" w:type="dxa"/>
            <w:vAlign w:val="bottom"/>
            <w:tcBorders>
              <w:right w:val="single" w:sz="8" w:color="auto"/>
            </w:tcBorders>
          </w:tcPr>
          <w:p>
            <w:pPr>
              <w:ind w:left="440"/>
              <w:spacing w:after="0" w:line="140" w:lineRule="exact"/>
              <w:rPr>
                <w:sz w:val="20"/>
                <w:szCs w:val="20"/>
                <w:color w:val="auto"/>
              </w:rPr>
            </w:pPr>
            <w:r>
              <w:rPr>
                <w:rFonts w:ascii="Times New Roman" w:cs="Times New Roman" w:eastAsia="Times New Roman" w:hAnsi="Times New Roman"/>
                <w:sz w:val="14"/>
                <w:szCs w:val="14"/>
                <w:color w:val="auto"/>
              </w:rPr>
              <w:t>10.96%</w:t>
            </w:r>
          </w:p>
        </w:tc>
        <w:tc>
          <w:tcPr>
            <w:tcW w:w="9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8"/>
              </w:rPr>
              <w:t>-270 bps</w:t>
            </w:r>
          </w:p>
        </w:tc>
        <w:tc>
          <w:tcPr>
            <w:tcW w:w="92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-38 bps</w:t>
            </w:r>
          </w:p>
        </w:tc>
      </w:tr>
      <w:tr>
        <w:trPr>
          <w:trHeight w:val="164"/>
        </w:trPr>
        <w:tc>
          <w:tcPr>
            <w:tcW w:w="56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Regulatory Global Capital ratio</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16.87%</w:t>
            </w: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19.44%</w:t>
            </w:r>
          </w:p>
        </w:tc>
        <w:tc>
          <w:tcPr>
            <w:tcW w:w="1280" w:type="dxa"/>
            <w:vAlign w:val="bottom"/>
            <w:tcBorders>
              <w:bottom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16.70%</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-274 bps</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-17 bps</w:t>
            </w:r>
          </w:p>
        </w:tc>
      </w:tr>
    </w:tbl>
    <w:p>
      <w:pPr>
        <w:spacing w:after="0" w:line="111" w:lineRule="exact"/>
        <w:rPr>
          <w:sz w:val="20"/>
          <w:szCs w:val="20"/>
          <w:color w:val="auto"/>
        </w:rPr>
      </w:pPr>
    </w:p>
    <w:p>
      <w:pPr>
        <w:ind w:left="1180" w:hanging="163"/>
        <w:spacing w:after="0"/>
        <w:tabs>
          <w:tab w:leader="none" w:pos="118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Up to 1.25% of total risk-weighted assets.</w:t>
      </w:r>
    </w:p>
    <w:p>
      <w:pPr>
        <w:ind w:left="1020" w:right="120" w:hanging="3"/>
        <w:spacing w:after="0" w:line="220" w:lineRule="auto"/>
        <w:tabs>
          <w:tab w:leader="none" w:pos="1188"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Common Equity Tier 1 = Capital Stock + Reserves + Accumulated earnings – Unrealized profits or losses - 100% deductions (investment in subsidiaries, goodwill, intangible assets and deferred tax assets based on future returns).</w:t>
      </w:r>
    </w:p>
    <w:p>
      <w:pPr>
        <w:ind w:left="1180" w:hanging="163"/>
        <w:spacing w:after="0" w:line="220" w:lineRule="auto"/>
        <w:tabs>
          <w:tab w:leader="none" w:pos="118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Regulatory Tier 1 Capital = Common Equity Tier 1 + Tier 1 Subordinated Debt (Perpetual).</w:t>
      </w:r>
    </w:p>
    <w:p>
      <w:pPr>
        <w:ind w:left="1180" w:hanging="163"/>
        <w:spacing w:after="0"/>
        <w:tabs>
          <w:tab w:leader="none" w:pos="118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Regulatory Tier 2 Capital = Subordinated Debt + Loan loss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962660</wp:posOffset>
            </wp:positionV>
            <wp:extent cx="7140575" cy="1587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0575" cy="15875"/>
                    </a:xfrm>
                    <a:prstGeom prst="rect">
                      <a:avLst/>
                    </a:prstGeom>
                    <a:noFill/>
                  </pic:spPr>
                </pic:pic>
              </a:graphicData>
            </a:graphic>
          </wp:anchor>
        </w:drawing>
        <w:drawing>
          <wp:anchor simplePos="0" relativeHeight="251657728" behindDoc="1" locked="0" layoutInCell="0" allowOverlap="1">
            <wp:simplePos x="0" y="0"/>
            <wp:positionH relativeFrom="column">
              <wp:posOffset>363855</wp:posOffset>
            </wp:positionH>
            <wp:positionV relativeFrom="paragraph">
              <wp:posOffset>124460</wp:posOffset>
            </wp:positionV>
            <wp:extent cx="6447155" cy="53975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447155" cy="539750"/>
                    </a:xfrm>
                    <a:prstGeom prst="rect">
                      <a:avLst/>
                    </a:prstGeom>
                    <a:noFill/>
                  </pic:spPr>
                </pic:pic>
              </a:graphicData>
            </a:graphic>
          </wp:anchor>
        </w:drawing>
      </w:r>
    </w:p>
    <w:p>
      <w:pPr>
        <w:sectPr>
          <w:pgSz w:w="11900" w:h="16838" w:orient="portrait"/>
          <w:cols w:equalWidth="0" w:num="1">
            <w:col w:w="11260"/>
          </w:cols>
          <w:pgMar w:left="320" w:top="770" w:right="319" w:bottom="1440" w:gutter="0" w:footer="0" w:header="0"/>
        </w:sectPr>
      </w:pPr>
    </w:p>
    <w:bookmarkStart w:id="53" w:name="page54"/>
    <w:bookmarkEnd w:id="53"/>
    <w:p>
      <w:pPr>
        <w:ind w:left="3200"/>
        <w:spacing w:after="0"/>
        <w:tabs>
          <w:tab w:leader="none" w:pos="3380" w:val="left"/>
          <w:tab w:leader="none" w:pos="9060" w:val="left"/>
        </w:tabs>
        <w:rPr>
          <w:sz w:val="20"/>
          <w:szCs w:val="20"/>
          <w:color w:val="auto"/>
        </w:rPr>
      </w:pPr>
      <w:r>
        <w:rPr>
          <w:rFonts w:ascii="Times New Roman" w:cs="Times New Roman" w:eastAsia="Times New Roman" w:hAnsi="Times New Roman"/>
          <w:sz w:val="17"/>
          <w:szCs w:val="17"/>
          <w:color w:val="A6A6A6"/>
        </w:rPr>
        <w:drawing>
          <wp:anchor simplePos="0" relativeHeight="251657728" behindDoc="1" locked="0" layoutInCell="0" allowOverlap="1">
            <wp:simplePos x="0" y="0"/>
            <wp:positionH relativeFrom="page">
              <wp:posOffset>204470</wp:posOffset>
            </wp:positionH>
            <wp:positionV relativeFrom="page">
              <wp:posOffset>217805</wp:posOffset>
            </wp:positionV>
            <wp:extent cx="7140575" cy="69278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0575" cy="692785"/>
                    </a:xfrm>
                    <a:prstGeom prst="rect">
                      <a:avLst/>
                    </a:prstGeom>
                    <a:noFill/>
                  </pic:spPr>
                </pic:pic>
              </a:graphicData>
            </a:graphic>
          </wp:anchor>
        </w:drawing>
        <w:t>|</w:t>
      </w:r>
      <w:r>
        <w:rPr>
          <w:sz w:val="20"/>
          <w:szCs w:val="20"/>
          <w:color w:val="auto"/>
        </w:rPr>
        <w:tab/>
      </w:r>
      <w:r>
        <w:rPr>
          <w:rFonts w:ascii="Times New Roman" w:cs="Times New Roman" w:eastAsia="Times New Roman" w:hAnsi="Times New Roman"/>
          <w:sz w:val="14"/>
          <w:szCs w:val="14"/>
          <w:color w:val="FFFFFF"/>
        </w:rPr>
        <w:t>Earnings Release 1Q / 2026</w:t>
      </w:r>
      <w:r>
        <w:rPr>
          <w:sz w:val="20"/>
          <w:szCs w:val="20"/>
          <w:color w:val="auto"/>
        </w:rPr>
        <w:tab/>
      </w:r>
      <w:r>
        <w:rPr>
          <w:rFonts w:ascii="Times New Roman" w:cs="Times New Roman" w:eastAsia="Times New Roman" w:hAnsi="Times New Roman"/>
          <w:sz w:val="12"/>
          <w:szCs w:val="12"/>
          <w:color w:val="FF00FF"/>
        </w:rPr>
        <w:t>Analysis of 1Q26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297180</wp:posOffset>
            </wp:positionV>
            <wp:extent cx="7140575" cy="20955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40575" cy="20955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FFFFFF"/>
        </w:rPr>
        <w:t>12. Appendix</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Regulatory Capital and Capital Adequacy Ratios at Mibanco</w:t>
      </w:r>
    </w:p>
    <w:p>
      <w:pPr>
        <w:spacing w:after="0" w:line="211" w:lineRule="exact"/>
        <w:rPr>
          <w:sz w:val="20"/>
          <w:szCs w:val="20"/>
          <w:color w:val="auto"/>
        </w:rPr>
      </w:pPr>
    </w:p>
    <w:tbl>
      <w:tblPr>
        <w:tblLayout w:type="fixed"/>
        <w:tblInd w:w="10" w:type="dxa"/>
        <w:tblCellMar>
          <w:top w:w="0" w:type="dxa"/>
          <w:left w:w="0" w:type="dxa"/>
          <w:bottom w:w="0" w:type="dxa"/>
          <w:right w:w="0" w:type="dxa"/>
        </w:tblCellMar>
      </w:tblPr>
      <w:tr>
        <w:trPr>
          <w:trHeight w:val="128"/>
        </w:trPr>
        <w:tc>
          <w:tcPr>
            <w:tcW w:w="5520" w:type="dxa"/>
            <w:vAlign w:val="bottom"/>
            <w:tcBorders>
              <w:top w:val="single" w:sz="8" w:color="auto"/>
              <w:left w:val="single" w:sz="8" w:color="auto"/>
              <w:right w:val="single" w:sz="8" w:color="auto"/>
            </w:tcBorders>
            <w:shd w:val="clear" w:color="auto" w:fill="2AD2C8"/>
          </w:tcPr>
          <w:p>
            <w:pPr>
              <w:ind w:left="20"/>
              <w:spacing w:after="0" w:line="128" w:lineRule="exact"/>
              <w:rPr>
                <w:sz w:val="20"/>
                <w:szCs w:val="20"/>
                <w:color w:val="auto"/>
              </w:rPr>
            </w:pPr>
            <w:r>
              <w:rPr>
                <w:rFonts w:ascii="Times New Roman" w:cs="Times New Roman" w:eastAsia="Times New Roman" w:hAnsi="Times New Roman"/>
                <w:sz w:val="14"/>
                <w:szCs w:val="14"/>
                <w:b w:val="1"/>
                <w:bCs w:val="1"/>
                <w:color w:val="FFFFFF"/>
              </w:rPr>
              <w:t>Regulatory Capital</w:t>
            </w:r>
          </w:p>
        </w:tc>
        <w:tc>
          <w:tcPr>
            <w:tcW w:w="1240" w:type="dxa"/>
            <w:vAlign w:val="bottom"/>
            <w:tcBorders>
              <w:top w:val="single" w:sz="8" w:color="auto"/>
            </w:tcBorders>
            <w:shd w:val="clear" w:color="auto" w:fill="2AD2C8"/>
          </w:tcPr>
          <w:p>
            <w:pPr>
              <w:spacing w:after="0"/>
              <w:rPr>
                <w:sz w:val="11"/>
                <w:szCs w:val="11"/>
                <w:color w:val="auto"/>
              </w:rPr>
            </w:pPr>
          </w:p>
        </w:tc>
        <w:tc>
          <w:tcPr>
            <w:tcW w:w="1240" w:type="dxa"/>
            <w:vAlign w:val="bottom"/>
            <w:tcBorders>
              <w:top w:val="single" w:sz="8" w:color="auto"/>
            </w:tcBorders>
            <w:shd w:val="clear" w:color="auto" w:fill="2AD2C8"/>
          </w:tcPr>
          <w:p>
            <w:pPr>
              <w:jc w:val="center"/>
              <w:spacing w:after="0" w:line="128" w:lineRule="exact"/>
              <w:rPr>
                <w:sz w:val="20"/>
                <w:szCs w:val="20"/>
                <w:color w:val="auto"/>
              </w:rPr>
            </w:pPr>
            <w:r>
              <w:rPr>
                <w:rFonts w:ascii="Times New Roman" w:cs="Times New Roman" w:eastAsia="Times New Roman" w:hAnsi="Times New Roman"/>
                <w:sz w:val="14"/>
                <w:szCs w:val="14"/>
                <w:b w:val="1"/>
                <w:bCs w:val="1"/>
                <w:color w:val="FFFFFF"/>
                <w:w w:val="97"/>
              </w:rPr>
              <w:t>As of</w:t>
            </w:r>
          </w:p>
        </w:tc>
        <w:tc>
          <w:tcPr>
            <w:tcW w:w="1240" w:type="dxa"/>
            <w:vAlign w:val="bottom"/>
            <w:tcBorders>
              <w:top w:val="single" w:sz="8" w:color="auto"/>
              <w:right w:val="single" w:sz="8" w:color="auto"/>
            </w:tcBorders>
            <w:shd w:val="clear" w:color="auto" w:fill="2AD2C8"/>
          </w:tcPr>
          <w:p>
            <w:pPr>
              <w:spacing w:after="0"/>
              <w:rPr>
                <w:sz w:val="11"/>
                <w:szCs w:val="11"/>
                <w:color w:val="auto"/>
              </w:rPr>
            </w:pPr>
          </w:p>
        </w:tc>
        <w:tc>
          <w:tcPr>
            <w:tcW w:w="2020" w:type="dxa"/>
            <w:vAlign w:val="bottom"/>
            <w:tcBorders>
              <w:top w:val="single" w:sz="8" w:color="auto"/>
              <w:right w:val="single" w:sz="8" w:color="auto"/>
            </w:tcBorders>
            <w:gridSpan w:val="2"/>
            <w:shd w:val="clear" w:color="auto" w:fill="2AD2C8"/>
          </w:tcPr>
          <w:p>
            <w:pPr>
              <w:ind w:left="700"/>
              <w:spacing w:after="0" w:line="128" w:lineRule="exact"/>
              <w:rPr>
                <w:sz w:val="20"/>
                <w:szCs w:val="20"/>
                <w:color w:val="auto"/>
              </w:rPr>
            </w:pPr>
            <w:r>
              <w:rPr>
                <w:rFonts w:ascii="Times New Roman" w:cs="Times New Roman" w:eastAsia="Times New Roman" w:hAnsi="Times New Roman"/>
                <w:sz w:val="14"/>
                <w:szCs w:val="14"/>
                <w:b w:val="1"/>
                <w:bCs w:val="1"/>
                <w:color w:val="FFFFFF"/>
              </w:rPr>
              <w:t>% Change</w:t>
            </w:r>
          </w:p>
        </w:tc>
      </w:tr>
      <w:tr>
        <w:trPr>
          <w:trHeight w:val="164"/>
        </w:trPr>
        <w:tc>
          <w:tcPr>
            <w:tcW w:w="5520" w:type="dxa"/>
            <w:vAlign w:val="bottom"/>
            <w:tcBorders>
              <w:left w:val="single" w:sz="8" w:color="auto"/>
              <w:bottom w:val="single" w:sz="8" w:color="auto"/>
              <w:right w:val="single" w:sz="8" w:color="auto"/>
            </w:tcBorders>
            <w:shd w:val="clear" w:color="auto" w:fill="2AD2C8"/>
          </w:tcPr>
          <w:p>
            <w:pPr>
              <w:ind w:left="20"/>
              <w:spacing w:after="0"/>
              <w:rPr>
                <w:sz w:val="20"/>
                <w:szCs w:val="20"/>
                <w:color w:val="auto"/>
              </w:rPr>
            </w:pPr>
            <w:r>
              <w:rPr>
                <w:rFonts w:ascii="Times New Roman" w:cs="Times New Roman" w:eastAsia="Times New Roman" w:hAnsi="Times New Roman"/>
                <w:sz w:val="14"/>
                <w:szCs w:val="14"/>
                <w:color w:val="FFFFFF"/>
              </w:rPr>
              <w:t>(S/ thousand)</w:t>
            </w:r>
          </w:p>
        </w:tc>
        <w:tc>
          <w:tcPr>
            <w:tcW w:w="1240" w:type="dxa"/>
            <w:vAlign w:val="bottom"/>
            <w:tcBorders>
              <w:bottom w:val="single" w:sz="8" w:color="auto"/>
            </w:tcBorders>
            <w:shd w:val="clear" w:color="auto" w:fill="2AD2C8"/>
          </w:tcPr>
          <w:p>
            <w:pPr>
              <w:jc w:val="center"/>
              <w:spacing w:after="0"/>
              <w:rPr>
                <w:sz w:val="20"/>
                <w:szCs w:val="20"/>
                <w:color w:val="auto"/>
              </w:rPr>
            </w:pPr>
            <w:r>
              <w:rPr>
                <w:rFonts w:ascii="Times New Roman" w:cs="Times New Roman" w:eastAsia="Times New Roman" w:hAnsi="Times New Roman"/>
                <w:sz w:val="14"/>
                <w:szCs w:val="14"/>
                <w:b w:val="1"/>
                <w:bCs w:val="1"/>
                <w:color w:val="FFFFFF"/>
              </w:rPr>
              <w:t>Mar 25</w:t>
            </w:r>
          </w:p>
        </w:tc>
        <w:tc>
          <w:tcPr>
            <w:tcW w:w="1240" w:type="dxa"/>
            <w:vAlign w:val="bottom"/>
            <w:tcBorders>
              <w:bottom w:val="single" w:sz="8" w:color="auto"/>
            </w:tcBorders>
            <w:shd w:val="clear" w:color="auto" w:fill="2AD2C8"/>
          </w:tcPr>
          <w:p>
            <w:pPr>
              <w:jc w:val="center"/>
              <w:spacing w:after="0"/>
              <w:rPr>
                <w:sz w:val="20"/>
                <w:szCs w:val="20"/>
                <w:color w:val="auto"/>
              </w:rPr>
            </w:pPr>
            <w:r>
              <w:rPr>
                <w:rFonts w:ascii="Times New Roman" w:cs="Times New Roman" w:eastAsia="Times New Roman" w:hAnsi="Times New Roman"/>
                <w:sz w:val="14"/>
                <w:szCs w:val="14"/>
                <w:b w:val="1"/>
                <w:bCs w:val="1"/>
                <w:color w:val="FFFFFF"/>
                <w:w w:val="94"/>
              </w:rPr>
              <w:t>Dec 25</w:t>
            </w:r>
          </w:p>
        </w:tc>
        <w:tc>
          <w:tcPr>
            <w:tcW w:w="1240" w:type="dxa"/>
            <w:vAlign w:val="bottom"/>
            <w:tcBorders>
              <w:bottom w:val="single" w:sz="8" w:color="auto"/>
              <w:right w:val="single" w:sz="8" w:color="auto"/>
            </w:tcBorders>
            <w:shd w:val="clear" w:color="auto" w:fill="2AD2C8"/>
          </w:tcPr>
          <w:p>
            <w:pPr>
              <w:jc w:val="center"/>
              <w:spacing w:after="0"/>
              <w:rPr>
                <w:sz w:val="20"/>
                <w:szCs w:val="20"/>
                <w:color w:val="auto"/>
              </w:rPr>
            </w:pPr>
            <w:r>
              <w:rPr>
                <w:rFonts w:ascii="Times New Roman" w:cs="Times New Roman" w:eastAsia="Times New Roman" w:hAnsi="Times New Roman"/>
                <w:sz w:val="14"/>
                <w:szCs w:val="14"/>
                <w:b w:val="1"/>
                <w:bCs w:val="1"/>
                <w:color w:val="FFFFFF"/>
                <w:w w:val="95"/>
              </w:rPr>
              <w:t>Mar 26</w:t>
            </w:r>
          </w:p>
        </w:tc>
        <w:tc>
          <w:tcPr>
            <w:tcW w:w="1000" w:type="dxa"/>
            <w:vAlign w:val="bottom"/>
            <w:tcBorders>
              <w:bottom w:val="single" w:sz="8" w:color="auto"/>
            </w:tcBorders>
            <w:shd w:val="clear" w:color="auto" w:fill="2AD2C8"/>
          </w:tcPr>
          <w:p>
            <w:pPr>
              <w:jc w:val="center"/>
              <w:spacing w:after="0"/>
              <w:rPr>
                <w:sz w:val="20"/>
                <w:szCs w:val="20"/>
                <w:color w:val="auto"/>
              </w:rPr>
            </w:pPr>
            <w:r>
              <w:rPr>
                <w:rFonts w:ascii="Times New Roman" w:cs="Times New Roman" w:eastAsia="Times New Roman" w:hAnsi="Times New Roman"/>
                <w:sz w:val="14"/>
                <w:szCs w:val="14"/>
                <w:b w:val="1"/>
                <w:bCs w:val="1"/>
                <w:color w:val="FFFFFF"/>
                <w:w w:val="97"/>
              </w:rPr>
              <w:t>QoQ</w:t>
            </w:r>
          </w:p>
        </w:tc>
        <w:tc>
          <w:tcPr>
            <w:tcW w:w="1020" w:type="dxa"/>
            <w:vAlign w:val="bottom"/>
            <w:tcBorders>
              <w:bottom w:val="single" w:sz="8" w:color="auto"/>
              <w:right w:val="single" w:sz="8" w:color="auto"/>
            </w:tcBorders>
            <w:shd w:val="clear" w:color="auto" w:fill="2AD2C8"/>
          </w:tcPr>
          <w:p>
            <w:pPr>
              <w:jc w:val="center"/>
              <w:spacing w:after="0"/>
              <w:rPr>
                <w:sz w:val="20"/>
                <w:szCs w:val="20"/>
                <w:color w:val="auto"/>
              </w:rPr>
            </w:pPr>
            <w:r>
              <w:rPr>
                <w:rFonts w:ascii="Times New Roman" w:cs="Times New Roman" w:eastAsia="Times New Roman" w:hAnsi="Times New Roman"/>
                <w:sz w:val="14"/>
                <w:szCs w:val="14"/>
                <w:b w:val="1"/>
                <w:bCs w:val="1"/>
                <w:color w:val="FFFFFF"/>
                <w:w w:val="95"/>
              </w:rPr>
              <w:t>YoY</w:t>
            </w:r>
          </w:p>
        </w:tc>
      </w:tr>
      <w:tr>
        <w:trPr>
          <w:trHeight w:val="112"/>
        </w:trPr>
        <w:tc>
          <w:tcPr>
            <w:tcW w:w="5520" w:type="dxa"/>
            <w:vAlign w:val="bottom"/>
            <w:tcBorders>
              <w:left w:val="single" w:sz="8" w:color="auto"/>
              <w:right w:val="single" w:sz="8" w:color="auto"/>
            </w:tcBorders>
          </w:tcPr>
          <w:p>
            <w:pPr>
              <w:ind w:left="140"/>
              <w:spacing w:after="0" w:line="112" w:lineRule="exact"/>
              <w:rPr>
                <w:sz w:val="20"/>
                <w:szCs w:val="20"/>
                <w:color w:val="auto"/>
              </w:rPr>
            </w:pPr>
            <w:r>
              <w:rPr>
                <w:rFonts w:ascii="Times New Roman" w:cs="Times New Roman" w:eastAsia="Times New Roman" w:hAnsi="Times New Roman"/>
                <w:sz w:val="12"/>
                <w:szCs w:val="12"/>
                <w:color w:val="auto"/>
              </w:rPr>
              <w:t>Capital Stock</w:t>
            </w:r>
          </w:p>
        </w:tc>
        <w:tc>
          <w:tcPr>
            <w:tcW w:w="1240" w:type="dxa"/>
            <w:vAlign w:val="bottom"/>
          </w:tcPr>
          <w:p>
            <w:pPr>
              <w:jc w:val="center"/>
              <w:spacing w:after="0" w:line="112" w:lineRule="exact"/>
              <w:rPr>
                <w:sz w:val="20"/>
                <w:szCs w:val="20"/>
                <w:color w:val="auto"/>
              </w:rPr>
            </w:pPr>
            <w:r>
              <w:rPr>
                <w:rFonts w:ascii="Times New Roman" w:cs="Times New Roman" w:eastAsia="Times New Roman" w:hAnsi="Times New Roman"/>
                <w:sz w:val="12"/>
                <w:szCs w:val="12"/>
                <w:color w:val="auto"/>
              </w:rPr>
              <w:t>1,840,606</w:t>
            </w:r>
          </w:p>
        </w:tc>
        <w:tc>
          <w:tcPr>
            <w:tcW w:w="1240" w:type="dxa"/>
            <w:vAlign w:val="bottom"/>
          </w:tcPr>
          <w:p>
            <w:pPr>
              <w:jc w:val="center"/>
              <w:spacing w:after="0" w:line="112" w:lineRule="exact"/>
              <w:rPr>
                <w:sz w:val="20"/>
                <w:szCs w:val="20"/>
                <w:color w:val="auto"/>
              </w:rPr>
            </w:pPr>
            <w:r>
              <w:rPr>
                <w:rFonts w:ascii="Times New Roman" w:cs="Times New Roman" w:eastAsia="Times New Roman" w:hAnsi="Times New Roman"/>
                <w:sz w:val="12"/>
                <w:szCs w:val="12"/>
                <w:color w:val="auto"/>
              </w:rPr>
              <w:t>1,840,606</w:t>
            </w:r>
          </w:p>
        </w:tc>
        <w:tc>
          <w:tcPr>
            <w:tcW w:w="1240" w:type="dxa"/>
            <w:vAlign w:val="bottom"/>
            <w:tcBorders>
              <w:right w:val="single" w:sz="8" w:color="auto"/>
            </w:tcBorders>
          </w:tcPr>
          <w:p>
            <w:pPr>
              <w:jc w:val="center"/>
              <w:spacing w:after="0" w:line="112" w:lineRule="exact"/>
              <w:rPr>
                <w:sz w:val="20"/>
                <w:szCs w:val="20"/>
                <w:color w:val="auto"/>
              </w:rPr>
            </w:pPr>
            <w:r>
              <w:rPr>
                <w:rFonts w:ascii="Times New Roman" w:cs="Times New Roman" w:eastAsia="Times New Roman" w:hAnsi="Times New Roman"/>
                <w:sz w:val="12"/>
                <w:szCs w:val="12"/>
                <w:color w:val="auto"/>
              </w:rPr>
              <w:t>1,840,606</w:t>
            </w:r>
          </w:p>
        </w:tc>
        <w:tc>
          <w:tcPr>
            <w:tcW w:w="1000" w:type="dxa"/>
            <w:vAlign w:val="bottom"/>
          </w:tcPr>
          <w:p>
            <w:pPr>
              <w:jc w:val="center"/>
              <w:spacing w:after="0" w:line="112" w:lineRule="exact"/>
              <w:rPr>
                <w:sz w:val="20"/>
                <w:szCs w:val="20"/>
                <w:color w:val="auto"/>
              </w:rPr>
            </w:pPr>
            <w:r>
              <w:rPr>
                <w:rFonts w:ascii="Times New Roman" w:cs="Times New Roman" w:eastAsia="Times New Roman" w:hAnsi="Times New Roman"/>
                <w:sz w:val="12"/>
                <w:szCs w:val="12"/>
                <w:color w:val="auto"/>
              </w:rPr>
              <w:t>0.0%</w:t>
            </w:r>
          </w:p>
        </w:tc>
        <w:tc>
          <w:tcPr>
            <w:tcW w:w="1020" w:type="dxa"/>
            <w:vAlign w:val="bottom"/>
            <w:tcBorders>
              <w:right w:val="single" w:sz="8" w:color="auto"/>
            </w:tcBorders>
          </w:tcPr>
          <w:p>
            <w:pPr>
              <w:jc w:val="center"/>
              <w:spacing w:after="0" w:line="112" w:lineRule="exact"/>
              <w:rPr>
                <w:sz w:val="20"/>
                <w:szCs w:val="20"/>
                <w:color w:val="auto"/>
              </w:rPr>
            </w:pPr>
            <w:r>
              <w:rPr>
                <w:rFonts w:ascii="Times New Roman" w:cs="Times New Roman" w:eastAsia="Times New Roman" w:hAnsi="Times New Roman"/>
                <w:sz w:val="12"/>
                <w:szCs w:val="12"/>
                <w:color w:val="auto"/>
              </w:rPr>
              <w:t>0.0%</w:t>
            </w:r>
          </w:p>
        </w:tc>
      </w:tr>
      <w:tr>
        <w:trPr>
          <w:trHeight w:val="140"/>
        </w:trPr>
        <w:tc>
          <w:tcPr>
            <w:tcW w:w="5520" w:type="dxa"/>
            <w:vAlign w:val="bottom"/>
            <w:tcBorders>
              <w:left w:val="single" w:sz="8" w:color="auto"/>
              <w:right w:val="single" w:sz="8" w:color="auto"/>
            </w:tcBorders>
          </w:tcPr>
          <w:p>
            <w:pPr>
              <w:ind w:left="140"/>
              <w:spacing w:after="0" w:line="140" w:lineRule="exact"/>
              <w:rPr>
                <w:sz w:val="20"/>
                <w:szCs w:val="20"/>
                <w:color w:val="auto"/>
              </w:rPr>
            </w:pPr>
            <w:r>
              <w:rPr>
                <w:rFonts w:ascii="Times New Roman" w:cs="Times New Roman" w:eastAsia="Times New Roman" w:hAnsi="Times New Roman"/>
                <w:sz w:val="14"/>
                <w:szCs w:val="14"/>
                <w:color w:val="auto"/>
              </w:rPr>
              <w:t>Reserves</w:t>
            </w:r>
          </w:p>
        </w:tc>
        <w:tc>
          <w:tcPr>
            <w:tcW w:w="124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365,847</w:t>
            </w:r>
          </w:p>
        </w:tc>
        <w:tc>
          <w:tcPr>
            <w:tcW w:w="124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365,847</w:t>
            </w:r>
          </w:p>
        </w:tc>
        <w:tc>
          <w:tcPr>
            <w:tcW w:w="124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420,856</w:t>
            </w:r>
          </w:p>
        </w:tc>
        <w:tc>
          <w:tcPr>
            <w:tcW w:w="100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9"/>
              </w:rPr>
              <w:t>15.0%</w:t>
            </w:r>
          </w:p>
        </w:tc>
        <w:tc>
          <w:tcPr>
            <w:tcW w:w="102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3"/>
              </w:rPr>
              <w:t>15.0%</w:t>
            </w:r>
          </w:p>
        </w:tc>
      </w:tr>
      <w:tr>
        <w:trPr>
          <w:trHeight w:val="136"/>
        </w:trPr>
        <w:tc>
          <w:tcPr>
            <w:tcW w:w="5520" w:type="dxa"/>
            <w:vAlign w:val="bottom"/>
            <w:tcBorders>
              <w:left w:val="single" w:sz="8" w:color="auto"/>
              <w:right w:val="single" w:sz="8" w:color="auto"/>
            </w:tcBorders>
          </w:tcPr>
          <w:p>
            <w:pPr>
              <w:ind w:left="140"/>
              <w:spacing w:after="0" w:line="137" w:lineRule="exact"/>
              <w:rPr>
                <w:sz w:val="20"/>
                <w:szCs w:val="20"/>
                <w:color w:val="auto"/>
              </w:rPr>
            </w:pPr>
            <w:r>
              <w:rPr>
                <w:rFonts w:ascii="Times New Roman" w:cs="Times New Roman" w:eastAsia="Times New Roman" w:hAnsi="Times New Roman"/>
                <w:sz w:val="14"/>
                <w:szCs w:val="14"/>
                <w:color w:val="auto"/>
              </w:rPr>
              <w:t>Accumulated earnings</w:t>
            </w:r>
          </w:p>
        </w:tc>
        <w:tc>
          <w:tcPr>
            <w:tcW w:w="124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color w:val="auto"/>
                <w:w w:val="96"/>
              </w:rPr>
              <w:t>168,090</w:t>
            </w:r>
          </w:p>
        </w:tc>
        <w:tc>
          <w:tcPr>
            <w:tcW w:w="124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color w:val="auto"/>
                <w:w w:val="96"/>
              </w:rPr>
              <w:t>550,164</w:t>
            </w:r>
          </w:p>
        </w:tc>
        <w:tc>
          <w:tcPr>
            <w:tcW w:w="1240" w:type="dxa"/>
            <w:vAlign w:val="bottom"/>
            <w:tcBorders>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color w:val="auto"/>
                <w:w w:val="96"/>
              </w:rPr>
              <w:t>357,055</w:t>
            </w:r>
          </w:p>
        </w:tc>
        <w:tc>
          <w:tcPr>
            <w:tcW w:w="100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color w:val="auto"/>
                <w:w w:val="97"/>
              </w:rPr>
              <w:t>-35.1%</w:t>
            </w:r>
          </w:p>
        </w:tc>
        <w:tc>
          <w:tcPr>
            <w:tcW w:w="1020" w:type="dxa"/>
            <w:vAlign w:val="bottom"/>
            <w:tcBorders>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color w:val="auto"/>
                <w:w w:val="97"/>
              </w:rPr>
              <w:t>112.4%</w:t>
            </w:r>
          </w:p>
        </w:tc>
      </w:tr>
      <w:tr>
        <w:trPr>
          <w:trHeight w:val="143"/>
        </w:trPr>
        <w:tc>
          <w:tcPr>
            <w:tcW w:w="5520" w:type="dxa"/>
            <w:vAlign w:val="bottom"/>
            <w:tcBorders>
              <w:left w:val="single" w:sz="8" w:color="auto"/>
              <w:right w:val="single" w:sz="8" w:color="auto"/>
            </w:tcBorders>
          </w:tcPr>
          <w:p>
            <w:pPr>
              <w:ind w:left="140"/>
              <w:spacing w:after="0" w:line="143" w:lineRule="exact"/>
              <w:rPr>
                <w:sz w:val="20"/>
                <w:szCs w:val="20"/>
                <w:color w:val="auto"/>
              </w:rPr>
            </w:pPr>
            <w:r>
              <w:rPr>
                <w:rFonts w:ascii="Times New Roman" w:cs="Times New Roman" w:eastAsia="Times New Roman" w:hAnsi="Times New Roman"/>
                <w:sz w:val="11"/>
                <w:szCs w:val="11"/>
                <w:color w:val="auto"/>
              </w:rPr>
              <w:t xml:space="preserve">Loan loss reserves </w:t>
            </w:r>
            <w:r>
              <w:rPr>
                <w:rFonts w:ascii="Times New Roman" w:cs="Times New Roman" w:eastAsia="Times New Roman" w:hAnsi="Times New Roman"/>
                <w:sz w:val="16"/>
                <w:szCs w:val="16"/>
                <w:color w:val="auto"/>
                <w:vertAlign w:val="superscript"/>
              </w:rPr>
              <w:t>(1)</w:t>
            </w:r>
          </w:p>
        </w:tc>
        <w:tc>
          <w:tcPr>
            <w:tcW w:w="124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color w:val="auto"/>
                <w:w w:val="96"/>
              </w:rPr>
              <w:t>149,412</w:t>
            </w:r>
          </w:p>
        </w:tc>
        <w:tc>
          <w:tcPr>
            <w:tcW w:w="124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color w:val="auto"/>
                <w:w w:val="96"/>
              </w:rPr>
              <w:t>167,481</w:t>
            </w:r>
          </w:p>
        </w:tc>
        <w:tc>
          <w:tcPr>
            <w:tcW w:w="1240" w:type="dxa"/>
            <w:vAlign w:val="bottom"/>
            <w:tcBorders>
              <w:right w:val="single" w:sz="8" w:color="auto"/>
            </w:tcBorders>
          </w:tcPr>
          <w:p>
            <w:pPr>
              <w:jc w:val="center"/>
              <w:spacing w:after="0" w:line="143" w:lineRule="exact"/>
              <w:rPr>
                <w:sz w:val="20"/>
                <w:szCs w:val="20"/>
                <w:color w:val="auto"/>
              </w:rPr>
            </w:pPr>
            <w:r>
              <w:rPr>
                <w:rFonts w:ascii="Times New Roman" w:cs="Times New Roman" w:eastAsia="Times New Roman" w:hAnsi="Times New Roman"/>
                <w:sz w:val="14"/>
                <w:szCs w:val="14"/>
                <w:color w:val="auto"/>
                <w:w w:val="96"/>
              </w:rPr>
              <w:t>173,250</w:t>
            </w:r>
          </w:p>
        </w:tc>
        <w:tc>
          <w:tcPr>
            <w:tcW w:w="100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color w:val="auto"/>
                <w:w w:val="95"/>
              </w:rPr>
              <w:t>3.4%</w:t>
            </w:r>
          </w:p>
        </w:tc>
        <w:tc>
          <w:tcPr>
            <w:tcW w:w="1020" w:type="dxa"/>
            <w:vAlign w:val="bottom"/>
            <w:tcBorders>
              <w:right w:val="single" w:sz="8" w:color="auto"/>
            </w:tcBorders>
          </w:tcPr>
          <w:p>
            <w:pPr>
              <w:jc w:val="center"/>
              <w:spacing w:after="0" w:line="143" w:lineRule="exact"/>
              <w:rPr>
                <w:sz w:val="20"/>
                <w:szCs w:val="20"/>
                <w:color w:val="auto"/>
              </w:rPr>
            </w:pPr>
            <w:r>
              <w:rPr>
                <w:rFonts w:ascii="Times New Roman" w:cs="Times New Roman" w:eastAsia="Times New Roman" w:hAnsi="Times New Roman"/>
                <w:sz w:val="14"/>
                <w:szCs w:val="14"/>
                <w:color w:val="auto"/>
                <w:w w:val="93"/>
              </w:rPr>
              <w:t>16.0%</w:t>
            </w:r>
          </w:p>
        </w:tc>
      </w:tr>
      <w:tr>
        <w:trPr>
          <w:trHeight w:val="140"/>
        </w:trPr>
        <w:tc>
          <w:tcPr>
            <w:tcW w:w="5520" w:type="dxa"/>
            <w:vAlign w:val="bottom"/>
            <w:tcBorders>
              <w:left w:val="single" w:sz="8" w:color="auto"/>
              <w:right w:val="single" w:sz="8" w:color="auto"/>
            </w:tcBorders>
          </w:tcPr>
          <w:p>
            <w:pPr>
              <w:ind w:left="140"/>
              <w:spacing w:after="0" w:line="140" w:lineRule="exact"/>
              <w:rPr>
                <w:sz w:val="20"/>
                <w:szCs w:val="20"/>
                <w:color w:val="auto"/>
              </w:rPr>
            </w:pPr>
            <w:r>
              <w:rPr>
                <w:rFonts w:ascii="Times New Roman" w:cs="Times New Roman" w:eastAsia="Times New Roman" w:hAnsi="Times New Roman"/>
                <w:sz w:val="14"/>
                <w:szCs w:val="14"/>
                <w:color w:val="auto"/>
              </w:rPr>
              <w:t>Perpetual subordinated debt</w:t>
            </w:r>
          </w:p>
        </w:tc>
        <w:tc>
          <w:tcPr>
            <w:tcW w:w="124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84"/>
              </w:rPr>
              <w:t>-</w:t>
            </w:r>
          </w:p>
        </w:tc>
        <w:tc>
          <w:tcPr>
            <w:tcW w:w="124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84"/>
              </w:rPr>
              <w:t>-</w:t>
            </w:r>
          </w:p>
        </w:tc>
        <w:tc>
          <w:tcPr>
            <w:tcW w:w="124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5"/>
              </w:rPr>
              <w:t>n.a</w:t>
            </w:r>
          </w:p>
        </w:tc>
        <w:tc>
          <w:tcPr>
            <w:tcW w:w="102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8"/>
              </w:rPr>
              <w:t>n.a.</w:t>
            </w:r>
          </w:p>
        </w:tc>
      </w:tr>
      <w:tr>
        <w:trPr>
          <w:trHeight w:val="140"/>
        </w:trPr>
        <w:tc>
          <w:tcPr>
            <w:tcW w:w="5520" w:type="dxa"/>
            <w:vAlign w:val="bottom"/>
            <w:tcBorders>
              <w:left w:val="single" w:sz="8" w:color="auto"/>
              <w:right w:val="single" w:sz="8" w:color="auto"/>
            </w:tcBorders>
          </w:tcPr>
          <w:p>
            <w:pPr>
              <w:ind w:left="140"/>
              <w:spacing w:after="0" w:line="140" w:lineRule="exact"/>
              <w:rPr>
                <w:sz w:val="20"/>
                <w:szCs w:val="20"/>
                <w:color w:val="auto"/>
              </w:rPr>
            </w:pPr>
            <w:r>
              <w:rPr>
                <w:rFonts w:ascii="Times New Roman" w:cs="Times New Roman" w:eastAsia="Times New Roman" w:hAnsi="Times New Roman"/>
                <w:sz w:val="14"/>
                <w:szCs w:val="14"/>
                <w:color w:val="auto"/>
              </w:rPr>
              <w:t>Subordinated debt</w:t>
            </w:r>
          </w:p>
        </w:tc>
        <w:tc>
          <w:tcPr>
            <w:tcW w:w="124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267,000</w:t>
            </w:r>
          </w:p>
        </w:tc>
        <w:tc>
          <w:tcPr>
            <w:tcW w:w="124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382,551</w:t>
            </w:r>
          </w:p>
        </w:tc>
        <w:tc>
          <w:tcPr>
            <w:tcW w:w="124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483,217</w:t>
            </w:r>
          </w:p>
        </w:tc>
        <w:tc>
          <w:tcPr>
            <w:tcW w:w="100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9"/>
              </w:rPr>
              <w:t>26.3%</w:t>
            </w:r>
          </w:p>
        </w:tc>
        <w:tc>
          <w:tcPr>
            <w:tcW w:w="102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3"/>
              </w:rPr>
              <w:t>81.0%</w:t>
            </w:r>
          </w:p>
        </w:tc>
      </w:tr>
      <w:tr>
        <w:trPr>
          <w:trHeight w:val="140"/>
        </w:trPr>
        <w:tc>
          <w:tcPr>
            <w:tcW w:w="5520" w:type="dxa"/>
            <w:vAlign w:val="bottom"/>
            <w:tcBorders>
              <w:left w:val="single" w:sz="8" w:color="auto"/>
              <w:right w:val="single" w:sz="8" w:color="auto"/>
            </w:tcBorders>
          </w:tcPr>
          <w:p>
            <w:pPr>
              <w:ind w:left="140"/>
              <w:spacing w:after="0" w:line="140" w:lineRule="exact"/>
              <w:rPr>
                <w:sz w:val="20"/>
                <w:szCs w:val="20"/>
                <w:color w:val="auto"/>
              </w:rPr>
            </w:pPr>
            <w:r>
              <w:rPr>
                <w:rFonts w:ascii="Times New Roman" w:cs="Times New Roman" w:eastAsia="Times New Roman" w:hAnsi="Times New Roman"/>
                <w:sz w:val="14"/>
                <w:szCs w:val="14"/>
                <w:color w:val="auto"/>
              </w:rPr>
              <w:t>Unrealidez Profit or Losses</w:t>
            </w:r>
          </w:p>
        </w:tc>
        <w:tc>
          <w:tcPr>
            <w:tcW w:w="124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2"/>
              </w:rPr>
              <w:t>(4,037)</w:t>
            </w:r>
          </w:p>
        </w:tc>
        <w:tc>
          <w:tcPr>
            <w:tcW w:w="124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8"/>
              </w:rPr>
              <w:t>12,032</w:t>
            </w:r>
          </w:p>
        </w:tc>
        <w:tc>
          <w:tcPr>
            <w:tcW w:w="124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2"/>
              </w:rPr>
              <w:t>(1,130)</w:t>
            </w:r>
          </w:p>
        </w:tc>
        <w:tc>
          <w:tcPr>
            <w:tcW w:w="100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-109.4%</w:t>
            </w:r>
          </w:p>
        </w:tc>
        <w:tc>
          <w:tcPr>
            <w:tcW w:w="102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2"/>
              </w:rPr>
              <w:t>-72.0%</w:t>
            </w:r>
          </w:p>
        </w:tc>
      </w:tr>
      <w:tr>
        <w:trPr>
          <w:trHeight w:val="140"/>
        </w:trPr>
        <w:tc>
          <w:tcPr>
            <w:tcW w:w="5520" w:type="dxa"/>
            <w:vAlign w:val="bottom"/>
            <w:tcBorders>
              <w:left w:val="single" w:sz="8" w:color="auto"/>
              <w:right w:val="single" w:sz="8" w:color="auto"/>
            </w:tcBorders>
          </w:tcPr>
          <w:p>
            <w:pPr>
              <w:ind w:left="140"/>
              <w:spacing w:after="0" w:line="140" w:lineRule="exact"/>
              <w:rPr>
                <w:sz w:val="20"/>
                <w:szCs w:val="20"/>
                <w:color w:val="auto"/>
              </w:rPr>
            </w:pPr>
            <w:r>
              <w:rPr>
                <w:rFonts w:ascii="Times New Roman" w:cs="Times New Roman" w:eastAsia="Times New Roman" w:hAnsi="Times New Roman"/>
                <w:sz w:val="14"/>
                <w:szCs w:val="14"/>
                <w:color w:val="auto"/>
              </w:rPr>
              <w:t>Investment in subsidiaries and others, net of unrealized profit and net income in subsidiaries</w:t>
            </w:r>
          </w:p>
        </w:tc>
        <w:tc>
          <w:tcPr>
            <w:tcW w:w="124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8"/>
              </w:rPr>
              <w:t>(295)</w:t>
            </w:r>
          </w:p>
        </w:tc>
        <w:tc>
          <w:tcPr>
            <w:tcW w:w="124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8"/>
              </w:rPr>
              <w:t>(216)</w:t>
            </w:r>
          </w:p>
        </w:tc>
        <w:tc>
          <w:tcPr>
            <w:tcW w:w="124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8"/>
              </w:rPr>
              <w:t>(214)</w:t>
            </w:r>
          </w:p>
        </w:tc>
        <w:tc>
          <w:tcPr>
            <w:tcW w:w="100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4"/>
              </w:rPr>
              <w:t>-0.8%</w:t>
            </w:r>
          </w:p>
        </w:tc>
        <w:tc>
          <w:tcPr>
            <w:tcW w:w="102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2"/>
              </w:rPr>
              <w:t>-27.4%</w:t>
            </w:r>
          </w:p>
        </w:tc>
      </w:tr>
      <w:tr>
        <w:trPr>
          <w:trHeight w:val="140"/>
        </w:trPr>
        <w:tc>
          <w:tcPr>
            <w:tcW w:w="5520" w:type="dxa"/>
            <w:vAlign w:val="bottom"/>
            <w:tcBorders>
              <w:left w:val="single" w:sz="8" w:color="auto"/>
              <w:right w:val="single" w:sz="8" w:color="auto"/>
            </w:tcBorders>
          </w:tcPr>
          <w:p>
            <w:pPr>
              <w:ind w:left="140"/>
              <w:spacing w:after="0" w:line="140" w:lineRule="exact"/>
              <w:rPr>
                <w:sz w:val="20"/>
                <w:szCs w:val="20"/>
                <w:color w:val="auto"/>
              </w:rPr>
            </w:pPr>
            <w:r>
              <w:rPr>
                <w:rFonts w:ascii="Times New Roman" w:cs="Times New Roman" w:eastAsia="Times New Roman" w:hAnsi="Times New Roman"/>
                <w:sz w:val="14"/>
                <w:szCs w:val="14"/>
                <w:color w:val="auto"/>
              </w:rPr>
              <w:t>Intangibles</w:t>
            </w:r>
          </w:p>
        </w:tc>
        <w:tc>
          <w:tcPr>
            <w:tcW w:w="124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4"/>
              </w:rPr>
              <w:t>(119,759)</w:t>
            </w:r>
          </w:p>
        </w:tc>
        <w:tc>
          <w:tcPr>
            <w:tcW w:w="124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8"/>
              </w:rPr>
              <w:t>(138,648)</w:t>
            </w:r>
          </w:p>
        </w:tc>
        <w:tc>
          <w:tcPr>
            <w:tcW w:w="124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8"/>
              </w:rPr>
              <w:t>(133,121)</w:t>
            </w:r>
          </w:p>
        </w:tc>
        <w:tc>
          <w:tcPr>
            <w:tcW w:w="100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4"/>
              </w:rPr>
              <w:t>-4.0%</w:t>
            </w:r>
          </w:p>
        </w:tc>
        <w:tc>
          <w:tcPr>
            <w:tcW w:w="102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3"/>
              </w:rPr>
              <w:t>11.2%</w:t>
            </w:r>
          </w:p>
        </w:tc>
      </w:tr>
      <w:tr>
        <w:trPr>
          <w:trHeight w:val="160"/>
        </w:trPr>
        <w:tc>
          <w:tcPr>
            <w:tcW w:w="5520" w:type="dxa"/>
            <w:vAlign w:val="bottom"/>
            <w:tcBorders>
              <w:left w:val="single" w:sz="8" w:color="auto"/>
              <w:bottom w:val="single" w:sz="8" w:color="auto"/>
              <w:right w:val="single" w:sz="8" w:color="auto"/>
            </w:tcBorders>
          </w:tcPr>
          <w:p>
            <w:pPr>
              <w:ind w:left="140"/>
              <w:spacing w:after="0" w:line="160" w:lineRule="exact"/>
              <w:rPr>
                <w:sz w:val="20"/>
                <w:szCs w:val="20"/>
                <w:color w:val="auto"/>
              </w:rPr>
            </w:pPr>
            <w:r>
              <w:rPr>
                <w:rFonts w:ascii="Times New Roman" w:cs="Times New Roman" w:eastAsia="Times New Roman" w:hAnsi="Times New Roman"/>
                <w:sz w:val="14"/>
                <w:szCs w:val="14"/>
                <w:color w:val="auto"/>
              </w:rPr>
              <w:t>Goodwill</w:t>
            </w:r>
          </w:p>
        </w:tc>
        <w:tc>
          <w:tcPr>
            <w:tcW w:w="124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w w:val="98"/>
              </w:rPr>
              <w:t>(139,180)</w:t>
            </w:r>
          </w:p>
        </w:tc>
        <w:tc>
          <w:tcPr>
            <w:tcW w:w="124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w w:val="98"/>
              </w:rPr>
              <w:t>(139,180)</w:t>
            </w:r>
          </w:p>
        </w:tc>
        <w:tc>
          <w:tcPr>
            <w:tcW w:w="1240" w:type="dxa"/>
            <w:vAlign w:val="bottom"/>
            <w:tcBorders>
              <w:bottom w:val="single" w:sz="8" w:color="auto"/>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w w:val="98"/>
              </w:rPr>
              <w:t>(139,180)</w:t>
            </w:r>
          </w:p>
        </w:tc>
        <w:tc>
          <w:tcPr>
            <w:tcW w:w="100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w w:val="95"/>
              </w:rPr>
              <w:t>0.0%</w:t>
            </w:r>
          </w:p>
        </w:tc>
        <w:tc>
          <w:tcPr>
            <w:tcW w:w="1020" w:type="dxa"/>
            <w:vAlign w:val="bottom"/>
            <w:tcBorders>
              <w:bottom w:val="single" w:sz="8" w:color="auto"/>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w w:val="95"/>
              </w:rPr>
              <w:t>0.0%</w:t>
            </w:r>
          </w:p>
        </w:tc>
      </w:tr>
      <w:tr>
        <w:trPr>
          <w:trHeight w:val="132"/>
        </w:trPr>
        <w:tc>
          <w:tcPr>
            <w:tcW w:w="5520" w:type="dxa"/>
            <w:vAlign w:val="bottom"/>
            <w:tcBorders>
              <w:left w:val="single" w:sz="8" w:color="auto"/>
              <w:bottom w:val="single" w:sz="8" w:color="auto"/>
              <w:right w:val="single" w:sz="8" w:color="auto"/>
            </w:tcBorders>
          </w:tcPr>
          <w:p>
            <w:pPr>
              <w:ind w:left="40"/>
              <w:spacing w:after="0" w:line="133" w:lineRule="exact"/>
              <w:rPr>
                <w:sz w:val="20"/>
                <w:szCs w:val="20"/>
                <w:color w:val="auto"/>
              </w:rPr>
            </w:pPr>
            <w:r>
              <w:rPr>
                <w:rFonts w:ascii="Times New Roman" w:cs="Times New Roman" w:eastAsia="Times New Roman" w:hAnsi="Times New Roman"/>
                <w:sz w:val="14"/>
                <w:szCs w:val="14"/>
                <w:b w:val="1"/>
                <w:bCs w:val="1"/>
                <w:color w:val="auto"/>
              </w:rPr>
              <w:t>Total Regulatory Capital</w:t>
            </w:r>
          </w:p>
        </w:tc>
        <w:tc>
          <w:tcPr>
            <w:tcW w:w="1240" w:type="dxa"/>
            <w:vAlign w:val="bottom"/>
            <w:tcBorders>
              <w:bottom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6"/>
              </w:rPr>
              <w:t>2,527,685</w:t>
            </w:r>
          </w:p>
        </w:tc>
        <w:tc>
          <w:tcPr>
            <w:tcW w:w="1240" w:type="dxa"/>
            <w:vAlign w:val="bottom"/>
            <w:tcBorders>
              <w:bottom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6"/>
              </w:rPr>
              <w:t>3,040,636</w:t>
            </w:r>
          </w:p>
        </w:tc>
        <w:tc>
          <w:tcPr>
            <w:tcW w:w="124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6"/>
              </w:rPr>
              <w:t>3,001,338</w:t>
            </w:r>
          </w:p>
        </w:tc>
        <w:tc>
          <w:tcPr>
            <w:tcW w:w="1000" w:type="dxa"/>
            <w:vAlign w:val="bottom"/>
            <w:tcBorders>
              <w:bottom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9"/>
              </w:rPr>
              <w:t>-1.3%</w:t>
            </w:r>
          </w:p>
        </w:tc>
        <w:tc>
          <w:tcPr>
            <w:tcW w:w="102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8"/>
              </w:rPr>
              <w:t>18.7%</w:t>
            </w:r>
          </w:p>
        </w:tc>
      </w:tr>
      <w:tr>
        <w:trPr>
          <w:trHeight w:val="132"/>
        </w:trPr>
        <w:tc>
          <w:tcPr>
            <w:tcW w:w="5520" w:type="dxa"/>
            <w:vAlign w:val="bottom"/>
            <w:tcBorders>
              <w:left w:val="single" w:sz="8" w:color="auto"/>
              <w:bottom w:val="single" w:sz="8" w:color="auto"/>
              <w:right w:val="single" w:sz="8" w:color="auto"/>
            </w:tcBorders>
          </w:tcPr>
          <w:p>
            <w:pPr>
              <w:ind w:left="40"/>
              <w:spacing w:after="0" w:line="133" w:lineRule="exact"/>
              <w:rPr>
                <w:sz w:val="20"/>
                <w:szCs w:val="20"/>
                <w:color w:val="auto"/>
              </w:rPr>
            </w:pPr>
            <w:r>
              <w:rPr>
                <w:rFonts w:ascii="Times New Roman" w:cs="Times New Roman" w:eastAsia="Times New Roman" w:hAnsi="Times New Roman"/>
                <w:sz w:val="10"/>
                <w:szCs w:val="10"/>
                <w:b w:val="1"/>
                <w:bCs w:val="1"/>
                <w:color w:val="auto"/>
              </w:rPr>
              <w:t xml:space="preserve">Tier Common Equity </w:t>
            </w:r>
            <w:r>
              <w:rPr>
                <w:rFonts w:ascii="Times New Roman" w:cs="Times New Roman" w:eastAsia="Times New Roman" w:hAnsi="Times New Roman"/>
                <w:sz w:val="15"/>
                <w:szCs w:val="15"/>
                <w:b w:val="1"/>
                <w:bCs w:val="1"/>
                <w:color w:val="auto"/>
                <w:vertAlign w:val="superscript"/>
              </w:rPr>
              <w:t>(2)</w:t>
            </w:r>
          </w:p>
        </w:tc>
        <w:tc>
          <w:tcPr>
            <w:tcW w:w="1240" w:type="dxa"/>
            <w:vAlign w:val="bottom"/>
            <w:tcBorders>
              <w:bottom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6"/>
              </w:rPr>
              <w:t>2,111,272</w:t>
            </w:r>
          </w:p>
        </w:tc>
        <w:tc>
          <w:tcPr>
            <w:tcW w:w="1240" w:type="dxa"/>
            <w:vAlign w:val="bottom"/>
            <w:tcBorders>
              <w:bottom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6"/>
              </w:rPr>
              <w:t>2,490,604</w:t>
            </w:r>
          </w:p>
        </w:tc>
        <w:tc>
          <w:tcPr>
            <w:tcW w:w="124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6"/>
              </w:rPr>
              <w:t>2,344,871</w:t>
            </w:r>
          </w:p>
        </w:tc>
        <w:tc>
          <w:tcPr>
            <w:tcW w:w="1000" w:type="dxa"/>
            <w:vAlign w:val="bottom"/>
            <w:tcBorders>
              <w:bottom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9"/>
              </w:rPr>
              <w:t>-5.9%</w:t>
            </w:r>
          </w:p>
        </w:tc>
        <w:tc>
          <w:tcPr>
            <w:tcW w:w="102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3"/>
              </w:rPr>
              <w:t>11.1%</w:t>
            </w:r>
          </w:p>
        </w:tc>
      </w:tr>
      <w:tr>
        <w:trPr>
          <w:trHeight w:val="132"/>
        </w:trPr>
        <w:tc>
          <w:tcPr>
            <w:tcW w:w="5520" w:type="dxa"/>
            <w:vAlign w:val="bottom"/>
            <w:tcBorders>
              <w:left w:val="single" w:sz="8" w:color="auto"/>
              <w:bottom w:val="single" w:sz="8" w:color="auto"/>
              <w:right w:val="single" w:sz="8" w:color="auto"/>
            </w:tcBorders>
          </w:tcPr>
          <w:p>
            <w:pPr>
              <w:ind w:left="40"/>
              <w:spacing w:after="0" w:line="133" w:lineRule="exact"/>
              <w:rPr>
                <w:sz w:val="20"/>
                <w:szCs w:val="20"/>
                <w:color w:val="auto"/>
              </w:rPr>
            </w:pPr>
            <w:r>
              <w:rPr>
                <w:rFonts w:ascii="Times New Roman" w:cs="Times New Roman" w:eastAsia="Times New Roman" w:hAnsi="Times New Roman"/>
                <w:sz w:val="10"/>
                <w:szCs w:val="10"/>
                <w:b w:val="1"/>
                <w:bCs w:val="1"/>
                <w:color w:val="auto"/>
              </w:rPr>
              <w:t xml:space="preserve">Regulatory Tier 1 Capital </w:t>
            </w:r>
            <w:r>
              <w:rPr>
                <w:rFonts w:ascii="Times New Roman" w:cs="Times New Roman" w:eastAsia="Times New Roman" w:hAnsi="Times New Roman"/>
                <w:sz w:val="15"/>
                <w:szCs w:val="15"/>
                <w:b w:val="1"/>
                <w:bCs w:val="1"/>
                <w:color w:val="auto"/>
                <w:vertAlign w:val="superscript"/>
              </w:rPr>
              <w:t>(3)</w:t>
            </w:r>
          </w:p>
        </w:tc>
        <w:tc>
          <w:tcPr>
            <w:tcW w:w="1240" w:type="dxa"/>
            <w:vAlign w:val="bottom"/>
            <w:tcBorders>
              <w:bottom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6"/>
              </w:rPr>
              <w:t>2,111,272</w:t>
            </w:r>
          </w:p>
        </w:tc>
        <w:tc>
          <w:tcPr>
            <w:tcW w:w="1240" w:type="dxa"/>
            <w:vAlign w:val="bottom"/>
            <w:tcBorders>
              <w:bottom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6"/>
              </w:rPr>
              <w:t>2,490,604</w:t>
            </w:r>
          </w:p>
        </w:tc>
        <w:tc>
          <w:tcPr>
            <w:tcW w:w="124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6"/>
              </w:rPr>
              <w:t>2,344,871</w:t>
            </w:r>
          </w:p>
        </w:tc>
        <w:tc>
          <w:tcPr>
            <w:tcW w:w="1000" w:type="dxa"/>
            <w:vAlign w:val="bottom"/>
            <w:tcBorders>
              <w:bottom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9"/>
              </w:rPr>
              <w:t>-5.9%</w:t>
            </w:r>
          </w:p>
        </w:tc>
        <w:tc>
          <w:tcPr>
            <w:tcW w:w="102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3"/>
              </w:rPr>
              <w:t>11.1%</w:t>
            </w:r>
          </w:p>
        </w:tc>
      </w:tr>
      <w:tr>
        <w:trPr>
          <w:trHeight w:val="132"/>
        </w:trPr>
        <w:tc>
          <w:tcPr>
            <w:tcW w:w="5520" w:type="dxa"/>
            <w:vAlign w:val="bottom"/>
            <w:tcBorders>
              <w:left w:val="single" w:sz="8" w:color="auto"/>
              <w:bottom w:val="single" w:sz="8" w:color="auto"/>
              <w:right w:val="single" w:sz="8" w:color="auto"/>
            </w:tcBorders>
          </w:tcPr>
          <w:p>
            <w:pPr>
              <w:ind w:left="40"/>
              <w:spacing w:after="0" w:line="133" w:lineRule="exact"/>
              <w:rPr>
                <w:sz w:val="20"/>
                <w:szCs w:val="20"/>
                <w:color w:val="auto"/>
              </w:rPr>
            </w:pPr>
            <w:r>
              <w:rPr>
                <w:rFonts w:ascii="Times New Roman" w:cs="Times New Roman" w:eastAsia="Times New Roman" w:hAnsi="Times New Roman"/>
                <w:sz w:val="10"/>
                <w:szCs w:val="10"/>
                <w:b w:val="1"/>
                <w:bCs w:val="1"/>
                <w:color w:val="auto"/>
              </w:rPr>
              <w:t xml:space="preserve">Regulatory Tier 2 Capital </w:t>
            </w:r>
            <w:r>
              <w:rPr>
                <w:rFonts w:ascii="Times New Roman" w:cs="Times New Roman" w:eastAsia="Times New Roman" w:hAnsi="Times New Roman"/>
                <w:sz w:val="15"/>
                <w:szCs w:val="15"/>
                <w:b w:val="1"/>
                <w:bCs w:val="1"/>
                <w:color w:val="auto"/>
                <w:vertAlign w:val="superscript"/>
              </w:rPr>
              <w:t>(4)</w:t>
            </w:r>
          </w:p>
        </w:tc>
        <w:tc>
          <w:tcPr>
            <w:tcW w:w="1240" w:type="dxa"/>
            <w:vAlign w:val="bottom"/>
            <w:tcBorders>
              <w:bottom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6"/>
              </w:rPr>
              <w:t>416,412</w:t>
            </w:r>
          </w:p>
        </w:tc>
        <w:tc>
          <w:tcPr>
            <w:tcW w:w="1240" w:type="dxa"/>
            <w:vAlign w:val="bottom"/>
            <w:tcBorders>
              <w:bottom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2"/>
              </w:rPr>
              <w:t>550,032</w:t>
            </w:r>
          </w:p>
        </w:tc>
        <w:tc>
          <w:tcPr>
            <w:tcW w:w="124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6"/>
              </w:rPr>
              <w:t>656,467</w:t>
            </w:r>
          </w:p>
        </w:tc>
        <w:tc>
          <w:tcPr>
            <w:tcW w:w="1000" w:type="dxa"/>
            <w:vAlign w:val="bottom"/>
            <w:tcBorders>
              <w:bottom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3"/>
              </w:rPr>
              <w:t>19.4%</w:t>
            </w:r>
          </w:p>
        </w:tc>
        <w:tc>
          <w:tcPr>
            <w:tcW w:w="102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8"/>
              </w:rPr>
              <w:t>57.6%</w:t>
            </w:r>
          </w:p>
        </w:tc>
      </w:tr>
      <w:tr>
        <w:trPr>
          <w:trHeight w:val="132"/>
        </w:trPr>
        <w:tc>
          <w:tcPr>
            <w:tcW w:w="55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2020" w:type="dxa"/>
            <w:vAlign w:val="bottom"/>
            <w:tcBorders>
              <w:bottom w:val="single" w:sz="8" w:color="auto"/>
            </w:tcBorders>
            <w:gridSpan w:val="2"/>
          </w:tcPr>
          <w:p>
            <w:pPr>
              <w:spacing w:after="0"/>
              <w:rPr>
                <w:sz w:val="11"/>
                <w:szCs w:val="11"/>
                <w:color w:val="auto"/>
              </w:rPr>
            </w:pPr>
          </w:p>
        </w:tc>
      </w:tr>
      <w:tr>
        <w:trPr>
          <w:trHeight w:val="108"/>
        </w:trPr>
        <w:tc>
          <w:tcPr>
            <w:tcW w:w="5520" w:type="dxa"/>
            <w:vAlign w:val="bottom"/>
            <w:tcBorders>
              <w:left w:val="single" w:sz="8" w:color="auto"/>
              <w:right w:val="single" w:sz="8" w:color="auto"/>
            </w:tcBorders>
            <w:shd w:val="clear" w:color="auto" w:fill="2AD2C8"/>
          </w:tcPr>
          <w:p>
            <w:pPr>
              <w:ind w:left="20"/>
              <w:spacing w:after="0" w:line="108" w:lineRule="exact"/>
              <w:rPr>
                <w:sz w:val="20"/>
                <w:szCs w:val="20"/>
                <w:color w:val="auto"/>
              </w:rPr>
            </w:pPr>
            <w:r>
              <w:rPr>
                <w:rFonts w:ascii="Times New Roman" w:cs="Times New Roman" w:eastAsia="Times New Roman" w:hAnsi="Times New Roman"/>
                <w:sz w:val="12"/>
                <w:szCs w:val="12"/>
                <w:b w:val="1"/>
                <w:bCs w:val="1"/>
                <w:color w:val="FFFFFF"/>
              </w:rPr>
              <w:t>Total risk-weighted assets</w:t>
            </w:r>
          </w:p>
        </w:tc>
        <w:tc>
          <w:tcPr>
            <w:tcW w:w="1240" w:type="dxa"/>
            <w:vAlign w:val="bottom"/>
            <w:shd w:val="clear" w:color="auto" w:fill="2AD2C8"/>
          </w:tcPr>
          <w:p>
            <w:pPr>
              <w:spacing w:after="0"/>
              <w:rPr>
                <w:sz w:val="9"/>
                <w:szCs w:val="9"/>
                <w:color w:val="auto"/>
              </w:rPr>
            </w:pPr>
          </w:p>
        </w:tc>
        <w:tc>
          <w:tcPr>
            <w:tcW w:w="1240" w:type="dxa"/>
            <w:vAlign w:val="bottom"/>
            <w:shd w:val="clear" w:color="auto" w:fill="2AD2C8"/>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FFFFFF"/>
              </w:rPr>
              <w:t>As of</w:t>
            </w:r>
          </w:p>
        </w:tc>
        <w:tc>
          <w:tcPr>
            <w:tcW w:w="1240" w:type="dxa"/>
            <w:vAlign w:val="bottom"/>
            <w:tcBorders>
              <w:right w:val="single" w:sz="8" w:color="auto"/>
            </w:tcBorders>
            <w:shd w:val="clear" w:color="auto" w:fill="2AD2C8"/>
          </w:tcPr>
          <w:p>
            <w:pPr>
              <w:spacing w:after="0"/>
              <w:rPr>
                <w:sz w:val="9"/>
                <w:szCs w:val="9"/>
                <w:color w:val="auto"/>
              </w:rPr>
            </w:pPr>
          </w:p>
        </w:tc>
        <w:tc>
          <w:tcPr>
            <w:tcW w:w="2020" w:type="dxa"/>
            <w:vAlign w:val="bottom"/>
            <w:tcBorders>
              <w:right w:val="single" w:sz="8" w:color="auto"/>
            </w:tcBorders>
            <w:gridSpan w:val="2"/>
            <w:shd w:val="clear" w:color="auto" w:fill="2AD2C8"/>
          </w:tcPr>
          <w:p>
            <w:pPr>
              <w:ind w:left="700"/>
              <w:spacing w:after="0" w:line="108" w:lineRule="exact"/>
              <w:rPr>
                <w:sz w:val="20"/>
                <w:szCs w:val="20"/>
                <w:color w:val="auto"/>
              </w:rPr>
            </w:pPr>
            <w:r>
              <w:rPr>
                <w:rFonts w:ascii="Times New Roman" w:cs="Times New Roman" w:eastAsia="Times New Roman" w:hAnsi="Times New Roman"/>
                <w:sz w:val="12"/>
                <w:szCs w:val="12"/>
                <w:b w:val="1"/>
                <w:bCs w:val="1"/>
                <w:color w:val="FFFFFF"/>
              </w:rPr>
              <w:t>% Change</w:t>
            </w:r>
          </w:p>
        </w:tc>
      </w:tr>
      <w:tr>
        <w:trPr>
          <w:trHeight w:val="164"/>
        </w:trPr>
        <w:tc>
          <w:tcPr>
            <w:tcW w:w="5520" w:type="dxa"/>
            <w:vAlign w:val="bottom"/>
            <w:tcBorders>
              <w:left w:val="single" w:sz="8" w:color="auto"/>
              <w:bottom w:val="single" w:sz="8" w:color="auto"/>
              <w:right w:val="single" w:sz="8" w:color="auto"/>
            </w:tcBorders>
            <w:shd w:val="clear" w:color="auto" w:fill="2AD2C8"/>
          </w:tcPr>
          <w:p>
            <w:pPr>
              <w:ind w:left="20"/>
              <w:spacing w:after="0"/>
              <w:rPr>
                <w:sz w:val="20"/>
                <w:szCs w:val="20"/>
                <w:color w:val="auto"/>
              </w:rPr>
            </w:pPr>
            <w:r>
              <w:rPr>
                <w:rFonts w:ascii="Times New Roman" w:cs="Times New Roman" w:eastAsia="Times New Roman" w:hAnsi="Times New Roman"/>
                <w:sz w:val="14"/>
                <w:szCs w:val="14"/>
                <w:color w:val="FFFFFF"/>
              </w:rPr>
              <w:t>(S/ thousand)</w:t>
            </w:r>
          </w:p>
        </w:tc>
        <w:tc>
          <w:tcPr>
            <w:tcW w:w="1240" w:type="dxa"/>
            <w:vAlign w:val="bottom"/>
            <w:tcBorders>
              <w:bottom w:val="single" w:sz="8" w:color="auto"/>
            </w:tcBorders>
            <w:shd w:val="clear" w:color="auto" w:fill="2AD2C8"/>
          </w:tcPr>
          <w:p>
            <w:pPr>
              <w:jc w:val="center"/>
              <w:spacing w:after="0"/>
              <w:rPr>
                <w:sz w:val="20"/>
                <w:szCs w:val="20"/>
                <w:color w:val="auto"/>
              </w:rPr>
            </w:pPr>
            <w:r>
              <w:rPr>
                <w:rFonts w:ascii="Times New Roman" w:cs="Times New Roman" w:eastAsia="Times New Roman" w:hAnsi="Times New Roman"/>
                <w:sz w:val="14"/>
                <w:szCs w:val="14"/>
                <w:b w:val="1"/>
                <w:bCs w:val="1"/>
                <w:color w:val="FFFFFF"/>
              </w:rPr>
              <w:t>Mar 25</w:t>
            </w:r>
          </w:p>
        </w:tc>
        <w:tc>
          <w:tcPr>
            <w:tcW w:w="1240" w:type="dxa"/>
            <w:vAlign w:val="bottom"/>
            <w:tcBorders>
              <w:bottom w:val="single" w:sz="8" w:color="auto"/>
            </w:tcBorders>
            <w:shd w:val="clear" w:color="auto" w:fill="2AD2C8"/>
          </w:tcPr>
          <w:p>
            <w:pPr>
              <w:jc w:val="center"/>
              <w:spacing w:after="0"/>
              <w:rPr>
                <w:sz w:val="20"/>
                <w:szCs w:val="20"/>
                <w:color w:val="auto"/>
              </w:rPr>
            </w:pPr>
            <w:r>
              <w:rPr>
                <w:rFonts w:ascii="Times New Roman" w:cs="Times New Roman" w:eastAsia="Times New Roman" w:hAnsi="Times New Roman"/>
                <w:sz w:val="14"/>
                <w:szCs w:val="14"/>
                <w:b w:val="1"/>
                <w:bCs w:val="1"/>
                <w:color w:val="FFFFFF"/>
                <w:w w:val="99"/>
              </w:rPr>
              <w:t>Dec 25</w:t>
            </w:r>
          </w:p>
        </w:tc>
        <w:tc>
          <w:tcPr>
            <w:tcW w:w="1240" w:type="dxa"/>
            <w:vAlign w:val="bottom"/>
            <w:tcBorders>
              <w:bottom w:val="single" w:sz="8" w:color="auto"/>
              <w:right w:val="single" w:sz="8" w:color="auto"/>
            </w:tcBorders>
            <w:shd w:val="clear" w:color="auto" w:fill="2AD2C8"/>
          </w:tcPr>
          <w:p>
            <w:pPr>
              <w:jc w:val="center"/>
              <w:spacing w:after="0"/>
              <w:rPr>
                <w:sz w:val="20"/>
                <w:szCs w:val="20"/>
                <w:color w:val="auto"/>
              </w:rPr>
            </w:pPr>
            <w:r>
              <w:rPr>
                <w:rFonts w:ascii="Times New Roman" w:cs="Times New Roman" w:eastAsia="Times New Roman" w:hAnsi="Times New Roman"/>
                <w:sz w:val="14"/>
                <w:szCs w:val="14"/>
                <w:b w:val="1"/>
                <w:bCs w:val="1"/>
                <w:color w:val="FFFFFF"/>
                <w:w w:val="95"/>
              </w:rPr>
              <w:t>Mar 26</w:t>
            </w:r>
          </w:p>
        </w:tc>
        <w:tc>
          <w:tcPr>
            <w:tcW w:w="1000" w:type="dxa"/>
            <w:vAlign w:val="bottom"/>
            <w:tcBorders>
              <w:bottom w:val="single" w:sz="8" w:color="auto"/>
            </w:tcBorders>
            <w:shd w:val="clear" w:color="auto" w:fill="2AD2C8"/>
          </w:tcPr>
          <w:p>
            <w:pPr>
              <w:jc w:val="center"/>
              <w:spacing w:after="0"/>
              <w:rPr>
                <w:sz w:val="20"/>
                <w:szCs w:val="20"/>
                <w:color w:val="auto"/>
              </w:rPr>
            </w:pPr>
            <w:r>
              <w:rPr>
                <w:rFonts w:ascii="Times New Roman" w:cs="Times New Roman" w:eastAsia="Times New Roman" w:hAnsi="Times New Roman"/>
                <w:sz w:val="14"/>
                <w:szCs w:val="14"/>
                <w:b w:val="1"/>
                <w:bCs w:val="1"/>
                <w:color w:val="FFFFFF"/>
                <w:w w:val="97"/>
              </w:rPr>
              <w:t>QoQ</w:t>
            </w:r>
          </w:p>
        </w:tc>
        <w:tc>
          <w:tcPr>
            <w:tcW w:w="1020" w:type="dxa"/>
            <w:vAlign w:val="bottom"/>
            <w:tcBorders>
              <w:bottom w:val="single" w:sz="8" w:color="auto"/>
              <w:right w:val="single" w:sz="8" w:color="auto"/>
            </w:tcBorders>
            <w:shd w:val="clear" w:color="auto" w:fill="2AD2C8"/>
          </w:tcPr>
          <w:p>
            <w:pPr>
              <w:jc w:val="center"/>
              <w:spacing w:after="0"/>
              <w:rPr>
                <w:sz w:val="20"/>
                <w:szCs w:val="20"/>
                <w:color w:val="auto"/>
              </w:rPr>
            </w:pPr>
            <w:r>
              <w:rPr>
                <w:rFonts w:ascii="Times New Roman" w:cs="Times New Roman" w:eastAsia="Times New Roman" w:hAnsi="Times New Roman"/>
                <w:sz w:val="14"/>
                <w:szCs w:val="14"/>
                <w:b w:val="1"/>
                <w:bCs w:val="1"/>
                <w:color w:val="FFFFFF"/>
                <w:w w:val="95"/>
              </w:rPr>
              <w:t>YoY</w:t>
            </w:r>
          </w:p>
        </w:tc>
      </w:tr>
      <w:tr>
        <w:trPr>
          <w:trHeight w:val="112"/>
        </w:trPr>
        <w:tc>
          <w:tcPr>
            <w:tcW w:w="5520" w:type="dxa"/>
            <w:vAlign w:val="bottom"/>
            <w:tcBorders>
              <w:left w:val="single" w:sz="8" w:color="auto"/>
              <w:right w:val="single" w:sz="8" w:color="auto"/>
            </w:tcBorders>
          </w:tcPr>
          <w:p>
            <w:pPr>
              <w:ind w:left="140"/>
              <w:spacing w:after="0" w:line="112" w:lineRule="exact"/>
              <w:rPr>
                <w:sz w:val="20"/>
                <w:szCs w:val="20"/>
                <w:color w:val="auto"/>
              </w:rPr>
            </w:pPr>
            <w:r>
              <w:rPr>
                <w:rFonts w:ascii="Times New Roman" w:cs="Times New Roman" w:eastAsia="Times New Roman" w:hAnsi="Times New Roman"/>
                <w:sz w:val="12"/>
                <w:szCs w:val="12"/>
                <w:color w:val="auto"/>
              </w:rPr>
              <w:t>Market risk-weighted assets</w:t>
            </w:r>
          </w:p>
        </w:tc>
        <w:tc>
          <w:tcPr>
            <w:tcW w:w="1240" w:type="dxa"/>
            <w:vAlign w:val="bottom"/>
          </w:tcPr>
          <w:p>
            <w:pPr>
              <w:jc w:val="center"/>
              <w:spacing w:after="0" w:line="112" w:lineRule="exact"/>
              <w:rPr>
                <w:sz w:val="20"/>
                <w:szCs w:val="20"/>
                <w:color w:val="auto"/>
              </w:rPr>
            </w:pPr>
            <w:r>
              <w:rPr>
                <w:rFonts w:ascii="Times New Roman" w:cs="Times New Roman" w:eastAsia="Times New Roman" w:hAnsi="Times New Roman"/>
                <w:sz w:val="12"/>
                <w:szCs w:val="12"/>
                <w:color w:val="auto"/>
              </w:rPr>
              <w:t>225,498</w:t>
            </w:r>
          </w:p>
        </w:tc>
        <w:tc>
          <w:tcPr>
            <w:tcW w:w="1240" w:type="dxa"/>
            <w:vAlign w:val="bottom"/>
          </w:tcPr>
          <w:p>
            <w:pPr>
              <w:jc w:val="center"/>
              <w:spacing w:after="0" w:line="112" w:lineRule="exact"/>
              <w:rPr>
                <w:sz w:val="20"/>
                <w:szCs w:val="20"/>
                <w:color w:val="auto"/>
              </w:rPr>
            </w:pPr>
            <w:r>
              <w:rPr>
                <w:rFonts w:ascii="Times New Roman" w:cs="Times New Roman" w:eastAsia="Times New Roman" w:hAnsi="Times New Roman"/>
                <w:sz w:val="12"/>
                <w:szCs w:val="12"/>
                <w:color w:val="auto"/>
              </w:rPr>
              <w:t>157,365</w:t>
            </w:r>
          </w:p>
        </w:tc>
        <w:tc>
          <w:tcPr>
            <w:tcW w:w="1240" w:type="dxa"/>
            <w:vAlign w:val="bottom"/>
            <w:tcBorders>
              <w:right w:val="single" w:sz="8" w:color="auto"/>
            </w:tcBorders>
          </w:tcPr>
          <w:p>
            <w:pPr>
              <w:jc w:val="center"/>
              <w:spacing w:after="0" w:line="112" w:lineRule="exact"/>
              <w:rPr>
                <w:sz w:val="20"/>
                <w:szCs w:val="20"/>
                <w:color w:val="auto"/>
              </w:rPr>
            </w:pPr>
            <w:r>
              <w:rPr>
                <w:rFonts w:ascii="Times New Roman" w:cs="Times New Roman" w:eastAsia="Times New Roman" w:hAnsi="Times New Roman"/>
                <w:sz w:val="12"/>
                <w:szCs w:val="12"/>
                <w:color w:val="auto"/>
              </w:rPr>
              <w:t>161,513</w:t>
            </w:r>
          </w:p>
        </w:tc>
        <w:tc>
          <w:tcPr>
            <w:tcW w:w="1000" w:type="dxa"/>
            <w:vAlign w:val="bottom"/>
          </w:tcPr>
          <w:p>
            <w:pPr>
              <w:jc w:val="center"/>
              <w:spacing w:after="0" w:line="112" w:lineRule="exact"/>
              <w:rPr>
                <w:sz w:val="20"/>
                <w:szCs w:val="20"/>
                <w:color w:val="auto"/>
              </w:rPr>
            </w:pPr>
            <w:r>
              <w:rPr>
                <w:rFonts w:ascii="Times New Roman" w:cs="Times New Roman" w:eastAsia="Times New Roman" w:hAnsi="Times New Roman"/>
                <w:sz w:val="12"/>
                <w:szCs w:val="12"/>
                <w:color w:val="auto"/>
              </w:rPr>
              <w:t>2.6%</w:t>
            </w:r>
          </w:p>
        </w:tc>
        <w:tc>
          <w:tcPr>
            <w:tcW w:w="1020" w:type="dxa"/>
            <w:vAlign w:val="bottom"/>
            <w:tcBorders>
              <w:right w:val="single" w:sz="8" w:color="auto"/>
            </w:tcBorders>
          </w:tcPr>
          <w:p>
            <w:pPr>
              <w:jc w:val="center"/>
              <w:spacing w:after="0" w:line="112" w:lineRule="exact"/>
              <w:rPr>
                <w:sz w:val="20"/>
                <w:szCs w:val="20"/>
                <w:color w:val="auto"/>
              </w:rPr>
            </w:pPr>
            <w:r>
              <w:rPr>
                <w:rFonts w:ascii="Times New Roman" w:cs="Times New Roman" w:eastAsia="Times New Roman" w:hAnsi="Times New Roman"/>
                <w:sz w:val="12"/>
                <w:szCs w:val="12"/>
                <w:color w:val="auto"/>
              </w:rPr>
              <w:t>-28.4%</w:t>
            </w:r>
          </w:p>
        </w:tc>
      </w:tr>
      <w:tr>
        <w:trPr>
          <w:trHeight w:val="140"/>
        </w:trPr>
        <w:tc>
          <w:tcPr>
            <w:tcW w:w="5520" w:type="dxa"/>
            <w:vAlign w:val="bottom"/>
            <w:tcBorders>
              <w:left w:val="single" w:sz="8" w:color="auto"/>
              <w:right w:val="single" w:sz="8" w:color="auto"/>
            </w:tcBorders>
          </w:tcPr>
          <w:p>
            <w:pPr>
              <w:ind w:left="140"/>
              <w:spacing w:after="0" w:line="140" w:lineRule="exact"/>
              <w:rPr>
                <w:sz w:val="20"/>
                <w:szCs w:val="20"/>
                <w:color w:val="auto"/>
              </w:rPr>
            </w:pPr>
            <w:r>
              <w:rPr>
                <w:rFonts w:ascii="Times New Roman" w:cs="Times New Roman" w:eastAsia="Times New Roman" w:hAnsi="Times New Roman"/>
                <w:sz w:val="14"/>
                <w:szCs w:val="14"/>
                <w:color w:val="auto"/>
              </w:rPr>
              <w:t>Credit risk-weighted assets</w:t>
            </w:r>
          </w:p>
        </w:tc>
        <w:tc>
          <w:tcPr>
            <w:tcW w:w="124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8"/>
              </w:rPr>
              <w:t>11,793,102</w:t>
            </w:r>
          </w:p>
        </w:tc>
        <w:tc>
          <w:tcPr>
            <w:tcW w:w="124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8"/>
              </w:rPr>
              <w:t>13,221,315</w:t>
            </w:r>
          </w:p>
        </w:tc>
        <w:tc>
          <w:tcPr>
            <w:tcW w:w="124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8"/>
              </w:rPr>
              <w:t>13,674,755</w:t>
            </w:r>
          </w:p>
        </w:tc>
        <w:tc>
          <w:tcPr>
            <w:tcW w:w="100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5"/>
              </w:rPr>
              <w:t>3.4%</w:t>
            </w:r>
          </w:p>
        </w:tc>
        <w:tc>
          <w:tcPr>
            <w:tcW w:w="102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3"/>
              </w:rPr>
              <w:t>16.0%</w:t>
            </w:r>
          </w:p>
        </w:tc>
      </w:tr>
      <w:tr>
        <w:trPr>
          <w:trHeight w:val="160"/>
        </w:trPr>
        <w:tc>
          <w:tcPr>
            <w:tcW w:w="5520" w:type="dxa"/>
            <w:vAlign w:val="bottom"/>
            <w:tcBorders>
              <w:left w:val="single" w:sz="8" w:color="auto"/>
              <w:bottom w:val="single" w:sz="8" w:color="auto"/>
              <w:right w:val="single" w:sz="8" w:color="auto"/>
            </w:tcBorders>
          </w:tcPr>
          <w:p>
            <w:pPr>
              <w:ind w:left="140"/>
              <w:spacing w:after="0" w:line="160" w:lineRule="exact"/>
              <w:rPr>
                <w:sz w:val="20"/>
                <w:szCs w:val="20"/>
                <w:color w:val="auto"/>
              </w:rPr>
            </w:pPr>
            <w:r>
              <w:rPr>
                <w:rFonts w:ascii="Times New Roman" w:cs="Times New Roman" w:eastAsia="Times New Roman" w:hAnsi="Times New Roman"/>
                <w:sz w:val="14"/>
                <w:szCs w:val="14"/>
                <w:color w:val="auto"/>
              </w:rPr>
              <w:t>Operational risk-weighted assets</w:t>
            </w:r>
          </w:p>
        </w:tc>
        <w:tc>
          <w:tcPr>
            <w:tcW w:w="124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w w:val="96"/>
              </w:rPr>
              <w:t>1,623,262</w:t>
            </w:r>
          </w:p>
        </w:tc>
        <w:tc>
          <w:tcPr>
            <w:tcW w:w="124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w w:val="96"/>
              </w:rPr>
              <w:t>928,897</w:t>
            </w:r>
          </w:p>
        </w:tc>
        <w:tc>
          <w:tcPr>
            <w:tcW w:w="1240" w:type="dxa"/>
            <w:vAlign w:val="bottom"/>
            <w:tcBorders>
              <w:bottom w:val="single" w:sz="8" w:color="auto"/>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w w:val="96"/>
              </w:rPr>
              <w:t>940,160</w:t>
            </w:r>
          </w:p>
        </w:tc>
        <w:tc>
          <w:tcPr>
            <w:tcW w:w="100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w w:val="95"/>
              </w:rPr>
              <w:t>1.2%</w:t>
            </w:r>
          </w:p>
        </w:tc>
        <w:tc>
          <w:tcPr>
            <w:tcW w:w="1020" w:type="dxa"/>
            <w:vAlign w:val="bottom"/>
            <w:tcBorders>
              <w:bottom w:val="single" w:sz="8" w:color="auto"/>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w w:val="92"/>
              </w:rPr>
              <w:t>-42.1%</w:t>
            </w:r>
          </w:p>
        </w:tc>
      </w:tr>
      <w:tr>
        <w:trPr>
          <w:trHeight w:val="132"/>
        </w:trPr>
        <w:tc>
          <w:tcPr>
            <w:tcW w:w="5520" w:type="dxa"/>
            <w:vAlign w:val="bottom"/>
            <w:tcBorders>
              <w:left w:val="single" w:sz="8" w:color="auto"/>
              <w:bottom w:val="single" w:sz="8" w:color="auto"/>
              <w:right w:val="single" w:sz="8" w:color="auto"/>
            </w:tcBorders>
          </w:tcPr>
          <w:p>
            <w:pPr>
              <w:ind w:left="40"/>
              <w:spacing w:after="0" w:line="133" w:lineRule="exact"/>
              <w:rPr>
                <w:sz w:val="20"/>
                <w:szCs w:val="20"/>
                <w:color w:val="auto"/>
              </w:rPr>
            </w:pPr>
            <w:r>
              <w:rPr>
                <w:rFonts w:ascii="Times New Roman" w:cs="Times New Roman" w:eastAsia="Times New Roman" w:hAnsi="Times New Roman"/>
                <w:sz w:val="14"/>
                <w:szCs w:val="14"/>
                <w:b w:val="1"/>
                <w:bCs w:val="1"/>
                <w:color w:val="auto"/>
              </w:rPr>
              <w:t>Total</w:t>
            </w:r>
          </w:p>
        </w:tc>
        <w:tc>
          <w:tcPr>
            <w:tcW w:w="1240" w:type="dxa"/>
            <w:vAlign w:val="bottom"/>
            <w:tcBorders>
              <w:bottom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8"/>
              </w:rPr>
              <w:t>13,641,862</w:t>
            </w:r>
          </w:p>
        </w:tc>
        <w:tc>
          <w:tcPr>
            <w:tcW w:w="1240" w:type="dxa"/>
            <w:vAlign w:val="bottom"/>
            <w:tcBorders>
              <w:bottom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8"/>
              </w:rPr>
              <w:t>14,307,577</w:t>
            </w:r>
          </w:p>
        </w:tc>
        <w:tc>
          <w:tcPr>
            <w:tcW w:w="124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8"/>
              </w:rPr>
              <w:t>14,776,429</w:t>
            </w:r>
          </w:p>
        </w:tc>
        <w:tc>
          <w:tcPr>
            <w:tcW w:w="1000" w:type="dxa"/>
            <w:vAlign w:val="bottom"/>
            <w:tcBorders>
              <w:bottom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5"/>
              </w:rPr>
              <w:t>3.3%</w:t>
            </w:r>
          </w:p>
        </w:tc>
        <w:tc>
          <w:tcPr>
            <w:tcW w:w="102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5"/>
              </w:rPr>
              <w:t>8.3%</w:t>
            </w:r>
          </w:p>
        </w:tc>
      </w:tr>
      <w:tr>
        <w:trPr>
          <w:trHeight w:val="196"/>
        </w:trPr>
        <w:tc>
          <w:tcPr>
            <w:tcW w:w="55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2"/>
          </w:tcPr>
          <w:p>
            <w:pPr>
              <w:spacing w:after="0"/>
              <w:rPr>
                <w:sz w:val="17"/>
                <w:szCs w:val="17"/>
                <w:color w:val="auto"/>
              </w:rPr>
            </w:pPr>
          </w:p>
        </w:tc>
      </w:tr>
      <w:tr>
        <w:trPr>
          <w:trHeight w:val="114"/>
        </w:trPr>
        <w:tc>
          <w:tcPr>
            <w:tcW w:w="5520" w:type="dxa"/>
            <w:vAlign w:val="bottom"/>
            <w:tcBorders>
              <w:left w:val="single" w:sz="8" w:color="auto"/>
              <w:right w:val="single" w:sz="8" w:color="auto"/>
            </w:tcBorders>
            <w:shd w:val="clear" w:color="auto" w:fill="2AD2C8"/>
          </w:tcPr>
          <w:p>
            <w:pPr>
              <w:ind w:left="20"/>
              <w:spacing w:after="0" w:line="114" w:lineRule="exact"/>
              <w:rPr>
                <w:sz w:val="20"/>
                <w:szCs w:val="20"/>
                <w:color w:val="auto"/>
              </w:rPr>
            </w:pPr>
            <w:r>
              <w:rPr>
                <w:rFonts w:ascii="Times New Roman" w:cs="Times New Roman" w:eastAsia="Times New Roman" w:hAnsi="Times New Roman"/>
                <w:sz w:val="12"/>
                <w:szCs w:val="12"/>
                <w:b w:val="1"/>
                <w:bCs w:val="1"/>
                <w:color w:val="FFFFFF"/>
              </w:rPr>
              <w:t>Capital requirement</w:t>
            </w:r>
          </w:p>
        </w:tc>
        <w:tc>
          <w:tcPr>
            <w:tcW w:w="1240" w:type="dxa"/>
            <w:vAlign w:val="bottom"/>
            <w:shd w:val="clear" w:color="auto" w:fill="2AD2C8"/>
          </w:tcPr>
          <w:p>
            <w:pPr>
              <w:spacing w:after="0"/>
              <w:rPr>
                <w:sz w:val="9"/>
                <w:szCs w:val="9"/>
                <w:color w:val="auto"/>
              </w:rPr>
            </w:pPr>
          </w:p>
        </w:tc>
        <w:tc>
          <w:tcPr>
            <w:tcW w:w="1240" w:type="dxa"/>
            <w:vAlign w:val="bottom"/>
            <w:shd w:val="clear" w:color="auto" w:fill="2AD2C8"/>
          </w:tcPr>
          <w:p>
            <w:pPr>
              <w:jc w:val="center"/>
              <w:spacing w:after="0" w:line="114" w:lineRule="exact"/>
              <w:rPr>
                <w:sz w:val="20"/>
                <w:szCs w:val="20"/>
                <w:color w:val="auto"/>
              </w:rPr>
            </w:pPr>
            <w:r>
              <w:rPr>
                <w:rFonts w:ascii="Times New Roman" w:cs="Times New Roman" w:eastAsia="Times New Roman" w:hAnsi="Times New Roman"/>
                <w:sz w:val="12"/>
                <w:szCs w:val="12"/>
                <w:b w:val="1"/>
                <w:bCs w:val="1"/>
                <w:color w:val="FFFFFF"/>
              </w:rPr>
              <w:t>As of</w:t>
            </w:r>
          </w:p>
        </w:tc>
        <w:tc>
          <w:tcPr>
            <w:tcW w:w="1240" w:type="dxa"/>
            <w:vAlign w:val="bottom"/>
            <w:tcBorders>
              <w:right w:val="single" w:sz="8" w:color="auto"/>
            </w:tcBorders>
            <w:shd w:val="clear" w:color="auto" w:fill="2AD2C8"/>
          </w:tcPr>
          <w:p>
            <w:pPr>
              <w:spacing w:after="0"/>
              <w:rPr>
                <w:sz w:val="9"/>
                <w:szCs w:val="9"/>
                <w:color w:val="auto"/>
              </w:rPr>
            </w:pPr>
          </w:p>
        </w:tc>
        <w:tc>
          <w:tcPr>
            <w:tcW w:w="2020" w:type="dxa"/>
            <w:vAlign w:val="bottom"/>
            <w:tcBorders>
              <w:right w:val="single" w:sz="8" w:color="auto"/>
            </w:tcBorders>
            <w:gridSpan w:val="2"/>
            <w:shd w:val="clear" w:color="auto" w:fill="2AD2C8"/>
          </w:tcPr>
          <w:p>
            <w:pPr>
              <w:ind w:left="700"/>
              <w:spacing w:after="0" w:line="114" w:lineRule="exact"/>
              <w:rPr>
                <w:sz w:val="20"/>
                <w:szCs w:val="20"/>
                <w:color w:val="auto"/>
              </w:rPr>
            </w:pPr>
            <w:r>
              <w:rPr>
                <w:rFonts w:ascii="Times New Roman" w:cs="Times New Roman" w:eastAsia="Times New Roman" w:hAnsi="Times New Roman"/>
                <w:sz w:val="12"/>
                <w:szCs w:val="12"/>
                <w:b w:val="1"/>
                <w:bCs w:val="1"/>
                <w:color w:val="FFFFFF"/>
              </w:rPr>
              <w:t>% Change</w:t>
            </w:r>
          </w:p>
        </w:tc>
      </w:tr>
      <w:tr>
        <w:trPr>
          <w:trHeight w:val="145"/>
        </w:trPr>
        <w:tc>
          <w:tcPr>
            <w:tcW w:w="5520" w:type="dxa"/>
            <w:vAlign w:val="bottom"/>
            <w:tcBorders>
              <w:left w:val="single" w:sz="8" w:color="auto"/>
              <w:bottom w:val="single" w:sz="8" w:color="auto"/>
              <w:right w:val="single" w:sz="8" w:color="auto"/>
            </w:tcBorders>
            <w:shd w:val="clear" w:color="auto" w:fill="2AD2C8"/>
          </w:tcPr>
          <w:p>
            <w:pPr>
              <w:ind w:left="20"/>
              <w:spacing w:after="0"/>
              <w:rPr>
                <w:sz w:val="20"/>
                <w:szCs w:val="20"/>
                <w:color w:val="auto"/>
              </w:rPr>
            </w:pPr>
            <w:r>
              <w:rPr>
                <w:rFonts w:ascii="Times New Roman" w:cs="Times New Roman" w:eastAsia="Times New Roman" w:hAnsi="Times New Roman"/>
                <w:sz w:val="12"/>
                <w:szCs w:val="12"/>
                <w:color w:val="FFFFFF"/>
              </w:rPr>
              <w:t>(S/ thousand)</w:t>
            </w:r>
          </w:p>
        </w:tc>
        <w:tc>
          <w:tcPr>
            <w:tcW w:w="1240" w:type="dxa"/>
            <w:vAlign w:val="bottom"/>
            <w:tcBorders>
              <w:bottom w:val="single" w:sz="8" w:color="auto"/>
            </w:tcBorders>
            <w:shd w:val="clear" w:color="auto" w:fill="2AD2C8"/>
          </w:tcPr>
          <w:p>
            <w:pPr>
              <w:jc w:val="center"/>
              <w:spacing w:after="0"/>
              <w:rPr>
                <w:sz w:val="20"/>
                <w:szCs w:val="20"/>
                <w:color w:val="auto"/>
              </w:rPr>
            </w:pPr>
            <w:r>
              <w:rPr>
                <w:rFonts w:ascii="Times New Roman" w:cs="Times New Roman" w:eastAsia="Times New Roman" w:hAnsi="Times New Roman"/>
                <w:sz w:val="12"/>
                <w:szCs w:val="12"/>
                <w:b w:val="1"/>
                <w:bCs w:val="1"/>
                <w:color w:val="FFFFFF"/>
                <w:w w:val="95"/>
              </w:rPr>
              <w:t>Mar 25</w:t>
            </w:r>
          </w:p>
        </w:tc>
        <w:tc>
          <w:tcPr>
            <w:tcW w:w="1240" w:type="dxa"/>
            <w:vAlign w:val="bottom"/>
            <w:tcBorders>
              <w:bottom w:val="single" w:sz="8" w:color="auto"/>
            </w:tcBorders>
            <w:shd w:val="clear" w:color="auto" w:fill="2AD2C8"/>
          </w:tcPr>
          <w:p>
            <w:pPr>
              <w:jc w:val="center"/>
              <w:spacing w:after="0"/>
              <w:rPr>
                <w:sz w:val="20"/>
                <w:szCs w:val="20"/>
                <w:color w:val="auto"/>
              </w:rPr>
            </w:pPr>
            <w:r>
              <w:rPr>
                <w:rFonts w:ascii="Times New Roman" w:cs="Times New Roman" w:eastAsia="Times New Roman" w:hAnsi="Times New Roman"/>
                <w:sz w:val="12"/>
                <w:szCs w:val="12"/>
                <w:b w:val="1"/>
                <w:bCs w:val="1"/>
                <w:color w:val="FFFFFF"/>
                <w:w w:val="98"/>
              </w:rPr>
              <w:t>Dec 25</w:t>
            </w:r>
          </w:p>
        </w:tc>
        <w:tc>
          <w:tcPr>
            <w:tcW w:w="1240" w:type="dxa"/>
            <w:vAlign w:val="bottom"/>
            <w:tcBorders>
              <w:bottom w:val="single" w:sz="8" w:color="auto"/>
              <w:right w:val="single" w:sz="8" w:color="auto"/>
            </w:tcBorders>
            <w:shd w:val="clear" w:color="auto" w:fill="2AD2C8"/>
          </w:tcPr>
          <w:p>
            <w:pPr>
              <w:jc w:val="center"/>
              <w:spacing w:after="0"/>
              <w:rPr>
                <w:sz w:val="20"/>
                <w:szCs w:val="20"/>
                <w:color w:val="auto"/>
              </w:rPr>
            </w:pPr>
            <w:r>
              <w:rPr>
                <w:rFonts w:ascii="Times New Roman" w:cs="Times New Roman" w:eastAsia="Times New Roman" w:hAnsi="Times New Roman"/>
                <w:sz w:val="12"/>
                <w:szCs w:val="12"/>
                <w:b w:val="1"/>
                <w:bCs w:val="1"/>
                <w:color w:val="FFFFFF"/>
              </w:rPr>
              <w:t>Mar 26</w:t>
            </w:r>
          </w:p>
        </w:tc>
        <w:tc>
          <w:tcPr>
            <w:tcW w:w="1000" w:type="dxa"/>
            <w:vAlign w:val="bottom"/>
            <w:tcBorders>
              <w:bottom w:val="single" w:sz="8" w:color="auto"/>
            </w:tcBorders>
            <w:shd w:val="clear" w:color="auto" w:fill="2AD2C8"/>
          </w:tcPr>
          <w:p>
            <w:pPr>
              <w:jc w:val="center"/>
              <w:spacing w:after="0"/>
              <w:rPr>
                <w:sz w:val="20"/>
                <w:szCs w:val="20"/>
                <w:color w:val="auto"/>
              </w:rPr>
            </w:pPr>
            <w:r>
              <w:rPr>
                <w:rFonts w:ascii="Times New Roman" w:cs="Times New Roman" w:eastAsia="Times New Roman" w:hAnsi="Times New Roman"/>
                <w:sz w:val="12"/>
                <w:szCs w:val="12"/>
                <w:b w:val="1"/>
                <w:bCs w:val="1"/>
                <w:color w:val="FFFFFF"/>
                <w:w w:val="97"/>
              </w:rPr>
              <w:t>QoQ</w:t>
            </w:r>
          </w:p>
        </w:tc>
        <w:tc>
          <w:tcPr>
            <w:tcW w:w="1020" w:type="dxa"/>
            <w:vAlign w:val="bottom"/>
            <w:tcBorders>
              <w:bottom w:val="single" w:sz="8" w:color="auto"/>
              <w:right w:val="single" w:sz="8" w:color="auto"/>
            </w:tcBorders>
            <w:shd w:val="clear" w:color="auto" w:fill="2AD2C8"/>
          </w:tcPr>
          <w:p>
            <w:pPr>
              <w:jc w:val="center"/>
              <w:spacing w:after="0"/>
              <w:rPr>
                <w:sz w:val="20"/>
                <w:szCs w:val="20"/>
                <w:color w:val="auto"/>
              </w:rPr>
            </w:pPr>
            <w:r>
              <w:rPr>
                <w:rFonts w:ascii="Times New Roman" w:cs="Times New Roman" w:eastAsia="Times New Roman" w:hAnsi="Times New Roman"/>
                <w:sz w:val="12"/>
                <w:szCs w:val="12"/>
                <w:b w:val="1"/>
                <w:bCs w:val="1"/>
                <w:color w:val="FFFFFF"/>
                <w:w w:val="94"/>
              </w:rPr>
              <w:t>YoY</w:t>
            </w:r>
          </w:p>
        </w:tc>
      </w:tr>
      <w:tr>
        <w:trPr>
          <w:trHeight w:val="104"/>
        </w:trPr>
        <w:tc>
          <w:tcPr>
            <w:tcW w:w="5520" w:type="dxa"/>
            <w:vAlign w:val="bottom"/>
            <w:tcBorders>
              <w:left w:val="single" w:sz="8" w:color="auto"/>
              <w:right w:val="single" w:sz="8" w:color="auto"/>
            </w:tcBorders>
          </w:tcPr>
          <w:p>
            <w:pPr>
              <w:ind w:left="140"/>
              <w:spacing w:after="0" w:line="104" w:lineRule="exact"/>
              <w:rPr>
                <w:sz w:val="20"/>
                <w:szCs w:val="20"/>
                <w:color w:val="auto"/>
              </w:rPr>
            </w:pPr>
            <w:r>
              <w:rPr>
                <w:rFonts w:ascii="Times New Roman" w:cs="Times New Roman" w:eastAsia="Times New Roman" w:hAnsi="Times New Roman"/>
                <w:sz w:val="12"/>
                <w:szCs w:val="12"/>
                <w:color w:val="auto"/>
              </w:rPr>
              <w:t>Market risk capital requirement</w:t>
            </w:r>
          </w:p>
        </w:tc>
        <w:tc>
          <w:tcPr>
            <w:tcW w:w="1240" w:type="dxa"/>
            <w:vAlign w:val="bottom"/>
          </w:tcPr>
          <w:p>
            <w:pPr>
              <w:jc w:val="center"/>
              <w:spacing w:after="0" w:line="104" w:lineRule="exact"/>
              <w:rPr>
                <w:sz w:val="20"/>
                <w:szCs w:val="20"/>
                <w:color w:val="auto"/>
              </w:rPr>
            </w:pPr>
            <w:r>
              <w:rPr>
                <w:rFonts w:ascii="Times New Roman" w:cs="Times New Roman" w:eastAsia="Times New Roman" w:hAnsi="Times New Roman"/>
                <w:sz w:val="12"/>
                <w:szCs w:val="12"/>
                <w:color w:val="auto"/>
                <w:w w:val="96"/>
              </w:rPr>
              <w:t>22,550</w:t>
            </w:r>
          </w:p>
        </w:tc>
        <w:tc>
          <w:tcPr>
            <w:tcW w:w="1240" w:type="dxa"/>
            <w:vAlign w:val="bottom"/>
          </w:tcPr>
          <w:p>
            <w:pPr>
              <w:jc w:val="center"/>
              <w:spacing w:after="0" w:line="104" w:lineRule="exact"/>
              <w:rPr>
                <w:sz w:val="20"/>
                <w:szCs w:val="20"/>
                <w:color w:val="auto"/>
              </w:rPr>
            </w:pPr>
            <w:r>
              <w:rPr>
                <w:rFonts w:ascii="Times New Roman" w:cs="Times New Roman" w:eastAsia="Times New Roman" w:hAnsi="Times New Roman"/>
                <w:sz w:val="12"/>
                <w:szCs w:val="12"/>
                <w:color w:val="auto"/>
              </w:rPr>
              <w:t>15,737</w:t>
            </w:r>
          </w:p>
        </w:tc>
        <w:tc>
          <w:tcPr>
            <w:tcW w:w="1240" w:type="dxa"/>
            <w:vAlign w:val="bottom"/>
            <w:tcBorders>
              <w:right w:val="single" w:sz="8" w:color="auto"/>
            </w:tcBorders>
          </w:tcPr>
          <w:p>
            <w:pPr>
              <w:jc w:val="center"/>
              <w:spacing w:after="0" w:line="104" w:lineRule="exact"/>
              <w:rPr>
                <w:sz w:val="20"/>
                <w:szCs w:val="20"/>
                <w:color w:val="auto"/>
              </w:rPr>
            </w:pPr>
            <w:r>
              <w:rPr>
                <w:rFonts w:ascii="Times New Roman" w:cs="Times New Roman" w:eastAsia="Times New Roman" w:hAnsi="Times New Roman"/>
                <w:sz w:val="12"/>
                <w:szCs w:val="12"/>
                <w:color w:val="auto"/>
              </w:rPr>
              <w:t>16,151</w:t>
            </w:r>
          </w:p>
        </w:tc>
        <w:tc>
          <w:tcPr>
            <w:tcW w:w="1000" w:type="dxa"/>
            <w:vAlign w:val="bottom"/>
          </w:tcPr>
          <w:p>
            <w:pPr>
              <w:jc w:val="center"/>
              <w:spacing w:after="0" w:line="104" w:lineRule="exact"/>
              <w:rPr>
                <w:sz w:val="20"/>
                <w:szCs w:val="20"/>
                <w:color w:val="auto"/>
              </w:rPr>
            </w:pPr>
            <w:r>
              <w:rPr>
                <w:rFonts w:ascii="Times New Roman" w:cs="Times New Roman" w:eastAsia="Times New Roman" w:hAnsi="Times New Roman"/>
                <w:sz w:val="12"/>
                <w:szCs w:val="12"/>
                <w:color w:val="auto"/>
                <w:w w:val="95"/>
              </w:rPr>
              <w:t>2.6%</w:t>
            </w:r>
          </w:p>
        </w:tc>
        <w:tc>
          <w:tcPr>
            <w:tcW w:w="1020" w:type="dxa"/>
            <w:vAlign w:val="bottom"/>
            <w:tcBorders>
              <w:right w:val="single" w:sz="8" w:color="auto"/>
            </w:tcBorders>
          </w:tcPr>
          <w:p>
            <w:pPr>
              <w:jc w:val="center"/>
              <w:spacing w:after="0" w:line="104" w:lineRule="exact"/>
              <w:rPr>
                <w:sz w:val="20"/>
                <w:szCs w:val="20"/>
                <w:color w:val="auto"/>
              </w:rPr>
            </w:pPr>
            <w:r>
              <w:rPr>
                <w:rFonts w:ascii="Times New Roman" w:cs="Times New Roman" w:eastAsia="Times New Roman" w:hAnsi="Times New Roman"/>
                <w:sz w:val="12"/>
                <w:szCs w:val="12"/>
                <w:color w:val="auto"/>
                <w:w w:val="97"/>
              </w:rPr>
              <w:t>-28.4%</w:t>
            </w:r>
          </w:p>
        </w:tc>
      </w:tr>
      <w:tr>
        <w:trPr>
          <w:trHeight w:val="127"/>
        </w:trPr>
        <w:tc>
          <w:tcPr>
            <w:tcW w:w="5520" w:type="dxa"/>
            <w:vAlign w:val="bottom"/>
            <w:tcBorders>
              <w:left w:val="single" w:sz="8" w:color="auto"/>
              <w:right w:val="single" w:sz="8" w:color="auto"/>
            </w:tcBorders>
          </w:tcPr>
          <w:p>
            <w:pPr>
              <w:ind w:left="140"/>
              <w:spacing w:after="0" w:line="127" w:lineRule="exact"/>
              <w:rPr>
                <w:sz w:val="20"/>
                <w:szCs w:val="20"/>
                <w:color w:val="auto"/>
              </w:rPr>
            </w:pPr>
            <w:r>
              <w:rPr>
                <w:rFonts w:ascii="Times New Roman" w:cs="Times New Roman" w:eastAsia="Times New Roman" w:hAnsi="Times New Roman"/>
                <w:sz w:val="12"/>
                <w:szCs w:val="12"/>
                <w:color w:val="auto"/>
              </w:rPr>
              <w:t>Credit risk capital requirement</w:t>
            </w:r>
          </w:p>
        </w:tc>
        <w:tc>
          <w:tcPr>
            <w:tcW w:w="124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5"/>
              </w:rPr>
              <w:t>1,179,310</w:t>
            </w:r>
          </w:p>
        </w:tc>
        <w:tc>
          <w:tcPr>
            <w:tcW w:w="124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5"/>
              </w:rPr>
              <w:t>1,322,131</w:t>
            </w:r>
          </w:p>
        </w:tc>
        <w:tc>
          <w:tcPr>
            <w:tcW w:w="1240" w:type="dxa"/>
            <w:vAlign w:val="bottom"/>
            <w:tcBorders>
              <w:right w:val="single" w:sz="8" w:color="auto"/>
            </w:tcBorders>
          </w:tcPr>
          <w:p>
            <w:pPr>
              <w:jc w:val="center"/>
              <w:spacing w:after="0" w:line="127" w:lineRule="exact"/>
              <w:rPr>
                <w:sz w:val="20"/>
                <w:szCs w:val="20"/>
                <w:color w:val="auto"/>
              </w:rPr>
            </w:pPr>
            <w:r>
              <w:rPr>
                <w:rFonts w:ascii="Times New Roman" w:cs="Times New Roman" w:eastAsia="Times New Roman" w:hAnsi="Times New Roman"/>
                <w:sz w:val="12"/>
                <w:szCs w:val="12"/>
                <w:color w:val="auto"/>
                <w:w w:val="95"/>
              </w:rPr>
              <w:t>1,367,476</w:t>
            </w:r>
          </w:p>
        </w:tc>
        <w:tc>
          <w:tcPr>
            <w:tcW w:w="100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5"/>
              </w:rPr>
              <w:t>3.4%</w:t>
            </w:r>
          </w:p>
        </w:tc>
        <w:tc>
          <w:tcPr>
            <w:tcW w:w="1020" w:type="dxa"/>
            <w:vAlign w:val="bottom"/>
            <w:tcBorders>
              <w:right w:val="single" w:sz="8" w:color="auto"/>
            </w:tcBorders>
          </w:tcPr>
          <w:p>
            <w:pPr>
              <w:jc w:val="center"/>
              <w:spacing w:after="0" w:line="127" w:lineRule="exact"/>
              <w:rPr>
                <w:sz w:val="20"/>
                <w:szCs w:val="20"/>
                <w:color w:val="auto"/>
              </w:rPr>
            </w:pPr>
            <w:r>
              <w:rPr>
                <w:rFonts w:ascii="Times New Roman" w:cs="Times New Roman" w:eastAsia="Times New Roman" w:hAnsi="Times New Roman"/>
                <w:sz w:val="12"/>
                <w:szCs w:val="12"/>
                <w:color w:val="auto"/>
                <w:w w:val="96"/>
              </w:rPr>
              <w:t>16.0%</w:t>
            </w:r>
          </w:p>
        </w:tc>
      </w:tr>
      <w:tr>
        <w:trPr>
          <w:trHeight w:val="127"/>
        </w:trPr>
        <w:tc>
          <w:tcPr>
            <w:tcW w:w="5520" w:type="dxa"/>
            <w:vAlign w:val="bottom"/>
            <w:tcBorders>
              <w:left w:val="single" w:sz="8" w:color="auto"/>
              <w:right w:val="single" w:sz="8" w:color="auto"/>
            </w:tcBorders>
          </w:tcPr>
          <w:p>
            <w:pPr>
              <w:ind w:left="140"/>
              <w:spacing w:after="0" w:line="127" w:lineRule="exact"/>
              <w:rPr>
                <w:sz w:val="20"/>
                <w:szCs w:val="20"/>
                <w:color w:val="auto"/>
              </w:rPr>
            </w:pPr>
            <w:r>
              <w:rPr>
                <w:rFonts w:ascii="Times New Roman" w:cs="Times New Roman" w:eastAsia="Times New Roman" w:hAnsi="Times New Roman"/>
                <w:sz w:val="12"/>
                <w:szCs w:val="12"/>
                <w:color w:val="auto"/>
              </w:rPr>
              <w:t>Operational risk capital requirement</w:t>
            </w:r>
          </w:p>
        </w:tc>
        <w:tc>
          <w:tcPr>
            <w:tcW w:w="124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7"/>
              </w:rPr>
              <w:t>162,326</w:t>
            </w:r>
          </w:p>
        </w:tc>
        <w:tc>
          <w:tcPr>
            <w:tcW w:w="124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rPr>
              <w:t>92,890</w:t>
            </w:r>
          </w:p>
        </w:tc>
        <w:tc>
          <w:tcPr>
            <w:tcW w:w="1240" w:type="dxa"/>
            <w:vAlign w:val="bottom"/>
            <w:tcBorders>
              <w:right w:val="single" w:sz="8" w:color="auto"/>
            </w:tcBorders>
          </w:tcPr>
          <w:p>
            <w:pPr>
              <w:jc w:val="center"/>
              <w:spacing w:after="0" w:line="127" w:lineRule="exact"/>
              <w:rPr>
                <w:sz w:val="20"/>
                <w:szCs w:val="20"/>
                <w:color w:val="auto"/>
              </w:rPr>
            </w:pPr>
            <w:r>
              <w:rPr>
                <w:rFonts w:ascii="Times New Roman" w:cs="Times New Roman" w:eastAsia="Times New Roman" w:hAnsi="Times New Roman"/>
                <w:sz w:val="12"/>
                <w:szCs w:val="12"/>
                <w:color w:val="auto"/>
              </w:rPr>
              <w:t>94,016</w:t>
            </w:r>
          </w:p>
        </w:tc>
        <w:tc>
          <w:tcPr>
            <w:tcW w:w="100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5"/>
              </w:rPr>
              <w:t>1.2%</w:t>
            </w:r>
          </w:p>
        </w:tc>
        <w:tc>
          <w:tcPr>
            <w:tcW w:w="1020" w:type="dxa"/>
            <w:vAlign w:val="bottom"/>
            <w:tcBorders>
              <w:right w:val="single" w:sz="8" w:color="auto"/>
            </w:tcBorders>
          </w:tcPr>
          <w:p>
            <w:pPr>
              <w:jc w:val="center"/>
              <w:spacing w:after="0" w:line="127" w:lineRule="exact"/>
              <w:rPr>
                <w:sz w:val="20"/>
                <w:szCs w:val="20"/>
                <w:color w:val="auto"/>
              </w:rPr>
            </w:pPr>
            <w:r>
              <w:rPr>
                <w:rFonts w:ascii="Times New Roman" w:cs="Times New Roman" w:eastAsia="Times New Roman" w:hAnsi="Times New Roman"/>
                <w:sz w:val="12"/>
                <w:szCs w:val="12"/>
                <w:color w:val="auto"/>
                <w:w w:val="97"/>
              </w:rPr>
              <w:t>-42.1%</w:t>
            </w:r>
          </w:p>
        </w:tc>
      </w:tr>
      <w:tr>
        <w:trPr>
          <w:trHeight w:val="143"/>
        </w:trPr>
        <w:tc>
          <w:tcPr>
            <w:tcW w:w="552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2"/>
                <w:szCs w:val="12"/>
                <w:color w:val="auto"/>
              </w:rPr>
              <w:t>Additional capital requirements</w:t>
            </w: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176,897</w:t>
            </w: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198,320</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205,121</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5"/>
              </w:rPr>
              <w:t>3.4%</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6"/>
              </w:rPr>
              <w:t>16.0%</w:t>
            </w:r>
          </w:p>
        </w:tc>
      </w:tr>
      <w:tr>
        <w:trPr>
          <w:trHeight w:val="120"/>
        </w:trPr>
        <w:tc>
          <w:tcPr>
            <w:tcW w:w="5520" w:type="dxa"/>
            <w:vAlign w:val="bottom"/>
            <w:tcBorders>
              <w:left w:val="single" w:sz="8" w:color="auto"/>
              <w:bottom w:val="single" w:sz="8" w:color="auto"/>
              <w:right w:val="single" w:sz="8" w:color="auto"/>
            </w:tcBorders>
          </w:tcPr>
          <w:p>
            <w:pPr>
              <w:ind w:left="40"/>
              <w:spacing w:after="0" w:line="120" w:lineRule="exact"/>
              <w:rPr>
                <w:sz w:val="20"/>
                <w:szCs w:val="20"/>
                <w:color w:val="auto"/>
              </w:rPr>
            </w:pPr>
            <w:r>
              <w:rPr>
                <w:rFonts w:ascii="Times New Roman" w:cs="Times New Roman" w:eastAsia="Times New Roman" w:hAnsi="Times New Roman"/>
                <w:sz w:val="12"/>
                <w:szCs w:val="12"/>
                <w:b w:val="1"/>
                <w:bCs w:val="1"/>
                <w:color w:val="auto"/>
              </w:rPr>
              <w:t>Total</w:t>
            </w:r>
          </w:p>
        </w:tc>
        <w:tc>
          <w:tcPr>
            <w:tcW w:w="1240" w:type="dxa"/>
            <w:vAlign w:val="bottom"/>
            <w:tcBorders>
              <w:bottom w:val="single" w:sz="8" w:color="auto"/>
            </w:tcBorders>
          </w:tcPr>
          <w:p>
            <w:pPr>
              <w:jc w:val="center"/>
              <w:spacing w:after="0" w:line="120" w:lineRule="exact"/>
              <w:rPr>
                <w:sz w:val="20"/>
                <w:szCs w:val="20"/>
                <w:color w:val="auto"/>
              </w:rPr>
            </w:pPr>
            <w:r>
              <w:rPr>
                <w:rFonts w:ascii="Times New Roman" w:cs="Times New Roman" w:eastAsia="Times New Roman" w:hAnsi="Times New Roman"/>
                <w:sz w:val="12"/>
                <w:szCs w:val="12"/>
                <w:b w:val="1"/>
                <w:bCs w:val="1"/>
                <w:color w:val="auto"/>
                <w:w w:val="95"/>
              </w:rPr>
              <w:t>1,541,083</w:t>
            </w:r>
          </w:p>
        </w:tc>
        <w:tc>
          <w:tcPr>
            <w:tcW w:w="1240" w:type="dxa"/>
            <w:vAlign w:val="bottom"/>
            <w:tcBorders>
              <w:bottom w:val="single" w:sz="8" w:color="auto"/>
            </w:tcBorders>
          </w:tcPr>
          <w:p>
            <w:pPr>
              <w:jc w:val="center"/>
              <w:spacing w:after="0" w:line="120" w:lineRule="exact"/>
              <w:rPr>
                <w:sz w:val="20"/>
                <w:szCs w:val="20"/>
                <w:color w:val="auto"/>
              </w:rPr>
            </w:pPr>
            <w:r>
              <w:rPr>
                <w:rFonts w:ascii="Times New Roman" w:cs="Times New Roman" w:eastAsia="Times New Roman" w:hAnsi="Times New Roman"/>
                <w:sz w:val="12"/>
                <w:szCs w:val="12"/>
                <w:b w:val="1"/>
                <w:bCs w:val="1"/>
                <w:color w:val="auto"/>
                <w:w w:val="95"/>
              </w:rPr>
              <w:t>1,629,077</w:t>
            </w:r>
          </w:p>
        </w:tc>
        <w:tc>
          <w:tcPr>
            <w:tcW w:w="1240" w:type="dxa"/>
            <w:vAlign w:val="bottom"/>
            <w:tcBorders>
              <w:bottom w:val="single" w:sz="8" w:color="auto"/>
              <w:right w:val="single" w:sz="8" w:color="auto"/>
            </w:tcBorders>
          </w:tcPr>
          <w:p>
            <w:pPr>
              <w:jc w:val="center"/>
              <w:spacing w:after="0" w:line="120" w:lineRule="exact"/>
              <w:rPr>
                <w:sz w:val="20"/>
                <w:szCs w:val="20"/>
                <w:color w:val="auto"/>
              </w:rPr>
            </w:pPr>
            <w:r>
              <w:rPr>
                <w:rFonts w:ascii="Times New Roman" w:cs="Times New Roman" w:eastAsia="Times New Roman" w:hAnsi="Times New Roman"/>
                <w:sz w:val="12"/>
                <w:szCs w:val="12"/>
                <w:b w:val="1"/>
                <w:bCs w:val="1"/>
                <w:color w:val="auto"/>
                <w:w w:val="95"/>
              </w:rPr>
              <w:t>1,682,764</w:t>
            </w:r>
          </w:p>
        </w:tc>
        <w:tc>
          <w:tcPr>
            <w:tcW w:w="1000" w:type="dxa"/>
            <w:vAlign w:val="bottom"/>
            <w:tcBorders>
              <w:bottom w:val="single" w:sz="8" w:color="auto"/>
            </w:tcBorders>
          </w:tcPr>
          <w:p>
            <w:pPr>
              <w:jc w:val="center"/>
              <w:spacing w:after="0" w:line="120" w:lineRule="exact"/>
              <w:rPr>
                <w:sz w:val="20"/>
                <w:szCs w:val="20"/>
                <w:color w:val="auto"/>
              </w:rPr>
            </w:pPr>
            <w:r>
              <w:rPr>
                <w:rFonts w:ascii="Times New Roman" w:cs="Times New Roman" w:eastAsia="Times New Roman" w:hAnsi="Times New Roman"/>
                <w:sz w:val="12"/>
                <w:szCs w:val="12"/>
                <w:b w:val="1"/>
                <w:bCs w:val="1"/>
                <w:color w:val="auto"/>
                <w:w w:val="96"/>
              </w:rPr>
              <w:t>3.3%</w:t>
            </w:r>
          </w:p>
        </w:tc>
        <w:tc>
          <w:tcPr>
            <w:tcW w:w="1020" w:type="dxa"/>
            <w:vAlign w:val="bottom"/>
            <w:tcBorders>
              <w:bottom w:val="single" w:sz="8" w:color="auto"/>
              <w:right w:val="single" w:sz="8" w:color="auto"/>
            </w:tcBorders>
          </w:tcPr>
          <w:p>
            <w:pPr>
              <w:jc w:val="center"/>
              <w:spacing w:after="0" w:line="120" w:lineRule="exact"/>
              <w:rPr>
                <w:sz w:val="20"/>
                <w:szCs w:val="20"/>
                <w:color w:val="auto"/>
              </w:rPr>
            </w:pPr>
            <w:r>
              <w:rPr>
                <w:rFonts w:ascii="Times New Roman" w:cs="Times New Roman" w:eastAsia="Times New Roman" w:hAnsi="Times New Roman"/>
                <w:sz w:val="12"/>
                <w:szCs w:val="12"/>
                <w:b w:val="1"/>
                <w:bCs w:val="1"/>
                <w:color w:val="auto"/>
                <w:w w:val="96"/>
              </w:rPr>
              <w:t>9.2%</w:t>
            </w:r>
          </w:p>
        </w:tc>
      </w:tr>
    </w:tbl>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Capital Ratios under Local Regulation</w:t>
      </w:r>
    </w:p>
    <w:p>
      <w:pPr>
        <w:spacing w:after="0" w:line="211" w:lineRule="exact"/>
        <w:rPr>
          <w:sz w:val="20"/>
          <w:szCs w:val="20"/>
          <w:color w:val="auto"/>
        </w:rPr>
      </w:pPr>
    </w:p>
    <w:tbl>
      <w:tblPr>
        <w:tblLayout w:type="fixed"/>
        <w:tblInd w:w="590" w:type="dxa"/>
        <w:tblCellMar>
          <w:top w:w="0" w:type="dxa"/>
          <w:left w:w="0" w:type="dxa"/>
          <w:bottom w:w="0" w:type="dxa"/>
          <w:right w:w="0" w:type="dxa"/>
        </w:tblCellMar>
      </w:tblPr>
      <w:tr>
        <w:trPr>
          <w:trHeight w:val="122"/>
        </w:trPr>
        <w:tc>
          <w:tcPr>
            <w:tcW w:w="4680" w:type="dxa"/>
            <w:vAlign w:val="bottom"/>
            <w:tcBorders>
              <w:top w:val="single" w:sz="8" w:color="auto"/>
              <w:left w:val="single" w:sz="8" w:color="auto"/>
              <w:right w:val="single" w:sz="8" w:color="auto"/>
            </w:tcBorders>
            <w:vMerge w:val="restart"/>
            <w:shd w:val="clear" w:color="auto" w:fill="2AD2C9"/>
          </w:tcPr>
          <w:p>
            <w:pPr>
              <w:ind w:left="40"/>
              <w:spacing w:after="0"/>
              <w:rPr>
                <w:sz w:val="20"/>
                <w:szCs w:val="20"/>
                <w:color w:val="auto"/>
              </w:rPr>
            </w:pPr>
            <w:r>
              <w:rPr>
                <w:rFonts w:ascii="Times New Roman" w:cs="Times New Roman" w:eastAsia="Times New Roman" w:hAnsi="Times New Roman"/>
                <w:sz w:val="12"/>
                <w:szCs w:val="12"/>
                <w:b w:val="1"/>
                <w:bCs w:val="1"/>
                <w:color w:val="FFFFFF"/>
              </w:rPr>
              <w:t>Capital ratios under Local Regulation</w:t>
            </w:r>
          </w:p>
        </w:tc>
        <w:tc>
          <w:tcPr>
            <w:tcW w:w="1080" w:type="dxa"/>
            <w:vAlign w:val="bottom"/>
            <w:tcBorders>
              <w:top w:val="single" w:sz="8" w:color="auto"/>
            </w:tcBorders>
            <w:shd w:val="clear" w:color="auto" w:fill="2AD2C9"/>
          </w:tcPr>
          <w:p>
            <w:pPr>
              <w:spacing w:after="0"/>
              <w:rPr>
                <w:sz w:val="10"/>
                <w:szCs w:val="10"/>
                <w:color w:val="auto"/>
              </w:rPr>
            </w:pPr>
          </w:p>
        </w:tc>
        <w:tc>
          <w:tcPr>
            <w:tcW w:w="1120" w:type="dxa"/>
            <w:vAlign w:val="bottom"/>
            <w:tcBorders>
              <w:top w:val="single" w:sz="8" w:color="auto"/>
            </w:tcBorders>
            <w:shd w:val="clear" w:color="auto" w:fill="2AD2C9"/>
          </w:tcPr>
          <w:p>
            <w:pPr>
              <w:jc w:val="center"/>
              <w:spacing w:after="0" w:line="122" w:lineRule="exact"/>
              <w:rPr>
                <w:sz w:val="20"/>
                <w:szCs w:val="20"/>
                <w:color w:val="auto"/>
              </w:rPr>
            </w:pPr>
            <w:r>
              <w:rPr>
                <w:rFonts w:ascii="Times New Roman" w:cs="Times New Roman" w:eastAsia="Times New Roman" w:hAnsi="Times New Roman"/>
                <w:sz w:val="12"/>
                <w:szCs w:val="12"/>
                <w:b w:val="1"/>
                <w:bCs w:val="1"/>
                <w:color w:val="FFFFFF"/>
                <w:w w:val="98"/>
              </w:rPr>
              <w:t>As of</w:t>
            </w:r>
          </w:p>
        </w:tc>
        <w:tc>
          <w:tcPr>
            <w:tcW w:w="1120" w:type="dxa"/>
            <w:vAlign w:val="bottom"/>
            <w:tcBorders>
              <w:top w:val="single" w:sz="8" w:color="auto"/>
              <w:right w:val="single" w:sz="8" w:color="auto"/>
            </w:tcBorders>
            <w:shd w:val="clear" w:color="auto" w:fill="2AD2C9"/>
          </w:tcPr>
          <w:p>
            <w:pPr>
              <w:spacing w:after="0"/>
              <w:rPr>
                <w:sz w:val="10"/>
                <w:szCs w:val="10"/>
                <w:color w:val="auto"/>
              </w:rPr>
            </w:pPr>
          </w:p>
        </w:tc>
        <w:tc>
          <w:tcPr>
            <w:tcW w:w="760" w:type="dxa"/>
            <w:vAlign w:val="bottom"/>
            <w:tcBorders>
              <w:top w:val="single" w:sz="8" w:color="auto"/>
            </w:tcBorders>
            <w:shd w:val="clear" w:color="auto" w:fill="2AD2C9"/>
          </w:tcPr>
          <w:p>
            <w:pPr>
              <w:spacing w:after="0"/>
              <w:rPr>
                <w:sz w:val="10"/>
                <w:szCs w:val="10"/>
                <w:color w:val="auto"/>
              </w:rPr>
            </w:pPr>
          </w:p>
        </w:tc>
        <w:tc>
          <w:tcPr>
            <w:tcW w:w="1360" w:type="dxa"/>
            <w:vAlign w:val="bottom"/>
            <w:tcBorders>
              <w:top w:val="single" w:sz="8" w:color="auto"/>
              <w:right w:val="single" w:sz="8" w:color="auto"/>
            </w:tcBorders>
            <w:shd w:val="clear" w:color="auto" w:fill="2AD2C9"/>
          </w:tcPr>
          <w:p>
            <w:pPr>
              <w:ind w:left="40"/>
              <w:spacing w:after="0" w:line="122" w:lineRule="exact"/>
              <w:rPr>
                <w:sz w:val="20"/>
                <w:szCs w:val="20"/>
                <w:color w:val="auto"/>
              </w:rPr>
            </w:pPr>
            <w:r>
              <w:rPr>
                <w:rFonts w:ascii="Times New Roman" w:cs="Times New Roman" w:eastAsia="Times New Roman" w:hAnsi="Times New Roman"/>
                <w:sz w:val="12"/>
                <w:szCs w:val="12"/>
                <w:b w:val="1"/>
                <w:bCs w:val="1"/>
                <w:color w:val="FFFFFF"/>
              </w:rPr>
              <w:t>% change</w:t>
            </w:r>
          </w:p>
        </w:tc>
        <w:tc>
          <w:tcPr>
            <w:tcW w:w="0" w:type="dxa"/>
            <w:vAlign w:val="bottom"/>
          </w:tcPr>
          <w:p>
            <w:pPr>
              <w:spacing w:after="0"/>
              <w:rPr>
                <w:sz w:val="1"/>
                <w:szCs w:val="1"/>
                <w:color w:val="auto"/>
              </w:rPr>
            </w:pPr>
          </w:p>
        </w:tc>
      </w:tr>
      <w:tr>
        <w:trPr>
          <w:trHeight w:val="145"/>
        </w:trPr>
        <w:tc>
          <w:tcPr>
            <w:tcW w:w="4680" w:type="dxa"/>
            <w:vAlign w:val="bottom"/>
            <w:tcBorders>
              <w:left w:val="single" w:sz="8" w:color="auto"/>
              <w:bottom w:val="single" w:sz="8" w:color="2AD2C9"/>
              <w:right w:val="single" w:sz="8" w:color="auto"/>
            </w:tcBorders>
            <w:vMerge w:val="continue"/>
            <w:shd w:val="clear" w:color="auto" w:fill="2AD2C9"/>
          </w:tcPr>
          <w:p>
            <w:pPr>
              <w:spacing w:after="0"/>
              <w:rPr>
                <w:sz w:val="12"/>
                <w:szCs w:val="12"/>
                <w:color w:val="auto"/>
              </w:rPr>
            </w:pPr>
          </w:p>
        </w:tc>
        <w:tc>
          <w:tcPr>
            <w:tcW w:w="1080" w:type="dxa"/>
            <w:vAlign w:val="bottom"/>
            <w:tcBorders>
              <w:bottom w:val="single" w:sz="8" w:color="2AD2C9"/>
            </w:tcBorders>
            <w:shd w:val="clear" w:color="auto" w:fill="2AD2C9"/>
          </w:tcPr>
          <w:p>
            <w:pPr>
              <w:ind w:left="340"/>
              <w:spacing w:after="0"/>
              <w:rPr>
                <w:sz w:val="20"/>
                <w:szCs w:val="20"/>
                <w:color w:val="auto"/>
              </w:rPr>
            </w:pPr>
            <w:r>
              <w:rPr>
                <w:rFonts w:ascii="Times New Roman" w:cs="Times New Roman" w:eastAsia="Times New Roman" w:hAnsi="Times New Roman"/>
                <w:sz w:val="12"/>
                <w:szCs w:val="12"/>
                <w:b w:val="1"/>
                <w:bCs w:val="1"/>
                <w:color w:val="FFFFFF"/>
              </w:rPr>
              <w:t>Mar 25</w:t>
            </w:r>
          </w:p>
        </w:tc>
        <w:tc>
          <w:tcPr>
            <w:tcW w:w="1120" w:type="dxa"/>
            <w:vAlign w:val="bottom"/>
            <w:tcBorders>
              <w:bottom w:val="single" w:sz="8" w:color="2AD2C9"/>
            </w:tcBorders>
            <w:shd w:val="clear" w:color="auto" w:fill="2AD2C9"/>
          </w:tcPr>
          <w:p>
            <w:pPr>
              <w:jc w:val="center"/>
              <w:spacing w:after="0"/>
              <w:rPr>
                <w:sz w:val="20"/>
                <w:szCs w:val="20"/>
                <w:color w:val="auto"/>
              </w:rPr>
            </w:pPr>
            <w:r>
              <w:rPr>
                <w:rFonts w:ascii="Times New Roman" w:cs="Times New Roman" w:eastAsia="Times New Roman" w:hAnsi="Times New Roman"/>
                <w:sz w:val="12"/>
                <w:szCs w:val="12"/>
                <w:b w:val="1"/>
                <w:bCs w:val="1"/>
                <w:color w:val="FFFFFF"/>
                <w:w w:val="93"/>
              </w:rPr>
              <w:t>Dec 25</w:t>
            </w:r>
          </w:p>
        </w:tc>
        <w:tc>
          <w:tcPr>
            <w:tcW w:w="1120" w:type="dxa"/>
            <w:vAlign w:val="bottom"/>
            <w:tcBorders>
              <w:bottom w:val="single" w:sz="8" w:color="2AD2C9"/>
              <w:right w:val="single" w:sz="8" w:color="auto"/>
            </w:tcBorders>
            <w:shd w:val="clear" w:color="auto" w:fill="2AD2C9"/>
          </w:tcPr>
          <w:p>
            <w:pPr>
              <w:ind w:left="360"/>
              <w:spacing w:after="0"/>
              <w:rPr>
                <w:sz w:val="20"/>
                <w:szCs w:val="20"/>
                <w:color w:val="auto"/>
              </w:rPr>
            </w:pPr>
            <w:r>
              <w:rPr>
                <w:rFonts w:ascii="Times New Roman" w:cs="Times New Roman" w:eastAsia="Times New Roman" w:hAnsi="Times New Roman"/>
                <w:sz w:val="12"/>
                <w:szCs w:val="12"/>
                <w:b w:val="1"/>
                <w:bCs w:val="1"/>
                <w:color w:val="FFFFFF"/>
              </w:rPr>
              <w:t>Mar 26</w:t>
            </w:r>
          </w:p>
        </w:tc>
        <w:tc>
          <w:tcPr>
            <w:tcW w:w="760" w:type="dxa"/>
            <w:vAlign w:val="bottom"/>
            <w:tcBorders>
              <w:bottom w:val="single" w:sz="8" w:color="2AD2C9"/>
            </w:tcBorders>
            <w:shd w:val="clear" w:color="auto" w:fill="2AD2C9"/>
          </w:tcPr>
          <w:p>
            <w:pPr>
              <w:jc w:val="center"/>
              <w:ind w:left="262"/>
              <w:spacing w:after="0"/>
              <w:rPr>
                <w:sz w:val="20"/>
                <w:szCs w:val="20"/>
                <w:color w:val="auto"/>
              </w:rPr>
            </w:pPr>
            <w:r>
              <w:rPr>
                <w:rFonts w:ascii="Times New Roman" w:cs="Times New Roman" w:eastAsia="Times New Roman" w:hAnsi="Times New Roman"/>
                <w:sz w:val="12"/>
                <w:szCs w:val="12"/>
                <w:b w:val="1"/>
                <w:bCs w:val="1"/>
                <w:color w:val="FFFFFF"/>
                <w:w w:val="97"/>
              </w:rPr>
              <w:t>QoQ</w:t>
            </w:r>
          </w:p>
        </w:tc>
        <w:tc>
          <w:tcPr>
            <w:tcW w:w="1360" w:type="dxa"/>
            <w:vAlign w:val="bottom"/>
            <w:tcBorders>
              <w:bottom w:val="single" w:sz="8" w:color="2AD2C9"/>
              <w:right w:val="single" w:sz="8" w:color="auto"/>
            </w:tcBorders>
            <w:shd w:val="clear" w:color="auto" w:fill="2AD2C9"/>
          </w:tcPr>
          <w:p>
            <w:pPr>
              <w:jc w:val="center"/>
              <w:ind w:left="242"/>
              <w:spacing w:after="0"/>
              <w:rPr>
                <w:sz w:val="20"/>
                <w:szCs w:val="20"/>
                <w:color w:val="auto"/>
              </w:rPr>
            </w:pPr>
            <w:r>
              <w:rPr>
                <w:rFonts w:ascii="Times New Roman" w:cs="Times New Roman" w:eastAsia="Times New Roman" w:hAnsi="Times New Roman"/>
                <w:sz w:val="12"/>
                <w:szCs w:val="12"/>
                <w:b w:val="1"/>
                <w:bCs w:val="1"/>
                <w:color w:val="FFFFFF"/>
                <w:w w:val="94"/>
              </w:rPr>
              <w:t>YoY</w:t>
            </w:r>
          </w:p>
        </w:tc>
        <w:tc>
          <w:tcPr>
            <w:tcW w:w="0" w:type="dxa"/>
            <w:vAlign w:val="bottom"/>
          </w:tcPr>
          <w:p>
            <w:pPr>
              <w:spacing w:after="0"/>
              <w:rPr>
                <w:sz w:val="1"/>
                <w:szCs w:val="1"/>
                <w:color w:val="auto"/>
              </w:rPr>
            </w:pPr>
          </w:p>
        </w:tc>
      </w:tr>
      <w:tr>
        <w:trPr>
          <w:trHeight w:val="102"/>
        </w:trPr>
        <w:tc>
          <w:tcPr>
            <w:tcW w:w="4680" w:type="dxa"/>
            <w:vAlign w:val="bottom"/>
            <w:tcBorders>
              <w:top w:val="single" w:sz="8" w:color="auto"/>
              <w:left w:val="single" w:sz="8" w:color="auto"/>
              <w:right w:val="single" w:sz="8" w:color="auto"/>
            </w:tcBorders>
          </w:tcPr>
          <w:p>
            <w:pPr>
              <w:ind w:left="40"/>
              <w:spacing w:after="0" w:line="102" w:lineRule="exact"/>
              <w:rPr>
                <w:sz w:val="20"/>
                <w:szCs w:val="20"/>
                <w:color w:val="auto"/>
              </w:rPr>
            </w:pPr>
            <w:r>
              <w:rPr>
                <w:rFonts w:ascii="Times New Roman" w:cs="Times New Roman" w:eastAsia="Times New Roman" w:hAnsi="Times New Roman"/>
                <w:sz w:val="11"/>
                <w:szCs w:val="11"/>
                <w:b w:val="1"/>
                <w:bCs w:val="1"/>
                <w:color w:val="auto"/>
              </w:rPr>
              <w:t>Common Equity Tier 1 Ratio</w:t>
            </w:r>
          </w:p>
        </w:tc>
        <w:tc>
          <w:tcPr>
            <w:tcW w:w="1080" w:type="dxa"/>
            <w:vAlign w:val="bottom"/>
            <w:tcBorders>
              <w:top w:val="single" w:sz="8" w:color="auto"/>
            </w:tcBorders>
          </w:tcPr>
          <w:p>
            <w:pPr>
              <w:ind w:left="340"/>
              <w:spacing w:after="0" w:line="102" w:lineRule="exact"/>
              <w:rPr>
                <w:sz w:val="20"/>
                <w:szCs w:val="20"/>
                <w:color w:val="auto"/>
              </w:rPr>
            </w:pPr>
            <w:r>
              <w:rPr>
                <w:rFonts w:ascii="Times New Roman" w:cs="Times New Roman" w:eastAsia="Times New Roman" w:hAnsi="Times New Roman"/>
                <w:sz w:val="11"/>
                <w:szCs w:val="11"/>
                <w:color w:val="auto"/>
              </w:rPr>
              <w:t>15.48%</w:t>
            </w:r>
          </w:p>
        </w:tc>
        <w:tc>
          <w:tcPr>
            <w:tcW w:w="1120" w:type="dxa"/>
            <w:vAlign w:val="bottom"/>
            <w:tcBorders>
              <w:top w:val="single" w:sz="8" w:color="auto"/>
            </w:tcBorders>
          </w:tcPr>
          <w:p>
            <w:pPr>
              <w:jc w:val="center"/>
              <w:spacing w:after="0" w:line="102" w:lineRule="exact"/>
              <w:rPr>
                <w:sz w:val="20"/>
                <w:szCs w:val="20"/>
                <w:color w:val="auto"/>
              </w:rPr>
            </w:pPr>
            <w:r>
              <w:rPr>
                <w:rFonts w:ascii="Times New Roman" w:cs="Times New Roman" w:eastAsia="Times New Roman" w:hAnsi="Times New Roman"/>
                <w:sz w:val="11"/>
                <w:szCs w:val="11"/>
                <w:color w:val="auto"/>
              </w:rPr>
              <w:t>17.41%</w:t>
            </w:r>
          </w:p>
        </w:tc>
        <w:tc>
          <w:tcPr>
            <w:tcW w:w="1120" w:type="dxa"/>
            <w:vAlign w:val="bottom"/>
            <w:tcBorders>
              <w:top w:val="single" w:sz="8" w:color="auto"/>
              <w:right w:val="single" w:sz="8" w:color="auto"/>
            </w:tcBorders>
          </w:tcPr>
          <w:p>
            <w:pPr>
              <w:ind w:left="360"/>
              <w:spacing w:after="0" w:line="102" w:lineRule="exact"/>
              <w:rPr>
                <w:sz w:val="20"/>
                <w:szCs w:val="20"/>
                <w:color w:val="auto"/>
              </w:rPr>
            </w:pPr>
            <w:r>
              <w:rPr>
                <w:rFonts w:ascii="Times New Roman" w:cs="Times New Roman" w:eastAsia="Times New Roman" w:hAnsi="Times New Roman"/>
                <w:sz w:val="11"/>
                <w:szCs w:val="11"/>
                <w:color w:val="auto"/>
              </w:rPr>
              <w:t>15.87%</w:t>
            </w:r>
          </w:p>
        </w:tc>
        <w:tc>
          <w:tcPr>
            <w:tcW w:w="760" w:type="dxa"/>
            <w:vAlign w:val="bottom"/>
            <w:tcBorders>
              <w:top w:val="single" w:sz="8" w:color="auto"/>
            </w:tcBorders>
          </w:tcPr>
          <w:p>
            <w:pPr>
              <w:jc w:val="center"/>
              <w:ind w:left="262"/>
              <w:spacing w:after="0" w:line="102" w:lineRule="exact"/>
              <w:rPr>
                <w:sz w:val="20"/>
                <w:szCs w:val="20"/>
                <w:color w:val="auto"/>
              </w:rPr>
            </w:pPr>
            <w:r>
              <w:rPr>
                <w:rFonts w:ascii="Times New Roman" w:cs="Times New Roman" w:eastAsia="Times New Roman" w:hAnsi="Times New Roman"/>
                <w:sz w:val="11"/>
                <w:szCs w:val="11"/>
                <w:color w:val="auto"/>
              </w:rPr>
              <w:t>-154 bps</w:t>
            </w:r>
          </w:p>
        </w:tc>
        <w:tc>
          <w:tcPr>
            <w:tcW w:w="1360" w:type="dxa"/>
            <w:vAlign w:val="bottom"/>
            <w:tcBorders>
              <w:top w:val="single" w:sz="8" w:color="auto"/>
              <w:right w:val="single" w:sz="8" w:color="auto"/>
            </w:tcBorders>
          </w:tcPr>
          <w:p>
            <w:pPr>
              <w:jc w:val="center"/>
              <w:ind w:left="242"/>
              <w:spacing w:after="0" w:line="102" w:lineRule="exact"/>
              <w:rPr>
                <w:sz w:val="20"/>
                <w:szCs w:val="20"/>
                <w:color w:val="auto"/>
              </w:rPr>
            </w:pPr>
            <w:r>
              <w:rPr>
                <w:rFonts w:ascii="Times New Roman" w:cs="Times New Roman" w:eastAsia="Times New Roman" w:hAnsi="Times New Roman"/>
                <w:sz w:val="11"/>
                <w:szCs w:val="11"/>
                <w:color w:val="auto"/>
              </w:rPr>
              <w:t>39 bps</w:t>
            </w:r>
          </w:p>
        </w:tc>
        <w:tc>
          <w:tcPr>
            <w:tcW w:w="0" w:type="dxa"/>
            <w:vAlign w:val="bottom"/>
          </w:tcPr>
          <w:p>
            <w:pPr>
              <w:spacing w:after="0"/>
              <w:rPr>
                <w:sz w:val="1"/>
                <w:szCs w:val="1"/>
                <w:color w:val="auto"/>
              </w:rPr>
            </w:pPr>
          </w:p>
        </w:tc>
      </w:tr>
      <w:tr>
        <w:trPr>
          <w:trHeight w:val="127"/>
        </w:trPr>
        <w:tc>
          <w:tcPr>
            <w:tcW w:w="4680" w:type="dxa"/>
            <w:vAlign w:val="bottom"/>
            <w:tcBorders>
              <w:left w:val="single" w:sz="8" w:color="auto"/>
              <w:right w:val="single" w:sz="8" w:color="auto"/>
            </w:tcBorders>
          </w:tcPr>
          <w:p>
            <w:pPr>
              <w:ind w:left="40"/>
              <w:spacing w:after="0" w:line="127" w:lineRule="exact"/>
              <w:rPr>
                <w:sz w:val="20"/>
                <w:szCs w:val="20"/>
                <w:color w:val="auto"/>
              </w:rPr>
            </w:pPr>
            <w:r>
              <w:rPr>
                <w:rFonts w:ascii="Times New Roman" w:cs="Times New Roman" w:eastAsia="Times New Roman" w:hAnsi="Times New Roman"/>
                <w:sz w:val="12"/>
                <w:szCs w:val="12"/>
                <w:b w:val="1"/>
                <w:bCs w:val="1"/>
                <w:color w:val="auto"/>
              </w:rPr>
              <w:t>Tier 1 Capital ratio</w:t>
            </w:r>
          </w:p>
        </w:tc>
        <w:tc>
          <w:tcPr>
            <w:tcW w:w="1080" w:type="dxa"/>
            <w:vAlign w:val="bottom"/>
          </w:tcPr>
          <w:p>
            <w:pPr>
              <w:ind w:left="340"/>
              <w:spacing w:after="0" w:line="127" w:lineRule="exact"/>
              <w:rPr>
                <w:sz w:val="20"/>
                <w:szCs w:val="20"/>
                <w:color w:val="auto"/>
              </w:rPr>
            </w:pPr>
            <w:r>
              <w:rPr>
                <w:rFonts w:ascii="Times New Roman" w:cs="Times New Roman" w:eastAsia="Times New Roman" w:hAnsi="Times New Roman"/>
                <w:sz w:val="12"/>
                <w:szCs w:val="12"/>
                <w:color w:val="auto"/>
              </w:rPr>
              <w:t>15.48%</w:t>
            </w:r>
          </w:p>
        </w:tc>
        <w:tc>
          <w:tcPr>
            <w:tcW w:w="112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7"/>
              </w:rPr>
              <w:t>17.41%</w:t>
            </w:r>
          </w:p>
        </w:tc>
        <w:tc>
          <w:tcPr>
            <w:tcW w:w="1120" w:type="dxa"/>
            <w:vAlign w:val="bottom"/>
            <w:tcBorders>
              <w:right w:val="single" w:sz="8" w:color="auto"/>
            </w:tcBorders>
          </w:tcPr>
          <w:p>
            <w:pPr>
              <w:ind w:left="360"/>
              <w:spacing w:after="0" w:line="127" w:lineRule="exact"/>
              <w:rPr>
                <w:sz w:val="20"/>
                <w:szCs w:val="20"/>
                <w:color w:val="auto"/>
              </w:rPr>
            </w:pPr>
            <w:r>
              <w:rPr>
                <w:rFonts w:ascii="Times New Roman" w:cs="Times New Roman" w:eastAsia="Times New Roman" w:hAnsi="Times New Roman"/>
                <w:sz w:val="12"/>
                <w:szCs w:val="12"/>
                <w:color w:val="auto"/>
              </w:rPr>
              <w:t>15.87%</w:t>
            </w:r>
          </w:p>
        </w:tc>
        <w:tc>
          <w:tcPr>
            <w:tcW w:w="760" w:type="dxa"/>
            <w:vAlign w:val="bottom"/>
          </w:tcPr>
          <w:p>
            <w:pPr>
              <w:jc w:val="center"/>
              <w:ind w:left="262"/>
              <w:spacing w:after="0" w:line="127" w:lineRule="exact"/>
              <w:rPr>
                <w:sz w:val="20"/>
                <w:szCs w:val="20"/>
                <w:color w:val="auto"/>
              </w:rPr>
            </w:pPr>
            <w:r>
              <w:rPr>
                <w:rFonts w:ascii="Times New Roman" w:cs="Times New Roman" w:eastAsia="Times New Roman" w:hAnsi="Times New Roman"/>
                <w:sz w:val="12"/>
                <w:szCs w:val="12"/>
                <w:color w:val="auto"/>
                <w:w w:val="95"/>
              </w:rPr>
              <w:t>-154 bps</w:t>
            </w:r>
          </w:p>
        </w:tc>
        <w:tc>
          <w:tcPr>
            <w:tcW w:w="1360" w:type="dxa"/>
            <w:vAlign w:val="bottom"/>
            <w:tcBorders>
              <w:right w:val="single" w:sz="8" w:color="auto"/>
            </w:tcBorders>
          </w:tcPr>
          <w:p>
            <w:pPr>
              <w:jc w:val="center"/>
              <w:ind w:left="242"/>
              <w:spacing w:after="0" w:line="127" w:lineRule="exact"/>
              <w:rPr>
                <w:sz w:val="20"/>
                <w:szCs w:val="20"/>
                <w:color w:val="auto"/>
              </w:rPr>
            </w:pPr>
            <w:r>
              <w:rPr>
                <w:rFonts w:ascii="Times New Roman" w:cs="Times New Roman" w:eastAsia="Times New Roman" w:hAnsi="Times New Roman"/>
                <w:sz w:val="12"/>
                <w:szCs w:val="12"/>
                <w:color w:val="auto"/>
                <w:w w:val="94"/>
              </w:rPr>
              <w:t>39 bps</w:t>
            </w:r>
          </w:p>
        </w:tc>
        <w:tc>
          <w:tcPr>
            <w:tcW w:w="0" w:type="dxa"/>
            <w:vAlign w:val="bottom"/>
          </w:tcPr>
          <w:p>
            <w:pPr>
              <w:spacing w:after="0"/>
              <w:rPr>
                <w:sz w:val="1"/>
                <w:szCs w:val="1"/>
                <w:color w:val="auto"/>
              </w:rPr>
            </w:pPr>
          </w:p>
        </w:tc>
      </w:tr>
      <w:tr>
        <w:trPr>
          <w:trHeight w:val="145"/>
        </w:trPr>
        <w:tc>
          <w:tcPr>
            <w:tcW w:w="46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Regulatory Global Capital Ratio</w:t>
            </w:r>
          </w:p>
        </w:tc>
        <w:tc>
          <w:tcPr>
            <w:tcW w:w="10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2"/>
                <w:szCs w:val="12"/>
                <w:color w:val="auto"/>
              </w:rPr>
              <w:t>18.53%</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21.25%</w:t>
            </w:r>
          </w:p>
        </w:tc>
        <w:tc>
          <w:tcPr>
            <w:tcW w:w="1120" w:type="dxa"/>
            <w:vAlign w:val="bottom"/>
            <w:tcBorders>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2"/>
                <w:szCs w:val="12"/>
                <w:color w:val="auto"/>
              </w:rPr>
              <w:t>20.31%</w:t>
            </w:r>
          </w:p>
        </w:tc>
        <w:tc>
          <w:tcPr>
            <w:tcW w:w="760" w:type="dxa"/>
            <w:vAlign w:val="bottom"/>
            <w:tcBorders>
              <w:bottom w:val="single" w:sz="8" w:color="auto"/>
            </w:tcBorders>
          </w:tcPr>
          <w:p>
            <w:pPr>
              <w:jc w:val="center"/>
              <w:ind w:left="262"/>
              <w:spacing w:after="0"/>
              <w:rPr>
                <w:sz w:val="20"/>
                <w:szCs w:val="20"/>
                <w:color w:val="auto"/>
              </w:rPr>
            </w:pPr>
            <w:r>
              <w:rPr>
                <w:rFonts w:ascii="Times New Roman" w:cs="Times New Roman" w:eastAsia="Times New Roman" w:hAnsi="Times New Roman"/>
                <w:sz w:val="12"/>
                <w:szCs w:val="12"/>
                <w:color w:val="auto"/>
              </w:rPr>
              <w:t>-94 bps</w:t>
            </w:r>
          </w:p>
        </w:tc>
        <w:tc>
          <w:tcPr>
            <w:tcW w:w="1360" w:type="dxa"/>
            <w:vAlign w:val="bottom"/>
            <w:tcBorders>
              <w:bottom w:val="single" w:sz="8" w:color="auto"/>
              <w:right w:val="single" w:sz="8" w:color="auto"/>
            </w:tcBorders>
          </w:tcPr>
          <w:p>
            <w:pPr>
              <w:jc w:val="center"/>
              <w:ind w:left="242"/>
              <w:spacing w:after="0"/>
              <w:rPr>
                <w:sz w:val="20"/>
                <w:szCs w:val="20"/>
                <w:color w:val="auto"/>
              </w:rPr>
            </w:pPr>
            <w:r>
              <w:rPr>
                <w:rFonts w:ascii="Times New Roman" w:cs="Times New Roman" w:eastAsia="Times New Roman" w:hAnsi="Times New Roman"/>
                <w:sz w:val="12"/>
                <w:szCs w:val="12"/>
                <w:color w:val="auto"/>
              </w:rPr>
              <w:t>178 bps</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380" w:hanging="160"/>
        <w:spacing w:after="0"/>
        <w:tabs>
          <w:tab w:leader="none" w:pos="138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Up to 1.25% of total risk-weighted assets.</w:t>
      </w:r>
    </w:p>
    <w:p>
      <w:pPr>
        <w:ind w:left="1220" w:right="1300"/>
        <w:spacing w:after="0" w:line="220" w:lineRule="auto"/>
        <w:tabs>
          <w:tab w:leader="none" w:pos="1388"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Common Equity Tier 1 = Capital Stock + Reserves + Accumulated earnings – Unrealized profits or losses - 100% deductions (investment in subsidiaries, goodwill, intangible assets and deferred tax assets based on future returns).</w:t>
      </w:r>
    </w:p>
    <w:p>
      <w:pPr>
        <w:ind w:left="1380" w:hanging="160"/>
        <w:spacing w:after="0" w:line="220" w:lineRule="auto"/>
        <w:tabs>
          <w:tab w:leader="none" w:pos="138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Regulatory Tier 1 Capital = Common Equity Tier 1 + Tier 1 Subordinated Debt (Perpetual).</w:t>
      </w:r>
    </w:p>
    <w:p>
      <w:pPr>
        <w:ind w:left="1380" w:hanging="160"/>
        <w:spacing w:after="0"/>
        <w:tabs>
          <w:tab w:leader="none" w:pos="138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Regulatory Tier 2 Capital = Subordinated Debt + Loan loss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1220470</wp:posOffset>
            </wp:positionV>
            <wp:extent cx="7140575" cy="1587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0575" cy="15875"/>
                    </a:xfrm>
                    <a:prstGeom prst="rect">
                      <a:avLst/>
                    </a:prstGeom>
                    <a:noFill/>
                  </pic:spPr>
                </pic:pic>
              </a:graphicData>
            </a:graphic>
          </wp:anchor>
        </w:drawing>
        <w:drawing>
          <wp:anchor simplePos="0" relativeHeight="251657728" behindDoc="1" locked="0" layoutInCell="0" allowOverlap="1">
            <wp:simplePos x="0" y="0"/>
            <wp:positionH relativeFrom="column">
              <wp:posOffset>363855</wp:posOffset>
            </wp:positionH>
            <wp:positionV relativeFrom="paragraph">
              <wp:posOffset>124460</wp:posOffset>
            </wp:positionV>
            <wp:extent cx="6447155" cy="79756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447155" cy="797560"/>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54" w:name="page55"/>
    <w:bookmarkEnd w:id="54"/>
    <w:p>
      <w:pPr>
        <w:ind w:left="3200"/>
        <w:spacing w:after="0"/>
        <w:tabs>
          <w:tab w:leader="none" w:pos="3380" w:val="left"/>
          <w:tab w:leader="none" w:pos="9060" w:val="left"/>
        </w:tabs>
        <w:rPr>
          <w:sz w:val="20"/>
          <w:szCs w:val="20"/>
          <w:color w:val="auto"/>
        </w:rPr>
      </w:pPr>
      <w:r>
        <w:rPr>
          <w:rFonts w:ascii="Times New Roman" w:cs="Times New Roman" w:eastAsia="Times New Roman" w:hAnsi="Times New Roman"/>
          <w:sz w:val="17"/>
          <w:szCs w:val="17"/>
          <w:color w:val="A6A6A6"/>
        </w:rPr>
        <w:drawing>
          <wp:anchor simplePos="0" relativeHeight="251657728" behindDoc="1" locked="0" layoutInCell="0" allowOverlap="1">
            <wp:simplePos x="0" y="0"/>
            <wp:positionH relativeFrom="page">
              <wp:posOffset>204470</wp:posOffset>
            </wp:positionH>
            <wp:positionV relativeFrom="page">
              <wp:posOffset>217805</wp:posOffset>
            </wp:positionV>
            <wp:extent cx="7140575" cy="69278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0575" cy="692785"/>
                    </a:xfrm>
                    <a:prstGeom prst="rect">
                      <a:avLst/>
                    </a:prstGeom>
                    <a:noFill/>
                  </pic:spPr>
                </pic:pic>
              </a:graphicData>
            </a:graphic>
          </wp:anchor>
        </w:drawing>
        <w:t>|</w:t>
      </w:r>
      <w:r>
        <w:rPr>
          <w:sz w:val="20"/>
          <w:szCs w:val="20"/>
          <w:color w:val="auto"/>
        </w:rPr>
        <w:tab/>
      </w:r>
      <w:r>
        <w:rPr>
          <w:rFonts w:ascii="Times New Roman" w:cs="Times New Roman" w:eastAsia="Times New Roman" w:hAnsi="Times New Roman"/>
          <w:sz w:val="14"/>
          <w:szCs w:val="14"/>
          <w:color w:val="FFFFFF"/>
        </w:rPr>
        <w:t>Earnings Release 1Q / 2026</w:t>
      </w:r>
      <w:r>
        <w:rPr>
          <w:sz w:val="20"/>
          <w:szCs w:val="20"/>
          <w:color w:val="auto"/>
        </w:rPr>
        <w:tab/>
      </w:r>
      <w:r>
        <w:rPr>
          <w:rFonts w:ascii="Times New Roman" w:cs="Times New Roman" w:eastAsia="Times New Roman" w:hAnsi="Times New Roman"/>
          <w:sz w:val="12"/>
          <w:szCs w:val="12"/>
          <w:color w:val="FF00FF"/>
        </w:rPr>
        <w:t>Analysis of 1Q26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297180</wp:posOffset>
            </wp:positionV>
            <wp:extent cx="7140575" cy="20955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0575" cy="20955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FFFFFF"/>
        </w:rPr>
        <w:t>12. Appendix</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Common Equity Tier 1 IFRS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BCP Stand-alone</w:t>
      </w:r>
    </w:p>
    <w:p>
      <w:pPr>
        <w:spacing w:after="0" w:line="211" w:lineRule="exact"/>
        <w:rPr>
          <w:sz w:val="20"/>
          <w:szCs w:val="20"/>
          <w:color w:val="auto"/>
        </w:rPr>
      </w:pPr>
    </w:p>
    <w:tbl>
      <w:tblPr>
        <w:tblLayout w:type="fixed"/>
        <w:tblInd w:w="10" w:type="dxa"/>
        <w:tblCellMar>
          <w:top w:w="0" w:type="dxa"/>
          <w:left w:w="0" w:type="dxa"/>
          <w:bottom w:w="0" w:type="dxa"/>
          <w:right w:w="0" w:type="dxa"/>
        </w:tblCellMar>
      </w:tblPr>
      <w:tr>
        <w:trPr>
          <w:trHeight w:val="128"/>
        </w:trPr>
        <w:tc>
          <w:tcPr>
            <w:tcW w:w="4520" w:type="dxa"/>
            <w:vAlign w:val="bottom"/>
            <w:tcBorders>
              <w:top w:val="single" w:sz="8" w:color="auto"/>
              <w:left w:val="single" w:sz="8" w:color="auto"/>
              <w:right w:val="single" w:sz="8" w:color="auto"/>
            </w:tcBorders>
            <w:gridSpan w:val="2"/>
            <w:shd w:val="clear" w:color="auto" w:fill="2AD2C9"/>
          </w:tcPr>
          <w:p>
            <w:pPr>
              <w:ind w:left="20"/>
              <w:spacing w:after="0" w:line="128" w:lineRule="exact"/>
              <w:rPr>
                <w:sz w:val="20"/>
                <w:szCs w:val="20"/>
                <w:color w:val="auto"/>
              </w:rPr>
            </w:pPr>
            <w:r>
              <w:rPr>
                <w:rFonts w:ascii="Times New Roman" w:cs="Times New Roman" w:eastAsia="Times New Roman" w:hAnsi="Times New Roman"/>
                <w:sz w:val="14"/>
                <w:szCs w:val="14"/>
                <w:b w:val="1"/>
                <w:bCs w:val="1"/>
                <w:color w:val="FFFFFF"/>
              </w:rPr>
              <w:t>Common Equity Tier 1 IFRS</w:t>
            </w:r>
          </w:p>
        </w:tc>
        <w:tc>
          <w:tcPr>
            <w:tcW w:w="1500" w:type="dxa"/>
            <w:vAlign w:val="bottom"/>
            <w:tcBorders>
              <w:top w:val="single" w:sz="8" w:color="auto"/>
            </w:tcBorders>
            <w:shd w:val="clear" w:color="auto" w:fill="2AD2C9"/>
          </w:tcPr>
          <w:p>
            <w:pPr>
              <w:spacing w:after="0"/>
              <w:rPr>
                <w:sz w:val="11"/>
                <w:szCs w:val="11"/>
                <w:color w:val="auto"/>
              </w:rPr>
            </w:pPr>
          </w:p>
        </w:tc>
        <w:tc>
          <w:tcPr>
            <w:tcW w:w="1140" w:type="dxa"/>
            <w:vAlign w:val="bottom"/>
            <w:tcBorders>
              <w:top w:val="single" w:sz="8" w:color="auto"/>
            </w:tcBorders>
            <w:shd w:val="clear" w:color="auto" w:fill="2AD2C9"/>
          </w:tcPr>
          <w:p>
            <w:pPr>
              <w:jc w:val="center"/>
              <w:ind w:right="54"/>
              <w:spacing w:after="0" w:line="128" w:lineRule="exact"/>
              <w:rPr>
                <w:sz w:val="20"/>
                <w:szCs w:val="20"/>
                <w:color w:val="auto"/>
              </w:rPr>
            </w:pPr>
            <w:r>
              <w:rPr>
                <w:rFonts w:ascii="Times New Roman" w:cs="Times New Roman" w:eastAsia="Times New Roman" w:hAnsi="Times New Roman"/>
                <w:sz w:val="14"/>
                <w:szCs w:val="14"/>
                <w:b w:val="1"/>
                <w:bCs w:val="1"/>
                <w:color w:val="FFFFFF"/>
                <w:w w:val="97"/>
              </w:rPr>
              <w:t>As of</w:t>
            </w:r>
          </w:p>
        </w:tc>
        <w:tc>
          <w:tcPr>
            <w:tcW w:w="1280" w:type="dxa"/>
            <w:vAlign w:val="bottom"/>
            <w:tcBorders>
              <w:top w:val="single" w:sz="8" w:color="auto"/>
              <w:right w:val="single" w:sz="8" w:color="2AD2C9"/>
            </w:tcBorders>
            <w:shd w:val="clear" w:color="auto" w:fill="2AD2C9"/>
          </w:tcPr>
          <w:p>
            <w:pPr>
              <w:spacing w:after="0"/>
              <w:rPr>
                <w:sz w:val="11"/>
                <w:szCs w:val="11"/>
                <w:color w:val="auto"/>
              </w:rPr>
            </w:pPr>
          </w:p>
        </w:tc>
        <w:tc>
          <w:tcPr>
            <w:tcW w:w="120" w:type="dxa"/>
            <w:vAlign w:val="bottom"/>
            <w:tcBorders>
              <w:top w:val="single" w:sz="8" w:color="auto"/>
              <w:right w:val="single" w:sz="8" w:color="auto"/>
            </w:tcBorders>
            <w:shd w:val="clear" w:color="auto" w:fill="2AD2C9"/>
          </w:tcPr>
          <w:p>
            <w:pPr>
              <w:spacing w:after="0"/>
              <w:rPr>
                <w:sz w:val="11"/>
                <w:szCs w:val="11"/>
                <w:color w:val="auto"/>
              </w:rPr>
            </w:pPr>
          </w:p>
        </w:tc>
        <w:tc>
          <w:tcPr>
            <w:tcW w:w="960" w:type="dxa"/>
            <w:vAlign w:val="bottom"/>
            <w:tcBorders>
              <w:top w:val="single" w:sz="8" w:color="auto"/>
            </w:tcBorders>
            <w:shd w:val="clear" w:color="auto" w:fill="2AD2C9"/>
          </w:tcPr>
          <w:p>
            <w:pPr>
              <w:spacing w:after="0"/>
              <w:rPr>
                <w:sz w:val="11"/>
                <w:szCs w:val="11"/>
                <w:color w:val="auto"/>
              </w:rPr>
            </w:pPr>
          </w:p>
        </w:tc>
        <w:tc>
          <w:tcPr>
            <w:tcW w:w="1740" w:type="dxa"/>
            <w:vAlign w:val="bottom"/>
            <w:tcBorders>
              <w:top w:val="single" w:sz="8" w:color="auto"/>
              <w:right w:val="single" w:sz="8" w:color="auto"/>
            </w:tcBorders>
            <w:shd w:val="clear" w:color="auto" w:fill="2AD2C9"/>
          </w:tcPr>
          <w:p>
            <w:pPr>
              <w:ind w:left="60"/>
              <w:spacing w:after="0" w:line="128" w:lineRule="exact"/>
              <w:rPr>
                <w:sz w:val="20"/>
                <w:szCs w:val="20"/>
                <w:color w:val="auto"/>
              </w:rPr>
            </w:pPr>
            <w:r>
              <w:rPr>
                <w:rFonts w:ascii="Times New Roman" w:cs="Times New Roman" w:eastAsia="Times New Roman" w:hAnsi="Times New Roman"/>
                <w:sz w:val="14"/>
                <w:szCs w:val="14"/>
                <w:b w:val="1"/>
                <w:bCs w:val="1"/>
                <w:color w:val="FFFFFF"/>
              </w:rPr>
              <w:t>% Change</w:t>
            </w:r>
          </w:p>
        </w:tc>
      </w:tr>
      <w:tr>
        <w:trPr>
          <w:trHeight w:val="164"/>
        </w:trPr>
        <w:tc>
          <w:tcPr>
            <w:tcW w:w="4520" w:type="dxa"/>
            <w:vAlign w:val="bottom"/>
            <w:tcBorders>
              <w:left w:val="single" w:sz="8" w:color="auto"/>
              <w:bottom w:val="single" w:sz="8" w:color="auto"/>
              <w:right w:val="single" w:sz="8" w:color="auto"/>
            </w:tcBorders>
            <w:gridSpan w:val="2"/>
            <w:shd w:val="clear" w:color="auto" w:fill="2AD2C9"/>
          </w:tcPr>
          <w:p>
            <w:pPr>
              <w:ind w:left="20"/>
              <w:spacing w:after="0"/>
              <w:rPr>
                <w:sz w:val="20"/>
                <w:szCs w:val="20"/>
                <w:color w:val="auto"/>
              </w:rPr>
            </w:pPr>
            <w:r>
              <w:rPr>
                <w:rFonts w:ascii="Times New Roman" w:cs="Times New Roman" w:eastAsia="Times New Roman" w:hAnsi="Times New Roman"/>
                <w:sz w:val="14"/>
                <w:szCs w:val="14"/>
                <w:color w:val="FFFFFF"/>
              </w:rPr>
              <w:t>(S/ thousand)</w:t>
            </w:r>
          </w:p>
        </w:tc>
        <w:tc>
          <w:tcPr>
            <w:tcW w:w="1500" w:type="dxa"/>
            <w:vAlign w:val="bottom"/>
            <w:tcBorders>
              <w:bottom w:val="single" w:sz="8" w:color="auto"/>
            </w:tcBorders>
            <w:shd w:val="clear" w:color="auto" w:fill="2AD2C9"/>
          </w:tcPr>
          <w:p>
            <w:pPr>
              <w:ind w:left="460"/>
              <w:spacing w:after="0"/>
              <w:rPr>
                <w:sz w:val="20"/>
                <w:szCs w:val="20"/>
                <w:color w:val="auto"/>
              </w:rPr>
            </w:pPr>
            <w:r>
              <w:rPr>
                <w:rFonts w:ascii="Times New Roman" w:cs="Times New Roman" w:eastAsia="Times New Roman" w:hAnsi="Times New Roman"/>
                <w:sz w:val="14"/>
                <w:szCs w:val="14"/>
                <w:b w:val="1"/>
                <w:bCs w:val="1"/>
                <w:color w:val="FFFFFF"/>
              </w:rPr>
              <w:t>Mar 25</w:t>
            </w:r>
          </w:p>
        </w:tc>
        <w:tc>
          <w:tcPr>
            <w:tcW w:w="1140" w:type="dxa"/>
            <w:vAlign w:val="bottom"/>
            <w:tcBorders>
              <w:bottom w:val="single" w:sz="8" w:color="auto"/>
            </w:tcBorders>
            <w:shd w:val="clear" w:color="auto" w:fill="2AD2C9"/>
          </w:tcPr>
          <w:p>
            <w:pPr>
              <w:jc w:val="center"/>
              <w:ind w:right="54"/>
              <w:spacing w:after="0"/>
              <w:rPr>
                <w:sz w:val="20"/>
                <w:szCs w:val="20"/>
                <w:color w:val="auto"/>
              </w:rPr>
            </w:pPr>
            <w:r>
              <w:rPr>
                <w:rFonts w:ascii="Times New Roman" w:cs="Times New Roman" w:eastAsia="Times New Roman" w:hAnsi="Times New Roman"/>
                <w:sz w:val="14"/>
                <w:szCs w:val="14"/>
                <w:b w:val="1"/>
                <w:bCs w:val="1"/>
                <w:color w:val="FFFFFF"/>
                <w:w w:val="94"/>
              </w:rPr>
              <w:t>Dec 25</w:t>
            </w:r>
          </w:p>
        </w:tc>
        <w:tc>
          <w:tcPr>
            <w:tcW w:w="1400" w:type="dxa"/>
            <w:vAlign w:val="bottom"/>
            <w:tcBorders>
              <w:bottom w:val="single" w:sz="8" w:color="auto"/>
              <w:right w:val="single" w:sz="8" w:color="auto"/>
            </w:tcBorders>
            <w:gridSpan w:val="2"/>
            <w:shd w:val="clear" w:color="auto" w:fill="2AD2C9"/>
          </w:tcPr>
          <w:p>
            <w:pPr>
              <w:ind w:left="500"/>
              <w:spacing w:after="0"/>
              <w:rPr>
                <w:sz w:val="20"/>
                <w:szCs w:val="20"/>
                <w:color w:val="auto"/>
              </w:rPr>
            </w:pPr>
            <w:r>
              <w:rPr>
                <w:rFonts w:ascii="Times New Roman" w:cs="Times New Roman" w:eastAsia="Times New Roman" w:hAnsi="Times New Roman"/>
                <w:sz w:val="14"/>
                <w:szCs w:val="14"/>
                <w:b w:val="1"/>
                <w:bCs w:val="1"/>
                <w:color w:val="FFFFFF"/>
              </w:rPr>
              <w:t>Mar 26</w:t>
            </w:r>
          </w:p>
        </w:tc>
        <w:tc>
          <w:tcPr>
            <w:tcW w:w="960" w:type="dxa"/>
            <w:vAlign w:val="bottom"/>
            <w:tcBorders>
              <w:bottom w:val="single" w:sz="8" w:color="auto"/>
            </w:tcBorders>
            <w:shd w:val="clear" w:color="auto" w:fill="2AD2C9"/>
          </w:tcPr>
          <w:p>
            <w:pPr>
              <w:ind w:left="580"/>
              <w:spacing w:after="0"/>
              <w:rPr>
                <w:sz w:val="20"/>
                <w:szCs w:val="20"/>
                <w:color w:val="auto"/>
              </w:rPr>
            </w:pPr>
            <w:r>
              <w:rPr>
                <w:rFonts w:ascii="Times New Roman" w:cs="Times New Roman" w:eastAsia="Times New Roman" w:hAnsi="Times New Roman"/>
                <w:sz w:val="14"/>
                <w:szCs w:val="14"/>
                <w:b w:val="1"/>
                <w:bCs w:val="1"/>
                <w:color w:val="FFFFFF"/>
              </w:rPr>
              <w:t>QoQ</w:t>
            </w:r>
          </w:p>
        </w:tc>
        <w:tc>
          <w:tcPr>
            <w:tcW w:w="1740" w:type="dxa"/>
            <w:vAlign w:val="bottom"/>
            <w:tcBorders>
              <w:bottom w:val="single" w:sz="8" w:color="auto"/>
              <w:right w:val="single" w:sz="8" w:color="auto"/>
            </w:tcBorders>
            <w:shd w:val="clear" w:color="auto" w:fill="2AD2C9"/>
          </w:tcPr>
          <w:p>
            <w:pPr>
              <w:jc w:val="center"/>
              <w:ind w:left="394"/>
              <w:spacing w:after="0"/>
              <w:rPr>
                <w:sz w:val="20"/>
                <w:szCs w:val="20"/>
                <w:color w:val="auto"/>
              </w:rPr>
            </w:pPr>
            <w:r>
              <w:rPr>
                <w:rFonts w:ascii="Times New Roman" w:cs="Times New Roman" w:eastAsia="Times New Roman" w:hAnsi="Times New Roman"/>
                <w:sz w:val="14"/>
                <w:szCs w:val="14"/>
                <w:b w:val="1"/>
                <w:bCs w:val="1"/>
                <w:color w:val="FFFFFF"/>
                <w:w w:val="87"/>
              </w:rPr>
              <w:t>YoY</w:t>
            </w:r>
          </w:p>
        </w:tc>
      </w:tr>
      <w:tr>
        <w:trPr>
          <w:trHeight w:val="112"/>
        </w:trPr>
        <w:tc>
          <w:tcPr>
            <w:tcW w:w="4520" w:type="dxa"/>
            <w:vAlign w:val="bottom"/>
            <w:tcBorders>
              <w:left w:val="single" w:sz="8" w:color="auto"/>
              <w:right w:val="single" w:sz="8" w:color="auto"/>
            </w:tcBorders>
            <w:gridSpan w:val="2"/>
          </w:tcPr>
          <w:p>
            <w:pPr>
              <w:ind w:left="180"/>
              <w:spacing w:after="0" w:line="112" w:lineRule="exact"/>
              <w:rPr>
                <w:sz w:val="20"/>
                <w:szCs w:val="20"/>
                <w:color w:val="auto"/>
              </w:rPr>
            </w:pPr>
            <w:r>
              <w:rPr>
                <w:rFonts w:ascii="Times New Roman" w:cs="Times New Roman" w:eastAsia="Times New Roman" w:hAnsi="Times New Roman"/>
                <w:sz w:val="12"/>
                <w:szCs w:val="12"/>
                <w:color w:val="auto"/>
              </w:rPr>
              <w:t>Capital and reserves</w:t>
            </w:r>
          </w:p>
        </w:tc>
        <w:tc>
          <w:tcPr>
            <w:tcW w:w="1500" w:type="dxa"/>
            <w:vAlign w:val="bottom"/>
          </w:tcPr>
          <w:p>
            <w:pPr>
              <w:jc w:val="center"/>
              <w:ind w:right="93"/>
              <w:spacing w:after="0" w:line="112" w:lineRule="exact"/>
              <w:rPr>
                <w:sz w:val="20"/>
                <w:szCs w:val="20"/>
                <w:color w:val="auto"/>
              </w:rPr>
            </w:pPr>
            <w:r>
              <w:rPr>
                <w:rFonts w:ascii="Times New Roman" w:cs="Times New Roman" w:eastAsia="Times New Roman" w:hAnsi="Times New Roman"/>
                <w:sz w:val="12"/>
                <w:szCs w:val="12"/>
                <w:color w:val="auto"/>
              </w:rPr>
              <w:t>18,585,234</w:t>
            </w:r>
          </w:p>
        </w:tc>
        <w:tc>
          <w:tcPr>
            <w:tcW w:w="1140" w:type="dxa"/>
            <w:vAlign w:val="bottom"/>
          </w:tcPr>
          <w:p>
            <w:pPr>
              <w:jc w:val="center"/>
              <w:ind w:right="74"/>
              <w:spacing w:after="0" w:line="112" w:lineRule="exact"/>
              <w:rPr>
                <w:sz w:val="20"/>
                <w:szCs w:val="20"/>
                <w:color w:val="auto"/>
              </w:rPr>
            </w:pPr>
            <w:r>
              <w:rPr>
                <w:rFonts w:ascii="Times New Roman" w:cs="Times New Roman" w:eastAsia="Times New Roman" w:hAnsi="Times New Roman"/>
                <w:sz w:val="12"/>
                <w:szCs w:val="12"/>
                <w:color w:val="auto"/>
              </w:rPr>
              <w:t>18,586,384</w:t>
            </w:r>
          </w:p>
        </w:tc>
        <w:tc>
          <w:tcPr>
            <w:tcW w:w="1280" w:type="dxa"/>
            <w:vAlign w:val="bottom"/>
          </w:tcPr>
          <w:p>
            <w:pPr>
              <w:jc w:val="center"/>
              <w:ind w:left="73"/>
              <w:spacing w:after="0" w:line="112" w:lineRule="exact"/>
              <w:rPr>
                <w:sz w:val="20"/>
                <w:szCs w:val="20"/>
                <w:color w:val="auto"/>
              </w:rPr>
            </w:pPr>
            <w:r>
              <w:rPr>
                <w:rFonts w:ascii="Times New Roman" w:cs="Times New Roman" w:eastAsia="Times New Roman" w:hAnsi="Times New Roman"/>
                <w:sz w:val="12"/>
                <w:szCs w:val="12"/>
                <w:color w:val="auto"/>
              </w:rPr>
              <w:t>18,586,384</w:t>
            </w:r>
          </w:p>
        </w:tc>
        <w:tc>
          <w:tcPr>
            <w:tcW w:w="120" w:type="dxa"/>
            <w:vAlign w:val="bottom"/>
            <w:tcBorders>
              <w:right w:val="single" w:sz="8" w:color="auto"/>
            </w:tcBorders>
          </w:tcPr>
          <w:p>
            <w:pPr>
              <w:spacing w:after="0"/>
              <w:rPr>
                <w:sz w:val="9"/>
                <w:szCs w:val="9"/>
                <w:color w:val="auto"/>
              </w:rPr>
            </w:pPr>
          </w:p>
        </w:tc>
        <w:tc>
          <w:tcPr>
            <w:tcW w:w="960" w:type="dxa"/>
            <w:vAlign w:val="bottom"/>
          </w:tcPr>
          <w:p>
            <w:pPr>
              <w:jc w:val="center"/>
              <w:ind w:left="413"/>
              <w:spacing w:after="0" w:line="112" w:lineRule="exact"/>
              <w:rPr>
                <w:sz w:val="20"/>
                <w:szCs w:val="20"/>
                <w:color w:val="auto"/>
              </w:rPr>
            </w:pPr>
            <w:r>
              <w:rPr>
                <w:rFonts w:ascii="Times New Roman" w:cs="Times New Roman" w:eastAsia="Times New Roman" w:hAnsi="Times New Roman"/>
                <w:sz w:val="12"/>
                <w:szCs w:val="12"/>
                <w:color w:val="auto"/>
              </w:rPr>
              <w:t>0.0%</w:t>
            </w:r>
          </w:p>
        </w:tc>
        <w:tc>
          <w:tcPr>
            <w:tcW w:w="1740" w:type="dxa"/>
            <w:vAlign w:val="bottom"/>
            <w:tcBorders>
              <w:right w:val="single" w:sz="8" w:color="auto"/>
            </w:tcBorders>
          </w:tcPr>
          <w:p>
            <w:pPr>
              <w:jc w:val="center"/>
              <w:ind w:left="394"/>
              <w:spacing w:after="0" w:line="112" w:lineRule="exact"/>
              <w:rPr>
                <w:sz w:val="20"/>
                <w:szCs w:val="20"/>
                <w:color w:val="auto"/>
              </w:rPr>
            </w:pPr>
            <w:r>
              <w:rPr>
                <w:rFonts w:ascii="Times New Roman" w:cs="Times New Roman" w:eastAsia="Times New Roman" w:hAnsi="Times New Roman"/>
                <w:sz w:val="12"/>
                <w:szCs w:val="12"/>
                <w:color w:val="auto"/>
              </w:rPr>
              <w:t>0.0%</w:t>
            </w:r>
          </w:p>
        </w:tc>
      </w:tr>
      <w:tr>
        <w:trPr>
          <w:trHeight w:val="140"/>
        </w:trPr>
        <w:tc>
          <w:tcPr>
            <w:tcW w:w="4520" w:type="dxa"/>
            <w:vAlign w:val="bottom"/>
            <w:tcBorders>
              <w:left w:val="single" w:sz="8" w:color="auto"/>
              <w:right w:val="single" w:sz="8" w:color="auto"/>
            </w:tcBorders>
            <w:gridSpan w:val="2"/>
          </w:tcPr>
          <w:p>
            <w:pPr>
              <w:ind w:left="180"/>
              <w:spacing w:after="0" w:line="140" w:lineRule="exact"/>
              <w:rPr>
                <w:sz w:val="20"/>
                <w:szCs w:val="20"/>
                <w:color w:val="auto"/>
              </w:rPr>
            </w:pPr>
            <w:r>
              <w:rPr>
                <w:rFonts w:ascii="Times New Roman" w:cs="Times New Roman" w:eastAsia="Times New Roman" w:hAnsi="Times New Roman"/>
                <w:sz w:val="14"/>
                <w:szCs w:val="14"/>
                <w:color w:val="auto"/>
              </w:rPr>
              <w:t>Retained earnings</w:t>
            </w:r>
          </w:p>
        </w:tc>
        <w:tc>
          <w:tcPr>
            <w:tcW w:w="1500" w:type="dxa"/>
            <w:vAlign w:val="bottom"/>
          </w:tcPr>
          <w:p>
            <w:pPr>
              <w:jc w:val="center"/>
              <w:ind w:right="93"/>
              <w:spacing w:after="0" w:line="140" w:lineRule="exact"/>
              <w:rPr>
                <w:sz w:val="20"/>
                <w:szCs w:val="20"/>
                <w:color w:val="auto"/>
              </w:rPr>
            </w:pPr>
            <w:r>
              <w:rPr>
                <w:rFonts w:ascii="Times New Roman" w:cs="Times New Roman" w:eastAsia="Times New Roman" w:hAnsi="Times New Roman"/>
                <w:sz w:val="14"/>
                <w:szCs w:val="14"/>
                <w:color w:val="auto"/>
                <w:w w:val="96"/>
              </w:rPr>
              <w:t>4,176,630</w:t>
            </w:r>
          </w:p>
        </w:tc>
        <w:tc>
          <w:tcPr>
            <w:tcW w:w="1140" w:type="dxa"/>
            <w:vAlign w:val="bottom"/>
          </w:tcPr>
          <w:p>
            <w:pPr>
              <w:jc w:val="center"/>
              <w:ind w:right="54"/>
              <w:spacing w:after="0" w:line="140" w:lineRule="exact"/>
              <w:rPr>
                <w:sz w:val="20"/>
                <w:szCs w:val="20"/>
                <w:color w:val="auto"/>
              </w:rPr>
            </w:pPr>
            <w:r>
              <w:rPr>
                <w:rFonts w:ascii="Times New Roman" w:cs="Times New Roman" w:eastAsia="Times New Roman" w:hAnsi="Times New Roman"/>
                <w:sz w:val="14"/>
                <w:szCs w:val="14"/>
                <w:color w:val="auto"/>
                <w:w w:val="96"/>
              </w:rPr>
              <w:t>9,077,924</w:t>
            </w:r>
          </w:p>
        </w:tc>
        <w:tc>
          <w:tcPr>
            <w:tcW w:w="1280" w:type="dxa"/>
            <w:vAlign w:val="bottom"/>
          </w:tcPr>
          <w:p>
            <w:pPr>
              <w:jc w:val="center"/>
              <w:ind w:left="73"/>
              <w:spacing w:after="0" w:line="140" w:lineRule="exact"/>
              <w:rPr>
                <w:sz w:val="20"/>
                <w:szCs w:val="20"/>
                <w:color w:val="auto"/>
              </w:rPr>
            </w:pPr>
            <w:r>
              <w:rPr>
                <w:rFonts w:ascii="Times New Roman" w:cs="Times New Roman" w:eastAsia="Times New Roman" w:hAnsi="Times New Roman"/>
                <w:sz w:val="14"/>
                <w:szCs w:val="14"/>
                <w:color w:val="auto"/>
                <w:w w:val="96"/>
              </w:rPr>
              <w:t>5,586,466</w:t>
            </w:r>
          </w:p>
        </w:tc>
        <w:tc>
          <w:tcPr>
            <w:tcW w:w="120" w:type="dxa"/>
            <w:vAlign w:val="bottom"/>
            <w:tcBorders>
              <w:right w:val="single" w:sz="8" w:color="auto"/>
            </w:tcBorders>
          </w:tcPr>
          <w:p>
            <w:pPr>
              <w:spacing w:after="0"/>
              <w:rPr>
                <w:sz w:val="12"/>
                <w:szCs w:val="12"/>
                <w:color w:val="auto"/>
              </w:rPr>
            </w:pPr>
          </w:p>
        </w:tc>
        <w:tc>
          <w:tcPr>
            <w:tcW w:w="960" w:type="dxa"/>
            <w:vAlign w:val="bottom"/>
          </w:tcPr>
          <w:p>
            <w:pPr>
              <w:jc w:val="center"/>
              <w:ind w:left="413"/>
              <w:spacing w:after="0" w:line="140" w:lineRule="exact"/>
              <w:rPr>
                <w:sz w:val="20"/>
                <w:szCs w:val="20"/>
                <w:color w:val="auto"/>
              </w:rPr>
            </w:pPr>
            <w:r>
              <w:rPr>
                <w:rFonts w:ascii="Times New Roman" w:cs="Times New Roman" w:eastAsia="Times New Roman" w:hAnsi="Times New Roman"/>
                <w:sz w:val="14"/>
                <w:szCs w:val="14"/>
                <w:color w:val="auto"/>
                <w:w w:val="97"/>
              </w:rPr>
              <w:t>-38.5%</w:t>
            </w:r>
          </w:p>
        </w:tc>
        <w:tc>
          <w:tcPr>
            <w:tcW w:w="1740" w:type="dxa"/>
            <w:vAlign w:val="bottom"/>
            <w:tcBorders>
              <w:right w:val="single" w:sz="8" w:color="auto"/>
            </w:tcBorders>
          </w:tcPr>
          <w:p>
            <w:pPr>
              <w:jc w:val="center"/>
              <w:ind w:left="394"/>
              <w:spacing w:after="0" w:line="140" w:lineRule="exact"/>
              <w:rPr>
                <w:sz w:val="20"/>
                <w:szCs w:val="20"/>
                <w:color w:val="auto"/>
              </w:rPr>
            </w:pPr>
            <w:r>
              <w:rPr>
                <w:rFonts w:ascii="Times New Roman" w:cs="Times New Roman" w:eastAsia="Times New Roman" w:hAnsi="Times New Roman"/>
                <w:sz w:val="14"/>
                <w:szCs w:val="14"/>
                <w:color w:val="auto"/>
                <w:w w:val="99"/>
              </w:rPr>
              <w:t>33.8%</w:t>
            </w:r>
          </w:p>
        </w:tc>
      </w:tr>
      <w:tr>
        <w:trPr>
          <w:trHeight w:val="140"/>
        </w:trPr>
        <w:tc>
          <w:tcPr>
            <w:tcW w:w="4520" w:type="dxa"/>
            <w:vAlign w:val="bottom"/>
            <w:tcBorders>
              <w:left w:val="single" w:sz="8" w:color="auto"/>
              <w:right w:val="single" w:sz="8" w:color="auto"/>
            </w:tcBorders>
            <w:gridSpan w:val="2"/>
          </w:tcPr>
          <w:p>
            <w:pPr>
              <w:ind w:left="180"/>
              <w:spacing w:after="0" w:line="140" w:lineRule="exact"/>
              <w:rPr>
                <w:sz w:val="20"/>
                <w:szCs w:val="20"/>
                <w:color w:val="auto"/>
              </w:rPr>
            </w:pPr>
            <w:r>
              <w:rPr>
                <w:rFonts w:ascii="Times New Roman" w:cs="Times New Roman" w:eastAsia="Times New Roman" w:hAnsi="Times New Roman"/>
                <w:sz w:val="14"/>
                <w:szCs w:val="14"/>
                <w:color w:val="auto"/>
              </w:rPr>
              <w:t>Unrealized gains (losses)</w:t>
            </w:r>
          </w:p>
        </w:tc>
        <w:tc>
          <w:tcPr>
            <w:tcW w:w="1500" w:type="dxa"/>
            <w:vAlign w:val="bottom"/>
          </w:tcPr>
          <w:p>
            <w:pPr>
              <w:jc w:val="center"/>
              <w:ind w:right="113"/>
              <w:spacing w:after="0" w:line="140" w:lineRule="exact"/>
              <w:rPr>
                <w:sz w:val="20"/>
                <w:szCs w:val="20"/>
                <w:color w:val="auto"/>
              </w:rPr>
            </w:pPr>
            <w:r>
              <w:rPr>
                <w:rFonts w:ascii="Times New Roman" w:cs="Times New Roman" w:eastAsia="Times New Roman" w:hAnsi="Times New Roman"/>
                <w:sz w:val="14"/>
                <w:szCs w:val="14"/>
                <w:color w:val="auto"/>
                <w:w w:val="96"/>
              </w:rPr>
              <w:t>140,002</w:t>
            </w:r>
          </w:p>
        </w:tc>
        <w:tc>
          <w:tcPr>
            <w:tcW w:w="1140" w:type="dxa"/>
            <w:vAlign w:val="bottom"/>
          </w:tcPr>
          <w:p>
            <w:pPr>
              <w:jc w:val="center"/>
              <w:ind w:right="74"/>
              <w:spacing w:after="0" w:line="140" w:lineRule="exact"/>
              <w:rPr>
                <w:sz w:val="20"/>
                <w:szCs w:val="20"/>
                <w:color w:val="auto"/>
              </w:rPr>
            </w:pPr>
            <w:r>
              <w:rPr>
                <w:rFonts w:ascii="Times New Roman" w:cs="Times New Roman" w:eastAsia="Times New Roman" w:hAnsi="Times New Roman"/>
                <w:sz w:val="14"/>
                <w:szCs w:val="14"/>
                <w:color w:val="auto"/>
                <w:w w:val="96"/>
              </w:rPr>
              <w:t>636,199</w:t>
            </w:r>
          </w:p>
        </w:tc>
        <w:tc>
          <w:tcPr>
            <w:tcW w:w="1280" w:type="dxa"/>
            <w:vAlign w:val="bottom"/>
          </w:tcPr>
          <w:p>
            <w:pPr>
              <w:jc w:val="center"/>
              <w:ind w:left="93"/>
              <w:spacing w:after="0" w:line="140" w:lineRule="exact"/>
              <w:rPr>
                <w:sz w:val="20"/>
                <w:szCs w:val="20"/>
                <w:color w:val="auto"/>
              </w:rPr>
            </w:pPr>
            <w:r>
              <w:rPr>
                <w:rFonts w:ascii="Times New Roman" w:cs="Times New Roman" w:eastAsia="Times New Roman" w:hAnsi="Times New Roman"/>
                <w:sz w:val="14"/>
                <w:szCs w:val="14"/>
                <w:color w:val="auto"/>
                <w:w w:val="96"/>
              </w:rPr>
              <w:t>196,962</w:t>
            </w:r>
          </w:p>
        </w:tc>
        <w:tc>
          <w:tcPr>
            <w:tcW w:w="120" w:type="dxa"/>
            <w:vAlign w:val="bottom"/>
            <w:tcBorders>
              <w:right w:val="single" w:sz="8" w:color="auto"/>
            </w:tcBorders>
          </w:tcPr>
          <w:p>
            <w:pPr>
              <w:spacing w:after="0"/>
              <w:rPr>
                <w:sz w:val="12"/>
                <w:szCs w:val="12"/>
                <w:color w:val="auto"/>
              </w:rPr>
            </w:pPr>
          </w:p>
        </w:tc>
        <w:tc>
          <w:tcPr>
            <w:tcW w:w="960" w:type="dxa"/>
            <w:vAlign w:val="bottom"/>
          </w:tcPr>
          <w:p>
            <w:pPr>
              <w:jc w:val="center"/>
              <w:ind w:left="413"/>
              <w:spacing w:after="0" w:line="140" w:lineRule="exact"/>
              <w:rPr>
                <w:sz w:val="20"/>
                <w:szCs w:val="20"/>
                <w:color w:val="auto"/>
              </w:rPr>
            </w:pPr>
            <w:r>
              <w:rPr>
                <w:rFonts w:ascii="Times New Roman" w:cs="Times New Roman" w:eastAsia="Times New Roman" w:hAnsi="Times New Roman"/>
                <w:sz w:val="14"/>
                <w:szCs w:val="14"/>
                <w:color w:val="auto"/>
                <w:w w:val="97"/>
              </w:rPr>
              <w:t>-69.0%</w:t>
            </w:r>
          </w:p>
        </w:tc>
        <w:tc>
          <w:tcPr>
            <w:tcW w:w="1740" w:type="dxa"/>
            <w:vAlign w:val="bottom"/>
            <w:tcBorders>
              <w:right w:val="single" w:sz="8" w:color="auto"/>
            </w:tcBorders>
          </w:tcPr>
          <w:p>
            <w:pPr>
              <w:jc w:val="center"/>
              <w:ind w:left="394"/>
              <w:spacing w:after="0" w:line="140" w:lineRule="exact"/>
              <w:rPr>
                <w:sz w:val="20"/>
                <w:szCs w:val="20"/>
                <w:color w:val="auto"/>
              </w:rPr>
            </w:pPr>
            <w:r>
              <w:rPr>
                <w:rFonts w:ascii="Times New Roman" w:cs="Times New Roman" w:eastAsia="Times New Roman" w:hAnsi="Times New Roman"/>
                <w:sz w:val="14"/>
                <w:szCs w:val="14"/>
                <w:color w:val="auto"/>
                <w:w w:val="99"/>
              </w:rPr>
              <w:t>40.7%</w:t>
            </w:r>
          </w:p>
        </w:tc>
      </w:tr>
      <w:tr>
        <w:trPr>
          <w:trHeight w:val="140"/>
        </w:trPr>
        <w:tc>
          <w:tcPr>
            <w:tcW w:w="4520" w:type="dxa"/>
            <w:vAlign w:val="bottom"/>
            <w:tcBorders>
              <w:left w:val="single" w:sz="8" w:color="auto"/>
              <w:right w:val="single" w:sz="8" w:color="auto"/>
            </w:tcBorders>
            <w:gridSpan w:val="2"/>
          </w:tcPr>
          <w:p>
            <w:pPr>
              <w:ind w:left="180"/>
              <w:spacing w:after="0" w:line="140" w:lineRule="exact"/>
              <w:rPr>
                <w:sz w:val="20"/>
                <w:szCs w:val="20"/>
                <w:color w:val="auto"/>
              </w:rPr>
            </w:pPr>
            <w:r>
              <w:rPr>
                <w:rFonts w:ascii="Times New Roman" w:cs="Times New Roman" w:eastAsia="Times New Roman" w:hAnsi="Times New Roman"/>
                <w:sz w:val="14"/>
                <w:szCs w:val="14"/>
                <w:color w:val="auto"/>
              </w:rPr>
              <w:t>Goodwill and intangibles</w:t>
            </w:r>
          </w:p>
        </w:tc>
        <w:tc>
          <w:tcPr>
            <w:tcW w:w="1500" w:type="dxa"/>
            <w:vAlign w:val="bottom"/>
          </w:tcPr>
          <w:p>
            <w:pPr>
              <w:jc w:val="center"/>
              <w:ind w:right="93"/>
              <w:spacing w:after="0" w:line="140" w:lineRule="exact"/>
              <w:rPr>
                <w:sz w:val="20"/>
                <w:szCs w:val="20"/>
                <w:color w:val="auto"/>
              </w:rPr>
            </w:pPr>
            <w:r>
              <w:rPr>
                <w:rFonts w:ascii="Times New Roman" w:cs="Times New Roman" w:eastAsia="Times New Roman" w:hAnsi="Times New Roman"/>
                <w:sz w:val="14"/>
                <w:szCs w:val="14"/>
                <w:color w:val="auto"/>
                <w:w w:val="94"/>
              </w:rPr>
              <w:t>(1,706,438)</w:t>
            </w:r>
          </w:p>
        </w:tc>
        <w:tc>
          <w:tcPr>
            <w:tcW w:w="1140" w:type="dxa"/>
            <w:vAlign w:val="bottom"/>
          </w:tcPr>
          <w:p>
            <w:pPr>
              <w:jc w:val="center"/>
              <w:ind w:right="74"/>
              <w:spacing w:after="0" w:line="140" w:lineRule="exact"/>
              <w:rPr>
                <w:sz w:val="20"/>
                <w:szCs w:val="20"/>
                <w:color w:val="auto"/>
              </w:rPr>
            </w:pPr>
            <w:r>
              <w:rPr>
                <w:rFonts w:ascii="Times New Roman" w:cs="Times New Roman" w:eastAsia="Times New Roman" w:hAnsi="Times New Roman"/>
                <w:sz w:val="14"/>
                <w:szCs w:val="14"/>
                <w:color w:val="auto"/>
                <w:w w:val="97"/>
              </w:rPr>
              <w:t>(1,971,859)</w:t>
            </w:r>
          </w:p>
        </w:tc>
        <w:tc>
          <w:tcPr>
            <w:tcW w:w="1280" w:type="dxa"/>
            <w:vAlign w:val="bottom"/>
          </w:tcPr>
          <w:p>
            <w:pPr>
              <w:jc w:val="center"/>
              <w:ind w:left="73"/>
              <w:spacing w:after="0" w:line="140" w:lineRule="exact"/>
              <w:rPr>
                <w:sz w:val="20"/>
                <w:szCs w:val="20"/>
                <w:color w:val="auto"/>
              </w:rPr>
            </w:pPr>
            <w:r>
              <w:rPr>
                <w:rFonts w:ascii="Times New Roman" w:cs="Times New Roman" w:eastAsia="Times New Roman" w:hAnsi="Times New Roman"/>
                <w:sz w:val="14"/>
                <w:szCs w:val="14"/>
                <w:color w:val="auto"/>
                <w:w w:val="94"/>
              </w:rPr>
              <w:t>(1,948,580)</w:t>
            </w:r>
          </w:p>
        </w:tc>
        <w:tc>
          <w:tcPr>
            <w:tcW w:w="120" w:type="dxa"/>
            <w:vAlign w:val="bottom"/>
            <w:tcBorders>
              <w:right w:val="single" w:sz="8" w:color="auto"/>
            </w:tcBorders>
          </w:tcPr>
          <w:p>
            <w:pPr>
              <w:spacing w:after="0"/>
              <w:rPr>
                <w:sz w:val="12"/>
                <w:szCs w:val="12"/>
                <w:color w:val="auto"/>
              </w:rPr>
            </w:pPr>
          </w:p>
        </w:tc>
        <w:tc>
          <w:tcPr>
            <w:tcW w:w="960" w:type="dxa"/>
            <w:vAlign w:val="bottom"/>
          </w:tcPr>
          <w:p>
            <w:pPr>
              <w:jc w:val="center"/>
              <w:ind w:left="413"/>
              <w:spacing w:after="0" w:line="140" w:lineRule="exact"/>
              <w:rPr>
                <w:sz w:val="20"/>
                <w:szCs w:val="20"/>
                <w:color w:val="auto"/>
              </w:rPr>
            </w:pPr>
            <w:r>
              <w:rPr>
                <w:rFonts w:ascii="Times New Roman" w:cs="Times New Roman" w:eastAsia="Times New Roman" w:hAnsi="Times New Roman"/>
                <w:sz w:val="14"/>
                <w:szCs w:val="14"/>
                <w:color w:val="auto"/>
                <w:w w:val="94"/>
              </w:rPr>
              <w:t>-1.2%</w:t>
            </w:r>
          </w:p>
        </w:tc>
        <w:tc>
          <w:tcPr>
            <w:tcW w:w="1740" w:type="dxa"/>
            <w:vAlign w:val="bottom"/>
            <w:tcBorders>
              <w:right w:val="single" w:sz="8" w:color="auto"/>
            </w:tcBorders>
          </w:tcPr>
          <w:p>
            <w:pPr>
              <w:jc w:val="center"/>
              <w:ind w:left="394"/>
              <w:spacing w:after="0" w:line="140" w:lineRule="exact"/>
              <w:rPr>
                <w:sz w:val="20"/>
                <w:szCs w:val="20"/>
                <w:color w:val="auto"/>
              </w:rPr>
            </w:pPr>
            <w:r>
              <w:rPr>
                <w:rFonts w:ascii="Times New Roman" w:cs="Times New Roman" w:eastAsia="Times New Roman" w:hAnsi="Times New Roman"/>
                <w:sz w:val="14"/>
                <w:szCs w:val="14"/>
                <w:color w:val="auto"/>
                <w:w w:val="99"/>
              </w:rPr>
              <w:t>14.2%</w:t>
            </w:r>
          </w:p>
        </w:tc>
      </w:tr>
      <w:tr>
        <w:trPr>
          <w:trHeight w:val="160"/>
        </w:trPr>
        <w:tc>
          <w:tcPr>
            <w:tcW w:w="4520" w:type="dxa"/>
            <w:vAlign w:val="bottom"/>
            <w:tcBorders>
              <w:left w:val="single" w:sz="8" w:color="auto"/>
              <w:bottom w:val="single" w:sz="8" w:color="auto"/>
              <w:right w:val="single" w:sz="8" w:color="auto"/>
            </w:tcBorders>
            <w:gridSpan w:val="2"/>
          </w:tcPr>
          <w:p>
            <w:pPr>
              <w:ind w:left="180"/>
              <w:spacing w:after="0" w:line="160" w:lineRule="exact"/>
              <w:rPr>
                <w:sz w:val="20"/>
                <w:szCs w:val="20"/>
                <w:color w:val="auto"/>
              </w:rPr>
            </w:pPr>
            <w:r>
              <w:rPr>
                <w:rFonts w:ascii="Times New Roman" w:cs="Times New Roman" w:eastAsia="Times New Roman" w:hAnsi="Times New Roman"/>
                <w:sz w:val="14"/>
                <w:szCs w:val="14"/>
                <w:color w:val="auto"/>
              </w:rPr>
              <w:t>Investments in subsidiaries</w:t>
            </w:r>
          </w:p>
        </w:tc>
        <w:tc>
          <w:tcPr>
            <w:tcW w:w="1500" w:type="dxa"/>
            <w:vAlign w:val="bottom"/>
            <w:tcBorders>
              <w:bottom w:val="single" w:sz="8" w:color="auto"/>
            </w:tcBorders>
          </w:tcPr>
          <w:p>
            <w:pPr>
              <w:jc w:val="center"/>
              <w:ind w:right="93"/>
              <w:spacing w:after="0" w:line="160" w:lineRule="exact"/>
              <w:rPr>
                <w:sz w:val="20"/>
                <w:szCs w:val="20"/>
                <w:color w:val="auto"/>
              </w:rPr>
            </w:pPr>
            <w:r>
              <w:rPr>
                <w:rFonts w:ascii="Times New Roman" w:cs="Times New Roman" w:eastAsia="Times New Roman" w:hAnsi="Times New Roman"/>
                <w:sz w:val="14"/>
                <w:szCs w:val="14"/>
                <w:color w:val="auto"/>
                <w:w w:val="94"/>
              </w:rPr>
              <w:t>(2,416,979)</w:t>
            </w:r>
          </w:p>
        </w:tc>
        <w:tc>
          <w:tcPr>
            <w:tcW w:w="1140" w:type="dxa"/>
            <w:vAlign w:val="bottom"/>
            <w:tcBorders>
              <w:bottom w:val="single" w:sz="8" w:color="auto"/>
            </w:tcBorders>
          </w:tcPr>
          <w:p>
            <w:pPr>
              <w:jc w:val="center"/>
              <w:ind w:right="74"/>
              <w:spacing w:after="0" w:line="160" w:lineRule="exact"/>
              <w:rPr>
                <w:sz w:val="20"/>
                <w:szCs w:val="20"/>
                <w:color w:val="auto"/>
              </w:rPr>
            </w:pPr>
            <w:r>
              <w:rPr>
                <w:rFonts w:ascii="Times New Roman" w:cs="Times New Roman" w:eastAsia="Times New Roman" w:hAnsi="Times New Roman"/>
                <w:sz w:val="14"/>
                <w:szCs w:val="14"/>
                <w:color w:val="auto"/>
                <w:w w:val="97"/>
              </w:rPr>
              <w:t>(2,723,662)</w:t>
            </w:r>
          </w:p>
        </w:tc>
        <w:tc>
          <w:tcPr>
            <w:tcW w:w="1280" w:type="dxa"/>
            <w:vAlign w:val="bottom"/>
            <w:tcBorders>
              <w:bottom w:val="single" w:sz="8" w:color="auto"/>
            </w:tcBorders>
          </w:tcPr>
          <w:p>
            <w:pPr>
              <w:jc w:val="center"/>
              <w:ind w:left="73"/>
              <w:spacing w:after="0" w:line="160" w:lineRule="exact"/>
              <w:rPr>
                <w:sz w:val="20"/>
                <w:szCs w:val="20"/>
                <w:color w:val="auto"/>
              </w:rPr>
            </w:pPr>
            <w:r>
              <w:rPr>
                <w:rFonts w:ascii="Times New Roman" w:cs="Times New Roman" w:eastAsia="Times New Roman" w:hAnsi="Times New Roman"/>
                <w:sz w:val="14"/>
                <w:szCs w:val="14"/>
                <w:color w:val="auto"/>
                <w:w w:val="94"/>
              </w:rPr>
              <w:t>(2,549,601)</w:t>
            </w:r>
          </w:p>
        </w:tc>
        <w:tc>
          <w:tcPr>
            <w:tcW w:w="120" w:type="dxa"/>
            <w:vAlign w:val="bottom"/>
            <w:tcBorders>
              <w:bottom w:val="single" w:sz="8" w:color="auto"/>
              <w:right w:val="single" w:sz="8" w:color="auto"/>
            </w:tcBorders>
          </w:tcPr>
          <w:p>
            <w:pPr>
              <w:spacing w:after="0"/>
              <w:rPr>
                <w:sz w:val="13"/>
                <w:szCs w:val="13"/>
                <w:color w:val="auto"/>
              </w:rPr>
            </w:pPr>
          </w:p>
        </w:tc>
        <w:tc>
          <w:tcPr>
            <w:tcW w:w="960" w:type="dxa"/>
            <w:vAlign w:val="bottom"/>
            <w:tcBorders>
              <w:bottom w:val="single" w:sz="8" w:color="auto"/>
            </w:tcBorders>
          </w:tcPr>
          <w:p>
            <w:pPr>
              <w:jc w:val="center"/>
              <w:ind w:left="413"/>
              <w:spacing w:after="0" w:line="160" w:lineRule="exact"/>
              <w:rPr>
                <w:sz w:val="20"/>
                <w:szCs w:val="20"/>
                <w:color w:val="auto"/>
              </w:rPr>
            </w:pPr>
            <w:r>
              <w:rPr>
                <w:rFonts w:ascii="Times New Roman" w:cs="Times New Roman" w:eastAsia="Times New Roman" w:hAnsi="Times New Roman"/>
                <w:sz w:val="14"/>
                <w:szCs w:val="14"/>
                <w:color w:val="auto"/>
                <w:w w:val="94"/>
              </w:rPr>
              <w:t>-6.4%</w:t>
            </w:r>
          </w:p>
        </w:tc>
        <w:tc>
          <w:tcPr>
            <w:tcW w:w="1740" w:type="dxa"/>
            <w:vAlign w:val="bottom"/>
            <w:tcBorders>
              <w:bottom w:val="single" w:sz="8" w:color="auto"/>
              <w:right w:val="single" w:sz="8" w:color="auto"/>
            </w:tcBorders>
          </w:tcPr>
          <w:p>
            <w:pPr>
              <w:jc w:val="center"/>
              <w:ind w:left="394"/>
              <w:spacing w:after="0" w:line="160" w:lineRule="exact"/>
              <w:rPr>
                <w:sz w:val="20"/>
                <w:szCs w:val="20"/>
                <w:color w:val="auto"/>
              </w:rPr>
            </w:pPr>
            <w:r>
              <w:rPr>
                <w:rFonts w:ascii="Times New Roman" w:cs="Times New Roman" w:eastAsia="Times New Roman" w:hAnsi="Times New Roman"/>
                <w:sz w:val="14"/>
                <w:szCs w:val="14"/>
                <w:color w:val="auto"/>
                <w:w w:val="95"/>
              </w:rPr>
              <w:t>5.5%</w:t>
            </w:r>
          </w:p>
        </w:tc>
      </w:tr>
      <w:tr>
        <w:trPr>
          <w:trHeight w:val="132"/>
        </w:trPr>
        <w:tc>
          <w:tcPr>
            <w:tcW w:w="4520" w:type="dxa"/>
            <w:vAlign w:val="bottom"/>
            <w:tcBorders>
              <w:left w:val="single" w:sz="8" w:color="auto"/>
              <w:bottom w:val="single" w:sz="8" w:color="auto"/>
              <w:right w:val="single" w:sz="8" w:color="auto"/>
            </w:tcBorders>
            <w:gridSpan w:val="2"/>
          </w:tcPr>
          <w:p>
            <w:pPr>
              <w:ind w:left="20"/>
              <w:spacing w:after="0" w:line="133" w:lineRule="exact"/>
              <w:rPr>
                <w:sz w:val="20"/>
                <w:szCs w:val="20"/>
                <w:color w:val="auto"/>
              </w:rPr>
            </w:pPr>
            <w:r>
              <w:rPr>
                <w:rFonts w:ascii="Times New Roman" w:cs="Times New Roman" w:eastAsia="Times New Roman" w:hAnsi="Times New Roman"/>
                <w:sz w:val="14"/>
                <w:szCs w:val="14"/>
                <w:b w:val="1"/>
                <w:bCs w:val="1"/>
                <w:color w:val="auto"/>
              </w:rPr>
              <w:t>Total</w:t>
            </w:r>
          </w:p>
        </w:tc>
        <w:tc>
          <w:tcPr>
            <w:tcW w:w="1500" w:type="dxa"/>
            <w:vAlign w:val="bottom"/>
            <w:tcBorders>
              <w:bottom w:val="single" w:sz="8" w:color="auto"/>
            </w:tcBorders>
          </w:tcPr>
          <w:p>
            <w:pPr>
              <w:jc w:val="center"/>
              <w:ind w:right="93"/>
              <w:spacing w:after="0" w:line="133" w:lineRule="exact"/>
              <w:rPr>
                <w:sz w:val="20"/>
                <w:szCs w:val="20"/>
                <w:color w:val="auto"/>
              </w:rPr>
            </w:pPr>
            <w:r>
              <w:rPr>
                <w:rFonts w:ascii="Times New Roman" w:cs="Times New Roman" w:eastAsia="Times New Roman" w:hAnsi="Times New Roman"/>
                <w:sz w:val="14"/>
                <w:szCs w:val="14"/>
                <w:b w:val="1"/>
                <w:bCs w:val="1"/>
                <w:color w:val="auto"/>
                <w:w w:val="98"/>
              </w:rPr>
              <w:t>18,778,449</w:t>
            </w:r>
          </w:p>
        </w:tc>
        <w:tc>
          <w:tcPr>
            <w:tcW w:w="1140" w:type="dxa"/>
            <w:vAlign w:val="bottom"/>
            <w:tcBorders>
              <w:bottom w:val="single" w:sz="8" w:color="auto"/>
            </w:tcBorders>
          </w:tcPr>
          <w:p>
            <w:pPr>
              <w:jc w:val="center"/>
              <w:ind w:right="74"/>
              <w:spacing w:after="0" w:line="133" w:lineRule="exact"/>
              <w:rPr>
                <w:sz w:val="20"/>
                <w:szCs w:val="20"/>
                <w:color w:val="auto"/>
              </w:rPr>
            </w:pPr>
            <w:r>
              <w:rPr>
                <w:rFonts w:ascii="Times New Roman" w:cs="Times New Roman" w:eastAsia="Times New Roman" w:hAnsi="Times New Roman"/>
                <w:sz w:val="14"/>
                <w:szCs w:val="14"/>
                <w:b w:val="1"/>
                <w:bCs w:val="1"/>
                <w:color w:val="auto"/>
                <w:w w:val="95"/>
              </w:rPr>
              <w:t>23,604,986</w:t>
            </w:r>
          </w:p>
        </w:tc>
        <w:tc>
          <w:tcPr>
            <w:tcW w:w="1280" w:type="dxa"/>
            <w:vAlign w:val="bottom"/>
            <w:tcBorders>
              <w:bottom w:val="single" w:sz="8" w:color="auto"/>
            </w:tcBorders>
          </w:tcPr>
          <w:p>
            <w:pPr>
              <w:jc w:val="center"/>
              <w:ind w:left="73"/>
              <w:spacing w:after="0" w:line="133" w:lineRule="exact"/>
              <w:rPr>
                <w:sz w:val="20"/>
                <w:szCs w:val="20"/>
                <w:color w:val="auto"/>
              </w:rPr>
            </w:pPr>
            <w:r>
              <w:rPr>
                <w:rFonts w:ascii="Times New Roman" w:cs="Times New Roman" w:eastAsia="Times New Roman" w:hAnsi="Times New Roman"/>
                <w:sz w:val="14"/>
                <w:szCs w:val="14"/>
                <w:b w:val="1"/>
                <w:bCs w:val="1"/>
                <w:color w:val="auto"/>
                <w:w w:val="98"/>
              </w:rPr>
              <w:t>19,871,630</w:t>
            </w:r>
          </w:p>
        </w:tc>
        <w:tc>
          <w:tcPr>
            <w:tcW w:w="120" w:type="dxa"/>
            <w:vAlign w:val="bottom"/>
            <w:tcBorders>
              <w:bottom w:val="single" w:sz="8" w:color="auto"/>
              <w:right w:val="single" w:sz="8" w:color="auto"/>
            </w:tcBorders>
          </w:tcPr>
          <w:p>
            <w:pPr>
              <w:spacing w:after="0"/>
              <w:rPr>
                <w:sz w:val="11"/>
                <w:szCs w:val="11"/>
                <w:color w:val="auto"/>
              </w:rPr>
            </w:pPr>
          </w:p>
        </w:tc>
        <w:tc>
          <w:tcPr>
            <w:tcW w:w="960" w:type="dxa"/>
            <w:vAlign w:val="bottom"/>
            <w:tcBorders>
              <w:bottom w:val="single" w:sz="8" w:color="auto"/>
            </w:tcBorders>
          </w:tcPr>
          <w:p>
            <w:pPr>
              <w:jc w:val="center"/>
              <w:ind w:left="413"/>
              <w:spacing w:after="0" w:line="133" w:lineRule="exact"/>
              <w:rPr>
                <w:sz w:val="20"/>
                <w:szCs w:val="20"/>
                <w:color w:val="auto"/>
              </w:rPr>
            </w:pPr>
            <w:r>
              <w:rPr>
                <w:rFonts w:ascii="Times New Roman" w:cs="Times New Roman" w:eastAsia="Times New Roman" w:hAnsi="Times New Roman"/>
                <w:sz w:val="14"/>
                <w:szCs w:val="14"/>
                <w:b w:val="1"/>
                <w:bCs w:val="1"/>
                <w:color w:val="auto"/>
                <w:w w:val="92"/>
              </w:rPr>
              <w:t>-15.8%</w:t>
            </w:r>
          </w:p>
        </w:tc>
        <w:tc>
          <w:tcPr>
            <w:tcW w:w="1740" w:type="dxa"/>
            <w:vAlign w:val="bottom"/>
            <w:tcBorders>
              <w:bottom w:val="single" w:sz="8" w:color="auto"/>
              <w:right w:val="single" w:sz="8" w:color="auto"/>
            </w:tcBorders>
          </w:tcPr>
          <w:p>
            <w:pPr>
              <w:jc w:val="center"/>
              <w:ind w:left="394"/>
              <w:spacing w:after="0" w:line="133" w:lineRule="exact"/>
              <w:rPr>
                <w:sz w:val="20"/>
                <w:szCs w:val="20"/>
                <w:color w:val="auto"/>
              </w:rPr>
            </w:pPr>
            <w:r>
              <w:rPr>
                <w:rFonts w:ascii="Times New Roman" w:cs="Times New Roman" w:eastAsia="Times New Roman" w:hAnsi="Times New Roman"/>
                <w:sz w:val="14"/>
                <w:szCs w:val="14"/>
                <w:b w:val="1"/>
                <w:bCs w:val="1"/>
                <w:color w:val="auto"/>
              </w:rPr>
              <w:t>5.8%</w:t>
            </w:r>
          </w:p>
        </w:tc>
      </w:tr>
      <w:tr>
        <w:trPr>
          <w:trHeight w:val="132"/>
        </w:trPr>
        <w:tc>
          <w:tcPr>
            <w:tcW w:w="44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740" w:type="dxa"/>
            <w:vAlign w:val="bottom"/>
            <w:tcBorders>
              <w:bottom w:val="single" w:sz="8" w:color="auto"/>
            </w:tcBorders>
          </w:tcPr>
          <w:p>
            <w:pPr>
              <w:spacing w:after="0"/>
              <w:rPr>
                <w:sz w:val="11"/>
                <w:szCs w:val="11"/>
                <w:color w:val="auto"/>
              </w:rPr>
            </w:pPr>
          </w:p>
        </w:tc>
      </w:tr>
      <w:tr>
        <w:trPr>
          <w:trHeight w:val="132"/>
        </w:trPr>
        <w:tc>
          <w:tcPr>
            <w:tcW w:w="4520" w:type="dxa"/>
            <w:vAlign w:val="bottom"/>
            <w:tcBorders>
              <w:left w:val="single" w:sz="8" w:color="auto"/>
              <w:bottom w:val="single" w:sz="8" w:color="auto"/>
              <w:right w:val="single" w:sz="8" w:color="auto"/>
            </w:tcBorders>
            <w:gridSpan w:val="2"/>
          </w:tcPr>
          <w:p>
            <w:pPr>
              <w:ind w:left="20"/>
              <w:spacing w:after="0" w:line="133" w:lineRule="exact"/>
              <w:rPr>
                <w:sz w:val="20"/>
                <w:szCs w:val="20"/>
                <w:color w:val="auto"/>
              </w:rPr>
            </w:pPr>
            <w:r>
              <w:rPr>
                <w:rFonts w:ascii="Times New Roman" w:cs="Times New Roman" w:eastAsia="Times New Roman" w:hAnsi="Times New Roman"/>
                <w:sz w:val="14"/>
                <w:szCs w:val="14"/>
                <w:b w:val="1"/>
                <w:bCs w:val="1"/>
                <w:color w:val="auto"/>
              </w:rPr>
              <w:t>Adjusted RWAs IFRS</w:t>
            </w:r>
          </w:p>
        </w:tc>
        <w:tc>
          <w:tcPr>
            <w:tcW w:w="1500" w:type="dxa"/>
            <w:vAlign w:val="bottom"/>
            <w:tcBorders>
              <w:bottom w:val="single" w:sz="8" w:color="auto"/>
            </w:tcBorders>
          </w:tcPr>
          <w:p>
            <w:pPr>
              <w:jc w:val="center"/>
              <w:ind w:right="113"/>
              <w:spacing w:after="0" w:line="133" w:lineRule="exact"/>
              <w:rPr>
                <w:sz w:val="20"/>
                <w:szCs w:val="20"/>
                <w:color w:val="auto"/>
              </w:rPr>
            </w:pPr>
            <w:r>
              <w:rPr>
                <w:rFonts w:ascii="Times New Roman" w:cs="Times New Roman" w:eastAsia="Times New Roman" w:hAnsi="Times New Roman"/>
                <w:sz w:val="14"/>
                <w:szCs w:val="14"/>
                <w:b w:val="1"/>
                <w:bCs w:val="1"/>
                <w:color w:val="auto"/>
                <w:w w:val="97"/>
              </w:rPr>
              <w:t>161,628,694</w:t>
            </w:r>
          </w:p>
        </w:tc>
        <w:tc>
          <w:tcPr>
            <w:tcW w:w="1140" w:type="dxa"/>
            <w:vAlign w:val="bottom"/>
            <w:tcBorders>
              <w:bottom w:val="single" w:sz="8" w:color="auto"/>
            </w:tcBorders>
          </w:tcPr>
          <w:p>
            <w:pPr>
              <w:jc w:val="center"/>
              <w:ind w:right="74"/>
              <w:spacing w:after="0" w:line="133" w:lineRule="exact"/>
              <w:rPr>
                <w:sz w:val="20"/>
                <w:szCs w:val="20"/>
                <w:color w:val="auto"/>
              </w:rPr>
            </w:pPr>
            <w:r>
              <w:rPr>
                <w:rFonts w:ascii="Times New Roman" w:cs="Times New Roman" w:eastAsia="Times New Roman" w:hAnsi="Times New Roman"/>
                <w:sz w:val="14"/>
                <w:szCs w:val="14"/>
                <w:b w:val="1"/>
                <w:bCs w:val="1"/>
                <w:color w:val="auto"/>
                <w:w w:val="97"/>
              </w:rPr>
              <w:t>168,734,761</w:t>
            </w:r>
          </w:p>
        </w:tc>
        <w:tc>
          <w:tcPr>
            <w:tcW w:w="1280" w:type="dxa"/>
            <w:vAlign w:val="bottom"/>
            <w:tcBorders>
              <w:bottom w:val="single" w:sz="8" w:color="auto"/>
            </w:tcBorders>
          </w:tcPr>
          <w:p>
            <w:pPr>
              <w:jc w:val="center"/>
              <w:ind w:left="73"/>
              <w:spacing w:after="0" w:line="133" w:lineRule="exact"/>
              <w:rPr>
                <w:sz w:val="20"/>
                <w:szCs w:val="20"/>
                <w:color w:val="auto"/>
              </w:rPr>
            </w:pPr>
            <w:r>
              <w:rPr>
                <w:rFonts w:ascii="Times New Roman" w:cs="Times New Roman" w:eastAsia="Times New Roman" w:hAnsi="Times New Roman"/>
                <w:sz w:val="14"/>
                <w:szCs w:val="14"/>
                <w:b w:val="1"/>
                <w:bCs w:val="1"/>
                <w:color w:val="auto"/>
                <w:w w:val="94"/>
              </w:rPr>
              <w:t>175,966,882</w:t>
            </w:r>
          </w:p>
        </w:tc>
        <w:tc>
          <w:tcPr>
            <w:tcW w:w="120" w:type="dxa"/>
            <w:vAlign w:val="bottom"/>
            <w:tcBorders>
              <w:bottom w:val="single" w:sz="8" w:color="auto"/>
              <w:right w:val="single" w:sz="8" w:color="auto"/>
            </w:tcBorders>
          </w:tcPr>
          <w:p>
            <w:pPr>
              <w:spacing w:after="0"/>
              <w:rPr>
                <w:sz w:val="11"/>
                <w:szCs w:val="11"/>
                <w:color w:val="auto"/>
              </w:rPr>
            </w:pPr>
          </w:p>
        </w:tc>
        <w:tc>
          <w:tcPr>
            <w:tcW w:w="960" w:type="dxa"/>
            <w:vAlign w:val="bottom"/>
            <w:tcBorders>
              <w:bottom w:val="single" w:sz="8" w:color="auto"/>
            </w:tcBorders>
          </w:tcPr>
          <w:p>
            <w:pPr>
              <w:jc w:val="center"/>
              <w:ind w:left="413"/>
              <w:spacing w:after="0" w:line="133" w:lineRule="exact"/>
              <w:rPr>
                <w:sz w:val="20"/>
                <w:szCs w:val="20"/>
                <w:color w:val="auto"/>
              </w:rPr>
            </w:pPr>
            <w:r>
              <w:rPr>
                <w:rFonts w:ascii="Times New Roman" w:cs="Times New Roman" w:eastAsia="Times New Roman" w:hAnsi="Times New Roman"/>
                <w:sz w:val="14"/>
                <w:szCs w:val="14"/>
                <w:b w:val="1"/>
                <w:bCs w:val="1"/>
                <w:color w:val="auto"/>
              </w:rPr>
              <w:t>4.3%</w:t>
            </w:r>
          </w:p>
        </w:tc>
        <w:tc>
          <w:tcPr>
            <w:tcW w:w="1740" w:type="dxa"/>
            <w:vAlign w:val="bottom"/>
            <w:tcBorders>
              <w:bottom w:val="single" w:sz="8" w:color="auto"/>
              <w:right w:val="single" w:sz="8" w:color="auto"/>
            </w:tcBorders>
          </w:tcPr>
          <w:p>
            <w:pPr>
              <w:jc w:val="center"/>
              <w:ind w:left="394"/>
              <w:spacing w:after="0" w:line="133" w:lineRule="exact"/>
              <w:rPr>
                <w:sz w:val="20"/>
                <w:szCs w:val="20"/>
                <w:color w:val="auto"/>
              </w:rPr>
            </w:pPr>
            <w:r>
              <w:rPr>
                <w:rFonts w:ascii="Times New Roman" w:cs="Times New Roman" w:eastAsia="Times New Roman" w:hAnsi="Times New Roman"/>
                <w:sz w:val="14"/>
                <w:szCs w:val="14"/>
                <w:b w:val="1"/>
                <w:bCs w:val="1"/>
                <w:color w:val="auto"/>
              </w:rPr>
              <w:t>8.9%</w:t>
            </w:r>
          </w:p>
        </w:tc>
      </w:tr>
      <w:tr>
        <w:trPr>
          <w:trHeight w:val="112"/>
        </w:trPr>
        <w:tc>
          <w:tcPr>
            <w:tcW w:w="4520" w:type="dxa"/>
            <w:vAlign w:val="bottom"/>
            <w:tcBorders>
              <w:left w:val="single" w:sz="8" w:color="auto"/>
              <w:right w:val="single" w:sz="8" w:color="auto"/>
            </w:tcBorders>
            <w:gridSpan w:val="2"/>
          </w:tcPr>
          <w:p>
            <w:pPr>
              <w:ind w:left="180"/>
              <w:spacing w:after="0" w:line="112" w:lineRule="exact"/>
              <w:rPr>
                <w:sz w:val="20"/>
                <w:szCs w:val="20"/>
                <w:color w:val="auto"/>
              </w:rPr>
            </w:pPr>
            <w:r>
              <w:rPr>
                <w:rFonts w:ascii="Times New Roman" w:cs="Times New Roman" w:eastAsia="Times New Roman" w:hAnsi="Times New Roman"/>
                <w:sz w:val="12"/>
                <w:szCs w:val="12"/>
                <w:color w:val="auto"/>
              </w:rPr>
              <w:t>Adjusted Credit RWAs IFRS</w:t>
            </w:r>
          </w:p>
        </w:tc>
        <w:tc>
          <w:tcPr>
            <w:tcW w:w="1500" w:type="dxa"/>
            <w:vAlign w:val="bottom"/>
          </w:tcPr>
          <w:p>
            <w:pPr>
              <w:jc w:val="center"/>
              <w:ind w:right="113"/>
              <w:spacing w:after="0" w:line="112" w:lineRule="exact"/>
              <w:rPr>
                <w:sz w:val="20"/>
                <w:szCs w:val="20"/>
                <w:color w:val="auto"/>
              </w:rPr>
            </w:pPr>
            <w:r>
              <w:rPr>
                <w:rFonts w:ascii="Times New Roman" w:cs="Times New Roman" w:eastAsia="Times New Roman" w:hAnsi="Times New Roman"/>
                <w:sz w:val="12"/>
                <w:szCs w:val="12"/>
                <w:color w:val="auto"/>
              </w:rPr>
              <w:t>138,830,109</w:t>
            </w:r>
          </w:p>
        </w:tc>
        <w:tc>
          <w:tcPr>
            <w:tcW w:w="1140" w:type="dxa"/>
            <w:vAlign w:val="bottom"/>
          </w:tcPr>
          <w:p>
            <w:pPr>
              <w:jc w:val="center"/>
              <w:ind w:right="74"/>
              <w:spacing w:after="0" w:line="112" w:lineRule="exact"/>
              <w:rPr>
                <w:sz w:val="20"/>
                <w:szCs w:val="20"/>
                <w:color w:val="auto"/>
              </w:rPr>
            </w:pPr>
            <w:r>
              <w:rPr>
                <w:rFonts w:ascii="Times New Roman" w:cs="Times New Roman" w:eastAsia="Times New Roman" w:hAnsi="Times New Roman"/>
                <w:sz w:val="12"/>
                <w:szCs w:val="12"/>
                <w:color w:val="auto"/>
              </w:rPr>
              <w:t>143,592,345</w:t>
            </w:r>
          </w:p>
        </w:tc>
        <w:tc>
          <w:tcPr>
            <w:tcW w:w="1280" w:type="dxa"/>
            <w:vAlign w:val="bottom"/>
          </w:tcPr>
          <w:p>
            <w:pPr>
              <w:jc w:val="center"/>
              <w:ind w:left="73"/>
              <w:spacing w:after="0" w:line="112" w:lineRule="exact"/>
              <w:rPr>
                <w:sz w:val="20"/>
                <w:szCs w:val="20"/>
                <w:color w:val="auto"/>
              </w:rPr>
            </w:pPr>
            <w:r>
              <w:rPr>
                <w:rFonts w:ascii="Times New Roman" w:cs="Times New Roman" w:eastAsia="Times New Roman" w:hAnsi="Times New Roman"/>
                <w:sz w:val="12"/>
                <w:szCs w:val="12"/>
                <w:color w:val="auto"/>
              </w:rPr>
              <w:t>148,752,762</w:t>
            </w:r>
          </w:p>
        </w:tc>
        <w:tc>
          <w:tcPr>
            <w:tcW w:w="120" w:type="dxa"/>
            <w:vAlign w:val="bottom"/>
            <w:tcBorders>
              <w:right w:val="single" w:sz="8" w:color="auto"/>
            </w:tcBorders>
          </w:tcPr>
          <w:p>
            <w:pPr>
              <w:spacing w:after="0"/>
              <w:rPr>
                <w:sz w:val="9"/>
                <w:szCs w:val="9"/>
                <w:color w:val="auto"/>
              </w:rPr>
            </w:pPr>
          </w:p>
        </w:tc>
        <w:tc>
          <w:tcPr>
            <w:tcW w:w="960" w:type="dxa"/>
            <w:vAlign w:val="bottom"/>
          </w:tcPr>
          <w:p>
            <w:pPr>
              <w:jc w:val="center"/>
              <w:ind w:left="413"/>
              <w:spacing w:after="0" w:line="112" w:lineRule="exact"/>
              <w:rPr>
                <w:sz w:val="20"/>
                <w:szCs w:val="20"/>
                <w:color w:val="auto"/>
              </w:rPr>
            </w:pPr>
            <w:r>
              <w:rPr>
                <w:rFonts w:ascii="Times New Roman" w:cs="Times New Roman" w:eastAsia="Times New Roman" w:hAnsi="Times New Roman"/>
                <w:sz w:val="12"/>
                <w:szCs w:val="12"/>
                <w:color w:val="auto"/>
              </w:rPr>
              <w:t>3.6%</w:t>
            </w:r>
          </w:p>
        </w:tc>
        <w:tc>
          <w:tcPr>
            <w:tcW w:w="1740" w:type="dxa"/>
            <w:vAlign w:val="bottom"/>
            <w:tcBorders>
              <w:right w:val="single" w:sz="8" w:color="auto"/>
            </w:tcBorders>
          </w:tcPr>
          <w:p>
            <w:pPr>
              <w:jc w:val="center"/>
              <w:ind w:left="394"/>
              <w:spacing w:after="0" w:line="112" w:lineRule="exact"/>
              <w:rPr>
                <w:sz w:val="20"/>
                <w:szCs w:val="20"/>
                <w:color w:val="auto"/>
              </w:rPr>
            </w:pPr>
            <w:r>
              <w:rPr>
                <w:rFonts w:ascii="Times New Roman" w:cs="Times New Roman" w:eastAsia="Times New Roman" w:hAnsi="Times New Roman"/>
                <w:sz w:val="12"/>
                <w:szCs w:val="12"/>
                <w:color w:val="auto"/>
              </w:rPr>
              <w:t>7.1%</w:t>
            </w:r>
          </w:p>
        </w:tc>
      </w:tr>
      <w:tr>
        <w:trPr>
          <w:trHeight w:val="160"/>
        </w:trPr>
        <w:tc>
          <w:tcPr>
            <w:tcW w:w="4520" w:type="dxa"/>
            <w:vAlign w:val="bottom"/>
            <w:tcBorders>
              <w:left w:val="single" w:sz="8" w:color="auto"/>
              <w:bottom w:val="single" w:sz="8" w:color="auto"/>
              <w:right w:val="single" w:sz="8" w:color="auto"/>
            </w:tcBorders>
            <w:gridSpan w:val="2"/>
          </w:tcPr>
          <w:p>
            <w:pPr>
              <w:ind w:left="180"/>
              <w:spacing w:after="0" w:line="160" w:lineRule="exact"/>
              <w:rPr>
                <w:sz w:val="20"/>
                <w:szCs w:val="20"/>
                <w:color w:val="auto"/>
              </w:rPr>
            </w:pPr>
            <w:r>
              <w:rPr>
                <w:rFonts w:ascii="Times New Roman" w:cs="Times New Roman" w:eastAsia="Times New Roman" w:hAnsi="Times New Roman"/>
                <w:sz w:val="14"/>
                <w:szCs w:val="14"/>
                <w:color w:val="auto"/>
              </w:rPr>
              <w:t>Others</w:t>
            </w:r>
          </w:p>
        </w:tc>
        <w:tc>
          <w:tcPr>
            <w:tcW w:w="1500" w:type="dxa"/>
            <w:vAlign w:val="bottom"/>
            <w:tcBorders>
              <w:bottom w:val="single" w:sz="8" w:color="auto"/>
            </w:tcBorders>
          </w:tcPr>
          <w:p>
            <w:pPr>
              <w:jc w:val="center"/>
              <w:ind w:right="93"/>
              <w:spacing w:after="0" w:line="160" w:lineRule="exact"/>
              <w:rPr>
                <w:sz w:val="20"/>
                <w:szCs w:val="20"/>
                <w:color w:val="auto"/>
              </w:rPr>
            </w:pPr>
            <w:r>
              <w:rPr>
                <w:rFonts w:ascii="Times New Roman" w:cs="Times New Roman" w:eastAsia="Times New Roman" w:hAnsi="Times New Roman"/>
                <w:sz w:val="14"/>
                <w:szCs w:val="14"/>
                <w:color w:val="auto"/>
                <w:w w:val="98"/>
              </w:rPr>
              <w:t>22,798,584</w:t>
            </w:r>
          </w:p>
        </w:tc>
        <w:tc>
          <w:tcPr>
            <w:tcW w:w="1140" w:type="dxa"/>
            <w:vAlign w:val="bottom"/>
            <w:tcBorders>
              <w:bottom w:val="single" w:sz="8" w:color="auto"/>
            </w:tcBorders>
          </w:tcPr>
          <w:p>
            <w:pPr>
              <w:jc w:val="center"/>
              <w:ind w:right="74"/>
              <w:spacing w:after="0" w:line="160" w:lineRule="exact"/>
              <w:rPr>
                <w:sz w:val="20"/>
                <w:szCs w:val="20"/>
                <w:color w:val="auto"/>
              </w:rPr>
            </w:pPr>
            <w:r>
              <w:rPr>
                <w:rFonts w:ascii="Times New Roman" w:cs="Times New Roman" w:eastAsia="Times New Roman" w:hAnsi="Times New Roman"/>
                <w:sz w:val="14"/>
                <w:szCs w:val="14"/>
                <w:color w:val="auto"/>
                <w:w w:val="95"/>
              </w:rPr>
              <w:t>25,142,416</w:t>
            </w:r>
          </w:p>
        </w:tc>
        <w:tc>
          <w:tcPr>
            <w:tcW w:w="1280" w:type="dxa"/>
            <w:vAlign w:val="bottom"/>
            <w:tcBorders>
              <w:bottom w:val="single" w:sz="8" w:color="auto"/>
            </w:tcBorders>
          </w:tcPr>
          <w:p>
            <w:pPr>
              <w:jc w:val="center"/>
              <w:ind w:left="73"/>
              <w:spacing w:after="0" w:line="160" w:lineRule="exact"/>
              <w:rPr>
                <w:sz w:val="20"/>
                <w:szCs w:val="20"/>
                <w:color w:val="auto"/>
              </w:rPr>
            </w:pPr>
            <w:r>
              <w:rPr>
                <w:rFonts w:ascii="Times New Roman" w:cs="Times New Roman" w:eastAsia="Times New Roman" w:hAnsi="Times New Roman"/>
                <w:sz w:val="14"/>
                <w:szCs w:val="14"/>
                <w:color w:val="auto"/>
                <w:w w:val="98"/>
              </w:rPr>
              <w:t>27,214,120</w:t>
            </w:r>
          </w:p>
        </w:tc>
        <w:tc>
          <w:tcPr>
            <w:tcW w:w="120" w:type="dxa"/>
            <w:vAlign w:val="bottom"/>
            <w:tcBorders>
              <w:bottom w:val="single" w:sz="8" w:color="auto"/>
              <w:right w:val="single" w:sz="8" w:color="auto"/>
            </w:tcBorders>
          </w:tcPr>
          <w:p>
            <w:pPr>
              <w:spacing w:after="0"/>
              <w:rPr>
                <w:sz w:val="13"/>
                <w:szCs w:val="13"/>
                <w:color w:val="auto"/>
              </w:rPr>
            </w:pPr>
          </w:p>
        </w:tc>
        <w:tc>
          <w:tcPr>
            <w:tcW w:w="960" w:type="dxa"/>
            <w:vAlign w:val="bottom"/>
            <w:tcBorders>
              <w:bottom w:val="single" w:sz="8" w:color="auto"/>
            </w:tcBorders>
          </w:tcPr>
          <w:p>
            <w:pPr>
              <w:jc w:val="center"/>
              <w:ind w:left="413"/>
              <w:spacing w:after="0" w:line="160" w:lineRule="exact"/>
              <w:rPr>
                <w:sz w:val="20"/>
                <w:szCs w:val="20"/>
                <w:color w:val="auto"/>
              </w:rPr>
            </w:pPr>
            <w:r>
              <w:rPr>
                <w:rFonts w:ascii="Times New Roman" w:cs="Times New Roman" w:eastAsia="Times New Roman" w:hAnsi="Times New Roman"/>
                <w:sz w:val="14"/>
                <w:szCs w:val="14"/>
                <w:color w:val="auto"/>
                <w:w w:val="95"/>
              </w:rPr>
              <w:t>8.2%</w:t>
            </w:r>
          </w:p>
        </w:tc>
        <w:tc>
          <w:tcPr>
            <w:tcW w:w="1740" w:type="dxa"/>
            <w:vAlign w:val="bottom"/>
            <w:tcBorders>
              <w:bottom w:val="single" w:sz="8" w:color="auto"/>
              <w:right w:val="single" w:sz="8" w:color="auto"/>
            </w:tcBorders>
          </w:tcPr>
          <w:p>
            <w:pPr>
              <w:jc w:val="center"/>
              <w:ind w:left="394"/>
              <w:spacing w:after="0" w:line="160" w:lineRule="exact"/>
              <w:rPr>
                <w:sz w:val="20"/>
                <w:szCs w:val="20"/>
                <w:color w:val="auto"/>
              </w:rPr>
            </w:pPr>
            <w:r>
              <w:rPr>
                <w:rFonts w:ascii="Times New Roman" w:cs="Times New Roman" w:eastAsia="Times New Roman" w:hAnsi="Times New Roman"/>
                <w:sz w:val="14"/>
                <w:szCs w:val="14"/>
                <w:color w:val="auto"/>
                <w:w w:val="99"/>
              </w:rPr>
              <w:t>19.4%</w:t>
            </w:r>
          </w:p>
        </w:tc>
      </w:tr>
      <w:tr>
        <w:trPr>
          <w:trHeight w:val="132"/>
        </w:trPr>
        <w:tc>
          <w:tcPr>
            <w:tcW w:w="44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740" w:type="dxa"/>
            <w:vAlign w:val="bottom"/>
            <w:tcBorders>
              <w:bottom w:val="single" w:sz="8" w:color="auto"/>
            </w:tcBorders>
          </w:tcPr>
          <w:p>
            <w:pPr>
              <w:spacing w:after="0"/>
              <w:rPr>
                <w:sz w:val="11"/>
                <w:szCs w:val="11"/>
                <w:color w:val="auto"/>
              </w:rPr>
            </w:pPr>
          </w:p>
        </w:tc>
      </w:tr>
      <w:tr>
        <w:trPr>
          <w:trHeight w:val="132"/>
        </w:trPr>
        <w:tc>
          <w:tcPr>
            <w:tcW w:w="4520" w:type="dxa"/>
            <w:vAlign w:val="bottom"/>
            <w:tcBorders>
              <w:left w:val="single" w:sz="8" w:color="auto"/>
              <w:bottom w:val="single" w:sz="8" w:color="auto"/>
              <w:right w:val="single" w:sz="8" w:color="auto"/>
            </w:tcBorders>
            <w:gridSpan w:val="2"/>
          </w:tcPr>
          <w:p>
            <w:pPr>
              <w:ind w:left="20"/>
              <w:spacing w:after="0" w:line="133" w:lineRule="exact"/>
              <w:rPr>
                <w:sz w:val="20"/>
                <w:szCs w:val="20"/>
                <w:color w:val="auto"/>
              </w:rPr>
            </w:pPr>
            <w:r>
              <w:rPr>
                <w:rFonts w:ascii="Times New Roman" w:cs="Times New Roman" w:eastAsia="Times New Roman" w:hAnsi="Times New Roman"/>
                <w:sz w:val="14"/>
                <w:szCs w:val="14"/>
                <w:b w:val="1"/>
                <w:bCs w:val="1"/>
                <w:color w:val="auto"/>
              </w:rPr>
              <w:t>CET1 ratio IFRS</w:t>
            </w:r>
          </w:p>
        </w:tc>
        <w:tc>
          <w:tcPr>
            <w:tcW w:w="1500" w:type="dxa"/>
            <w:vAlign w:val="bottom"/>
            <w:tcBorders>
              <w:bottom w:val="single" w:sz="8" w:color="auto"/>
            </w:tcBorders>
          </w:tcPr>
          <w:p>
            <w:pPr>
              <w:jc w:val="center"/>
              <w:ind w:right="93"/>
              <w:spacing w:after="0" w:line="133" w:lineRule="exact"/>
              <w:rPr>
                <w:sz w:val="20"/>
                <w:szCs w:val="20"/>
                <w:color w:val="auto"/>
              </w:rPr>
            </w:pPr>
            <w:r>
              <w:rPr>
                <w:rFonts w:ascii="Times New Roman" w:cs="Times New Roman" w:eastAsia="Times New Roman" w:hAnsi="Times New Roman"/>
                <w:sz w:val="14"/>
                <w:szCs w:val="14"/>
                <w:b w:val="1"/>
                <w:bCs w:val="1"/>
                <w:color w:val="auto"/>
                <w:w w:val="92"/>
              </w:rPr>
              <w:t>11.62%</w:t>
            </w:r>
          </w:p>
        </w:tc>
        <w:tc>
          <w:tcPr>
            <w:tcW w:w="1140" w:type="dxa"/>
            <w:vAlign w:val="bottom"/>
            <w:tcBorders>
              <w:bottom w:val="single" w:sz="8" w:color="auto"/>
            </w:tcBorders>
          </w:tcPr>
          <w:p>
            <w:pPr>
              <w:jc w:val="center"/>
              <w:ind w:right="74"/>
              <w:spacing w:after="0" w:line="133" w:lineRule="exact"/>
              <w:rPr>
                <w:sz w:val="20"/>
                <w:szCs w:val="20"/>
                <w:color w:val="auto"/>
              </w:rPr>
            </w:pPr>
            <w:r>
              <w:rPr>
                <w:rFonts w:ascii="Times New Roman" w:cs="Times New Roman" w:eastAsia="Times New Roman" w:hAnsi="Times New Roman"/>
                <w:sz w:val="14"/>
                <w:szCs w:val="14"/>
                <w:b w:val="1"/>
                <w:bCs w:val="1"/>
                <w:color w:val="auto"/>
                <w:w w:val="96"/>
              </w:rPr>
              <w:t>13.99%</w:t>
            </w:r>
          </w:p>
        </w:tc>
        <w:tc>
          <w:tcPr>
            <w:tcW w:w="1280" w:type="dxa"/>
            <w:vAlign w:val="bottom"/>
            <w:tcBorders>
              <w:bottom w:val="single" w:sz="8" w:color="auto"/>
            </w:tcBorders>
          </w:tcPr>
          <w:p>
            <w:pPr>
              <w:jc w:val="center"/>
              <w:ind w:left="73"/>
              <w:spacing w:after="0" w:line="133" w:lineRule="exact"/>
              <w:rPr>
                <w:sz w:val="20"/>
                <w:szCs w:val="20"/>
                <w:color w:val="auto"/>
              </w:rPr>
            </w:pPr>
            <w:r>
              <w:rPr>
                <w:rFonts w:ascii="Times New Roman" w:cs="Times New Roman" w:eastAsia="Times New Roman" w:hAnsi="Times New Roman"/>
                <w:sz w:val="14"/>
                <w:szCs w:val="14"/>
                <w:b w:val="1"/>
                <w:bCs w:val="1"/>
                <w:color w:val="auto"/>
                <w:w w:val="92"/>
              </w:rPr>
              <w:t>11.29%</w:t>
            </w:r>
          </w:p>
        </w:tc>
        <w:tc>
          <w:tcPr>
            <w:tcW w:w="120" w:type="dxa"/>
            <w:vAlign w:val="bottom"/>
            <w:tcBorders>
              <w:bottom w:val="single" w:sz="8" w:color="auto"/>
              <w:right w:val="single" w:sz="8" w:color="auto"/>
            </w:tcBorders>
          </w:tcPr>
          <w:p>
            <w:pPr>
              <w:spacing w:after="0"/>
              <w:rPr>
                <w:sz w:val="11"/>
                <w:szCs w:val="11"/>
                <w:color w:val="auto"/>
              </w:rPr>
            </w:pPr>
          </w:p>
        </w:tc>
        <w:tc>
          <w:tcPr>
            <w:tcW w:w="960" w:type="dxa"/>
            <w:vAlign w:val="bottom"/>
            <w:tcBorders>
              <w:bottom w:val="single" w:sz="8" w:color="auto"/>
            </w:tcBorders>
          </w:tcPr>
          <w:p>
            <w:pPr>
              <w:ind w:left="480"/>
              <w:spacing w:after="0" w:line="133" w:lineRule="exact"/>
              <w:rPr>
                <w:sz w:val="20"/>
                <w:szCs w:val="20"/>
                <w:color w:val="auto"/>
              </w:rPr>
            </w:pPr>
            <w:r>
              <w:rPr>
                <w:rFonts w:ascii="Times New Roman" w:cs="Times New Roman" w:eastAsia="Times New Roman" w:hAnsi="Times New Roman"/>
                <w:sz w:val="14"/>
                <w:szCs w:val="14"/>
                <w:b w:val="1"/>
                <w:bCs w:val="1"/>
                <w:color w:val="auto"/>
                <w:w w:val="91"/>
              </w:rPr>
              <w:t>-270 bps</w:t>
            </w:r>
          </w:p>
        </w:tc>
        <w:tc>
          <w:tcPr>
            <w:tcW w:w="1740" w:type="dxa"/>
            <w:vAlign w:val="bottom"/>
            <w:tcBorders>
              <w:bottom w:val="single" w:sz="8" w:color="auto"/>
              <w:right w:val="single" w:sz="8" w:color="auto"/>
            </w:tcBorders>
          </w:tcPr>
          <w:p>
            <w:pPr>
              <w:jc w:val="center"/>
              <w:ind w:left="374"/>
              <w:spacing w:after="0" w:line="133" w:lineRule="exact"/>
              <w:rPr>
                <w:sz w:val="20"/>
                <w:szCs w:val="20"/>
                <w:color w:val="auto"/>
              </w:rPr>
            </w:pPr>
            <w:r>
              <w:rPr>
                <w:rFonts w:ascii="Times New Roman" w:cs="Times New Roman" w:eastAsia="Times New Roman" w:hAnsi="Times New Roman"/>
                <w:sz w:val="14"/>
                <w:szCs w:val="14"/>
                <w:b w:val="1"/>
                <w:bCs w:val="1"/>
                <w:color w:val="auto"/>
                <w:w w:val="97"/>
              </w:rPr>
              <w:t>-33 bps</w:t>
            </w:r>
          </w:p>
        </w:tc>
      </w:tr>
      <w:tr>
        <w:trPr>
          <w:trHeight w:val="398"/>
        </w:trPr>
        <w:tc>
          <w:tcPr>
            <w:tcW w:w="4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ind w:left="780"/>
              <w:spacing w:after="0"/>
              <w:rPr>
                <w:sz w:val="20"/>
                <w:szCs w:val="20"/>
                <w:color w:val="auto"/>
              </w:rPr>
            </w:pPr>
            <w:r>
              <w:rPr>
                <w:rFonts w:ascii="Times New Roman" w:cs="Times New Roman" w:eastAsia="Times New Roman" w:hAnsi="Times New Roman"/>
                <w:sz w:val="17"/>
                <w:szCs w:val="17"/>
                <w:b w:val="1"/>
                <w:bCs w:val="1"/>
                <w:color w:val="auto"/>
              </w:rPr>
              <w:t>Mibanco</w:t>
            </w:r>
          </w:p>
        </w:tc>
        <w:tc>
          <w:tcPr>
            <w:tcW w:w="1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04"/>
        </w:trPr>
        <w:tc>
          <w:tcPr>
            <w:tcW w:w="44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r>
      <w:tr>
        <w:trPr>
          <w:trHeight w:val="108"/>
        </w:trPr>
        <w:tc>
          <w:tcPr>
            <w:tcW w:w="4440" w:type="dxa"/>
            <w:vAlign w:val="bottom"/>
            <w:tcBorders>
              <w:left w:val="single" w:sz="8" w:color="auto"/>
              <w:right w:val="single" w:sz="8" w:color="auto"/>
            </w:tcBorders>
            <w:shd w:val="clear" w:color="auto" w:fill="2AD2C9"/>
          </w:tcPr>
          <w:p>
            <w:pPr>
              <w:ind w:left="20"/>
              <w:spacing w:after="0" w:line="108" w:lineRule="exact"/>
              <w:rPr>
                <w:sz w:val="20"/>
                <w:szCs w:val="20"/>
                <w:color w:val="auto"/>
              </w:rPr>
            </w:pPr>
            <w:r>
              <w:rPr>
                <w:rFonts w:ascii="Times New Roman" w:cs="Times New Roman" w:eastAsia="Times New Roman" w:hAnsi="Times New Roman"/>
                <w:sz w:val="12"/>
                <w:szCs w:val="12"/>
                <w:b w:val="1"/>
                <w:bCs w:val="1"/>
                <w:color w:val="FFFFFF"/>
              </w:rPr>
              <w:t>Common Equity Tier 1 IFRS</w:t>
            </w:r>
          </w:p>
        </w:tc>
        <w:tc>
          <w:tcPr>
            <w:tcW w:w="80" w:type="dxa"/>
            <w:vAlign w:val="bottom"/>
            <w:tcBorders>
              <w:right w:val="single" w:sz="8" w:color="2AD2C9"/>
            </w:tcBorders>
            <w:shd w:val="clear" w:color="auto" w:fill="2AD2C9"/>
          </w:tcPr>
          <w:p>
            <w:pPr>
              <w:spacing w:after="0"/>
              <w:rPr>
                <w:sz w:val="9"/>
                <w:szCs w:val="9"/>
                <w:color w:val="auto"/>
              </w:rPr>
            </w:pPr>
          </w:p>
        </w:tc>
        <w:tc>
          <w:tcPr>
            <w:tcW w:w="1500" w:type="dxa"/>
            <w:vAlign w:val="bottom"/>
            <w:shd w:val="clear" w:color="auto" w:fill="2AD2C9"/>
          </w:tcPr>
          <w:p>
            <w:pPr>
              <w:spacing w:after="0"/>
              <w:rPr>
                <w:sz w:val="9"/>
                <w:szCs w:val="9"/>
                <w:color w:val="auto"/>
              </w:rPr>
            </w:pPr>
          </w:p>
        </w:tc>
        <w:tc>
          <w:tcPr>
            <w:tcW w:w="1140" w:type="dxa"/>
            <w:vAlign w:val="bottom"/>
            <w:shd w:val="clear" w:color="auto" w:fill="2AD2C9"/>
          </w:tcPr>
          <w:p>
            <w:pPr>
              <w:jc w:val="center"/>
              <w:ind w:right="294"/>
              <w:spacing w:after="0" w:line="108" w:lineRule="exact"/>
              <w:rPr>
                <w:sz w:val="20"/>
                <w:szCs w:val="20"/>
                <w:color w:val="auto"/>
              </w:rPr>
            </w:pPr>
            <w:r>
              <w:rPr>
                <w:rFonts w:ascii="Times New Roman" w:cs="Times New Roman" w:eastAsia="Times New Roman" w:hAnsi="Times New Roman"/>
                <w:sz w:val="12"/>
                <w:szCs w:val="12"/>
                <w:b w:val="1"/>
                <w:bCs w:val="1"/>
                <w:color w:val="FFFFFF"/>
              </w:rPr>
              <w:t>As of</w:t>
            </w:r>
          </w:p>
        </w:tc>
        <w:tc>
          <w:tcPr>
            <w:tcW w:w="1280" w:type="dxa"/>
            <w:vAlign w:val="bottom"/>
            <w:tcBorders>
              <w:right w:val="single" w:sz="8" w:color="auto"/>
            </w:tcBorders>
            <w:shd w:val="clear" w:color="auto" w:fill="2AD2C9"/>
          </w:tcPr>
          <w:p>
            <w:pPr>
              <w:spacing w:after="0"/>
              <w:rPr>
                <w:sz w:val="9"/>
                <w:szCs w:val="9"/>
                <w:color w:val="auto"/>
              </w:rPr>
            </w:pPr>
          </w:p>
        </w:tc>
        <w:tc>
          <w:tcPr>
            <w:tcW w:w="120" w:type="dxa"/>
            <w:vAlign w:val="bottom"/>
            <w:tcBorders>
              <w:right w:val="single" w:sz="8" w:color="2AD2C9"/>
            </w:tcBorders>
            <w:shd w:val="clear" w:color="auto" w:fill="2AD2C9"/>
          </w:tcPr>
          <w:p>
            <w:pPr>
              <w:spacing w:after="0"/>
              <w:rPr>
                <w:sz w:val="9"/>
                <w:szCs w:val="9"/>
                <w:color w:val="auto"/>
              </w:rPr>
            </w:pPr>
          </w:p>
        </w:tc>
        <w:tc>
          <w:tcPr>
            <w:tcW w:w="960" w:type="dxa"/>
            <w:vAlign w:val="bottom"/>
            <w:shd w:val="clear" w:color="auto" w:fill="2AD2C9"/>
          </w:tcPr>
          <w:p>
            <w:pPr>
              <w:spacing w:after="0"/>
              <w:rPr>
                <w:sz w:val="9"/>
                <w:szCs w:val="9"/>
                <w:color w:val="auto"/>
              </w:rPr>
            </w:pPr>
          </w:p>
        </w:tc>
        <w:tc>
          <w:tcPr>
            <w:tcW w:w="1740" w:type="dxa"/>
            <w:vAlign w:val="bottom"/>
            <w:tcBorders>
              <w:right w:val="single" w:sz="8" w:color="auto"/>
            </w:tcBorders>
            <w:shd w:val="clear" w:color="auto" w:fill="2AD2C9"/>
          </w:tcPr>
          <w:p>
            <w:pPr>
              <w:ind w:left="20"/>
              <w:spacing w:after="0" w:line="108" w:lineRule="exact"/>
              <w:rPr>
                <w:sz w:val="20"/>
                <w:szCs w:val="20"/>
                <w:color w:val="auto"/>
              </w:rPr>
            </w:pPr>
            <w:r>
              <w:rPr>
                <w:rFonts w:ascii="Times New Roman" w:cs="Times New Roman" w:eastAsia="Times New Roman" w:hAnsi="Times New Roman"/>
                <w:sz w:val="12"/>
                <w:szCs w:val="12"/>
                <w:b w:val="1"/>
                <w:bCs w:val="1"/>
                <w:color w:val="FFFFFF"/>
              </w:rPr>
              <w:t>% Change</w:t>
            </w:r>
          </w:p>
        </w:tc>
      </w:tr>
      <w:tr>
        <w:trPr>
          <w:trHeight w:val="164"/>
        </w:trPr>
        <w:tc>
          <w:tcPr>
            <w:tcW w:w="4440" w:type="dxa"/>
            <w:vAlign w:val="bottom"/>
            <w:tcBorders>
              <w:left w:val="single" w:sz="8" w:color="auto"/>
              <w:bottom w:val="single" w:sz="8" w:color="auto"/>
              <w:right w:val="single" w:sz="8" w:color="auto"/>
            </w:tcBorders>
            <w:shd w:val="clear" w:color="auto" w:fill="2AD2C9"/>
          </w:tcPr>
          <w:p>
            <w:pPr>
              <w:ind w:left="20"/>
              <w:spacing w:after="0"/>
              <w:rPr>
                <w:sz w:val="20"/>
                <w:szCs w:val="20"/>
                <w:color w:val="auto"/>
              </w:rPr>
            </w:pPr>
            <w:r>
              <w:rPr>
                <w:rFonts w:ascii="Times New Roman" w:cs="Times New Roman" w:eastAsia="Times New Roman" w:hAnsi="Times New Roman"/>
                <w:sz w:val="14"/>
                <w:szCs w:val="14"/>
                <w:color w:val="FFFFFF"/>
              </w:rPr>
              <w:t>(S/ thousand)</w:t>
            </w:r>
          </w:p>
        </w:tc>
        <w:tc>
          <w:tcPr>
            <w:tcW w:w="80" w:type="dxa"/>
            <w:vAlign w:val="bottom"/>
            <w:tcBorders>
              <w:bottom w:val="single" w:sz="8" w:color="auto"/>
              <w:right w:val="single" w:sz="8" w:color="2AD2C9"/>
            </w:tcBorders>
            <w:shd w:val="clear" w:color="auto" w:fill="2AD2C9"/>
          </w:tcPr>
          <w:p>
            <w:pPr>
              <w:spacing w:after="0"/>
              <w:rPr>
                <w:sz w:val="14"/>
                <w:szCs w:val="14"/>
                <w:color w:val="auto"/>
              </w:rPr>
            </w:pPr>
          </w:p>
        </w:tc>
        <w:tc>
          <w:tcPr>
            <w:tcW w:w="1500" w:type="dxa"/>
            <w:vAlign w:val="bottom"/>
            <w:tcBorders>
              <w:bottom w:val="single" w:sz="8" w:color="auto"/>
            </w:tcBorders>
            <w:shd w:val="clear" w:color="auto" w:fill="2AD2C9"/>
          </w:tcPr>
          <w:p>
            <w:pPr>
              <w:ind w:left="340"/>
              <w:spacing w:after="0"/>
              <w:rPr>
                <w:sz w:val="20"/>
                <w:szCs w:val="20"/>
                <w:color w:val="auto"/>
              </w:rPr>
            </w:pPr>
            <w:r>
              <w:rPr>
                <w:rFonts w:ascii="Times New Roman" w:cs="Times New Roman" w:eastAsia="Times New Roman" w:hAnsi="Times New Roman"/>
                <w:sz w:val="14"/>
                <w:szCs w:val="14"/>
                <w:b w:val="1"/>
                <w:bCs w:val="1"/>
                <w:color w:val="FFFFFF"/>
              </w:rPr>
              <w:t>Mar 25</w:t>
            </w:r>
          </w:p>
        </w:tc>
        <w:tc>
          <w:tcPr>
            <w:tcW w:w="1140" w:type="dxa"/>
            <w:vAlign w:val="bottom"/>
            <w:tcBorders>
              <w:bottom w:val="single" w:sz="8" w:color="auto"/>
            </w:tcBorders>
            <w:shd w:val="clear" w:color="auto" w:fill="2AD2C9"/>
          </w:tcPr>
          <w:p>
            <w:pPr>
              <w:jc w:val="center"/>
              <w:ind w:right="294"/>
              <w:spacing w:after="0"/>
              <w:rPr>
                <w:sz w:val="20"/>
                <w:szCs w:val="20"/>
                <w:color w:val="auto"/>
              </w:rPr>
            </w:pPr>
            <w:r>
              <w:rPr>
                <w:rFonts w:ascii="Times New Roman" w:cs="Times New Roman" w:eastAsia="Times New Roman" w:hAnsi="Times New Roman"/>
                <w:sz w:val="14"/>
                <w:szCs w:val="14"/>
                <w:b w:val="1"/>
                <w:bCs w:val="1"/>
                <w:color w:val="FFFFFF"/>
                <w:w w:val="94"/>
              </w:rPr>
              <w:t>Dec 25</w:t>
            </w:r>
          </w:p>
        </w:tc>
        <w:tc>
          <w:tcPr>
            <w:tcW w:w="1280" w:type="dxa"/>
            <w:vAlign w:val="bottom"/>
            <w:tcBorders>
              <w:bottom w:val="single" w:sz="8" w:color="auto"/>
              <w:right w:val="single" w:sz="8" w:color="auto"/>
            </w:tcBorders>
            <w:shd w:val="clear" w:color="auto" w:fill="2AD2C9"/>
          </w:tcPr>
          <w:p>
            <w:pPr>
              <w:ind w:left="380"/>
              <w:spacing w:after="0"/>
              <w:rPr>
                <w:sz w:val="20"/>
                <w:szCs w:val="20"/>
                <w:color w:val="auto"/>
              </w:rPr>
            </w:pPr>
            <w:r>
              <w:rPr>
                <w:rFonts w:ascii="Times New Roman" w:cs="Times New Roman" w:eastAsia="Times New Roman" w:hAnsi="Times New Roman"/>
                <w:sz w:val="14"/>
                <w:szCs w:val="14"/>
                <w:b w:val="1"/>
                <w:bCs w:val="1"/>
                <w:color w:val="FFFFFF"/>
              </w:rPr>
              <w:t>Mar 26</w:t>
            </w:r>
          </w:p>
        </w:tc>
        <w:tc>
          <w:tcPr>
            <w:tcW w:w="120" w:type="dxa"/>
            <w:vAlign w:val="bottom"/>
            <w:tcBorders>
              <w:bottom w:val="single" w:sz="8" w:color="auto"/>
              <w:right w:val="single" w:sz="8" w:color="2AD2C9"/>
            </w:tcBorders>
            <w:shd w:val="clear" w:color="auto" w:fill="2AD2C9"/>
          </w:tcPr>
          <w:p>
            <w:pPr>
              <w:spacing w:after="0"/>
              <w:rPr>
                <w:sz w:val="14"/>
                <w:szCs w:val="14"/>
                <w:color w:val="auto"/>
              </w:rPr>
            </w:pPr>
          </w:p>
        </w:tc>
        <w:tc>
          <w:tcPr>
            <w:tcW w:w="960" w:type="dxa"/>
            <w:vAlign w:val="bottom"/>
            <w:tcBorders>
              <w:bottom w:val="single" w:sz="8" w:color="auto"/>
            </w:tcBorders>
            <w:shd w:val="clear" w:color="auto" w:fill="2AD2C9"/>
          </w:tcPr>
          <w:p>
            <w:pPr>
              <w:ind w:left="460"/>
              <w:spacing w:after="0"/>
              <w:rPr>
                <w:sz w:val="20"/>
                <w:szCs w:val="20"/>
                <w:color w:val="auto"/>
              </w:rPr>
            </w:pPr>
            <w:r>
              <w:rPr>
                <w:rFonts w:ascii="Times New Roman" w:cs="Times New Roman" w:eastAsia="Times New Roman" w:hAnsi="Times New Roman"/>
                <w:sz w:val="14"/>
                <w:szCs w:val="14"/>
                <w:b w:val="1"/>
                <w:bCs w:val="1"/>
                <w:color w:val="FFFFFF"/>
              </w:rPr>
              <w:t>QoQ</w:t>
            </w:r>
          </w:p>
        </w:tc>
        <w:tc>
          <w:tcPr>
            <w:tcW w:w="1740" w:type="dxa"/>
            <w:vAlign w:val="bottom"/>
            <w:tcBorders>
              <w:bottom w:val="single" w:sz="8" w:color="auto"/>
              <w:right w:val="single" w:sz="8" w:color="auto"/>
            </w:tcBorders>
            <w:shd w:val="clear" w:color="auto" w:fill="2AD2C9"/>
          </w:tcPr>
          <w:p>
            <w:pPr>
              <w:jc w:val="center"/>
              <w:ind w:left="274"/>
              <w:spacing w:after="0"/>
              <w:rPr>
                <w:sz w:val="20"/>
                <w:szCs w:val="20"/>
                <w:color w:val="auto"/>
              </w:rPr>
            </w:pPr>
            <w:r>
              <w:rPr>
                <w:rFonts w:ascii="Times New Roman" w:cs="Times New Roman" w:eastAsia="Times New Roman" w:hAnsi="Times New Roman"/>
                <w:sz w:val="14"/>
                <w:szCs w:val="14"/>
                <w:b w:val="1"/>
                <w:bCs w:val="1"/>
                <w:color w:val="FFFFFF"/>
                <w:w w:val="87"/>
              </w:rPr>
              <w:t>YoY</w:t>
            </w:r>
          </w:p>
        </w:tc>
      </w:tr>
      <w:tr>
        <w:trPr>
          <w:trHeight w:val="112"/>
        </w:trPr>
        <w:tc>
          <w:tcPr>
            <w:tcW w:w="4440" w:type="dxa"/>
            <w:vAlign w:val="bottom"/>
            <w:tcBorders>
              <w:left w:val="single" w:sz="8" w:color="auto"/>
              <w:right w:val="single" w:sz="8" w:color="auto"/>
            </w:tcBorders>
          </w:tcPr>
          <w:p>
            <w:pPr>
              <w:ind w:left="180"/>
              <w:spacing w:after="0" w:line="112" w:lineRule="exact"/>
              <w:rPr>
                <w:sz w:val="20"/>
                <w:szCs w:val="20"/>
                <w:color w:val="auto"/>
              </w:rPr>
            </w:pPr>
            <w:r>
              <w:rPr>
                <w:rFonts w:ascii="Times New Roman" w:cs="Times New Roman" w:eastAsia="Times New Roman" w:hAnsi="Times New Roman"/>
                <w:sz w:val="12"/>
                <w:szCs w:val="12"/>
                <w:color w:val="auto"/>
              </w:rPr>
              <w:t>Capital and reserves</w:t>
            </w:r>
          </w:p>
        </w:tc>
        <w:tc>
          <w:tcPr>
            <w:tcW w:w="80" w:type="dxa"/>
            <w:vAlign w:val="bottom"/>
          </w:tcPr>
          <w:p>
            <w:pPr>
              <w:spacing w:after="0"/>
              <w:rPr>
                <w:sz w:val="9"/>
                <w:szCs w:val="9"/>
                <w:color w:val="auto"/>
              </w:rPr>
            </w:pPr>
          </w:p>
        </w:tc>
        <w:tc>
          <w:tcPr>
            <w:tcW w:w="1500" w:type="dxa"/>
            <w:vAlign w:val="bottom"/>
          </w:tcPr>
          <w:p>
            <w:pPr>
              <w:jc w:val="center"/>
              <w:ind w:right="333"/>
              <w:spacing w:after="0" w:line="112" w:lineRule="exact"/>
              <w:rPr>
                <w:sz w:val="20"/>
                <w:szCs w:val="20"/>
                <w:color w:val="auto"/>
              </w:rPr>
            </w:pPr>
            <w:r>
              <w:rPr>
                <w:rFonts w:ascii="Times New Roman" w:cs="Times New Roman" w:eastAsia="Times New Roman" w:hAnsi="Times New Roman"/>
                <w:sz w:val="12"/>
                <w:szCs w:val="12"/>
                <w:color w:val="auto"/>
              </w:rPr>
              <w:t>2,734,582</w:t>
            </w:r>
          </w:p>
        </w:tc>
        <w:tc>
          <w:tcPr>
            <w:tcW w:w="1140" w:type="dxa"/>
            <w:vAlign w:val="bottom"/>
          </w:tcPr>
          <w:p>
            <w:pPr>
              <w:jc w:val="center"/>
              <w:ind w:right="294"/>
              <w:spacing w:after="0" w:line="112" w:lineRule="exact"/>
              <w:rPr>
                <w:sz w:val="20"/>
                <w:szCs w:val="20"/>
                <w:color w:val="auto"/>
              </w:rPr>
            </w:pPr>
            <w:r>
              <w:rPr>
                <w:rFonts w:ascii="Times New Roman" w:cs="Times New Roman" w:eastAsia="Times New Roman" w:hAnsi="Times New Roman"/>
                <w:sz w:val="12"/>
                <w:szCs w:val="12"/>
                <w:color w:val="auto"/>
              </w:rPr>
              <w:t>2,734,582</w:t>
            </w:r>
          </w:p>
        </w:tc>
        <w:tc>
          <w:tcPr>
            <w:tcW w:w="1280" w:type="dxa"/>
            <w:vAlign w:val="bottom"/>
            <w:tcBorders>
              <w:right w:val="single" w:sz="8" w:color="auto"/>
            </w:tcBorders>
          </w:tcPr>
          <w:p>
            <w:pPr>
              <w:jc w:val="center"/>
              <w:ind w:right="33"/>
              <w:spacing w:after="0" w:line="112" w:lineRule="exact"/>
              <w:rPr>
                <w:sz w:val="20"/>
                <w:szCs w:val="20"/>
                <w:color w:val="auto"/>
              </w:rPr>
            </w:pPr>
            <w:r>
              <w:rPr>
                <w:rFonts w:ascii="Times New Roman" w:cs="Times New Roman" w:eastAsia="Times New Roman" w:hAnsi="Times New Roman"/>
                <w:sz w:val="12"/>
                <w:szCs w:val="12"/>
                <w:color w:val="auto"/>
              </w:rPr>
              <w:t>2,789,591</w:t>
            </w:r>
          </w:p>
        </w:tc>
        <w:tc>
          <w:tcPr>
            <w:tcW w:w="120" w:type="dxa"/>
            <w:vAlign w:val="bottom"/>
          </w:tcPr>
          <w:p>
            <w:pPr>
              <w:spacing w:after="0"/>
              <w:rPr>
                <w:sz w:val="9"/>
                <w:szCs w:val="9"/>
                <w:color w:val="auto"/>
              </w:rPr>
            </w:pPr>
          </w:p>
        </w:tc>
        <w:tc>
          <w:tcPr>
            <w:tcW w:w="960" w:type="dxa"/>
            <w:vAlign w:val="bottom"/>
          </w:tcPr>
          <w:p>
            <w:pPr>
              <w:jc w:val="center"/>
              <w:ind w:left="173"/>
              <w:spacing w:after="0" w:line="112" w:lineRule="exact"/>
              <w:rPr>
                <w:sz w:val="20"/>
                <w:szCs w:val="20"/>
                <w:color w:val="auto"/>
              </w:rPr>
            </w:pPr>
            <w:r>
              <w:rPr>
                <w:rFonts w:ascii="Times New Roman" w:cs="Times New Roman" w:eastAsia="Times New Roman" w:hAnsi="Times New Roman"/>
                <w:sz w:val="12"/>
                <w:szCs w:val="12"/>
                <w:color w:val="auto"/>
              </w:rPr>
              <w:t>2.0%</w:t>
            </w:r>
          </w:p>
        </w:tc>
        <w:tc>
          <w:tcPr>
            <w:tcW w:w="1740" w:type="dxa"/>
            <w:vAlign w:val="bottom"/>
            <w:tcBorders>
              <w:right w:val="single" w:sz="8" w:color="auto"/>
            </w:tcBorders>
          </w:tcPr>
          <w:p>
            <w:pPr>
              <w:jc w:val="center"/>
              <w:ind w:left="274"/>
              <w:spacing w:after="0" w:line="112" w:lineRule="exact"/>
              <w:rPr>
                <w:sz w:val="20"/>
                <w:szCs w:val="20"/>
                <w:color w:val="auto"/>
              </w:rPr>
            </w:pPr>
            <w:r>
              <w:rPr>
                <w:rFonts w:ascii="Times New Roman" w:cs="Times New Roman" w:eastAsia="Times New Roman" w:hAnsi="Times New Roman"/>
                <w:sz w:val="12"/>
                <w:szCs w:val="12"/>
                <w:color w:val="auto"/>
              </w:rPr>
              <w:t>2.0%</w:t>
            </w:r>
          </w:p>
        </w:tc>
      </w:tr>
      <w:tr>
        <w:trPr>
          <w:trHeight w:val="140"/>
        </w:trPr>
        <w:tc>
          <w:tcPr>
            <w:tcW w:w="4440" w:type="dxa"/>
            <w:vAlign w:val="bottom"/>
            <w:tcBorders>
              <w:left w:val="single" w:sz="8" w:color="auto"/>
              <w:right w:val="single" w:sz="8" w:color="auto"/>
            </w:tcBorders>
          </w:tcPr>
          <w:p>
            <w:pPr>
              <w:ind w:left="180"/>
              <w:spacing w:after="0" w:line="140" w:lineRule="exact"/>
              <w:rPr>
                <w:sz w:val="20"/>
                <w:szCs w:val="20"/>
                <w:color w:val="auto"/>
              </w:rPr>
            </w:pPr>
            <w:r>
              <w:rPr>
                <w:rFonts w:ascii="Times New Roman" w:cs="Times New Roman" w:eastAsia="Times New Roman" w:hAnsi="Times New Roman"/>
                <w:sz w:val="14"/>
                <w:szCs w:val="14"/>
                <w:color w:val="auto"/>
              </w:rPr>
              <w:t>Retained earnings</w:t>
            </w:r>
          </w:p>
        </w:tc>
        <w:tc>
          <w:tcPr>
            <w:tcW w:w="80" w:type="dxa"/>
            <w:vAlign w:val="bottom"/>
          </w:tcPr>
          <w:p>
            <w:pPr>
              <w:spacing w:after="0"/>
              <w:rPr>
                <w:sz w:val="12"/>
                <w:szCs w:val="12"/>
                <w:color w:val="auto"/>
              </w:rPr>
            </w:pPr>
          </w:p>
        </w:tc>
        <w:tc>
          <w:tcPr>
            <w:tcW w:w="1500" w:type="dxa"/>
            <w:vAlign w:val="bottom"/>
          </w:tcPr>
          <w:p>
            <w:pPr>
              <w:jc w:val="center"/>
              <w:ind w:right="333"/>
              <w:spacing w:after="0" w:line="140" w:lineRule="exact"/>
              <w:rPr>
                <w:sz w:val="20"/>
                <w:szCs w:val="20"/>
                <w:color w:val="auto"/>
              </w:rPr>
            </w:pPr>
            <w:r>
              <w:rPr>
                <w:rFonts w:ascii="Times New Roman" w:cs="Times New Roman" w:eastAsia="Times New Roman" w:hAnsi="Times New Roman"/>
                <w:sz w:val="14"/>
                <w:szCs w:val="14"/>
                <w:color w:val="auto"/>
                <w:w w:val="98"/>
              </w:rPr>
              <w:t>(247,483)</w:t>
            </w:r>
          </w:p>
        </w:tc>
        <w:tc>
          <w:tcPr>
            <w:tcW w:w="1140" w:type="dxa"/>
            <w:vAlign w:val="bottom"/>
          </w:tcPr>
          <w:p>
            <w:pPr>
              <w:jc w:val="center"/>
              <w:ind w:right="294"/>
              <w:spacing w:after="0" w:line="140" w:lineRule="exact"/>
              <w:rPr>
                <w:sz w:val="20"/>
                <w:szCs w:val="20"/>
                <w:color w:val="auto"/>
              </w:rPr>
            </w:pPr>
            <w:r>
              <w:rPr>
                <w:rFonts w:ascii="Times New Roman" w:cs="Times New Roman" w:eastAsia="Times New Roman" w:hAnsi="Times New Roman"/>
                <w:sz w:val="14"/>
                <w:szCs w:val="14"/>
                <w:color w:val="auto"/>
                <w:w w:val="98"/>
              </w:rPr>
              <w:t>55,838</w:t>
            </w:r>
          </w:p>
        </w:tc>
        <w:tc>
          <w:tcPr>
            <w:tcW w:w="1280" w:type="dxa"/>
            <w:vAlign w:val="bottom"/>
            <w:tcBorders>
              <w:right w:val="single" w:sz="8" w:color="auto"/>
            </w:tcBorders>
          </w:tcPr>
          <w:p>
            <w:pPr>
              <w:jc w:val="center"/>
              <w:ind w:right="13"/>
              <w:spacing w:after="0" w:line="140" w:lineRule="exact"/>
              <w:rPr>
                <w:sz w:val="20"/>
                <w:szCs w:val="20"/>
                <w:color w:val="auto"/>
              </w:rPr>
            </w:pPr>
            <w:r>
              <w:rPr>
                <w:rFonts w:ascii="Times New Roman" w:cs="Times New Roman" w:eastAsia="Times New Roman" w:hAnsi="Times New Roman"/>
                <w:sz w:val="14"/>
                <w:szCs w:val="14"/>
                <w:color w:val="auto"/>
                <w:w w:val="94"/>
              </w:rPr>
              <w:t>(170,948)</w:t>
            </w:r>
          </w:p>
        </w:tc>
        <w:tc>
          <w:tcPr>
            <w:tcW w:w="120" w:type="dxa"/>
            <w:vAlign w:val="bottom"/>
          </w:tcPr>
          <w:p>
            <w:pPr>
              <w:spacing w:after="0"/>
              <w:rPr>
                <w:sz w:val="12"/>
                <w:szCs w:val="12"/>
                <w:color w:val="auto"/>
              </w:rPr>
            </w:pPr>
          </w:p>
        </w:tc>
        <w:tc>
          <w:tcPr>
            <w:tcW w:w="960" w:type="dxa"/>
            <w:vAlign w:val="bottom"/>
          </w:tcPr>
          <w:p>
            <w:pPr>
              <w:jc w:val="center"/>
              <w:ind w:left="193"/>
              <w:spacing w:after="0" w:line="140" w:lineRule="exact"/>
              <w:rPr>
                <w:sz w:val="20"/>
                <w:szCs w:val="20"/>
                <w:color w:val="auto"/>
              </w:rPr>
            </w:pPr>
            <w:r>
              <w:rPr>
                <w:rFonts w:ascii="Times New Roman" w:cs="Times New Roman" w:eastAsia="Times New Roman" w:hAnsi="Times New Roman"/>
                <w:sz w:val="14"/>
                <w:szCs w:val="14"/>
                <w:color w:val="auto"/>
                <w:w w:val="96"/>
              </w:rPr>
              <w:t>-406.2%</w:t>
            </w:r>
          </w:p>
        </w:tc>
        <w:tc>
          <w:tcPr>
            <w:tcW w:w="1740" w:type="dxa"/>
            <w:vAlign w:val="bottom"/>
            <w:tcBorders>
              <w:right w:val="single" w:sz="8" w:color="auto"/>
            </w:tcBorders>
          </w:tcPr>
          <w:p>
            <w:pPr>
              <w:jc w:val="center"/>
              <w:ind w:left="274"/>
              <w:spacing w:after="0" w:line="140" w:lineRule="exact"/>
              <w:rPr>
                <w:sz w:val="20"/>
                <w:szCs w:val="20"/>
                <w:color w:val="auto"/>
              </w:rPr>
            </w:pPr>
            <w:r>
              <w:rPr>
                <w:rFonts w:ascii="Times New Roman" w:cs="Times New Roman" w:eastAsia="Times New Roman" w:hAnsi="Times New Roman"/>
                <w:sz w:val="14"/>
                <w:szCs w:val="14"/>
                <w:color w:val="auto"/>
                <w:w w:val="97"/>
              </w:rPr>
              <w:t>-30.9%</w:t>
            </w:r>
          </w:p>
        </w:tc>
      </w:tr>
      <w:tr>
        <w:trPr>
          <w:trHeight w:val="140"/>
        </w:trPr>
        <w:tc>
          <w:tcPr>
            <w:tcW w:w="4440" w:type="dxa"/>
            <w:vAlign w:val="bottom"/>
            <w:tcBorders>
              <w:left w:val="single" w:sz="8" w:color="auto"/>
              <w:right w:val="single" w:sz="8" w:color="auto"/>
            </w:tcBorders>
          </w:tcPr>
          <w:p>
            <w:pPr>
              <w:ind w:left="180"/>
              <w:spacing w:after="0" w:line="140" w:lineRule="exact"/>
              <w:rPr>
                <w:sz w:val="20"/>
                <w:szCs w:val="20"/>
                <w:color w:val="auto"/>
              </w:rPr>
            </w:pPr>
            <w:r>
              <w:rPr>
                <w:rFonts w:ascii="Times New Roman" w:cs="Times New Roman" w:eastAsia="Times New Roman" w:hAnsi="Times New Roman"/>
                <w:sz w:val="14"/>
                <w:szCs w:val="14"/>
                <w:color w:val="auto"/>
              </w:rPr>
              <w:t>Unrealized gains (losses)</w:t>
            </w:r>
          </w:p>
        </w:tc>
        <w:tc>
          <w:tcPr>
            <w:tcW w:w="80" w:type="dxa"/>
            <w:vAlign w:val="bottom"/>
          </w:tcPr>
          <w:p>
            <w:pPr>
              <w:spacing w:after="0"/>
              <w:rPr>
                <w:sz w:val="12"/>
                <w:szCs w:val="12"/>
                <w:color w:val="auto"/>
              </w:rPr>
            </w:pPr>
          </w:p>
        </w:tc>
        <w:tc>
          <w:tcPr>
            <w:tcW w:w="1500" w:type="dxa"/>
            <w:vAlign w:val="bottom"/>
          </w:tcPr>
          <w:p>
            <w:pPr>
              <w:jc w:val="center"/>
              <w:ind w:right="333"/>
              <w:spacing w:after="0" w:line="140" w:lineRule="exact"/>
              <w:rPr>
                <w:sz w:val="20"/>
                <w:szCs w:val="20"/>
                <w:color w:val="auto"/>
              </w:rPr>
            </w:pPr>
            <w:r>
              <w:rPr>
                <w:rFonts w:ascii="Times New Roman" w:cs="Times New Roman" w:eastAsia="Times New Roman" w:hAnsi="Times New Roman"/>
                <w:sz w:val="14"/>
                <w:szCs w:val="14"/>
                <w:color w:val="auto"/>
                <w:w w:val="92"/>
              </w:rPr>
              <w:t>(4,257)</w:t>
            </w:r>
          </w:p>
        </w:tc>
        <w:tc>
          <w:tcPr>
            <w:tcW w:w="1140" w:type="dxa"/>
            <w:vAlign w:val="bottom"/>
          </w:tcPr>
          <w:p>
            <w:pPr>
              <w:jc w:val="center"/>
              <w:ind w:right="294"/>
              <w:spacing w:after="0" w:line="140" w:lineRule="exact"/>
              <w:rPr>
                <w:sz w:val="20"/>
                <w:szCs w:val="20"/>
                <w:color w:val="auto"/>
              </w:rPr>
            </w:pPr>
            <w:r>
              <w:rPr>
                <w:rFonts w:ascii="Times New Roman" w:cs="Times New Roman" w:eastAsia="Times New Roman" w:hAnsi="Times New Roman"/>
                <w:sz w:val="14"/>
                <w:szCs w:val="14"/>
                <w:color w:val="auto"/>
                <w:w w:val="98"/>
              </w:rPr>
              <w:t>11,531</w:t>
            </w:r>
          </w:p>
        </w:tc>
        <w:tc>
          <w:tcPr>
            <w:tcW w:w="1280" w:type="dxa"/>
            <w:vAlign w:val="bottom"/>
            <w:tcBorders>
              <w:right w:val="single" w:sz="8" w:color="auto"/>
            </w:tcBorders>
          </w:tcPr>
          <w:p>
            <w:pPr>
              <w:jc w:val="center"/>
              <w:ind w:right="13"/>
              <w:spacing w:after="0" w:line="140" w:lineRule="exact"/>
              <w:rPr>
                <w:sz w:val="20"/>
                <w:szCs w:val="20"/>
                <w:color w:val="auto"/>
              </w:rPr>
            </w:pPr>
            <w:r>
              <w:rPr>
                <w:rFonts w:ascii="Times New Roman" w:cs="Times New Roman" w:eastAsia="Times New Roman" w:hAnsi="Times New Roman"/>
                <w:sz w:val="14"/>
                <w:szCs w:val="14"/>
                <w:color w:val="auto"/>
                <w:w w:val="95"/>
              </w:rPr>
              <w:t>993</w:t>
            </w:r>
          </w:p>
        </w:tc>
        <w:tc>
          <w:tcPr>
            <w:tcW w:w="120" w:type="dxa"/>
            <w:vAlign w:val="bottom"/>
          </w:tcPr>
          <w:p>
            <w:pPr>
              <w:spacing w:after="0"/>
              <w:rPr>
                <w:sz w:val="12"/>
                <w:szCs w:val="12"/>
                <w:color w:val="auto"/>
              </w:rPr>
            </w:pPr>
          </w:p>
        </w:tc>
        <w:tc>
          <w:tcPr>
            <w:tcW w:w="960" w:type="dxa"/>
            <w:vAlign w:val="bottom"/>
          </w:tcPr>
          <w:p>
            <w:pPr>
              <w:jc w:val="center"/>
              <w:ind w:left="173"/>
              <w:spacing w:after="0" w:line="140" w:lineRule="exact"/>
              <w:rPr>
                <w:sz w:val="20"/>
                <w:szCs w:val="20"/>
                <w:color w:val="auto"/>
              </w:rPr>
            </w:pPr>
            <w:r>
              <w:rPr>
                <w:rFonts w:ascii="Times New Roman" w:cs="Times New Roman" w:eastAsia="Times New Roman" w:hAnsi="Times New Roman"/>
                <w:sz w:val="14"/>
                <w:szCs w:val="14"/>
                <w:color w:val="auto"/>
                <w:w w:val="97"/>
              </w:rPr>
              <w:t>-91.4%</w:t>
            </w:r>
          </w:p>
        </w:tc>
        <w:tc>
          <w:tcPr>
            <w:tcW w:w="1740" w:type="dxa"/>
            <w:vAlign w:val="bottom"/>
            <w:tcBorders>
              <w:right w:val="single" w:sz="8" w:color="auto"/>
            </w:tcBorders>
          </w:tcPr>
          <w:p>
            <w:pPr>
              <w:jc w:val="center"/>
              <w:ind w:left="294"/>
              <w:spacing w:after="0" w:line="140" w:lineRule="exact"/>
              <w:rPr>
                <w:sz w:val="20"/>
                <w:szCs w:val="20"/>
                <w:color w:val="auto"/>
              </w:rPr>
            </w:pPr>
            <w:r>
              <w:rPr>
                <w:rFonts w:ascii="Times New Roman" w:cs="Times New Roman" w:eastAsia="Times New Roman" w:hAnsi="Times New Roman"/>
                <w:sz w:val="14"/>
                <w:szCs w:val="14"/>
                <w:color w:val="auto"/>
                <w:w w:val="96"/>
              </w:rPr>
              <w:t>-123.3%</w:t>
            </w:r>
          </w:p>
        </w:tc>
      </w:tr>
      <w:tr>
        <w:trPr>
          <w:trHeight w:val="140"/>
        </w:trPr>
        <w:tc>
          <w:tcPr>
            <w:tcW w:w="4440" w:type="dxa"/>
            <w:vAlign w:val="bottom"/>
            <w:tcBorders>
              <w:left w:val="single" w:sz="8" w:color="auto"/>
              <w:right w:val="single" w:sz="8" w:color="auto"/>
            </w:tcBorders>
          </w:tcPr>
          <w:p>
            <w:pPr>
              <w:ind w:left="180"/>
              <w:spacing w:after="0" w:line="140" w:lineRule="exact"/>
              <w:rPr>
                <w:sz w:val="20"/>
                <w:szCs w:val="20"/>
                <w:color w:val="auto"/>
              </w:rPr>
            </w:pPr>
            <w:r>
              <w:rPr>
                <w:rFonts w:ascii="Times New Roman" w:cs="Times New Roman" w:eastAsia="Times New Roman" w:hAnsi="Times New Roman"/>
                <w:sz w:val="14"/>
                <w:szCs w:val="14"/>
                <w:color w:val="auto"/>
              </w:rPr>
              <w:t>Goodwill and intangibles</w:t>
            </w:r>
          </w:p>
        </w:tc>
        <w:tc>
          <w:tcPr>
            <w:tcW w:w="80" w:type="dxa"/>
            <w:vAlign w:val="bottom"/>
          </w:tcPr>
          <w:p>
            <w:pPr>
              <w:spacing w:after="0"/>
              <w:rPr>
                <w:sz w:val="12"/>
                <w:szCs w:val="12"/>
                <w:color w:val="auto"/>
              </w:rPr>
            </w:pPr>
          </w:p>
        </w:tc>
        <w:tc>
          <w:tcPr>
            <w:tcW w:w="1500" w:type="dxa"/>
            <w:vAlign w:val="bottom"/>
          </w:tcPr>
          <w:p>
            <w:pPr>
              <w:jc w:val="center"/>
              <w:ind w:right="333"/>
              <w:spacing w:after="0" w:line="140" w:lineRule="exact"/>
              <w:rPr>
                <w:sz w:val="20"/>
                <w:szCs w:val="20"/>
                <w:color w:val="auto"/>
              </w:rPr>
            </w:pPr>
            <w:r>
              <w:rPr>
                <w:rFonts w:ascii="Times New Roman" w:cs="Times New Roman" w:eastAsia="Times New Roman" w:hAnsi="Times New Roman"/>
                <w:sz w:val="14"/>
                <w:szCs w:val="14"/>
                <w:color w:val="auto"/>
                <w:w w:val="98"/>
              </w:rPr>
              <w:t>(292,948)</w:t>
            </w:r>
          </w:p>
        </w:tc>
        <w:tc>
          <w:tcPr>
            <w:tcW w:w="1140" w:type="dxa"/>
            <w:vAlign w:val="bottom"/>
          </w:tcPr>
          <w:p>
            <w:pPr>
              <w:jc w:val="center"/>
              <w:ind w:right="294"/>
              <w:spacing w:after="0" w:line="140" w:lineRule="exact"/>
              <w:rPr>
                <w:sz w:val="20"/>
                <w:szCs w:val="20"/>
                <w:color w:val="auto"/>
              </w:rPr>
            </w:pPr>
            <w:r>
              <w:rPr>
                <w:rFonts w:ascii="Times New Roman" w:cs="Times New Roman" w:eastAsia="Times New Roman" w:hAnsi="Times New Roman"/>
                <w:sz w:val="14"/>
                <w:szCs w:val="14"/>
                <w:color w:val="auto"/>
                <w:w w:val="98"/>
              </w:rPr>
              <w:t>(308,880)</w:t>
            </w:r>
          </w:p>
        </w:tc>
        <w:tc>
          <w:tcPr>
            <w:tcW w:w="1280" w:type="dxa"/>
            <w:vAlign w:val="bottom"/>
            <w:tcBorders>
              <w:right w:val="single" w:sz="8" w:color="auto"/>
            </w:tcBorders>
          </w:tcPr>
          <w:p>
            <w:pPr>
              <w:jc w:val="center"/>
              <w:ind w:right="13"/>
              <w:spacing w:after="0" w:line="140" w:lineRule="exact"/>
              <w:rPr>
                <w:sz w:val="20"/>
                <w:szCs w:val="20"/>
                <w:color w:val="auto"/>
              </w:rPr>
            </w:pPr>
            <w:r>
              <w:rPr>
                <w:rFonts w:ascii="Times New Roman" w:cs="Times New Roman" w:eastAsia="Times New Roman" w:hAnsi="Times New Roman"/>
                <w:sz w:val="14"/>
                <w:szCs w:val="14"/>
                <w:color w:val="auto"/>
                <w:w w:val="94"/>
              </w:rPr>
              <w:t>(302,651)</w:t>
            </w:r>
          </w:p>
        </w:tc>
        <w:tc>
          <w:tcPr>
            <w:tcW w:w="120" w:type="dxa"/>
            <w:vAlign w:val="bottom"/>
          </w:tcPr>
          <w:p>
            <w:pPr>
              <w:spacing w:after="0"/>
              <w:rPr>
                <w:sz w:val="12"/>
                <w:szCs w:val="12"/>
                <w:color w:val="auto"/>
              </w:rPr>
            </w:pPr>
          </w:p>
        </w:tc>
        <w:tc>
          <w:tcPr>
            <w:tcW w:w="960" w:type="dxa"/>
            <w:vAlign w:val="bottom"/>
          </w:tcPr>
          <w:p>
            <w:pPr>
              <w:jc w:val="center"/>
              <w:ind w:left="173"/>
              <w:spacing w:after="0" w:line="140" w:lineRule="exact"/>
              <w:rPr>
                <w:sz w:val="20"/>
                <w:szCs w:val="20"/>
                <w:color w:val="auto"/>
              </w:rPr>
            </w:pPr>
            <w:r>
              <w:rPr>
                <w:rFonts w:ascii="Times New Roman" w:cs="Times New Roman" w:eastAsia="Times New Roman" w:hAnsi="Times New Roman"/>
                <w:sz w:val="14"/>
                <w:szCs w:val="14"/>
                <w:color w:val="auto"/>
                <w:w w:val="94"/>
              </w:rPr>
              <w:t>-2.0%</w:t>
            </w:r>
          </w:p>
        </w:tc>
        <w:tc>
          <w:tcPr>
            <w:tcW w:w="1740" w:type="dxa"/>
            <w:vAlign w:val="bottom"/>
            <w:tcBorders>
              <w:right w:val="single" w:sz="8" w:color="auto"/>
            </w:tcBorders>
          </w:tcPr>
          <w:p>
            <w:pPr>
              <w:jc w:val="center"/>
              <w:ind w:left="274"/>
              <w:spacing w:after="0" w:line="140" w:lineRule="exact"/>
              <w:rPr>
                <w:sz w:val="20"/>
                <w:szCs w:val="20"/>
                <w:color w:val="auto"/>
              </w:rPr>
            </w:pPr>
            <w:r>
              <w:rPr>
                <w:rFonts w:ascii="Times New Roman" w:cs="Times New Roman" w:eastAsia="Times New Roman" w:hAnsi="Times New Roman"/>
                <w:sz w:val="14"/>
                <w:szCs w:val="14"/>
                <w:color w:val="auto"/>
                <w:w w:val="95"/>
              </w:rPr>
              <w:t>3.3%</w:t>
            </w:r>
          </w:p>
        </w:tc>
      </w:tr>
      <w:tr>
        <w:trPr>
          <w:trHeight w:val="160"/>
        </w:trPr>
        <w:tc>
          <w:tcPr>
            <w:tcW w:w="4440" w:type="dxa"/>
            <w:vAlign w:val="bottom"/>
            <w:tcBorders>
              <w:left w:val="single" w:sz="8" w:color="auto"/>
              <w:bottom w:val="single" w:sz="8" w:color="auto"/>
              <w:right w:val="single" w:sz="8" w:color="auto"/>
            </w:tcBorders>
          </w:tcPr>
          <w:p>
            <w:pPr>
              <w:ind w:left="180"/>
              <w:spacing w:after="0" w:line="160" w:lineRule="exact"/>
              <w:rPr>
                <w:sz w:val="20"/>
                <w:szCs w:val="20"/>
                <w:color w:val="auto"/>
              </w:rPr>
            </w:pPr>
            <w:r>
              <w:rPr>
                <w:rFonts w:ascii="Times New Roman" w:cs="Times New Roman" w:eastAsia="Times New Roman" w:hAnsi="Times New Roman"/>
                <w:sz w:val="14"/>
                <w:szCs w:val="14"/>
                <w:color w:val="auto"/>
              </w:rPr>
              <w:t>Investments in subsidiaries</w:t>
            </w:r>
          </w:p>
        </w:tc>
        <w:tc>
          <w:tcPr>
            <w:tcW w:w="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center"/>
              <w:ind w:right="333"/>
              <w:spacing w:after="0" w:line="160" w:lineRule="exact"/>
              <w:rPr>
                <w:sz w:val="20"/>
                <w:szCs w:val="20"/>
                <w:color w:val="auto"/>
              </w:rPr>
            </w:pPr>
            <w:r>
              <w:rPr>
                <w:rFonts w:ascii="Times New Roman" w:cs="Times New Roman" w:eastAsia="Times New Roman" w:hAnsi="Times New Roman"/>
                <w:sz w:val="14"/>
                <w:szCs w:val="14"/>
                <w:color w:val="auto"/>
                <w:w w:val="98"/>
              </w:rPr>
              <w:t>(299)</w:t>
            </w:r>
          </w:p>
        </w:tc>
        <w:tc>
          <w:tcPr>
            <w:tcW w:w="1140" w:type="dxa"/>
            <w:vAlign w:val="bottom"/>
            <w:tcBorders>
              <w:bottom w:val="single" w:sz="8" w:color="auto"/>
            </w:tcBorders>
          </w:tcPr>
          <w:p>
            <w:pPr>
              <w:jc w:val="center"/>
              <w:ind w:right="294"/>
              <w:spacing w:after="0" w:line="160" w:lineRule="exact"/>
              <w:rPr>
                <w:sz w:val="20"/>
                <w:szCs w:val="20"/>
                <w:color w:val="auto"/>
              </w:rPr>
            </w:pPr>
            <w:r>
              <w:rPr>
                <w:rFonts w:ascii="Times New Roman" w:cs="Times New Roman" w:eastAsia="Times New Roman" w:hAnsi="Times New Roman"/>
                <w:sz w:val="14"/>
                <w:szCs w:val="14"/>
                <w:color w:val="auto"/>
                <w:w w:val="98"/>
              </w:rPr>
              <w:t>(166)</w:t>
            </w:r>
          </w:p>
        </w:tc>
        <w:tc>
          <w:tcPr>
            <w:tcW w:w="1280" w:type="dxa"/>
            <w:vAlign w:val="bottom"/>
            <w:tcBorders>
              <w:bottom w:val="single" w:sz="8" w:color="auto"/>
              <w:right w:val="single" w:sz="8" w:color="auto"/>
            </w:tcBorders>
          </w:tcPr>
          <w:p>
            <w:pPr>
              <w:jc w:val="center"/>
              <w:ind w:right="33"/>
              <w:spacing w:after="0" w:line="160" w:lineRule="exact"/>
              <w:rPr>
                <w:sz w:val="20"/>
                <w:szCs w:val="20"/>
                <w:color w:val="auto"/>
              </w:rPr>
            </w:pPr>
            <w:r>
              <w:rPr>
                <w:rFonts w:ascii="Times New Roman" w:cs="Times New Roman" w:eastAsia="Times New Roman" w:hAnsi="Times New Roman"/>
                <w:sz w:val="14"/>
                <w:szCs w:val="14"/>
                <w:color w:val="auto"/>
                <w:w w:val="98"/>
              </w:rPr>
              <w:t>(212)</w:t>
            </w: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left="193"/>
              <w:spacing w:after="0" w:line="160" w:lineRule="exact"/>
              <w:rPr>
                <w:sz w:val="20"/>
                <w:szCs w:val="20"/>
                <w:color w:val="auto"/>
              </w:rPr>
            </w:pPr>
            <w:r>
              <w:rPr>
                <w:rFonts w:ascii="Times New Roman" w:cs="Times New Roman" w:eastAsia="Times New Roman" w:hAnsi="Times New Roman"/>
                <w:sz w:val="14"/>
                <w:szCs w:val="14"/>
                <w:color w:val="auto"/>
                <w:w w:val="93"/>
              </w:rPr>
              <w:t>28.1%</w:t>
            </w:r>
          </w:p>
        </w:tc>
        <w:tc>
          <w:tcPr>
            <w:tcW w:w="1740" w:type="dxa"/>
            <w:vAlign w:val="bottom"/>
            <w:tcBorders>
              <w:bottom w:val="single" w:sz="8" w:color="auto"/>
              <w:right w:val="single" w:sz="8" w:color="auto"/>
            </w:tcBorders>
          </w:tcPr>
          <w:p>
            <w:pPr>
              <w:jc w:val="center"/>
              <w:ind w:left="274"/>
              <w:spacing w:after="0" w:line="160" w:lineRule="exact"/>
              <w:rPr>
                <w:sz w:val="20"/>
                <w:szCs w:val="20"/>
                <w:color w:val="auto"/>
              </w:rPr>
            </w:pPr>
            <w:r>
              <w:rPr>
                <w:rFonts w:ascii="Times New Roman" w:cs="Times New Roman" w:eastAsia="Times New Roman" w:hAnsi="Times New Roman"/>
                <w:sz w:val="14"/>
                <w:szCs w:val="14"/>
                <w:color w:val="auto"/>
                <w:w w:val="97"/>
              </w:rPr>
              <w:t>-28.9%</w:t>
            </w:r>
          </w:p>
        </w:tc>
      </w:tr>
      <w:tr>
        <w:trPr>
          <w:trHeight w:val="132"/>
        </w:trPr>
        <w:tc>
          <w:tcPr>
            <w:tcW w:w="4440" w:type="dxa"/>
            <w:vAlign w:val="bottom"/>
            <w:tcBorders>
              <w:left w:val="single" w:sz="8" w:color="auto"/>
              <w:bottom w:val="single" w:sz="8" w:color="auto"/>
              <w:right w:val="single" w:sz="8" w:color="auto"/>
            </w:tcBorders>
          </w:tcPr>
          <w:p>
            <w:pPr>
              <w:ind w:left="20"/>
              <w:spacing w:after="0" w:line="133" w:lineRule="exact"/>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jc w:val="center"/>
              <w:ind w:right="333"/>
              <w:spacing w:after="0" w:line="133" w:lineRule="exact"/>
              <w:rPr>
                <w:sz w:val="20"/>
                <w:szCs w:val="20"/>
                <w:color w:val="auto"/>
              </w:rPr>
            </w:pPr>
            <w:r>
              <w:rPr>
                <w:rFonts w:ascii="Times New Roman" w:cs="Times New Roman" w:eastAsia="Times New Roman" w:hAnsi="Times New Roman"/>
                <w:sz w:val="14"/>
                <w:szCs w:val="14"/>
                <w:b w:val="1"/>
                <w:bCs w:val="1"/>
                <w:color w:val="auto"/>
                <w:w w:val="96"/>
              </w:rPr>
              <w:t>2,189,595</w:t>
            </w:r>
          </w:p>
        </w:tc>
        <w:tc>
          <w:tcPr>
            <w:tcW w:w="1140" w:type="dxa"/>
            <w:vAlign w:val="bottom"/>
            <w:tcBorders>
              <w:bottom w:val="single" w:sz="8" w:color="auto"/>
            </w:tcBorders>
          </w:tcPr>
          <w:p>
            <w:pPr>
              <w:jc w:val="center"/>
              <w:ind w:right="294"/>
              <w:spacing w:after="0" w:line="133" w:lineRule="exact"/>
              <w:rPr>
                <w:sz w:val="20"/>
                <w:szCs w:val="20"/>
                <w:color w:val="auto"/>
              </w:rPr>
            </w:pPr>
            <w:r>
              <w:rPr>
                <w:rFonts w:ascii="Times New Roman" w:cs="Times New Roman" w:eastAsia="Times New Roman" w:hAnsi="Times New Roman"/>
                <w:sz w:val="14"/>
                <w:szCs w:val="14"/>
                <w:b w:val="1"/>
                <w:bCs w:val="1"/>
                <w:color w:val="auto"/>
                <w:w w:val="96"/>
              </w:rPr>
              <w:t>2,492,906</w:t>
            </w:r>
          </w:p>
        </w:tc>
        <w:tc>
          <w:tcPr>
            <w:tcW w:w="1280" w:type="dxa"/>
            <w:vAlign w:val="bottom"/>
            <w:tcBorders>
              <w:bottom w:val="single" w:sz="8" w:color="auto"/>
              <w:right w:val="single" w:sz="8" w:color="auto"/>
            </w:tcBorders>
          </w:tcPr>
          <w:p>
            <w:pPr>
              <w:jc w:val="center"/>
              <w:ind w:right="33"/>
              <w:spacing w:after="0" w:line="133" w:lineRule="exact"/>
              <w:rPr>
                <w:sz w:val="20"/>
                <w:szCs w:val="20"/>
                <w:color w:val="auto"/>
              </w:rPr>
            </w:pPr>
            <w:r>
              <w:rPr>
                <w:rFonts w:ascii="Times New Roman" w:cs="Times New Roman" w:eastAsia="Times New Roman" w:hAnsi="Times New Roman"/>
                <w:sz w:val="14"/>
                <w:szCs w:val="14"/>
                <w:b w:val="1"/>
                <w:bCs w:val="1"/>
                <w:color w:val="auto"/>
                <w:w w:val="96"/>
              </w:rPr>
              <w:t>2,316,772</w:t>
            </w:r>
          </w:p>
        </w:tc>
        <w:tc>
          <w:tcPr>
            <w:tcW w:w="1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center"/>
              <w:ind w:left="193"/>
              <w:spacing w:after="0" w:line="133" w:lineRule="exact"/>
              <w:rPr>
                <w:sz w:val="20"/>
                <w:szCs w:val="20"/>
                <w:color w:val="auto"/>
              </w:rPr>
            </w:pPr>
            <w:r>
              <w:rPr>
                <w:rFonts w:ascii="Times New Roman" w:cs="Times New Roman" w:eastAsia="Times New Roman" w:hAnsi="Times New Roman"/>
                <w:sz w:val="14"/>
                <w:szCs w:val="14"/>
                <w:b w:val="1"/>
                <w:bCs w:val="1"/>
                <w:color w:val="auto"/>
                <w:w w:val="93"/>
              </w:rPr>
              <w:t>-7.1%</w:t>
            </w:r>
          </w:p>
        </w:tc>
        <w:tc>
          <w:tcPr>
            <w:tcW w:w="1740" w:type="dxa"/>
            <w:vAlign w:val="bottom"/>
            <w:tcBorders>
              <w:bottom w:val="single" w:sz="8" w:color="auto"/>
              <w:right w:val="single" w:sz="8" w:color="auto"/>
            </w:tcBorders>
          </w:tcPr>
          <w:p>
            <w:pPr>
              <w:jc w:val="center"/>
              <w:ind w:left="274"/>
              <w:spacing w:after="0" w:line="133" w:lineRule="exact"/>
              <w:rPr>
                <w:sz w:val="20"/>
                <w:szCs w:val="20"/>
                <w:color w:val="auto"/>
              </w:rPr>
            </w:pPr>
            <w:r>
              <w:rPr>
                <w:rFonts w:ascii="Times New Roman" w:cs="Times New Roman" w:eastAsia="Times New Roman" w:hAnsi="Times New Roman"/>
                <w:sz w:val="14"/>
                <w:szCs w:val="14"/>
                <w:b w:val="1"/>
                <w:bCs w:val="1"/>
                <w:color w:val="auto"/>
              </w:rPr>
              <w:t>5.8%</w:t>
            </w:r>
          </w:p>
        </w:tc>
      </w:tr>
      <w:tr>
        <w:trPr>
          <w:trHeight w:val="132"/>
        </w:trPr>
        <w:tc>
          <w:tcPr>
            <w:tcW w:w="44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740" w:type="dxa"/>
            <w:vAlign w:val="bottom"/>
            <w:tcBorders>
              <w:bottom w:val="single" w:sz="8" w:color="auto"/>
            </w:tcBorders>
          </w:tcPr>
          <w:p>
            <w:pPr>
              <w:spacing w:after="0"/>
              <w:rPr>
                <w:sz w:val="11"/>
                <w:szCs w:val="11"/>
                <w:color w:val="auto"/>
              </w:rPr>
            </w:pPr>
          </w:p>
        </w:tc>
      </w:tr>
      <w:tr>
        <w:trPr>
          <w:trHeight w:val="132"/>
        </w:trPr>
        <w:tc>
          <w:tcPr>
            <w:tcW w:w="4440" w:type="dxa"/>
            <w:vAlign w:val="bottom"/>
            <w:tcBorders>
              <w:left w:val="single" w:sz="8" w:color="auto"/>
              <w:bottom w:val="single" w:sz="8" w:color="auto"/>
              <w:right w:val="single" w:sz="8" w:color="auto"/>
            </w:tcBorders>
          </w:tcPr>
          <w:p>
            <w:pPr>
              <w:ind w:left="20"/>
              <w:spacing w:after="0" w:line="133" w:lineRule="exact"/>
              <w:rPr>
                <w:sz w:val="20"/>
                <w:szCs w:val="20"/>
                <w:color w:val="auto"/>
              </w:rPr>
            </w:pPr>
            <w:r>
              <w:rPr>
                <w:rFonts w:ascii="Times New Roman" w:cs="Times New Roman" w:eastAsia="Times New Roman" w:hAnsi="Times New Roman"/>
                <w:sz w:val="14"/>
                <w:szCs w:val="14"/>
                <w:b w:val="1"/>
                <w:bCs w:val="1"/>
                <w:color w:val="auto"/>
              </w:rPr>
              <w:t>Adjusted RWAs IFRS</w:t>
            </w:r>
          </w:p>
        </w:tc>
        <w:tc>
          <w:tcPr>
            <w:tcW w:w="8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jc w:val="center"/>
              <w:ind w:right="333"/>
              <w:spacing w:after="0" w:line="133" w:lineRule="exact"/>
              <w:rPr>
                <w:sz w:val="20"/>
                <w:szCs w:val="20"/>
                <w:color w:val="auto"/>
              </w:rPr>
            </w:pPr>
            <w:r>
              <w:rPr>
                <w:rFonts w:ascii="Times New Roman" w:cs="Times New Roman" w:eastAsia="Times New Roman" w:hAnsi="Times New Roman"/>
                <w:sz w:val="14"/>
                <w:szCs w:val="14"/>
                <w:b w:val="1"/>
                <w:bCs w:val="1"/>
                <w:color w:val="auto"/>
                <w:w w:val="98"/>
              </w:rPr>
              <w:t>13,782,186</w:t>
            </w:r>
          </w:p>
        </w:tc>
        <w:tc>
          <w:tcPr>
            <w:tcW w:w="1140" w:type="dxa"/>
            <w:vAlign w:val="bottom"/>
            <w:tcBorders>
              <w:bottom w:val="single" w:sz="8" w:color="auto"/>
            </w:tcBorders>
          </w:tcPr>
          <w:p>
            <w:pPr>
              <w:jc w:val="center"/>
              <w:ind w:right="294"/>
              <w:spacing w:after="0" w:line="133" w:lineRule="exact"/>
              <w:rPr>
                <w:sz w:val="20"/>
                <w:szCs w:val="20"/>
                <w:color w:val="auto"/>
              </w:rPr>
            </w:pPr>
            <w:r>
              <w:rPr>
                <w:rFonts w:ascii="Times New Roman" w:cs="Times New Roman" w:eastAsia="Times New Roman" w:hAnsi="Times New Roman"/>
                <w:sz w:val="14"/>
                <w:szCs w:val="14"/>
                <w:b w:val="1"/>
                <w:bCs w:val="1"/>
                <w:color w:val="auto"/>
                <w:w w:val="98"/>
              </w:rPr>
              <w:t>14,407,727</w:t>
            </w:r>
          </w:p>
        </w:tc>
        <w:tc>
          <w:tcPr>
            <w:tcW w:w="1280" w:type="dxa"/>
            <w:vAlign w:val="bottom"/>
            <w:tcBorders>
              <w:bottom w:val="single" w:sz="8" w:color="auto"/>
              <w:right w:val="single" w:sz="8" w:color="auto"/>
            </w:tcBorders>
          </w:tcPr>
          <w:p>
            <w:pPr>
              <w:jc w:val="center"/>
              <w:ind w:right="13"/>
              <w:spacing w:after="0" w:line="133" w:lineRule="exact"/>
              <w:rPr>
                <w:sz w:val="20"/>
                <w:szCs w:val="20"/>
                <w:color w:val="auto"/>
              </w:rPr>
            </w:pPr>
            <w:r>
              <w:rPr>
                <w:rFonts w:ascii="Times New Roman" w:cs="Times New Roman" w:eastAsia="Times New Roman" w:hAnsi="Times New Roman"/>
                <w:sz w:val="14"/>
                <w:szCs w:val="14"/>
                <w:b w:val="1"/>
                <w:bCs w:val="1"/>
                <w:color w:val="auto"/>
                <w:w w:val="95"/>
              </w:rPr>
              <w:t>14,760,089</w:t>
            </w:r>
          </w:p>
        </w:tc>
        <w:tc>
          <w:tcPr>
            <w:tcW w:w="1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center"/>
              <w:ind w:left="193"/>
              <w:spacing w:after="0" w:line="133" w:lineRule="exact"/>
              <w:rPr>
                <w:sz w:val="20"/>
                <w:szCs w:val="20"/>
                <w:color w:val="auto"/>
              </w:rPr>
            </w:pPr>
            <w:r>
              <w:rPr>
                <w:rFonts w:ascii="Times New Roman" w:cs="Times New Roman" w:eastAsia="Times New Roman" w:hAnsi="Times New Roman"/>
                <w:sz w:val="14"/>
                <w:szCs w:val="14"/>
                <w:b w:val="1"/>
                <w:bCs w:val="1"/>
                <w:color w:val="auto"/>
                <w:w w:val="95"/>
              </w:rPr>
              <w:t>2.4%</w:t>
            </w:r>
          </w:p>
        </w:tc>
        <w:tc>
          <w:tcPr>
            <w:tcW w:w="1740" w:type="dxa"/>
            <w:vAlign w:val="bottom"/>
            <w:tcBorders>
              <w:bottom w:val="single" w:sz="8" w:color="auto"/>
              <w:right w:val="single" w:sz="8" w:color="auto"/>
            </w:tcBorders>
          </w:tcPr>
          <w:p>
            <w:pPr>
              <w:jc w:val="center"/>
              <w:ind w:left="274"/>
              <w:spacing w:after="0" w:line="133" w:lineRule="exact"/>
              <w:rPr>
                <w:sz w:val="20"/>
                <w:szCs w:val="20"/>
                <w:color w:val="auto"/>
              </w:rPr>
            </w:pPr>
            <w:r>
              <w:rPr>
                <w:rFonts w:ascii="Times New Roman" w:cs="Times New Roman" w:eastAsia="Times New Roman" w:hAnsi="Times New Roman"/>
                <w:sz w:val="14"/>
                <w:szCs w:val="14"/>
                <w:b w:val="1"/>
                <w:bCs w:val="1"/>
                <w:color w:val="auto"/>
              </w:rPr>
              <w:t>7.1%</w:t>
            </w:r>
          </w:p>
        </w:tc>
      </w:tr>
      <w:tr>
        <w:trPr>
          <w:trHeight w:val="112"/>
        </w:trPr>
        <w:tc>
          <w:tcPr>
            <w:tcW w:w="4440" w:type="dxa"/>
            <w:vAlign w:val="bottom"/>
            <w:tcBorders>
              <w:left w:val="single" w:sz="8" w:color="auto"/>
              <w:right w:val="single" w:sz="8" w:color="auto"/>
            </w:tcBorders>
          </w:tcPr>
          <w:p>
            <w:pPr>
              <w:ind w:left="180"/>
              <w:spacing w:after="0" w:line="112" w:lineRule="exact"/>
              <w:rPr>
                <w:sz w:val="20"/>
                <w:szCs w:val="20"/>
                <w:color w:val="auto"/>
              </w:rPr>
            </w:pPr>
            <w:r>
              <w:rPr>
                <w:rFonts w:ascii="Times New Roman" w:cs="Times New Roman" w:eastAsia="Times New Roman" w:hAnsi="Times New Roman"/>
                <w:sz w:val="12"/>
                <w:szCs w:val="12"/>
                <w:color w:val="auto"/>
              </w:rPr>
              <w:t>Adjusted Credit RWAs IFRS</w:t>
            </w:r>
          </w:p>
        </w:tc>
        <w:tc>
          <w:tcPr>
            <w:tcW w:w="80" w:type="dxa"/>
            <w:vAlign w:val="bottom"/>
          </w:tcPr>
          <w:p>
            <w:pPr>
              <w:spacing w:after="0"/>
              <w:rPr>
                <w:sz w:val="9"/>
                <w:szCs w:val="9"/>
                <w:color w:val="auto"/>
              </w:rPr>
            </w:pPr>
          </w:p>
        </w:tc>
        <w:tc>
          <w:tcPr>
            <w:tcW w:w="1500" w:type="dxa"/>
            <w:vAlign w:val="bottom"/>
          </w:tcPr>
          <w:p>
            <w:pPr>
              <w:jc w:val="center"/>
              <w:ind w:right="313"/>
              <w:spacing w:after="0" w:line="112" w:lineRule="exact"/>
              <w:rPr>
                <w:sz w:val="20"/>
                <w:szCs w:val="20"/>
                <w:color w:val="auto"/>
              </w:rPr>
            </w:pPr>
            <w:r>
              <w:rPr>
                <w:rFonts w:ascii="Times New Roman" w:cs="Times New Roman" w:eastAsia="Times New Roman" w:hAnsi="Times New Roman"/>
                <w:sz w:val="12"/>
                <w:szCs w:val="12"/>
                <w:color w:val="auto"/>
              </w:rPr>
              <w:t>11,933,425</w:t>
            </w:r>
          </w:p>
        </w:tc>
        <w:tc>
          <w:tcPr>
            <w:tcW w:w="1140" w:type="dxa"/>
            <w:vAlign w:val="bottom"/>
          </w:tcPr>
          <w:p>
            <w:pPr>
              <w:jc w:val="center"/>
              <w:ind w:right="294"/>
              <w:spacing w:after="0" w:line="112" w:lineRule="exact"/>
              <w:rPr>
                <w:sz w:val="20"/>
                <w:szCs w:val="20"/>
                <w:color w:val="auto"/>
              </w:rPr>
            </w:pPr>
            <w:r>
              <w:rPr>
                <w:rFonts w:ascii="Times New Roman" w:cs="Times New Roman" w:eastAsia="Times New Roman" w:hAnsi="Times New Roman"/>
                <w:sz w:val="12"/>
                <w:szCs w:val="12"/>
                <w:color w:val="auto"/>
              </w:rPr>
              <w:t>13,321,465</w:t>
            </w:r>
          </w:p>
        </w:tc>
        <w:tc>
          <w:tcPr>
            <w:tcW w:w="1280" w:type="dxa"/>
            <w:vAlign w:val="bottom"/>
            <w:tcBorders>
              <w:right w:val="single" w:sz="8" w:color="auto"/>
            </w:tcBorders>
          </w:tcPr>
          <w:p>
            <w:pPr>
              <w:jc w:val="center"/>
              <w:ind w:right="13"/>
              <w:spacing w:after="0" w:line="112" w:lineRule="exact"/>
              <w:rPr>
                <w:sz w:val="20"/>
                <w:szCs w:val="20"/>
                <w:color w:val="auto"/>
              </w:rPr>
            </w:pPr>
            <w:r>
              <w:rPr>
                <w:rFonts w:ascii="Times New Roman" w:cs="Times New Roman" w:eastAsia="Times New Roman" w:hAnsi="Times New Roman"/>
                <w:sz w:val="12"/>
                <w:szCs w:val="12"/>
                <w:color w:val="auto"/>
              </w:rPr>
              <w:t>13,658,416</w:t>
            </w:r>
          </w:p>
        </w:tc>
        <w:tc>
          <w:tcPr>
            <w:tcW w:w="120" w:type="dxa"/>
            <w:vAlign w:val="bottom"/>
          </w:tcPr>
          <w:p>
            <w:pPr>
              <w:spacing w:after="0"/>
              <w:rPr>
                <w:sz w:val="9"/>
                <w:szCs w:val="9"/>
                <w:color w:val="auto"/>
              </w:rPr>
            </w:pPr>
          </w:p>
        </w:tc>
        <w:tc>
          <w:tcPr>
            <w:tcW w:w="960" w:type="dxa"/>
            <w:vAlign w:val="bottom"/>
          </w:tcPr>
          <w:p>
            <w:pPr>
              <w:jc w:val="center"/>
              <w:ind w:left="173"/>
              <w:spacing w:after="0" w:line="112" w:lineRule="exact"/>
              <w:rPr>
                <w:sz w:val="20"/>
                <w:szCs w:val="20"/>
                <w:color w:val="auto"/>
              </w:rPr>
            </w:pPr>
            <w:r>
              <w:rPr>
                <w:rFonts w:ascii="Times New Roman" w:cs="Times New Roman" w:eastAsia="Times New Roman" w:hAnsi="Times New Roman"/>
                <w:sz w:val="12"/>
                <w:szCs w:val="12"/>
                <w:color w:val="auto"/>
              </w:rPr>
              <w:t>2.5%</w:t>
            </w:r>
          </w:p>
        </w:tc>
        <w:tc>
          <w:tcPr>
            <w:tcW w:w="1740" w:type="dxa"/>
            <w:vAlign w:val="bottom"/>
            <w:tcBorders>
              <w:right w:val="single" w:sz="8" w:color="auto"/>
            </w:tcBorders>
          </w:tcPr>
          <w:p>
            <w:pPr>
              <w:jc w:val="center"/>
              <w:ind w:left="274"/>
              <w:spacing w:after="0" w:line="112" w:lineRule="exact"/>
              <w:rPr>
                <w:sz w:val="20"/>
                <w:szCs w:val="20"/>
                <w:color w:val="auto"/>
              </w:rPr>
            </w:pPr>
            <w:r>
              <w:rPr>
                <w:rFonts w:ascii="Times New Roman" w:cs="Times New Roman" w:eastAsia="Times New Roman" w:hAnsi="Times New Roman"/>
                <w:sz w:val="12"/>
                <w:szCs w:val="12"/>
                <w:color w:val="auto"/>
              </w:rPr>
              <w:t>14.5%</w:t>
            </w:r>
          </w:p>
        </w:tc>
      </w:tr>
      <w:tr>
        <w:trPr>
          <w:trHeight w:val="160"/>
        </w:trPr>
        <w:tc>
          <w:tcPr>
            <w:tcW w:w="4440" w:type="dxa"/>
            <w:vAlign w:val="bottom"/>
            <w:tcBorders>
              <w:left w:val="single" w:sz="8" w:color="auto"/>
              <w:bottom w:val="single" w:sz="8" w:color="auto"/>
              <w:right w:val="single" w:sz="8" w:color="auto"/>
            </w:tcBorders>
          </w:tcPr>
          <w:p>
            <w:pPr>
              <w:ind w:left="180"/>
              <w:spacing w:after="0" w:line="160" w:lineRule="exact"/>
              <w:rPr>
                <w:sz w:val="20"/>
                <w:szCs w:val="20"/>
                <w:color w:val="auto"/>
              </w:rPr>
            </w:pPr>
            <w:r>
              <w:rPr>
                <w:rFonts w:ascii="Times New Roman" w:cs="Times New Roman" w:eastAsia="Times New Roman" w:hAnsi="Times New Roman"/>
                <w:sz w:val="14"/>
                <w:szCs w:val="14"/>
                <w:color w:val="auto"/>
              </w:rPr>
              <w:t>Others</w:t>
            </w:r>
          </w:p>
        </w:tc>
        <w:tc>
          <w:tcPr>
            <w:tcW w:w="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center"/>
              <w:ind w:right="333"/>
              <w:spacing w:after="0" w:line="160" w:lineRule="exact"/>
              <w:rPr>
                <w:sz w:val="20"/>
                <w:szCs w:val="20"/>
                <w:color w:val="auto"/>
              </w:rPr>
            </w:pPr>
            <w:r>
              <w:rPr>
                <w:rFonts w:ascii="Times New Roman" w:cs="Times New Roman" w:eastAsia="Times New Roman" w:hAnsi="Times New Roman"/>
                <w:sz w:val="14"/>
                <w:szCs w:val="14"/>
                <w:color w:val="auto"/>
                <w:w w:val="96"/>
              </w:rPr>
              <w:t>1,848,760</w:t>
            </w:r>
          </w:p>
        </w:tc>
        <w:tc>
          <w:tcPr>
            <w:tcW w:w="1140" w:type="dxa"/>
            <w:vAlign w:val="bottom"/>
            <w:tcBorders>
              <w:bottom w:val="single" w:sz="8" w:color="auto"/>
            </w:tcBorders>
          </w:tcPr>
          <w:p>
            <w:pPr>
              <w:jc w:val="center"/>
              <w:ind w:right="294"/>
              <w:spacing w:after="0" w:line="160" w:lineRule="exact"/>
              <w:rPr>
                <w:sz w:val="20"/>
                <w:szCs w:val="20"/>
                <w:color w:val="auto"/>
              </w:rPr>
            </w:pPr>
            <w:r>
              <w:rPr>
                <w:rFonts w:ascii="Times New Roman" w:cs="Times New Roman" w:eastAsia="Times New Roman" w:hAnsi="Times New Roman"/>
                <w:sz w:val="14"/>
                <w:szCs w:val="14"/>
                <w:color w:val="auto"/>
                <w:w w:val="96"/>
              </w:rPr>
              <w:t>1,086,263</w:t>
            </w:r>
          </w:p>
        </w:tc>
        <w:tc>
          <w:tcPr>
            <w:tcW w:w="1280" w:type="dxa"/>
            <w:vAlign w:val="bottom"/>
            <w:tcBorders>
              <w:bottom w:val="single" w:sz="8" w:color="auto"/>
              <w:right w:val="single" w:sz="8" w:color="auto"/>
            </w:tcBorders>
          </w:tcPr>
          <w:p>
            <w:pPr>
              <w:jc w:val="center"/>
              <w:ind w:right="33"/>
              <w:spacing w:after="0" w:line="160" w:lineRule="exact"/>
              <w:rPr>
                <w:sz w:val="20"/>
                <w:szCs w:val="20"/>
                <w:color w:val="auto"/>
              </w:rPr>
            </w:pPr>
            <w:r>
              <w:rPr>
                <w:rFonts w:ascii="Times New Roman" w:cs="Times New Roman" w:eastAsia="Times New Roman" w:hAnsi="Times New Roman"/>
                <w:sz w:val="14"/>
                <w:szCs w:val="14"/>
                <w:color w:val="auto"/>
                <w:w w:val="96"/>
              </w:rPr>
              <w:t>1,101,673</w:t>
            </w: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left="173"/>
              <w:spacing w:after="0" w:line="160" w:lineRule="exact"/>
              <w:rPr>
                <w:sz w:val="20"/>
                <w:szCs w:val="20"/>
                <w:color w:val="auto"/>
              </w:rPr>
            </w:pPr>
            <w:r>
              <w:rPr>
                <w:rFonts w:ascii="Times New Roman" w:cs="Times New Roman" w:eastAsia="Times New Roman" w:hAnsi="Times New Roman"/>
                <w:sz w:val="14"/>
                <w:szCs w:val="14"/>
                <w:color w:val="auto"/>
                <w:w w:val="95"/>
              </w:rPr>
              <w:t>1.4%</w:t>
            </w:r>
          </w:p>
        </w:tc>
        <w:tc>
          <w:tcPr>
            <w:tcW w:w="1740" w:type="dxa"/>
            <w:vAlign w:val="bottom"/>
            <w:tcBorders>
              <w:bottom w:val="single" w:sz="8" w:color="auto"/>
              <w:right w:val="single" w:sz="8" w:color="auto"/>
            </w:tcBorders>
          </w:tcPr>
          <w:p>
            <w:pPr>
              <w:jc w:val="center"/>
              <w:ind w:left="274"/>
              <w:spacing w:after="0" w:line="160" w:lineRule="exact"/>
              <w:rPr>
                <w:sz w:val="20"/>
                <w:szCs w:val="20"/>
                <w:color w:val="auto"/>
              </w:rPr>
            </w:pPr>
            <w:r>
              <w:rPr>
                <w:rFonts w:ascii="Times New Roman" w:cs="Times New Roman" w:eastAsia="Times New Roman" w:hAnsi="Times New Roman"/>
                <w:sz w:val="14"/>
                <w:szCs w:val="14"/>
                <w:color w:val="auto"/>
                <w:w w:val="97"/>
              </w:rPr>
              <w:t>-40.4%</w:t>
            </w:r>
          </w:p>
        </w:tc>
      </w:tr>
      <w:tr>
        <w:trPr>
          <w:trHeight w:val="132"/>
        </w:trPr>
        <w:tc>
          <w:tcPr>
            <w:tcW w:w="44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740" w:type="dxa"/>
            <w:vAlign w:val="bottom"/>
            <w:tcBorders>
              <w:bottom w:val="single" w:sz="8" w:color="auto"/>
            </w:tcBorders>
          </w:tcPr>
          <w:p>
            <w:pPr>
              <w:spacing w:after="0"/>
              <w:rPr>
                <w:sz w:val="11"/>
                <w:szCs w:val="11"/>
                <w:color w:val="auto"/>
              </w:rPr>
            </w:pPr>
          </w:p>
        </w:tc>
      </w:tr>
      <w:tr>
        <w:trPr>
          <w:trHeight w:val="132"/>
        </w:trPr>
        <w:tc>
          <w:tcPr>
            <w:tcW w:w="4440" w:type="dxa"/>
            <w:vAlign w:val="bottom"/>
            <w:tcBorders>
              <w:left w:val="single" w:sz="8" w:color="auto"/>
              <w:bottom w:val="single" w:sz="8" w:color="auto"/>
              <w:right w:val="single" w:sz="8" w:color="auto"/>
            </w:tcBorders>
          </w:tcPr>
          <w:p>
            <w:pPr>
              <w:ind w:left="20"/>
              <w:spacing w:after="0" w:line="133" w:lineRule="exact"/>
              <w:rPr>
                <w:sz w:val="20"/>
                <w:szCs w:val="20"/>
                <w:color w:val="auto"/>
              </w:rPr>
            </w:pPr>
            <w:r>
              <w:rPr>
                <w:rFonts w:ascii="Times New Roman" w:cs="Times New Roman" w:eastAsia="Times New Roman" w:hAnsi="Times New Roman"/>
                <w:sz w:val="14"/>
                <w:szCs w:val="14"/>
                <w:b w:val="1"/>
                <w:bCs w:val="1"/>
                <w:color w:val="auto"/>
              </w:rPr>
              <w:t>CET1 ratio IFRS</w:t>
            </w:r>
          </w:p>
        </w:tc>
        <w:tc>
          <w:tcPr>
            <w:tcW w:w="8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jc w:val="center"/>
              <w:ind w:right="313"/>
              <w:spacing w:after="0" w:line="133" w:lineRule="exact"/>
              <w:rPr>
                <w:sz w:val="20"/>
                <w:szCs w:val="20"/>
                <w:color w:val="auto"/>
              </w:rPr>
            </w:pPr>
            <w:r>
              <w:rPr>
                <w:rFonts w:ascii="Times New Roman" w:cs="Times New Roman" w:eastAsia="Times New Roman" w:hAnsi="Times New Roman"/>
                <w:sz w:val="14"/>
                <w:szCs w:val="14"/>
                <w:b w:val="1"/>
                <w:bCs w:val="1"/>
                <w:color w:val="auto"/>
                <w:w w:val="96"/>
              </w:rPr>
              <w:t>15.89%</w:t>
            </w:r>
          </w:p>
        </w:tc>
        <w:tc>
          <w:tcPr>
            <w:tcW w:w="1140" w:type="dxa"/>
            <w:vAlign w:val="bottom"/>
            <w:tcBorders>
              <w:bottom w:val="single" w:sz="8" w:color="auto"/>
            </w:tcBorders>
          </w:tcPr>
          <w:p>
            <w:pPr>
              <w:jc w:val="center"/>
              <w:ind w:right="274"/>
              <w:spacing w:after="0" w:line="133" w:lineRule="exact"/>
              <w:rPr>
                <w:sz w:val="20"/>
                <w:szCs w:val="20"/>
                <w:color w:val="auto"/>
              </w:rPr>
            </w:pPr>
            <w:r>
              <w:rPr>
                <w:rFonts w:ascii="Times New Roman" w:cs="Times New Roman" w:eastAsia="Times New Roman" w:hAnsi="Times New Roman"/>
                <w:sz w:val="14"/>
                <w:szCs w:val="14"/>
                <w:b w:val="1"/>
                <w:bCs w:val="1"/>
                <w:color w:val="auto"/>
                <w:w w:val="96"/>
              </w:rPr>
              <w:t>17.30%</w:t>
            </w:r>
          </w:p>
        </w:tc>
        <w:tc>
          <w:tcPr>
            <w:tcW w:w="1280" w:type="dxa"/>
            <w:vAlign w:val="bottom"/>
            <w:tcBorders>
              <w:bottom w:val="single" w:sz="8" w:color="auto"/>
              <w:right w:val="single" w:sz="8" w:color="auto"/>
            </w:tcBorders>
          </w:tcPr>
          <w:p>
            <w:pPr>
              <w:jc w:val="center"/>
              <w:ind w:right="13"/>
              <w:spacing w:after="0" w:line="133" w:lineRule="exact"/>
              <w:rPr>
                <w:sz w:val="20"/>
                <w:szCs w:val="20"/>
                <w:color w:val="auto"/>
              </w:rPr>
            </w:pPr>
            <w:r>
              <w:rPr>
                <w:rFonts w:ascii="Times New Roman" w:cs="Times New Roman" w:eastAsia="Times New Roman" w:hAnsi="Times New Roman"/>
                <w:sz w:val="14"/>
                <w:szCs w:val="14"/>
                <w:b w:val="1"/>
                <w:bCs w:val="1"/>
                <w:color w:val="auto"/>
                <w:w w:val="96"/>
              </w:rPr>
              <w:t>15.70%</w:t>
            </w:r>
          </w:p>
        </w:tc>
        <w:tc>
          <w:tcPr>
            <w:tcW w:w="1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ind w:left="360"/>
              <w:spacing w:after="0" w:line="133" w:lineRule="exact"/>
              <w:rPr>
                <w:sz w:val="20"/>
                <w:szCs w:val="20"/>
                <w:color w:val="auto"/>
              </w:rPr>
            </w:pPr>
            <w:r>
              <w:rPr>
                <w:rFonts w:ascii="Times New Roman" w:cs="Times New Roman" w:eastAsia="Times New Roman" w:hAnsi="Times New Roman"/>
                <w:sz w:val="14"/>
                <w:szCs w:val="14"/>
                <w:b w:val="1"/>
                <w:bCs w:val="1"/>
                <w:color w:val="auto"/>
              </w:rPr>
              <w:t>-161 bps</w:t>
            </w:r>
          </w:p>
        </w:tc>
        <w:tc>
          <w:tcPr>
            <w:tcW w:w="1740" w:type="dxa"/>
            <w:vAlign w:val="bottom"/>
            <w:tcBorders>
              <w:bottom w:val="single" w:sz="8" w:color="auto"/>
              <w:right w:val="single" w:sz="8" w:color="auto"/>
            </w:tcBorders>
          </w:tcPr>
          <w:p>
            <w:pPr>
              <w:jc w:val="center"/>
              <w:ind w:left="274"/>
              <w:spacing w:after="0" w:line="133" w:lineRule="exact"/>
              <w:rPr>
                <w:sz w:val="20"/>
                <w:szCs w:val="20"/>
                <w:color w:val="auto"/>
              </w:rPr>
            </w:pPr>
            <w:r>
              <w:rPr>
                <w:rFonts w:ascii="Times New Roman" w:cs="Times New Roman" w:eastAsia="Times New Roman" w:hAnsi="Times New Roman"/>
                <w:sz w:val="14"/>
                <w:szCs w:val="14"/>
                <w:b w:val="1"/>
                <w:bCs w:val="1"/>
                <w:color w:val="auto"/>
                <w:w w:val="92"/>
              </w:rPr>
              <w:t>-19 bps</w:t>
            </w:r>
          </w:p>
        </w:tc>
      </w:tr>
      <w:tr>
        <w:trPr>
          <w:trHeight w:val="1902"/>
        </w:trPr>
        <w:tc>
          <w:tcPr>
            <w:tcW w:w="4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-1095375</wp:posOffset>
            </wp:positionV>
            <wp:extent cx="6447155" cy="78168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447155" cy="78168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55" w:name="page56"/>
    <w:bookmarkEnd w:id="55"/>
    <w:p>
      <w:pPr>
        <w:ind w:left="3200"/>
        <w:spacing w:after="0"/>
        <w:tabs>
          <w:tab w:leader="none" w:pos="3380" w:val="left"/>
          <w:tab w:leader="none" w:pos="9060" w:val="left"/>
        </w:tabs>
        <w:rPr>
          <w:sz w:val="20"/>
          <w:szCs w:val="20"/>
          <w:color w:val="auto"/>
        </w:rPr>
      </w:pPr>
      <w:r>
        <w:rPr>
          <w:rFonts w:ascii="Times New Roman" w:cs="Times New Roman" w:eastAsia="Times New Roman" w:hAnsi="Times New Roman"/>
          <w:sz w:val="17"/>
          <w:szCs w:val="17"/>
          <w:color w:val="A6A6A6"/>
        </w:rPr>
        <w:drawing>
          <wp:anchor simplePos="0" relativeHeight="251657728" behindDoc="1" locked="0" layoutInCell="0" allowOverlap="1">
            <wp:simplePos x="0" y="0"/>
            <wp:positionH relativeFrom="page">
              <wp:posOffset>204470</wp:posOffset>
            </wp:positionH>
            <wp:positionV relativeFrom="page">
              <wp:posOffset>217805</wp:posOffset>
            </wp:positionV>
            <wp:extent cx="7140575" cy="69278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0575" cy="692785"/>
                    </a:xfrm>
                    <a:prstGeom prst="rect">
                      <a:avLst/>
                    </a:prstGeom>
                    <a:noFill/>
                  </pic:spPr>
                </pic:pic>
              </a:graphicData>
            </a:graphic>
          </wp:anchor>
        </w:drawing>
        <w:t>|</w:t>
      </w:r>
      <w:r>
        <w:rPr>
          <w:sz w:val="20"/>
          <w:szCs w:val="20"/>
          <w:color w:val="auto"/>
        </w:rPr>
        <w:tab/>
      </w:r>
      <w:r>
        <w:rPr>
          <w:rFonts w:ascii="Times New Roman" w:cs="Times New Roman" w:eastAsia="Times New Roman" w:hAnsi="Times New Roman"/>
          <w:sz w:val="14"/>
          <w:szCs w:val="14"/>
          <w:color w:val="FFFFFF"/>
        </w:rPr>
        <w:t>Earnings Release 1Q / 2026</w:t>
      </w:r>
      <w:r>
        <w:rPr>
          <w:sz w:val="20"/>
          <w:szCs w:val="20"/>
          <w:color w:val="auto"/>
        </w:rPr>
        <w:tab/>
      </w:r>
      <w:r>
        <w:rPr>
          <w:rFonts w:ascii="Times New Roman" w:cs="Times New Roman" w:eastAsia="Times New Roman" w:hAnsi="Times New Roman"/>
          <w:sz w:val="12"/>
          <w:szCs w:val="12"/>
          <w:color w:val="FF00FF"/>
        </w:rPr>
        <w:t>Analysis of 1Q26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297180</wp:posOffset>
            </wp:positionV>
            <wp:extent cx="7140575" cy="20955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40575" cy="20955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FFFFFF"/>
        </w:rPr>
        <w:t>12. Appendix</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12.7. Financial Statements and Ratios by Business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12.7.1. Credicorp Consolidated</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 of Financial Position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 Thousands, IFRS)</w:t>
      </w:r>
    </w:p>
    <w:p>
      <w:pPr>
        <w:spacing w:after="0" w:line="191" w:lineRule="exact"/>
        <w:rPr>
          <w:sz w:val="20"/>
          <w:szCs w:val="20"/>
          <w:color w:val="auto"/>
        </w:rPr>
      </w:pPr>
    </w:p>
    <w:tbl>
      <w:tblPr>
        <w:tblLayout w:type="fixed"/>
        <w:tblInd w:w="10" w:type="dxa"/>
        <w:tblCellMar>
          <w:top w:w="0" w:type="dxa"/>
          <w:left w:w="0" w:type="dxa"/>
          <w:bottom w:w="0" w:type="dxa"/>
          <w:right w:w="0" w:type="dxa"/>
        </w:tblCellMar>
      </w:tblPr>
      <w:tr>
        <w:trPr>
          <w:trHeight w:val="128"/>
        </w:trPr>
        <w:tc>
          <w:tcPr>
            <w:tcW w:w="5640" w:type="dxa"/>
            <w:vAlign w:val="bottom"/>
            <w:tcBorders>
              <w:top w:val="single" w:sz="8" w:color="auto"/>
              <w:left w:val="single" w:sz="8" w:color="auto"/>
              <w:right w:val="single" w:sz="8" w:color="auto"/>
            </w:tcBorders>
            <w:shd w:val="clear" w:color="auto" w:fill="2AD2C9"/>
          </w:tcPr>
          <w:p>
            <w:pPr>
              <w:spacing w:after="0"/>
              <w:rPr>
                <w:sz w:val="11"/>
                <w:szCs w:val="11"/>
                <w:color w:val="auto"/>
              </w:rPr>
            </w:pPr>
          </w:p>
        </w:tc>
        <w:tc>
          <w:tcPr>
            <w:tcW w:w="1120" w:type="dxa"/>
            <w:vAlign w:val="bottom"/>
            <w:tcBorders>
              <w:top w:val="single" w:sz="8" w:color="auto"/>
            </w:tcBorders>
            <w:shd w:val="clear" w:color="auto" w:fill="2AD2C9"/>
          </w:tcPr>
          <w:p>
            <w:pPr>
              <w:spacing w:after="0"/>
              <w:rPr>
                <w:sz w:val="11"/>
                <w:szCs w:val="11"/>
                <w:color w:val="auto"/>
              </w:rPr>
            </w:pPr>
          </w:p>
        </w:tc>
        <w:tc>
          <w:tcPr>
            <w:tcW w:w="1120" w:type="dxa"/>
            <w:vAlign w:val="bottom"/>
            <w:tcBorders>
              <w:top w:val="single" w:sz="8" w:color="auto"/>
            </w:tcBorders>
            <w:shd w:val="clear" w:color="auto" w:fill="2AD2C9"/>
          </w:tcPr>
          <w:p>
            <w:pPr>
              <w:jc w:val="center"/>
              <w:spacing w:after="0" w:line="128" w:lineRule="exact"/>
              <w:rPr>
                <w:sz w:val="20"/>
                <w:szCs w:val="20"/>
                <w:color w:val="auto"/>
              </w:rPr>
            </w:pPr>
            <w:r>
              <w:rPr>
                <w:rFonts w:ascii="Times New Roman" w:cs="Times New Roman" w:eastAsia="Times New Roman" w:hAnsi="Times New Roman"/>
                <w:sz w:val="14"/>
                <w:szCs w:val="14"/>
                <w:b w:val="1"/>
                <w:bCs w:val="1"/>
                <w:color w:val="FFFFFF"/>
                <w:w w:val="90"/>
              </w:rPr>
              <w:t>As of</w:t>
            </w:r>
          </w:p>
        </w:tc>
        <w:tc>
          <w:tcPr>
            <w:tcW w:w="1140" w:type="dxa"/>
            <w:vAlign w:val="bottom"/>
            <w:tcBorders>
              <w:top w:val="single" w:sz="8" w:color="auto"/>
              <w:right w:val="single" w:sz="8" w:color="auto"/>
            </w:tcBorders>
            <w:shd w:val="clear" w:color="auto" w:fill="2AD2C9"/>
          </w:tcPr>
          <w:p>
            <w:pPr>
              <w:spacing w:after="0"/>
              <w:rPr>
                <w:sz w:val="11"/>
                <w:szCs w:val="11"/>
                <w:color w:val="auto"/>
              </w:rPr>
            </w:pPr>
          </w:p>
        </w:tc>
        <w:tc>
          <w:tcPr>
            <w:tcW w:w="780" w:type="dxa"/>
            <w:vAlign w:val="bottom"/>
            <w:tcBorders>
              <w:top w:val="single" w:sz="8" w:color="auto"/>
            </w:tcBorders>
            <w:shd w:val="clear" w:color="auto" w:fill="2AD2C9"/>
          </w:tcPr>
          <w:p>
            <w:pPr>
              <w:spacing w:after="0"/>
              <w:rPr>
                <w:sz w:val="11"/>
                <w:szCs w:val="11"/>
                <w:color w:val="auto"/>
              </w:rPr>
            </w:pPr>
          </w:p>
        </w:tc>
        <w:tc>
          <w:tcPr>
            <w:tcW w:w="1460" w:type="dxa"/>
            <w:vAlign w:val="bottom"/>
            <w:tcBorders>
              <w:top w:val="single" w:sz="8" w:color="auto"/>
              <w:right w:val="single" w:sz="8" w:color="auto"/>
            </w:tcBorders>
            <w:shd w:val="clear" w:color="auto" w:fill="2AD2C9"/>
          </w:tcPr>
          <w:p>
            <w:pPr>
              <w:ind w:left="40"/>
              <w:spacing w:after="0" w:line="128" w:lineRule="exact"/>
              <w:rPr>
                <w:sz w:val="20"/>
                <w:szCs w:val="20"/>
                <w:color w:val="auto"/>
              </w:rPr>
            </w:pPr>
            <w:r>
              <w:rPr>
                <w:rFonts w:ascii="Times New Roman" w:cs="Times New Roman" w:eastAsia="Times New Roman" w:hAnsi="Times New Roman"/>
                <w:sz w:val="14"/>
                <w:szCs w:val="14"/>
                <w:b w:val="1"/>
                <w:bCs w:val="1"/>
                <w:color w:val="FFFFFF"/>
              </w:rPr>
              <w:t>% change</w:t>
            </w:r>
          </w:p>
        </w:tc>
        <w:tc>
          <w:tcPr>
            <w:tcW w:w="0" w:type="dxa"/>
            <w:vAlign w:val="bottom"/>
          </w:tcPr>
          <w:p>
            <w:pPr>
              <w:spacing w:after="0"/>
              <w:rPr>
                <w:sz w:val="1"/>
                <w:szCs w:val="1"/>
                <w:color w:val="auto"/>
              </w:rPr>
            </w:pPr>
          </w:p>
        </w:tc>
      </w:tr>
      <w:tr>
        <w:trPr>
          <w:trHeight w:val="164"/>
        </w:trPr>
        <w:tc>
          <w:tcPr>
            <w:tcW w:w="5640" w:type="dxa"/>
            <w:vAlign w:val="bottom"/>
            <w:tcBorders>
              <w:left w:val="single" w:sz="8" w:color="auto"/>
              <w:bottom w:val="single" w:sz="8" w:color="auto"/>
              <w:right w:val="single" w:sz="8" w:color="auto"/>
            </w:tcBorders>
            <w:shd w:val="clear" w:color="auto" w:fill="2AD2C9"/>
          </w:tcPr>
          <w:p>
            <w:pPr>
              <w:spacing w:after="0"/>
              <w:rPr>
                <w:sz w:val="14"/>
                <w:szCs w:val="14"/>
                <w:color w:val="auto"/>
              </w:rPr>
            </w:pPr>
          </w:p>
        </w:tc>
        <w:tc>
          <w:tcPr>
            <w:tcW w:w="1120" w:type="dxa"/>
            <w:vAlign w:val="bottom"/>
            <w:tcBorders>
              <w:bottom w:val="single" w:sz="8" w:color="auto"/>
            </w:tcBorders>
            <w:shd w:val="clear" w:color="auto" w:fill="2AD2C9"/>
          </w:tcPr>
          <w:p>
            <w:pPr>
              <w:ind w:left="340"/>
              <w:spacing w:after="0"/>
              <w:rPr>
                <w:sz w:val="20"/>
                <w:szCs w:val="20"/>
                <w:color w:val="auto"/>
              </w:rPr>
            </w:pPr>
            <w:r>
              <w:rPr>
                <w:rFonts w:ascii="Times New Roman" w:cs="Times New Roman" w:eastAsia="Times New Roman" w:hAnsi="Times New Roman"/>
                <w:sz w:val="14"/>
                <w:szCs w:val="14"/>
                <w:b w:val="1"/>
                <w:bCs w:val="1"/>
                <w:color w:val="FFFFFF"/>
              </w:rPr>
              <w:t>Mar 25</w:t>
            </w:r>
          </w:p>
        </w:tc>
        <w:tc>
          <w:tcPr>
            <w:tcW w:w="1120" w:type="dxa"/>
            <w:vAlign w:val="bottom"/>
            <w:tcBorders>
              <w:bottom w:val="single" w:sz="8" w:color="auto"/>
            </w:tcBorders>
            <w:shd w:val="clear" w:color="auto" w:fill="2AD2C9"/>
          </w:tcPr>
          <w:p>
            <w:pPr>
              <w:jc w:val="center"/>
              <w:spacing w:after="0"/>
              <w:rPr>
                <w:sz w:val="20"/>
                <w:szCs w:val="20"/>
                <w:color w:val="auto"/>
              </w:rPr>
            </w:pPr>
            <w:r>
              <w:rPr>
                <w:rFonts w:ascii="Times New Roman" w:cs="Times New Roman" w:eastAsia="Times New Roman" w:hAnsi="Times New Roman"/>
                <w:sz w:val="14"/>
                <w:szCs w:val="14"/>
                <w:b w:val="1"/>
                <w:bCs w:val="1"/>
                <w:color w:val="FFFFFF"/>
                <w:w w:val="99"/>
              </w:rPr>
              <w:t>Dec 25</w:t>
            </w:r>
          </w:p>
        </w:tc>
        <w:tc>
          <w:tcPr>
            <w:tcW w:w="1140" w:type="dxa"/>
            <w:vAlign w:val="bottom"/>
            <w:tcBorders>
              <w:bottom w:val="single" w:sz="8" w:color="auto"/>
              <w:right w:val="single" w:sz="8" w:color="auto"/>
            </w:tcBorders>
            <w:shd w:val="clear" w:color="auto" w:fill="2AD2C9"/>
          </w:tcPr>
          <w:p>
            <w:pPr>
              <w:ind w:left="340"/>
              <w:spacing w:after="0"/>
              <w:rPr>
                <w:sz w:val="20"/>
                <w:szCs w:val="20"/>
                <w:color w:val="auto"/>
              </w:rPr>
            </w:pPr>
            <w:r>
              <w:rPr>
                <w:rFonts w:ascii="Times New Roman" w:cs="Times New Roman" w:eastAsia="Times New Roman" w:hAnsi="Times New Roman"/>
                <w:sz w:val="14"/>
                <w:szCs w:val="14"/>
                <w:b w:val="1"/>
                <w:bCs w:val="1"/>
                <w:color w:val="FFFFFF"/>
              </w:rPr>
              <w:t>Mar 26</w:t>
            </w:r>
          </w:p>
        </w:tc>
        <w:tc>
          <w:tcPr>
            <w:tcW w:w="780" w:type="dxa"/>
            <w:vAlign w:val="bottom"/>
            <w:tcBorders>
              <w:bottom w:val="single" w:sz="8" w:color="auto"/>
            </w:tcBorders>
            <w:shd w:val="clear" w:color="auto" w:fill="2AD2C9"/>
          </w:tcPr>
          <w:p>
            <w:pPr>
              <w:ind w:left="400"/>
              <w:spacing w:after="0"/>
              <w:rPr>
                <w:sz w:val="20"/>
                <w:szCs w:val="20"/>
                <w:color w:val="auto"/>
              </w:rPr>
            </w:pPr>
            <w:r>
              <w:rPr>
                <w:rFonts w:ascii="Times New Roman" w:cs="Times New Roman" w:eastAsia="Times New Roman" w:hAnsi="Times New Roman"/>
                <w:sz w:val="14"/>
                <w:szCs w:val="14"/>
                <w:b w:val="1"/>
                <w:bCs w:val="1"/>
                <w:color w:val="FFFFFF"/>
              </w:rPr>
              <w:t>QoQ</w:t>
            </w:r>
          </w:p>
        </w:tc>
        <w:tc>
          <w:tcPr>
            <w:tcW w:w="1460" w:type="dxa"/>
            <w:vAlign w:val="bottom"/>
            <w:tcBorders>
              <w:bottom w:val="single" w:sz="8" w:color="auto"/>
              <w:right w:val="single" w:sz="8" w:color="auto"/>
            </w:tcBorders>
            <w:shd w:val="clear" w:color="auto" w:fill="2AD2C9"/>
          </w:tcPr>
          <w:p>
            <w:pPr>
              <w:ind w:left="760"/>
              <w:spacing w:after="0"/>
              <w:rPr>
                <w:sz w:val="20"/>
                <w:szCs w:val="20"/>
                <w:color w:val="auto"/>
              </w:rPr>
            </w:pPr>
            <w:r>
              <w:rPr>
                <w:rFonts w:ascii="Times New Roman" w:cs="Times New Roman" w:eastAsia="Times New Roman" w:hAnsi="Times New Roman"/>
                <w:sz w:val="14"/>
                <w:szCs w:val="14"/>
                <w:b w:val="1"/>
                <w:bCs w:val="1"/>
                <w:color w:val="FFFFFF"/>
              </w:rPr>
              <w:t>YoY</w:t>
            </w:r>
          </w:p>
        </w:tc>
        <w:tc>
          <w:tcPr>
            <w:tcW w:w="0" w:type="dxa"/>
            <w:vAlign w:val="bottom"/>
          </w:tcPr>
          <w:p>
            <w:pPr>
              <w:spacing w:after="0"/>
              <w:rPr>
                <w:sz w:val="1"/>
                <w:szCs w:val="1"/>
                <w:color w:val="auto"/>
              </w:rPr>
            </w:pPr>
          </w:p>
        </w:tc>
      </w:tr>
      <w:tr>
        <w:trPr>
          <w:trHeight w:val="108"/>
        </w:trPr>
        <w:tc>
          <w:tcPr>
            <w:tcW w:w="5640" w:type="dxa"/>
            <w:vAlign w:val="bottom"/>
            <w:tcBorders>
              <w:left w:val="single" w:sz="8" w:color="auto"/>
              <w:right w:val="single" w:sz="8" w:color="auto"/>
            </w:tcBorders>
          </w:tcPr>
          <w:p>
            <w:pPr>
              <w:ind w:left="60"/>
              <w:spacing w:after="0" w:line="108" w:lineRule="exact"/>
              <w:rPr>
                <w:sz w:val="20"/>
                <w:szCs w:val="20"/>
                <w:color w:val="auto"/>
              </w:rPr>
            </w:pPr>
            <w:r>
              <w:rPr>
                <w:rFonts w:ascii="Times New Roman" w:cs="Times New Roman" w:eastAsia="Times New Roman" w:hAnsi="Times New Roman"/>
                <w:sz w:val="12"/>
                <w:szCs w:val="12"/>
                <w:b w:val="1"/>
                <w:bCs w:val="1"/>
                <w:color w:val="auto"/>
              </w:rPr>
              <w:t>ASSETS</w:t>
            </w: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14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5640" w:type="dxa"/>
            <w:vAlign w:val="bottom"/>
            <w:tcBorders>
              <w:left w:val="single" w:sz="8" w:color="auto"/>
              <w:right w:val="single" w:sz="8" w:color="auto"/>
            </w:tcBorders>
          </w:tcPr>
          <w:p>
            <w:pPr>
              <w:ind w:left="60"/>
              <w:spacing w:after="0" w:line="144" w:lineRule="exact"/>
              <w:rPr>
                <w:sz w:val="20"/>
                <w:szCs w:val="20"/>
                <w:color w:val="auto"/>
              </w:rPr>
            </w:pPr>
            <w:r>
              <w:rPr>
                <w:rFonts w:ascii="Times New Roman" w:cs="Times New Roman" w:eastAsia="Times New Roman" w:hAnsi="Times New Roman"/>
                <w:sz w:val="14"/>
                <w:szCs w:val="14"/>
                <w:b w:val="1"/>
                <w:bCs w:val="1"/>
                <w:color w:val="auto"/>
              </w:rPr>
              <w:t>Cash and due from banks</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6"/>
              </w:rPr>
              <w:t>7,015,098</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6"/>
              </w:rPr>
              <w:t>7,649,640</w:t>
            </w: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6"/>
              </w:rPr>
              <w:t>7,708,541</w:t>
            </w:r>
          </w:p>
        </w:tc>
        <w:tc>
          <w:tcPr>
            <w:tcW w:w="780" w:type="dxa"/>
            <w:vAlign w:val="bottom"/>
            <w:vMerge w:val="restart"/>
          </w:tcPr>
          <w:p>
            <w:pPr>
              <w:jc w:val="center"/>
              <w:ind w:left="232"/>
              <w:spacing w:after="0"/>
              <w:rPr>
                <w:sz w:val="20"/>
                <w:szCs w:val="20"/>
                <w:color w:val="auto"/>
              </w:rPr>
            </w:pPr>
            <w:r>
              <w:rPr>
                <w:rFonts w:ascii="Times New Roman" w:cs="Times New Roman" w:eastAsia="Times New Roman" w:hAnsi="Times New Roman"/>
                <w:sz w:val="14"/>
                <w:szCs w:val="14"/>
                <w:color w:val="auto"/>
                <w:w w:val="95"/>
              </w:rPr>
              <w:t>0.8%</w:t>
            </w:r>
          </w:p>
        </w:tc>
        <w:tc>
          <w:tcPr>
            <w:tcW w:w="1460" w:type="dxa"/>
            <w:vAlign w:val="bottom"/>
            <w:tcBorders>
              <w:right w:val="single" w:sz="8" w:color="auto"/>
            </w:tcBorders>
            <w:vMerge w:val="restart"/>
          </w:tcPr>
          <w:p>
            <w:pPr>
              <w:jc w:val="center"/>
              <w:ind w:left="232"/>
              <w:spacing w:after="0"/>
              <w:rPr>
                <w:sz w:val="20"/>
                <w:szCs w:val="20"/>
                <w:color w:val="auto"/>
              </w:rPr>
            </w:pPr>
            <w:r>
              <w:rPr>
                <w:rFonts w:ascii="Times New Roman" w:cs="Times New Roman" w:eastAsia="Times New Roman" w:hAnsi="Times New Roman"/>
                <w:sz w:val="14"/>
                <w:szCs w:val="14"/>
                <w:color w:val="auto"/>
                <w:w w:val="95"/>
              </w:rPr>
              <w:t>9.9%</w:t>
            </w:r>
          </w:p>
        </w:tc>
        <w:tc>
          <w:tcPr>
            <w:tcW w:w="0" w:type="dxa"/>
            <w:vAlign w:val="bottom"/>
          </w:tcPr>
          <w:p>
            <w:pPr>
              <w:spacing w:after="0"/>
              <w:rPr>
                <w:sz w:val="1"/>
                <w:szCs w:val="1"/>
                <w:color w:val="auto"/>
              </w:rPr>
            </w:pPr>
          </w:p>
        </w:tc>
      </w:tr>
      <w:tr>
        <w:trPr>
          <w:trHeight w:val="140"/>
        </w:trPr>
        <w:tc>
          <w:tcPr>
            <w:tcW w:w="5640" w:type="dxa"/>
            <w:vAlign w:val="bottom"/>
            <w:tcBorders>
              <w:left w:val="single" w:sz="8" w:color="auto"/>
              <w:right w:val="single" w:sz="8" w:color="auto"/>
            </w:tcBorders>
          </w:tcPr>
          <w:p>
            <w:pPr>
              <w:ind w:left="180"/>
              <w:spacing w:after="0" w:line="140" w:lineRule="exact"/>
              <w:rPr>
                <w:sz w:val="20"/>
                <w:szCs w:val="20"/>
                <w:color w:val="auto"/>
              </w:rPr>
            </w:pPr>
            <w:r>
              <w:rPr>
                <w:rFonts w:ascii="Times New Roman" w:cs="Times New Roman" w:eastAsia="Times New Roman" w:hAnsi="Times New Roman"/>
                <w:sz w:val="14"/>
                <w:szCs w:val="14"/>
                <w:color w:val="auto"/>
              </w:rPr>
              <w:t>Non-interest bearing</w:t>
            </w:r>
          </w:p>
        </w:tc>
        <w:tc>
          <w:tcPr>
            <w:tcW w:w="112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1140" w:type="dxa"/>
            <w:vAlign w:val="bottom"/>
            <w:tcBorders>
              <w:right w:val="single" w:sz="8" w:color="auto"/>
            </w:tcBorders>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14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5640" w:type="dxa"/>
            <w:vAlign w:val="bottom"/>
            <w:tcBorders>
              <w:left w:val="single" w:sz="8" w:color="auto"/>
              <w:right w:val="single" w:sz="8" w:color="auto"/>
            </w:tcBorders>
          </w:tcPr>
          <w:p>
            <w:pPr>
              <w:ind w:left="180"/>
              <w:spacing w:after="0" w:line="136" w:lineRule="exact"/>
              <w:rPr>
                <w:sz w:val="20"/>
                <w:szCs w:val="20"/>
                <w:color w:val="auto"/>
              </w:rPr>
            </w:pPr>
            <w:r>
              <w:rPr>
                <w:rFonts w:ascii="Times New Roman" w:cs="Times New Roman" w:eastAsia="Times New Roman" w:hAnsi="Times New Roman"/>
                <w:sz w:val="14"/>
                <w:szCs w:val="14"/>
                <w:color w:val="auto"/>
              </w:rPr>
              <w:t>Interest bearing</w:t>
            </w:r>
          </w:p>
        </w:tc>
        <w:tc>
          <w:tcPr>
            <w:tcW w:w="112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w w:val="95"/>
              </w:rPr>
              <w:t>37,521,839</w:t>
            </w:r>
          </w:p>
        </w:tc>
        <w:tc>
          <w:tcPr>
            <w:tcW w:w="112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w w:val="95"/>
              </w:rPr>
              <w:t>41,394,817</w:t>
            </w:r>
          </w:p>
        </w:tc>
        <w:tc>
          <w:tcPr>
            <w:tcW w:w="114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4"/>
                <w:szCs w:val="14"/>
                <w:color w:val="auto"/>
                <w:w w:val="95"/>
              </w:rPr>
              <w:t>42,979,690</w:t>
            </w:r>
          </w:p>
        </w:tc>
        <w:tc>
          <w:tcPr>
            <w:tcW w:w="780" w:type="dxa"/>
            <w:vAlign w:val="bottom"/>
          </w:tcPr>
          <w:p>
            <w:pPr>
              <w:jc w:val="center"/>
              <w:ind w:left="232"/>
              <w:spacing w:after="0" w:line="136" w:lineRule="exact"/>
              <w:rPr>
                <w:sz w:val="20"/>
                <w:szCs w:val="20"/>
                <w:color w:val="auto"/>
              </w:rPr>
            </w:pPr>
            <w:r>
              <w:rPr>
                <w:rFonts w:ascii="Times New Roman" w:cs="Times New Roman" w:eastAsia="Times New Roman" w:hAnsi="Times New Roman"/>
                <w:sz w:val="14"/>
                <w:szCs w:val="14"/>
                <w:color w:val="auto"/>
                <w:w w:val="95"/>
              </w:rPr>
              <w:t>3.8%</w:t>
            </w:r>
          </w:p>
        </w:tc>
        <w:tc>
          <w:tcPr>
            <w:tcW w:w="1460" w:type="dxa"/>
            <w:vAlign w:val="bottom"/>
            <w:tcBorders>
              <w:right w:val="single" w:sz="8" w:color="auto"/>
            </w:tcBorders>
          </w:tcPr>
          <w:p>
            <w:pPr>
              <w:jc w:val="center"/>
              <w:ind w:left="232"/>
              <w:spacing w:after="0" w:line="136" w:lineRule="exact"/>
              <w:rPr>
                <w:sz w:val="20"/>
                <w:szCs w:val="20"/>
                <w:color w:val="auto"/>
              </w:rPr>
            </w:pPr>
            <w:r>
              <w:rPr>
                <w:rFonts w:ascii="Times New Roman" w:cs="Times New Roman" w:eastAsia="Times New Roman" w:hAnsi="Times New Roman"/>
                <w:sz w:val="14"/>
                <w:szCs w:val="14"/>
                <w:color w:val="auto"/>
                <w:w w:val="99"/>
              </w:rPr>
              <w:t>14.5%</w:t>
            </w:r>
          </w:p>
        </w:tc>
        <w:tc>
          <w:tcPr>
            <w:tcW w:w="0" w:type="dxa"/>
            <w:vAlign w:val="bottom"/>
          </w:tcPr>
          <w:p>
            <w:pPr>
              <w:spacing w:after="0"/>
              <w:rPr>
                <w:sz w:val="1"/>
                <w:szCs w:val="1"/>
                <w:color w:val="auto"/>
              </w:rPr>
            </w:pPr>
          </w:p>
        </w:tc>
      </w:tr>
      <w:tr>
        <w:trPr>
          <w:trHeight w:val="179"/>
        </w:trPr>
        <w:tc>
          <w:tcPr>
            <w:tcW w:w="56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Total cash and due from banks</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44,536,937</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49,044,457</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50,688,231</w:t>
            </w:r>
          </w:p>
        </w:tc>
        <w:tc>
          <w:tcPr>
            <w:tcW w:w="780" w:type="dxa"/>
            <w:vAlign w:val="bottom"/>
          </w:tcPr>
          <w:p>
            <w:pPr>
              <w:jc w:val="center"/>
              <w:ind w:left="252"/>
              <w:spacing w:after="0"/>
              <w:rPr>
                <w:sz w:val="20"/>
                <w:szCs w:val="20"/>
                <w:color w:val="auto"/>
              </w:rPr>
            </w:pPr>
            <w:r>
              <w:rPr>
                <w:rFonts w:ascii="Times New Roman" w:cs="Times New Roman" w:eastAsia="Times New Roman" w:hAnsi="Times New Roman"/>
                <w:sz w:val="14"/>
                <w:szCs w:val="14"/>
                <w:b w:val="1"/>
                <w:bCs w:val="1"/>
                <w:color w:val="auto"/>
                <w:w w:val="95"/>
              </w:rPr>
              <w:t>3.4%</w:t>
            </w:r>
          </w:p>
        </w:tc>
        <w:tc>
          <w:tcPr>
            <w:tcW w:w="1460" w:type="dxa"/>
            <w:vAlign w:val="bottom"/>
            <w:tcBorders>
              <w:right w:val="single" w:sz="8" w:color="auto"/>
            </w:tcBorders>
          </w:tcPr>
          <w:p>
            <w:pPr>
              <w:jc w:val="center"/>
              <w:ind w:left="212"/>
              <w:spacing w:after="0"/>
              <w:rPr>
                <w:sz w:val="20"/>
                <w:szCs w:val="20"/>
                <w:color w:val="auto"/>
              </w:rPr>
            </w:pPr>
            <w:r>
              <w:rPr>
                <w:rFonts w:ascii="Times New Roman" w:cs="Times New Roman" w:eastAsia="Times New Roman" w:hAnsi="Times New Roman"/>
                <w:sz w:val="14"/>
                <w:szCs w:val="14"/>
                <w:b w:val="1"/>
                <w:bCs w:val="1"/>
                <w:color w:val="auto"/>
                <w:w w:val="98"/>
              </w:rPr>
              <w:t>13.8%</w:t>
            </w:r>
          </w:p>
        </w:tc>
        <w:tc>
          <w:tcPr>
            <w:tcW w:w="0" w:type="dxa"/>
            <w:vAlign w:val="bottom"/>
          </w:tcPr>
          <w:p>
            <w:pPr>
              <w:spacing w:after="0"/>
              <w:rPr>
                <w:sz w:val="1"/>
                <w:szCs w:val="1"/>
                <w:color w:val="auto"/>
              </w:rPr>
            </w:pPr>
          </w:p>
        </w:tc>
      </w:tr>
      <w:tr>
        <w:trPr>
          <w:trHeight w:val="244"/>
        </w:trPr>
        <w:tc>
          <w:tcPr>
            <w:tcW w:w="56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Cash collateral, reverse repurchase agreements and securities borrowing</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1,835,893</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2,177,200</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2"/>
              </w:rPr>
              <w:t>2,211,576</w:t>
            </w:r>
          </w:p>
        </w:tc>
        <w:tc>
          <w:tcPr>
            <w:tcW w:w="780" w:type="dxa"/>
            <w:vAlign w:val="bottom"/>
          </w:tcPr>
          <w:p>
            <w:pPr>
              <w:jc w:val="center"/>
              <w:ind w:left="232"/>
              <w:spacing w:after="0"/>
              <w:rPr>
                <w:sz w:val="20"/>
                <w:szCs w:val="20"/>
                <w:color w:val="auto"/>
              </w:rPr>
            </w:pPr>
            <w:r>
              <w:rPr>
                <w:rFonts w:ascii="Times New Roman" w:cs="Times New Roman" w:eastAsia="Times New Roman" w:hAnsi="Times New Roman"/>
                <w:sz w:val="14"/>
                <w:szCs w:val="14"/>
                <w:color w:val="auto"/>
                <w:w w:val="95"/>
              </w:rPr>
              <w:t>1.6%</w:t>
            </w:r>
          </w:p>
        </w:tc>
        <w:tc>
          <w:tcPr>
            <w:tcW w:w="1460" w:type="dxa"/>
            <w:vAlign w:val="bottom"/>
            <w:tcBorders>
              <w:right w:val="single" w:sz="8" w:color="auto"/>
            </w:tcBorders>
          </w:tcPr>
          <w:p>
            <w:pPr>
              <w:jc w:val="center"/>
              <w:ind w:left="232"/>
              <w:spacing w:after="0"/>
              <w:rPr>
                <w:sz w:val="20"/>
                <w:szCs w:val="20"/>
                <w:color w:val="auto"/>
              </w:rPr>
            </w:pPr>
            <w:r>
              <w:rPr>
                <w:rFonts w:ascii="Times New Roman" w:cs="Times New Roman" w:eastAsia="Times New Roman" w:hAnsi="Times New Roman"/>
                <w:sz w:val="14"/>
                <w:szCs w:val="14"/>
                <w:color w:val="auto"/>
                <w:w w:val="99"/>
              </w:rPr>
              <w:t>20.5%</w:t>
            </w:r>
          </w:p>
        </w:tc>
        <w:tc>
          <w:tcPr>
            <w:tcW w:w="0" w:type="dxa"/>
            <w:vAlign w:val="bottom"/>
          </w:tcPr>
          <w:p>
            <w:pPr>
              <w:spacing w:after="0"/>
              <w:rPr>
                <w:sz w:val="1"/>
                <w:szCs w:val="1"/>
                <w:color w:val="auto"/>
              </w:rPr>
            </w:pPr>
          </w:p>
        </w:tc>
      </w:tr>
      <w:tr>
        <w:trPr>
          <w:trHeight w:val="140"/>
        </w:trPr>
        <w:tc>
          <w:tcPr>
            <w:tcW w:w="5640" w:type="dxa"/>
            <w:vAlign w:val="bottom"/>
            <w:tcBorders>
              <w:left w:val="single" w:sz="8" w:color="auto"/>
              <w:right w:val="single" w:sz="8" w:color="auto"/>
            </w:tcBorders>
          </w:tcPr>
          <w:p>
            <w:pPr>
              <w:ind w:left="60"/>
              <w:spacing w:after="0" w:line="140" w:lineRule="exact"/>
              <w:rPr>
                <w:sz w:val="20"/>
                <w:szCs w:val="20"/>
                <w:color w:val="auto"/>
              </w:rPr>
            </w:pPr>
            <w:r>
              <w:rPr>
                <w:rFonts w:ascii="Times New Roman" w:cs="Times New Roman" w:eastAsia="Times New Roman" w:hAnsi="Times New Roman"/>
                <w:sz w:val="14"/>
                <w:szCs w:val="14"/>
                <w:color w:val="auto"/>
              </w:rPr>
              <w:t>Fair value through profit or loss investments</w:t>
            </w:r>
          </w:p>
        </w:tc>
        <w:tc>
          <w:tcPr>
            <w:tcW w:w="11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5,149,628</w:t>
            </w:r>
          </w:p>
        </w:tc>
        <w:tc>
          <w:tcPr>
            <w:tcW w:w="11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4,957,236</w:t>
            </w:r>
          </w:p>
        </w:tc>
        <w:tc>
          <w:tcPr>
            <w:tcW w:w="114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5,194,008</w:t>
            </w:r>
          </w:p>
        </w:tc>
        <w:tc>
          <w:tcPr>
            <w:tcW w:w="780" w:type="dxa"/>
            <w:vAlign w:val="bottom"/>
          </w:tcPr>
          <w:p>
            <w:pPr>
              <w:jc w:val="center"/>
              <w:ind w:left="232"/>
              <w:spacing w:after="0" w:line="140" w:lineRule="exact"/>
              <w:rPr>
                <w:sz w:val="20"/>
                <w:szCs w:val="20"/>
                <w:color w:val="auto"/>
              </w:rPr>
            </w:pPr>
            <w:r>
              <w:rPr>
                <w:rFonts w:ascii="Times New Roman" w:cs="Times New Roman" w:eastAsia="Times New Roman" w:hAnsi="Times New Roman"/>
                <w:sz w:val="14"/>
                <w:szCs w:val="14"/>
                <w:color w:val="auto"/>
                <w:w w:val="95"/>
              </w:rPr>
              <w:t>4.8%</w:t>
            </w:r>
          </w:p>
        </w:tc>
        <w:tc>
          <w:tcPr>
            <w:tcW w:w="1460" w:type="dxa"/>
            <w:vAlign w:val="bottom"/>
            <w:tcBorders>
              <w:right w:val="single" w:sz="8" w:color="auto"/>
            </w:tcBorders>
          </w:tcPr>
          <w:p>
            <w:pPr>
              <w:jc w:val="center"/>
              <w:ind w:left="232"/>
              <w:spacing w:after="0" w:line="140" w:lineRule="exact"/>
              <w:rPr>
                <w:sz w:val="20"/>
                <w:szCs w:val="20"/>
                <w:color w:val="auto"/>
              </w:rPr>
            </w:pPr>
            <w:r>
              <w:rPr>
                <w:rFonts w:ascii="Times New Roman" w:cs="Times New Roman" w:eastAsia="Times New Roman" w:hAnsi="Times New Roman"/>
                <w:sz w:val="14"/>
                <w:szCs w:val="14"/>
                <w:color w:val="auto"/>
                <w:w w:val="95"/>
              </w:rPr>
              <w:t>0.9%</w:t>
            </w:r>
          </w:p>
        </w:tc>
        <w:tc>
          <w:tcPr>
            <w:tcW w:w="0" w:type="dxa"/>
            <w:vAlign w:val="bottom"/>
          </w:tcPr>
          <w:p>
            <w:pPr>
              <w:spacing w:after="0"/>
              <w:rPr>
                <w:sz w:val="1"/>
                <w:szCs w:val="1"/>
                <w:color w:val="auto"/>
              </w:rPr>
            </w:pPr>
          </w:p>
        </w:tc>
      </w:tr>
      <w:tr>
        <w:trPr>
          <w:trHeight w:val="140"/>
        </w:trPr>
        <w:tc>
          <w:tcPr>
            <w:tcW w:w="5640" w:type="dxa"/>
            <w:vAlign w:val="bottom"/>
            <w:tcBorders>
              <w:left w:val="single" w:sz="8" w:color="auto"/>
              <w:right w:val="single" w:sz="8" w:color="auto"/>
            </w:tcBorders>
          </w:tcPr>
          <w:p>
            <w:pPr>
              <w:ind w:left="60"/>
              <w:spacing w:after="0" w:line="140" w:lineRule="exact"/>
              <w:rPr>
                <w:sz w:val="20"/>
                <w:szCs w:val="20"/>
                <w:color w:val="auto"/>
              </w:rPr>
            </w:pPr>
            <w:r>
              <w:rPr>
                <w:rFonts w:ascii="Times New Roman" w:cs="Times New Roman" w:eastAsia="Times New Roman" w:hAnsi="Times New Roman"/>
                <w:sz w:val="14"/>
                <w:szCs w:val="14"/>
                <w:color w:val="auto"/>
              </w:rPr>
              <w:t>Fair value through other comprehensive income investments</w:t>
            </w:r>
          </w:p>
        </w:tc>
        <w:tc>
          <w:tcPr>
            <w:tcW w:w="11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5"/>
              </w:rPr>
              <w:t>41,705,253</w:t>
            </w:r>
          </w:p>
        </w:tc>
        <w:tc>
          <w:tcPr>
            <w:tcW w:w="11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5"/>
              </w:rPr>
              <w:t>39,034,049</w:t>
            </w:r>
          </w:p>
        </w:tc>
        <w:tc>
          <w:tcPr>
            <w:tcW w:w="114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5"/>
              </w:rPr>
              <w:t>43,603,824</w:t>
            </w:r>
          </w:p>
        </w:tc>
        <w:tc>
          <w:tcPr>
            <w:tcW w:w="780" w:type="dxa"/>
            <w:vAlign w:val="bottom"/>
          </w:tcPr>
          <w:p>
            <w:pPr>
              <w:jc w:val="center"/>
              <w:ind w:left="252"/>
              <w:spacing w:after="0" w:line="140" w:lineRule="exact"/>
              <w:rPr>
                <w:sz w:val="20"/>
                <w:szCs w:val="20"/>
                <w:color w:val="auto"/>
              </w:rPr>
            </w:pPr>
            <w:r>
              <w:rPr>
                <w:rFonts w:ascii="Times New Roman" w:cs="Times New Roman" w:eastAsia="Times New Roman" w:hAnsi="Times New Roman"/>
                <w:sz w:val="14"/>
                <w:szCs w:val="14"/>
                <w:color w:val="auto"/>
                <w:w w:val="93"/>
              </w:rPr>
              <w:t>11.7%</w:t>
            </w:r>
          </w:p>
        </w:tc>
        <w:tc>
          <w:tcPr>
            <w:tcW w:w="1460" w:type="dxa"/>
            <w:vAlign w:val="bottom"/>
            <w:tcBorders>
              <w:right w:val="single" w:sz="8" w:color="auto"/>
            </w:tcBorders>
          </w:tcPr>
          <w:p>
            <w:pPr>
              <w:jc w:val="center"/>
              <w:ind w:left="232"/>
              <w:spacing w:after="0" w:line="140" w:lineRule="exact"/>
              <w:rPr>
                <w:sz w:val="20"/>
                <w:szCs w:val="20"/>
                <w:color w:val="auto"/>
              </w:rPr>
            </w:pPr>
            <w:r>
              <w:rPr>
                <w:rFonts w:ascii="Times New Roman" w:cs="Times New Roman" w:eastAsia="Times New Roman" w:hAnsi="Times New Roman"/>
                <w:sz w:val="14"/>
                <w:szCs w:val="14"/>
                <w:color w:val="auto"/>
                <w:w w:val="95"/>
              </w:rPr>
              <w:t>4.6%</w:t>
            </w:r>
          </w:p>
        </w:tc>
        <w:tc>
          <w:tcPr>
            <w:tcW w:w="0" w:type="dxa"/>
            <w:vAlign w:val="bottom"/>
          </w:tcPr>
          <w:p>
            <w:pPr>
              <w:spacing w:after="0"/>
              <w:rPr>
                <w:sz w:val="1"/>
                <w:szCs w:val="1"/>
                <w:color w:val="auto"/>
              </w:rPr>
            </w:pPr>
          </w:p>
        </w:tc>
      </w:tr>
      <w:tr>
        <w:trPr>
          <w:trHeight w:val="175"/>
        </w:trPr>
        <w:tc>
          <w:tcPr>
            <w:tcW w:w="56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Amortized cost investments</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8,749,729</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8,813,657</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8,707,989</w:t>
            </w:r>
          </w:p>
        </w:tc>
        <w:tc>
          <w:tcPr>
            <w:tcW w:w="780" w:type="dxa"/>
            <w:vAlign w:val="bottom"/>
          </w:tcPr>
          <w:p>
            <w:pPr>
              <w:jc w:val="center"/>
              <w:ind w:left="232"/>
              <w:spacing w:after="0"/>
              <w:rPr>
                <w:sz w:val="20"/>
                <w:szCs w:val="20"/>
                <w:color w:val="auto"/>
              </w:rPr>
            </w:pPr>
            <w:r>
              <w:rPr>
                <w:rFonts w:ascii="Times New Roman" w:cs="Times New Roman" w:eastAsia="Times New Roman" w:hAnsi="Times New Roman"/>
                <w:sz w:val="14"/>
                <w:szCs w:val="14"/>
                <w:color w:val="auto"/>
                <w:w w:val="94"/>
              </w:rPr>
              <w:t>-1.2%</w:t>
            </w:r>
          </w:p>
        </w:tc>
        <w:tc>
          <w:tcPr>
            <w:tcW w:w="1460" w:type="dxa"/>
            <w:vAlign w:val="bottom"/>
            <w:tcBorders>
              <w:right w:val="single" w:sz="8" w:color="auto"/>
            </w:tcBorders>
          </w:tcPr>
          <w:p>
            <w:pPr>
              <w:jc w:val="center"/>
              <w:ind w:left="232"/>
              <w:spacing w:after="0"/>
              <w:rPr>
                <w:sz w:val="20"/>
                <w:szCs w:val="20"/>
                <w:color w:val="auto"/>
              </w:rPr>
            </w:pPr>
            <w:r>
              <w:rPr>
                <w:rFonts w:ascii="Times New Roman" w:cs="Times New Roman" w:eastAsia="Times New Roman" w:hAnsi="Times New Roman"/>
                <w:sz w:val="14"/>
                <w:szCs w:val="14"/>
                <w:color w:val="auto"/>
                <w:w w:val="94"/>
              </w:rPr>
              <w:t>-0.5%</w:t>
            </w:r>
          </w:p>
        </w:tc>
        <w:tc>
          <w:tcPr>
            <w:tcW w:w="0" w:type="dxa"/>
            <w:vAlign w:val="bottom"/>
          </w:tcPr>
          <w:p>
            <w:pPr>
              <w:spacing w:after="0"/>
              <w:rPr>
                <w:sz w:val="1"/>
                <w:szCs w:val="1"/>
                <w:color w:val="auto"/>
              </w:rPr>
            </w:pPr>
          </w:p>
        </w:tc>
      </w:tr>
      <w:tr>
        <w:trPr>
          <w:trHeight w:val="244"/>
        </w:trPr>
        <w:tc>
          <w:tcPr>
            <w:tcW w:w="56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Loans</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141,196,646</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149,984,954</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152,824,685</w:t>
            </w:r>
          </w:p>
        </w:tc>
        <w:tc>
          <w:tcPr>
            <w:tcW w:w="780" w:type="dxa"/>
            <w:vAlign w:val="bottom"/>
          </w:tcPr>
          <w:p>
            <w:pPr>
              <w:jc w:val="center"/>
              <w:ind w:left="232"/>
              <w:spacing w:after="0"/>
              <w:rPr>
                <w:sz w:val="20"/>
                <w:szCs w:val="20"/>
                <w:color w:val="auto"/>
              </w:rPr>
            </w:pPr>
            <w:r>
              <w:rPr>
                <w:rFonts w:ascii="Times New Roman" w:cs="Times New Roman" w:eastAsia="Times New Roman" w:hAnsi="Times New Roman"/>
                <w:sz w:val="14"/>
                <w:szCs w:val="14"/>
                <w:color w:val="auto"/>
                <w:w w:val="95"/>
              </w:rPr>
              <w:t>1.9%</w:t>
            </w:r>
          </w:p>
        </w:tc>
        <w:tc>
          <w:tcPr>
            <w:tcW w:w="1460" w:type="dxa"/>
            <w:vAlign w:val="bottom"/>
            <w:tcBorders>
              <w:right w:val="single" w:sz="8" w:color="auto"/>
            </w:tcBorders>
          </w:tcPr>
          <w:p>
            <w:pPr>
              <w:jc w:val="center"/>
              <w:ind w:left="232"/>
              <w:spacing w:after="0"/>
              <w:rPr>
                <w:sz w:val="20"/>
                <w:szCs w:val="20"/>
                <w:color w:val="auto"/>
              </w:rPr>
            </w:pPr>
            <w:r>
              <w:rPr>
                <w:rFonts w:ascii="Times New Roman" w:cs="Times New Roman" w:eastAsia="Times New Roman" w:hAnsi="Times New Roman"/>
                <w:sz w:val="14"/>
                <w:szCs w:val="14"/>
                <w:color w:val="auto"/>
                <w:w w:val="95"/>
              </w:rPr>
              <w:t>8.2%</w:t>
            </w:r>
          </w:p>
        </w:tc>
        <w:tc>
          <w:tcPr>
            <w:tcW w:w="0" w:type="dxa"/>
            <w:vAlign w:val="bottom"/>
          </w:tcPr>
          <w:p>
            <w:pPr>
              <w:spacing w:after="0"/>
              <w:rPr>
                <w:sz w:val="1"/>
                <w:szCs w:val="1"/>
                <w:color w:val="auto"/>
              </w:rPr>
            </w:pPr>
          </w:p>
        </w:tc>
      </w:tr>
      <w:tr>
        <w:trPr>
          <w:trHeight w:val="140"/>
        </w:trPr>
        <w:tc>
          <w:tcPr>
            <w:tcW w:w="5640" w:type="dxa"/>
            <w:vAlign w:val="bottom"/>
            <w:tcBorders>
              <w:left w:val="single" w:sz="8" w:color="auto"/>
              <w:right w:val="single" w:sz="8" w:color="auto"/>
            </w:tcBorders>
          </w:tcPr>
          <w:p>
            <w:pPr>
              <w:ind w:left="180"/>
              <w:spacing w:after="0" w:line="140" w:lineRule="exact"/>
              <w:rPr>
                <w:sz w:val="20"/>
                <w:szCs w:val="20"/>
                <w:color w:val="auto"/>
              </w:rPr>
            </w:pPr>
            <w:r>
              <w:rPr>
                <w:rFonts w:ascii="Times New Roman" w:cs="Times New Roman" w:eastAsia="Times New Roman" w:hAnsi="Times New Roman"/>
                <w:sz w:val="14"/>
                <w:szCs w:val="14"/>
                <w:color w:val="auto"/>
              </w:rPr>
              <w:t>Current</w:t>
            </w:r>
          </w:p>
        </w:tc>
        <w:tc>
          <w:tcPr>
            <w:tcW w:w="11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7"/>
              </w:rPr>
              <w:t>135,990,251</w:t>
            </w:r>
          </w:p>
        </w:tc>
        <w:tc>
          <w:tcPr>
            <w:tcW w:w="11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7"/>
              </w:rPr>
              <w:t>145,171,418</w:t>
            </w:r>
          </w:p>
        </w:tc>
        <w:tc>
          <w:tcPr>
            <w:tcW w:w="114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7"/>
              </w:rPr>
              <w:t>148,349,565</w:t>
            </w:r>
          </w:p>
        </w:tc>
        <w:tc>
          <w:tcPr>
            <w:tcW w:w="780" w:type="dxa"/>
            <w:vAlign w:val="bottom"/>
          </w:tcPr>
          <w:p>
            <w:pPr>
              <w:jc w:val="center"/>
              <w:ind w:left="232"/>
              <w:spacing w:after="0" w:line="140" w:lineRule="exact"/>
              <w:rPr>
                <w:sz w:val="20"/>
                <w:szCs w:val="20"/>
                <w:color w:val="auto"/>
              </w:rPr>
            </w:pPr>
            <w:r>
              <w:rPr>
                <w:rFonts w:ascii="Times New Roman" w:cs="Times New Roman" w:eastAsia="Times New Roman" w:hAnsi="Times New Roman"/>
                <w:sz w:val="14"/>
                <w:szCs w:val="14"/>
                <w:color w:val="auto"/>
                <w:w w:val="95"/>
              </w:rPr>
              <w:t>2.2%</w:t>
            </w:r>
          </w:p>
        </w:tc>
        <w:tc>
          <w:tcPr>
            <w:tcW w:w="1460" w:type="dxa"/>
            <w:vAlign w:val="bottom"/>
            <w:tcBorders>
              <w:right w:val="single" w:sz="8" w:color="auto"/>
            </w:tcBorders>
          </w:tcPr>
          <w:p>
            <w:pPr>
              <w:jc w:val="center"/>
              <w:ind w:left="232"/>
              <w:spacing w:after="0" w:line="140" w:lineRule="exact"/>
              <w:rPr>
                <w:sz w:val="20"/>
                <w:szCs w:val="20"/>
                <w:color w:val="auto"/>
              </w:rPr>
            </w:pPr>
            <w:r>
              <w:rPr>
                <w:rFonts w:ascii="Times New Roman" w:cs="Times New Roman" w:eastAsia="Times New Roman" w:hAnsi="Times New Roman"/>
                <w:sz w:val="14"/>
                <w:szCs w:val="14"/>
                <w:color w:val="auto"/>
                <w:w w:val="95"/>
              </w:rPr>
              <w:t>9.1%</w:t>
            </w:r>
          </w:p>
        </w:tc>
        <w:tc>
          <w:tcPr>
            <w:tcW w:w="0" w:type="dxa"/>
            <w:vAlign w:val="bottom"/>
          </w:tcPr>
          <w:p>
            <w:pPr>
              <w:spacing w:after="0"/>
              <w:rPr>
                <w:sz w:val="1"/>
                <w:szCs w:val="1"/>
                <w:color w:val="auto"/>
              </w:rPr>
            </w:pPr>
          </w:p>
        </w:tc>
      </w:tr>
      <w:tr>
        <w:trPr>
          <w:trHeight w:val="140"/>
        </w:trPr>
        <w:tc>
          <w:tcPr>
            <w:tcW w:w="5640" w:type="dxa"/>
            <w:vAlign w:val="bottom"/>
            <w:tcBorders>
              <w:left w:val="single" w:sz="8" w:color="auto"/>
              <w:right w:val="single" w:sz="8" w:color="auto"/>
            </w:tcBorders>
          </w:tcPr>
          <w:p>
            <w:pPr>
              <w:ind w:left="180"/>
              <w:spacing w:after="0" w:line="140" w:lineRule="exact"/>
              <w:rPr>
                <w:sz w:val="20"/>
                <w:szCs w:val="20"/>
                <w:color w:val="auto"/>
              </w:rPr>
            </w:pPr>
            <w:r>
              <w:rPr>
                <w:rFonts w:ascii="Times New Roman" w:cs="Times New Roman" w:eastAsia="Times New Roman" w:hAnsi="Times New Roman"/>
                <w:sz w:val="14"/>
                <w:szCs w:val="14"/>
                <w:color w:val="auto"/>
              </w:rPr>
              <w:t>Internal overdue loans</w:t>
            </w:r>
          </w:p>
        </w:tc>
        <w:tc>
          <w:tcPr>
            <w:tcW w:w="11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5,206,395</w:t>
            </w:r>
          </w:p>
        </w:tc>
        <w:tc>
          <w:tcPr>
            <w:tcW w:w="11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4,813,536</w:t>
            </w:r>
          </w:p>
        </w:tc>
        <w:tc>
          <w:tcPr>
            <w:tcW w:w="114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4,475,120</w:t>
            </w:r>
          </w:p>
        </w:tc>
        <w:tc>
          <w:tcPr>
            <w:tcW w:w="780" w:type="dxa"/>
            <w:vAlign w:val="bottom"/>
          </w:tcPr>
          <w:p>
            <w:pPr>
              <w:jc w:val="center"/>
              <w:ind w:left="232"/>
              <w:spacing w:after="0" w:line="140" w:lineRule="exact"/>
              <w:rPr>
                <w:sz w:val="20"/>
                <w:szCs w:val="20"/>
                <w:color w:val="auto"/>
              </w:rPr>
            </w:pPr>
            <w:r>
              <w:rPr>
                <w:rFonts w:ascii="Times New Roman" w:cs="Times New Roman" w:eastAsia="Times New Roman" w:hAnsi="Times New Roman"/>
                <w:sz w:val="14"/>
                <w:szCs w:val="14"/>
                <w:color w:val="auto"/>
                <w:w w:val="94"/>
              </w:rPr>
              <w:t>-7.0%</w:t>
            </w:r>
          </w:p>
        </w:tc>
        <w:tc>
          <w:tcPr>
            <w:tcW w:w="1460" w:type="dxa"/>
            <w:vAlign w:val="bottom"/>
            <w:tcBorders>
              <w:right w:val="single" w:sz="8" w:color="auto"/>
            </w:tcBorders>
          </w:tcPr>
          <w:p>
            <w:pPr>
              <w:jc w:val="center"/>
              <w:ind w:left="232"/>
              <w:spacing w:after="0" w:line="140" w:lineRule="exact"/>
              <w:rPr>
                <w:sz w:val="20"/>
                <w:szCs w:val="20"/>
                <w:color w:val="auto"/>
              </w:rPr>
            </w:pPr>
            <w:r>
              <w:rPr>
                <w:rFonts w:ascii="Times New Roman" w:cs="Times New Roman" w:eastAsia="Times New Roman" w:hAnsi="Times New Roman"/>
                <w:sz w:val="14"/>
                <w:szCs w:val="14"/>
                <w:color w:val="auto"/>
                <w:w w:val="97"/>
              </w:rPr>
              <w:t>-14.0%</w:t>
            </w:r>
          </w:p>
        </w:tc>
        <w:tc>
          <w:tcPr>
            <w:tcW w:w="0" w:type="dxa"/>
            <w:vAlign w:val="bottom"/>
          </w:tcPr>
          <w:p>
            <w:pPr>
              <w:spacing w:after="0"/>
              <w:rPr>
                <w:sz w:val="1"/>
                <w:szCs w:val="1"/>
                <w:color w:val="auto"/>
              </w:rPr>
            </w:pPr>
          </w:p>
        </w:tc>
      </w:tr>
      <w:tr>
        <w:trPr>
          <w:trHeight w:val="140"/>
        </w:trPr>
        <w:tc>
          <w:tcPr>
            <w:tcW w:w="5640" w:type="dxa"/>
            <w:vAlign w:val="bottom"/>
            <w:tcBorders>
              <w:left w:val="single" w:sz="8" w:color="auto"/>
              <w:right w:val="single" w:sz="8" w:color="auto"/>
            </w:tcBorders>
          </w:tcPr>
          <w:p>
            <w:pPr>
              <w:ind w:left="180"/>
              <w:spacing w:after="0" w:line="140" w:lineRule="exact"/>
              <w:rPr>
                <w:sz w:val="20"/>
                <w:szCs w:val="20"/>
                <w:color w:val="auto"/>
              </w:rPr>
            </w:pPr>
            <w:r>
              <w:rPr>
                <w:rFonts w:ascii="Times New Roman" w:cs="Times New Roman" w:eastAsia="Times New Roman" w:hAnsi="Times New Roman"/>
                <w:sz w:val="14"/>
                <w:szCs w:val="14"/>
                <w:color w:val="auto"/>
              </w:rPr>
              <w:t>Less - allowance for loan losses</w:t>
            </w:r>
          </w:p>
        </w:tc>
        <w:tc>
          <w:tcPr>
            <w:tcW w:w="11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7"/>
              </w:rPr>
              <w:t>(7,742,792)</w:t>
            </w:r>
          </w:p>
        </w:tc>
        <w:tc>
          <w:tcPr>
            <w:tcW w:w="11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7"/>
              </w:rPr>
              <w:t>(7,669,950)</w:t>
            </w:r>
          </w:p>
        </w:tc>
        <w:tc>
          <w:tcPr>
            <w:tcW w:w="114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7"/>
              </w:rPr>
              <w:t>(7,425,425)</w:t>
            </w:r>
          </w:p>
        </w:tc>
        <w:tc>
          <w:tcPr>
            <w:tcW w:w="780" w:type="dxa"/>
            <w:vAlign w:val="bottom"/>
          </w:tcPr>
          <w:p>
            <w:pPr>
              <w:jc w:val="center"/>
              <w:ind w:left="232"/>
              <w:spacing w:after="0" w:line="140" w:lineRule="exact"/>
              <w:rPr>
                <w:sz w:val="20"/>
                <w:szCs w:val="20"/>
                <w:color w:val="auto"/>
              </w:rPr>
            </w:pPr>
            <w:r>
              <w:rPr>
                <w:rFonts w:ascii="Times New Roman" w:cs="Times New Roman" w:eastAsia="Times New Roman" w:hAnsi="Times New Roman"/>
                <w:sz w:val="14"/>
                <w:szCs w:val="14"/>
                <w:color w:val="auto"/>
                <w:w w:val="94"/>
              </w:rPr>
              <w:t>-3.2%</w:t>
            </w:r>
          </w:p>
        </w:tc>
        <w:tc>
          <w:tcPr>
            <w:tcW w:w="1460" w:type="dxa"/>
            <w:vAlign w:val="bottom"/>
            <w:tcBorders>
              <w:right w:val="single" w:sz="8" w:color="auto"/>
            </w:tcBorders>
          </w:tcPr>
          <w:p>
            <w:pPr>
              <w:jc w:val="center"/>
              <w:ind w:left="232"/>
              <w:spacing w:after="0" w:line="140" w:lineRule="exact"/>
              <w:rPr>
                <w:sz w:val="20"/>
                <w:szCs w:val="20"/>
                <w:color w:val="auto"/>
              </w:rPr>
            </w:pPr>
            <w:r>
              <w:rPr>
                <w:rFonts w:ascii="Times New Roman" w:cs="Times New Roman" w:eastAsia="Times New Roman" w:hAnsi="Times New Roman"/>
                <w:sz w:val="14"/>
                <w:szCs w:val="14"/>
                <w:color w:val="auto"/>
                <w:w w:val="94"/>
              </w:rPr>
              <w:t>-4.1%</w:t>
            </w:r>
          </w:p>
        </w:tc>
        <w:tc>
          <w:tcPr>
            <w:tcW w:w="0" w:type="dxa"/>
            <w:vAlign w:val="bottom"/>
          </w:tcPr>
          <w:p>
            <w:pPr>
              <w:spacing w:after="0"/>
              <w:rPr>
                <w:sz w:val="1"/>
                <w:szCs w:val="1"/>
                <w:color w:val="auto"/>
              </w:rPr>
            </w:pPr>
          </w:p>
        </w:tc>
      </w:tr>
      <w:tr>
        <w:trPr>
          <w:trHeight w:val="175"/>
        </w:trPr>
        <w:tc>
          <w:tcPr>
            <w:tcW w:w="56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Loans, net</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133,453,854</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142,315,004</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145,399,260</w:t>
            </w:r>
          </w:p>
        </w:tc>
        <w:tc>
          <w:tcPr>
            <w:tcW w:w="780" w:type="dxa"/>
            <w:vAlign w:val="bottom"/>
          </w:tcPr>
          <w:p>
            <w:pPr>
              <w:jc w:val="center"/>
              <w:ind w:left="232"/>
              <w:spacing w:after="0"/>
              <w:rPr>
                <w:sz w:val="20"/>
                <w:szCs w:val="20"/>
                <w:color w:val="auto"/>
              </w:rPr>
            </w:pPr>
            <w:r>
              <w:rPr>
                <w:rFonts w:ascii="Times New Roman" w:cs="Times New Roman" w:eastAsia="Times New Roman" w:hAnsi="Times New Roman"/>
                <w:sz w:val="14"/>
                <w:szCs w:val="14"/>
                <w:color w:val="auto"/>
                <w:w w:val="95"/>
              </w:rPr>
              <w:t>2.2%</w:t>
            </w:r>
          </w:p>
        </w:tc>
        <w:tc>
          <w:tcPr>
            <w:tcW w:w="1460" w:type="dxa"/>
            <w:vAlign w:val="bottom"/>
            <w:tcBorders>
              <w:right w:val="single" w:sz="8" w:color="auto"/>
            </w:tcBorders>
          </w:tcPr>
          <w:p>
            <w:pPr>
              <w:jc w:val="center"/>
              <w:ind w:left="232"/>
              <w:spacing w:after="0"/>
              <w:rPr>
                <w:sz w:val="20"/>
                <w:szCs w:val="20"/>
                <w:color w:val="auto"/>
              </w:rPr>
            </w:pPr>
            <w:r>
              <w:rPr>
                <w:rFonts w:ascii="Times New Roman" w:cs="Times New Roman" w:eastAsia="Times New Roman" w:hAnsi="Times New Roman"/>
                <w:sz w:val="14"/>
                <w:szCs w:val="14"/>
                <w:color w:val="auto"/>
                <w:w w:val="95"/>
              </w:rPr>
              <w:t>9.0%</w:t>
            </w:r>
          </w:p>
        </w:tc>
        <w:tc>
          <w:tcPr>
            <w:tcW w:w="0" w:type="dxa"/>
            <w:vAlign w:val="bottom"/>
          </w:tcPr>
          <w:p>
            <w:pPr>
              <w:spacing w:after="0"/>
              <w:rPr>
                <w:sz w:val="1"/>
                <w:szCs w:val="1"/>
                <w:color w:val="auto"/>
              </w:rPr>
            </w:pPr>
          </w:p>
        </w:tc>
      </w:tr>
      <w:tr>
        <w:trPr>
          <w:trHeight w:val="244"/>
        </w:trPr>
        <w:tc>
          <w:tcPr>
            <w:tcW w:w="56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Financial assets designated at fair value through profit or loss</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871,626</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992,429</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992,047</w:t>
            </w:r>
          </w:p>
        </w:tc>
        <w:tc>
          <w:tcPr>
            <w:tcW w:w="780" w:type="dxa"/>
            <w:vAlign w:val="bottom"/>
          </w:tcPr>
          <w:p>
            <w:pPr>
              <w:jc w:val="center"/>
              <w:ind w:left="232"/>
              <w:spacing w:after="0"/>
              <w:rPr>
                <w:sz w:val="20"/>
                <w:szCs w:val="20"/>
                <w:color w:val="auto"/>
              </w:rPr>
            </w:pPr>
            <w:r>
              <w:rPr>
                <w:rFonts w:ascii="Times New Roman" w:cs="Times New Roman" w:eastAsia="Times New Roman" w:hAnsi="Times New Roman"/>
                <w:sz w:val="14"/>
                <w:szCs w:val="14"/>
                <w:color w:val="auto"/>
                <w:w w:val="95"/>
              </w:rPr>
              <w:t>0.0%</w:t>
            </w:r>
          </w:p>
        </w:tc>
        <w:tc>
          <w:tcPr>
            <w:tcW w:w="1460" w:type="dxa"/>
            <w:vAlign w:val="bottom"/>
            <w:tcBorders>
              <w:right w:val="single" w:sz="8" w:color="auto"/>
            </w:tcBorders>
          </w:tcPr>
          <w:p>
            <w:pPr>
              <w:jc w:val="center"/>
              <w:ind w:left="232"/>
              <w:spacing w:after="0"/>
              <w:rPr>
                <w:sz w:val="20"/>
                <w:szCs w:val="20"/>
                <w:color w:val="auto"/>
              </w:rPr>
            </w:pPr>
            <w:r>
              <w:rPr>
                <w:rFonts w:ascii="Times New Roman" w:cs="Times New Roman" w:eastAsia="Times New Roman" w:hAnsi="Times New Roman"/>
                <w:sz w:val="14"/>
                <w:szCs w:val="14"/>
                <w:color w:val="auto"/>
                <w:w w:val="99"/>
              </w:rPr>
              <w:t>13.8%</w:t>
            </w:r>
          </w:p>
        </w:tc>
        <w:tc>
          <w:tcPr>
            <w:tcW w:w="0" w:type="dxa"/>
            <w:vAlign w:val="bottom"/>
          </w:tcPr>
          <w:p>
            <w:pPr>
              <w:spacing w:after="0"/>
              <w:rPr>
                <w:sz w:val="1"/>
                <w:szCs w:val="1"/>
                <w:color w:val="auto"/>
              </w:rPr>
            </w:pPr>
          </w:p>
        </w:tc>
      </w:tr>
      <w:tr>
        <w:trPr>
          <w:trHeight w:val="140"/>
        </w:trPr>
        <w:tc>
          <w:tcPr>
            <w:tcW w:w="5640" w:type="dxa"/>
            <w:vAlign w:val="bottom"/>
            <w:tcBorders>
              <w:left w:val="single" w:sz="8" w:color="auto"/>
              <w:right w:val="single" w:sz="8" w:color="auto"/>
            </w:tcBorders>
          </w:tcPr>
          <w:p>
            <w:pPr>
              <w:ind w:left="60"/>
              <w:spacing w:after="0" w:line="140" w:lineRule="exact"/>
              <w:rPr>
                <w:sz w:val="20"/>
                <w:szCs w:val="20"/>
                <w:color w:val="auto"/>
              </w:rPr>
            </w:pPr>
            <w:r>
              <w:rPr>
                <w:rFonts w:ascii="Times New Roman" w:cs="Times New Roman" w:eastAsia="Times New Roman" w:hAnsi="Times New Roman"/>
                <w:sz w:val="14"/>
                <w:szCs w:val="14"/>
                <w:color w:val="auto"/>
              </w:rPr>
              <w:t>Property, plant and equipment, net</w:t>
            </w:r>
          </w:p>
        </w:tc>
        <w:tc>
          <w:tcPr>
            <w:tcW w:w="11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2,681,862</w:t>
            </w:r>
          </w:p>
        </w:tc>
        <w:tc>
          <w:tcPr>
            <w:tcW w:w="11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2,672,458</w:t>
            </w:r>
          </w:p>
        </w:tc>
        <w:tc>
          <w:tcPr>
            <w:tcW w:w="114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2,655,820</w:t>
            </w:r>
          </w:p>
        </w:tc>
        <w:tc>
          <w:tcPr>
            <w:tcW w:w="780" w:type="dxa"/>
            <w:vAlign w:val="bottom"/>
          </w:tcPr>
          <w:p>
            <w:pPr>
              <w:jc w:val="center"/>
              <w:ind w:left="232"/>
              <w:spacing w:after="0" w:line="140" w:lineRule="exact"/>
              <w:rPr>
                <w:sz w:val="20"/>
                <w:szCs w:val="20"/>
                <w:color w:val="auto"/>
              </w:rPr>
            </w:pPr>
            <w:r>
              <w:rPr>
                <w:rFonts w:ascii="Times New Roman" w:cs="Times New Roman" w:eastAsia="Times New Roman" w:hAnsi="Times New Roman"/>
                <w:sz w:val="14"/>
                <w:szCs w:val="14"/>
                <w:color w:val="auto"/>
                <w:w w:val="94"/>
              </w:rPr>
              <w:t>-0.6%</w:t>
            </w:r>
          </w:p>
        </w:tc>
        <w:tc>
          <w:tcPr>
            <w:tcW w:w="1460" w:type="dxa"/>
            <w:vAlign w:val="bottom"/>
            <w:tcBorders>
              <w:right w:val="single" w:sz="8" w:color="auto"/>
            </w:tcBorders>
          </w:tcPr>
          <w:p>
            <w:pPr>
              <w:jc w:val="center"/>
              <w:ind w:left="232"/>
              <w:spacing w:after="0" w:line="140" w:lineRule="exact"/>
              <w:rPr>
                <w:sz w:val="20"/>
                <w:szCs w:val="20"/>
                <w:color w:val="auto"/>
              </w:rPr>
            </w:pPr>
            <w:r>
              <w:rPr>
                <w:rFonts w:ascii="Times New Roman" w:cs="Times New Roman" w:eastAsia="Times New Roman" w:hAnsi="Times New Roman"/>
                <w:sz w:val="14"/>
                <w:szCs w:val="14"/>
                <w:color w:val="auto"/>
                <w:w w:val="94"/>
              </w:rPr>
              <w:t>-1.0%</w:t>
            </w:r>
          </w:p>
        </w:tc>
        <w:tc>
          <w:tcPr>
            <w:tcW w:w="0" w:type="dxa"/>
            <w:vAlign w:val="bottom"/>
          </w:tcPr>
          <w:p>
            <w:pPr>
              <w:spacing w:after="0"/>
              <w:rPr>
                <w:sz w:val="1"/>
                <w:szCs w:val="1"/>
                <w:color w:val="auto"/>
              </w:rPr>
            </w:pPr>
          </w:p>
        </w:tc>
      </w:tr>
      <w:tr>
        <w:trPr>
          <w:trHeight w:val="140"/>
        </w:trPr>
        <w:tc>
          <w:tcPr>
            <w:tcW w:w="5640" w:type="dxa"/>
            <w:vAlign w:val="bottom"/>
            <w:tcBorders>
              <w:left w:val="single" w:sz="8" w:color="auto"/>
              <w:right w:val="single" w:sz="8" w:color="auto"/>
            </w:tcBorders>
          </w:tcPr>
          <w:p>
            <w:pPr>
              <w:ind w:left="60"/>
              <w:spacing w:after="0" w:line="140" w:lineRule="exact"/>
              <w:rPr>
                <w:sz w:val="20"/>
                <w:szCs w:val="20"/>
                <w:color w:val="auto"/>
              </w:rPr>
            </w:pPr>
            <w:r>
              <w:rPr>
                <w:rFonts w:ascii="Times New Roman" w:cs="Times New Roman" w:eastAsia="Times New Roman" w:hAnsi="Times New Roman"/>
                <w:sz w:val="14"/>
                <w:szCs w:val="14"/>
                <w:color w:val="auto"/>
              </w:rPr>
              <w:t>Due from customers on acceptances</w:t>
            </w:r>
          </w:p>
        </w:tc>
        <w:tc>
          <w:tcPr>
            <w:tcW w:w="11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639,749</w:t>
            </w:r>
          </w:p>
        </w:tc>
        <w:tc>
          <w:tcPr>
            <w:tcW w:w="11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345,906</w:t>
            </w:r>
          </w:p>
        </w:tc>
        <w:tc>
          <w:tcPr>
            <w:tcW w:w="114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608,309</w:t>
            </w:r>
          </w:p>
        </w:tc>
        <w:tc>
          <w:tcPr>
            <w:tcW w:w="780" w:type="dxa"/>
            <w:vAlign w:val="bottom"/>
          </w:tcPr>
          <w:p>
            <w:pPr>
              <w:jc w:val="center"/>
              <w:ind w:left="252"/>
              <w:spacing w:after="0" w:line="140" w:lineRule="exact"/>
              <w:rPr>
                <w:sz w:val="20"/>
                <w:szCs w:val="20"/>
                <w:color w:val="auto"/>
              </w:rPr>
            </w:pPr>
            <w:r>
              <w:rPr>
                <w:rFonts w:ascii="Times New Roman" w:cs="Times New Roman" w:eastAsia="Times New Roman" w:hAnsi="Times New Roman"/>
                <w:sz w:val="14"/>
                <w:szCs w:val="14"/>
                <w:color w:val="auto"/>
                <w:w w:val="93"/>
              </w:rPr>
              <w:t>75.9%</w:t>
            </w:r>
          </w:p>
        </w:tc>
        <w:tc>
          <w:tcPr>
            <w:tcW w:w="1460" w:type="dxa"/>
            <w:vAlign w:val="bottom"/>
            <w:tcBorders>
              <w:right w:val="single" w:sz="8" w:color="auto"/>
            </w:tcBorders>
          </w:tcPr>
          <w:p>
            <w:pPr>
              <w:jc w:val="center"/>
              <w:ind w:left="232"/>
              <w:spacing w:after="0" w:line="140" w:lineRule="exact"/>
              <w:rPr>
                <w:sz w:val="20"/>
                <w:szCs w:val="20"/>
                <w:color w:val="auto"/>
              </w:rPr>
            </w:pPr>
            <w:r>
              <w:rPr>
                <w:rFonts w:ascii="Times New Roman" w:cs="Times New Roman" w:eastAsia="Times New Roman" w:hAnsi="Times New Roman"/>
                <w:sz w:val="14"/>
                <w:szCs w:val="14"/>
                <w:color w:val="auto"/>
                <w:w w:val="94"/>
              </w:rPr>
              <w:t>-4.9%</w:t>
            </w:r>
          </w:p>
        </w:tc>
        <w:tc>
          <w:tcPr>
            <w:tcW w:w="0" w:type="dxa"/>
            <w:vAlign w:val="bottom"/>
          </w:tcPr>
          <w:p>
            <w:pPr>
              <w:spacing w:after="0"/>
              <w:rPr>
                <w:sz w:val="1"/>
                <w:szCs w:val="1"/>
                <w:color w:val="auto"/>
              </w:rPr>
            </w:pPr>
          </w:p>
        </w:tc>
      </w:tr>
      <w:tr>
        <w:trPr>
          <w:trHeight w:val="140"/>
        </w:trPr>
        <w:tc>
          <w:tcPr>
            <w:tcW w:w="5640" w:type="dxa"/>
            <w:vAlign w:val="bottom"/>
            <w:tcBorders>
              <w:left w:val="single" w:sz="8" w:color="auto"/>
              <w:right w:val="single" w:sz="8" w:color="auto"/>
            </w:tcBorders>
          </w:tcPr>
          <w:p>
            <w:pPr>
              <w:ind w:left="60"/>
              <w:spacing w:after="0" w:line="140" w:lineRule="exact"/>
              <w:rPr>
                <w:sz w:val="20"/>
                <w:szCs w:val="20"/>
                <w:color w:val="auto"/>
              </w:rPr>
            </w:pPr>
            <w:r>
              <w:rPr>
                <w:rFonts w:ascii="Times New Roman" w:cs="Times New Roman" w:eastAsia="Times New Roman" w:hAnsi="Times New Roman"/>
                <w:sz w:val="14"/>
                <w:szCs w:val="14"/>
                <w:color w:val="auto"/>
              </w:rPr>
              <w:t>Investments in associates</w:t>
            </w:r>
          </w:p>
        </w:tc>
        <w:tc>
          <w:tcPr>
            <w:tcW w:w="11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5"/>
              </w:rPr>
              <w:t>1,002</w:t>
            </w:r>
          </w:p>
        </w:tc>
        <w:tc>
          <w:tcPr>
            <w:tcW w:w="11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3"/>
              </w:rPr>
              <w:t>65,338</w:t>
            </w:r>
          </w:p>
        </w:tc>
        <w:tc>
          <w:tcPr>
            <w:tcW w:w="114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3"/>
              </w:rPr>
              <w:t>65,888</w:t>
            </w:r>
          </w:p>
        </w:tc>
        <w:tc>
          <w:tcPr>
            <w:tcW w:w="780" w:type="dxa"/>
            <w:vAlign w:val="bottom"/>
          </w:tcPr>
          <w:p>
            <w:pPr>
              <w:jc w:val="center"/>
              <w:ind w:left="232"/>
              <w:spacing w:after="0" w:line="140" w:lineRule="exact"/>
              <w:rPr>
                <w:sz w:val="20"/>
                <w:szCs w:val="20"/>
                <w:color w:val="auto"/>
              </w:rPr>
            </w:pPr>
            <w:r>
              <w:rPr>
                <w:rFonts w:ascii="Times New Roman" w:cs="Times New Roman" w:eastAsia="Times New Roman" w:hAnsi="Times New Roman"/>
                <w:sz w:val="14"/>
                <w:szCs w:val="14"/>
                <w:color w:val="auto"/>
                <w:w w:val="95"/>
              </w:rPr>
              <w:t>0.8%</w:t>
            </w:r>
          </w:p>
        </w:tc>
        <w:tc>
          <w:tcPr>
            <w:tcW w:w="1460" w:type="dxa"/>
            <w:vAlign w:val="bottom"/>
            <w:tcBorders>
              <w:right w:val="single" w:sz="8" w:color="auto"/>
            </w:tcBorders>
          </w:tcPr>
          <w:p>
            <w:pPr>
              <w:jc w:val="center"/>
              <w:ind w:left="232"/>
              <w:spacing w:after="0" w:line="140" w:lineRule="exact"/>
              <w:rPr>
                <w:sz w:val="20"/>
                <w:szCs w:val="20"/>
                <w:color w:val="auto"/>
              </w:rPr>
            </w:pPr>
            <w:r>
              <w:rPr>
                <w:rFonts w:ascii="Times New Roman" w:cs="Times New Roman" w:eastAsia="Times New Roman" w:hAnsi="Times New Roman"/>
                <w:sz w:val="14"/>
                <w:szCs w:val="14"/>
                <w:color w:val="auto"/>
                <w:w w:val="95"/>
              </w:rPr>
              <w:t>6475.6%</w:t>
            </w:r>
          </w:p>
        </w:tc>
        <w:tc>
          <w:tcPr>
            <w:tcW w:w="0" w:type="dxa"/>
            <w:vAlign w:val="bottom"/>
          </w:tcPr>
          <w:p>
            <w:pPr>
              <w:spacing w:after="0"/>
              <w:rPr>
                <w:sz w:val="1"/>
                <w:szCs w:val="1"/>
                <w:color w:val="auto"/>
              </w:rPr>
            </w:pPr>
          </w:p>
        </w:tc>
      </w:tr>
      <w:tr>
        <w:trPr>
          <w:trHeight w:val="140"/>
        </w:trPr>
        <w:tc>
          <w:tcPr>
            <w:tcW w:w="5640" w:type="dxa"/>
            <w:vAlign w:val="bottom"/>
            <w:tcBorders>
              <w:left w:val="single" w:sz="8" w:color="auto"/>
              <w:right w:val="single" w:sz="8" w:color="auto"/>
            </w:tcBorders>
          </w:tcPr>
          <w:p>
            <w:pPr>
              <w:ind w:left="60"/>
              <w:spacing w:after="0" w:line="140" w:lineRule="exact"/>
              <w:rPr>
                <w:sz w:val="20"/>
                <w:szCs w:val="20"/>
                <w:color w:val="auto"/>
              </w:rPr>
            </w:pPr>
            <w:r>
              <w:rPr>
                <w:rFonts w:ascii="Times New Roman" w:cs="Times New Roman" w:eastAsia="Times New Roman" w:hAnsi="Times New Roman"/>
                <w:sz w:val="14"/>
                <w:szCs w:val="14"/>
                <w:color w:val="auto"/>
              </w:rPr>
              <w:t>Intangible assets and goodwill, net</w:t>
            </w:r>
          </w:p>
        </w:tc>
        <w:tc>
          <w:tcPr>
            <w:tcW w:w="11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4,420,422</w:t>
            </w:r>
          </w:p>
        </w:tc>
        <w:tc>
          <w:tcPr>
            <w:tcW w:w="11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4,764,394</w:t>
            </w:r>
          </w:p>
        </w:tc>
        <w:tc>
          <w:tcPr>
            <w:tcW w:w="114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4,728,692</w:t>
            </w:r>
          </w:p>
        </w:tc>
        <w:tc>
          <w:tcPr>
            <w:tcW w:w="780" w:type="dxa"/>
            <w:vAlign w:val="bottom"/>
          </w:tcPr>
          <w:p>
            <w:pPr>
              <w:jc w:val="center"/>
              <w:ind w:left="232"/>
              <w:spacing w:after="0" w:line="140" w:lineRule="exact"/>
              <w:rPr>
                <w:sz w:val="20"/>
                <w:szCs w:val="20"/>
                <w:color w:val="auto"/>
              </w:rPr>
            </w:pPr>
            <w:r>
              <w:rPr>
                <w:rFonts w:ascii="Times New Roman" w:cs="Times New Roman" w:eastAsia="Times New Roman" w:hAnsi="Times New Roman"/>
                <w:sz w:val="14"/>
                <w:szCs w:val="14"/>
                <w:color w:val="auto"/>
                <w:w w:val="94"/>
              </w:rPr>
              <w:t>-0.7%</w:t>
            </w:r>
          </w:p>
        </w:tc>
        <w:tc>
          <w:tcPr>
            <w:tcW w:w="1460" w:type="dxa"/>
            <w:vAlign w:val="bottom"/>
            <w:tcBorders>
              <w:right w:val="single" w:sz="8" w:color="auto"/>
            </w:tcBorders>
          </w:tcPr>
          <w:p>
            <w:pPr>
              <w:jc w:val="center"/>
              <w:ind w:left="232"/>
              <w:spacing w:after="0" w:line="140" w:lineRule="exact"/>
              <w:rPr>
                <w:sz w:val="20"/>
                <w:szCs w:val="20"/>
                <w:color w:val="auto"/>
              </w:rPr>
            </w:pPr>
            <w:r>
              <w:rPr>
                <w:rFonts w:ascii="Times New Roman" w:cs="Times New Roman" w:eastAsia="Times New Roman" w:hAnsi="Times New Roman"/>
                <w:sz w:val="14"/>
                <w:szCs w:val="14"/>
                <w:color w:val="auto"/>
                <w:w w:val="95"/>
              </w:rPr>
              <w:t>7.0%</w:t>
            </w:r>
          </w:p>
        </w:tc>
        <w:tc>
          <w:tcPr>
            <w:tcW w:w="0" w:type="dxa"/>
            <w:vAlign w:val="bottom"/>
          </w:tcPr>
          <w:p>
            <w:pPr>
              <w:spacing w:after="0"/>
              <w:rPr>
                <w:sz w:val="1"/>
                <w:szCs w:val="1"/>
                <w:color w:val="auto"/>
              </w:rPr>
            </w:pPr>
          </w:p>
        </w:tc>
      </w:tr>
      <w:tr>
        <w:trPr>
          <w:trHeight w:val="136"/>
        </w:trPr>
        <w:tc>
          <w:tcPr>
            <w:tcW w:w="5640" w:type="dxa"/>
            <w:vAlign w:val="bottom"/>
            <w:tcBorders>
              <w:left w:val="single" w:sz="8" w:color="auto"/>
              <w:right w:val="single" w:sz="8" w:color="auto"/>
            </w:tcBorders>
          </w:tcPr>
          <w:p>
            <w:pPr>
              <w:ind w:left="60"/>
              <w:spacing w:after="0" w:line="137" w:lineRule="exact"/>
              <w:rPr>
                <w:sz w:val="20"/>
                <w:szCs w:val="20"/>
                <w:color w:val="auto"/>
              </w:rPr>
            </w:pPr>
            <w:r>
              <w:rPr>
                <w:rFonts w:ascii="Times New Roman" w:cs="Times New Roman" w:eastAsia="Times New Roman" w:hAnsi="Times New Roman"/>
                <w:sz w:val="14"/>
                <w:szCs w:val="14"/>
                <w:color w:val="auto"/>
              </w:rPr>
              <w:t>Reinsurance contract assets</w:t>
            </w:r>
          </w:p>
        </w:tc>
        <w:tc>
          <w:tcPr>
            <w:tcW w:w="11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color w:val="auto"/>
                <w:w w:val="96"/>
              </w:rPr>
              <w:t>976,832</w:t>
            </w:r>
          </w:p>
        </w:tc>
        <w:tc>
          <w:tcPr>
            <w:tcW w:w="11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color w:val="auto"/>
                <w:w w:val="96"/>
              </w:rPr>
              <w:t>708,560</w:t>
            </w:r>
          </w:p>
        </w:tc>
        <w:tc>
          <w:tcPr>
            <w:tcW w:w="1140" w:type="dxa"/>
            <w:vAlign w:val="bottom"/>
            <w:tcBorders>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color w:val="auto"/>
                <w:w w:val="96"/>
              </w:rPr>
              <w:t>858,291</w:t>
            </w:r>
          </w:p>
        </w:tc>
        <w:tc>
          <w:tcPr>
            <w:tcW w:w="780" w:type="dxa"/>
            <w:vAlign w:val="bottom"/>
          </w:tcPr>
          <w:p>
            <w:pPr>
              <w:jc w:val="center"/>
              <w:ind w:left="252"/>
              <w:spacing w:after="0" w:line="137" w:lineRule="exact"/>
              <w:rPr>
                <w:sz w:val="20"/>
                <w:szCs w:val="20"/>
                <w:color w:val="auto"/>
              </w:rPr>
            </w:pPr>
            <w:r>
              <w:rPr>
                <w:rFonts w:ascii="Times New Roman" w:cs="Times New Roman" w:eastAsia="Times New Roman" w:hAnsi="Times New Roman"/>
                <w:sz w:val="14"/>
                <w:szCs w:val="14"/>
                <w:color w:val="auto"/>
                <w:w w:val="93"/>
              </w:rPr>
              <w:t>21.1%</w:t>
            </w:r>
          </w:p>
        </w:tc>
        <w:tc>
          <w:tcPr>
            <w:tcW w:w="1460" w:type="dxa"/>
            <w:vAlign w:val="bottom"/>
            <w:tcBorders>
              <w:right w:val="single" w:sz="8" w:color="auto"/>
            </w:tcBorders>
          </w:tcPr>
          <w:p>
            <w:pPr>
              <w:jc w:val="center"/>
              <w:ind w:left="232"/>
              <w:spacing w:after="0" w:line="137" w:lineRule="exact"/>
              <w:rPr>
                <w:sz w:val="20"/>
                <w:szCs w:val="20"/>
                <w:color w:val="auto"/>
              </w:rPr>
            </w:pPr>
            <w:r>
              <w:rPr>
                <w:rFonts w:ascii="Times New Roman" w:cs="Times New Roman" w:eastAsia="Times New Roman" w:hAnsi="Times New Roman"/>
                <w:sz w:val="14"/>
                <w:szCs w:val="14"/>
                <w:color w:val="auto"/>
                <w:w w:val="97"/>
              </w:rPr>
              <w:t>-12.1%</w:t>
            </w:r>
          </w:p>
        </w:tc>
        <w:tc>
          <w:tcPr>
            <w:tcW w:w="0" w:type="dxa"/>
            <w:vAlign w:val="bottom"/>
          </w:tcPr>
          <w:p>
            <w:pPr>
              <w:spacing w:after="0"/>
              <w:rPr>
                <w:sz w:val="1"/>
                <w:szCs w:val="1"/>
                <w:color w:val="auto"/>
              </w:rPr>
            </w:pPr>
          </w:p>
        </w:tc>
      </w:tr>
      <w:tr>
        <w:trPr>
          <w:trHeight w:val="278"/>
        </w:trPr>
        <w:tc>
          <w:tcPr>
            <w:tcW w:w="56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 xml:space="preserve">Other assets </w:t>
            </w:r>
            <w:r>
              <w:rPr>
                <w:rFonts w:ascii="Times New Roman" w:cs="Times New Roman" w:eastAsia="Times New Roman" w:hAnsi="Times New Roman"/>
                <w:sz w:val="22"/>
                <w:szCs w:val="22"/>
                <w:color w:val="auto"/>
                <w:vertAlign w:val="superscript"/>
              </w:rPr>
              <w:t>(1)</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9,049,787</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11,471,845</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5"/>
              </w:rPr>
              <w:t>12,799,711</w:t>
            </w:r>
          </w:p>
        </w:tc>
        <w:tc>
          <w:tcPr>
            <w:tcW w:w="780" w:type="dxa"/>
            <w:vAlign w:val="bottom"/>
          </w:tcPr>
          <w:p>
            <w:pPr>
              <w:jc w:val="center"/>
              <w:ind w:left="252"/>
              <w:spacing w:after="0"/>
              <w:rPr>
                <w:sz w:val="20"/>
                <w:szCs w:val="20"/>
                <w:color w:val="auto"/>
              </w:rPr>
            </w:pPr>
            <w:r>
              <w:rPr>
                <w:rFonts w:ascii="Times New Roman" w:cs="Times New Roman" w:eastAsia="Times New Roman" w:hAnsi="Times New Roman"/>
                <w:sz w:val="14"/>
                <w:szCs w:val="14"/>
                <w:color w:val="auto"/>
                <w:w w:val="93"/>
              </w:rPr>
              <w:t>11.6%</w:t>
            </w:r>
          </w:p>
        </w:tc>
        <w:tc>
          <w:tcPr>
            <w:tcW w:w="1460" w:type="dxa"/>
            <w:vAlign w:val="bottom"/>
            <w:tcBorders>
              <w:right w:val="single" w:sz="8" w:color="auto"/>
            </w:tcBorders>
          </w:tcPr>
          <w:p>
            <w:pPr>
              <w:jc w:val="center"/>
              <w:ind w:left="232"/>
              <w:spacing w:after="0"/>
              <w:rPr>
                <w:sz w:val="20"/>
                <w:szCs w:val="20"/>
                <w:color w:val="auto"/>
              </w:rPr>
            </w:pPr>
            <w:r>
              <w:rPr>
                <w:rFonts w:ascii="Times New Roman" w:cs="Times New Roman" w:eastAsia="Times New Roman" w:hAnsi="Times New Roman"/>
                <w:sz w:val="14"/>
                <w:szCs w:val="14"/>
                <w:color w:val="auto"/>
                <w:w w:val="99"/>
              </w:rPr>
              <w:t>41.4%</w:t>
            </w:r>
          </w:p>
        </w:tc>
        <w:tc>
          <w:tcPr>
            <w:tcW w:w="0" w:type="dxa"/>
            <w:vAlign w:val="bottom"/>
          </w:tcPr>
          <w:p>
            <w:pPr>
              <w:spacing w:after="0"/>
              <w:rPr>
                <w:sz w:val="1"/>
                <w:szCs w:val="1"/>
                <w:color w:val="auto"/>
              </w:rPr>
            </w:pPr>
          </w:p>
        </w:tc>
      </w:tr>
      <w:tr>
        <w:trPr>
          <w:trHeight w:val="179"/>
        </w:trPr>
        <w:tc>
          <w:tcPr>
            <w:tcW w:w="56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 Assets</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254,072,574</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267,362,533</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278,513,646</w:t>
            </w:r>
          </w:p>
        </w:tc>
        <w:tc>
          <w:tcPr>
            <w:tcW w:w="780" w:type="dxa"/>
            <w:vAlign w:val="bottom"/>
          </w:tcPr>
          <w:p>
            <w:pPr>
              <w:jc w:val="center"/>
              <w:ind w:left="252"/>
              <w:spacing w:after="0"/>
              <w:rPr>
                <w:sz w:val="20"/>
                <w:szCs w:val="20"/>
                <w:color w:val="auto"/>
              </w:rPr>
            </w:pPr>
            <w:r>
              <w:rPr>
                <w:rFonts w:ascii="Times New Roman" w:cs="Times New Roman" w:eastAsia="Times New Roman" w:hAnsi="Times New Roman"/>
                <w:sz w:val="14"/>
                <w:szCs w:val="14"/>
                <w:b w:val="1"/>
                <w:bCs w:val="1"/>
                <w:color w:val="auto"/>
                <w:w w:val="95"/>
              </w:rPr>
              <w:t>4.2%</w:t>
            </w:r>
          </w:p>
        </w:tc>
        <w:tc>
          <w:tcPr>
            <w:tcW w:w="1460" w:type="dxa"/>
            <w:vAlign w:val="bottom"/>
            <w:tcBorders>
              <w:right w:val="single" w:sz="8" w:color="auto"/>
            </w:tcBorders>
          </w:tcPr>
          <w:p>
            <w:pPr>
              <w:jc w:val="center"/>
              <w:ind w:left="212"/>
              <w:spacing w:after="0"/>
              <w:rPr>
                <w:sz w:val="20"/>
                <w:szCs w:val="20"/>
                <w:color w:val="auto"/>
              </w:rPr>
            </w:pPr>
            <w:r>
              <w:rPr>
                <w:rFonts w:ascii="Times New Roman" w:cs="Times New Roman" w:eastAsia="Times New Roman" w:hAnsi="Times New Roman"/>
                <w:sz w:val="14"/>
                <w:szCs w:val="14"/>
                <w:b w:val="1"/>
                <w:bCs w:val="1"/>
                <w:color w:val="auto"/>
                <w:w w:val="95"/>
              </w:rPr>
              <w:t>9.6%</w:t>
            </w:r>
          </w:p>
        </w:tc>
        <w:tc>
          <w:tcPr>
            <w:tcW w:w="0" w:type="dxa"/>
            <w:vAlign w:val="bottom"/>
          </w:tcPr>
          <w:p>
            <w:pPr>
              <w:spacing w:after="0"/>
              <w:rPr>
                <w:sz w:val="1"/>
                <w:szCs w:val="1"/>
                <w:color w:val="auto"/>
              </w:rPr>
            </w:pPr>
          </w:p>
        </w:tc>
      </w:tr>
      <w:tr>
        <w:trPr>
          <w:trHeight w:val="240"/>
        </w:trPr>
        <w:tc>
          <w:tcPr>
            <w:tcW w:w="56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LIABILITIES AND EQUITY</w:t>
            </w:r>
          </w:p>
        </w:tc>
        <w:tc>
          <w:tcPr>
            <w:tcW w:w="1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4"/>
        </w:trPr>
        <w:tc>
          <w:tcPr>
            <w:tcW w:w="5640" w:type="dxa"/>
            <w:vAlign w:val="bottom"/>
            <w:tcBorders>
              <w:left w:val="single" w:sz="8" w:color="auto"/>
              <w:right w:val="single" w:sz="8" w:color="auto"/>
            </w:tcBorders>
          </w:tcPr>
          <w:p>
            <w:pPr>
              <w:ind w:left="60"/>
              <w:spacing w:after="0" w:line="144" w:lineRule="exact"/>
              <w:rPr>
                <w:sz w:val="20"/>
                <w:szCs w:val="20"/>
                <w:color w:val="auto"/>
              </w:rPr>
            </w:pPr>
            <w:r>
              <w:rPr>
                <w:rFonts w:ascii="Times New Roman" w:cs="Times New Roman" w:eastAsia="Times New Roman" w:hAnsi="Times New Roman"/>
                <w:sz w:val="14"/>
                <w:szCs w:val="14"/>
                <w:b w:val="1"/>
                <w:bCs w:val="1"/>
                <w:color w:val="auto"/>
              </w:rPr>
              <w:t>Deposits and obligations</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5"/>
              </w:rPr>
              <w:t>49,620,679</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5"/>
              </w:rPr>
              <w:t>52,217,286</w:t>
            </w: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5"/>
              </w:rPr>
              <w:t>57,405,484</w:t>
            </w:r>
          </w:p>
        </w:tc>
        <w:tc>
          <w:tcPr>
            <w:tcW w:w="780" w:type="dxa"/>
            <w:vAlign w:val="bottom"/>
            <w:vMerge w:val="restart"/>
          </w:tcPr>
          <w:p>
            <w:pPr>
              <w:jc w:val="center"/>
              <w:ind w:left="232"/>
              <w:spacing w:after="0"/>
              <w:rPr>
                <w:sz w:val="20"/>
                <w:szCs w:val="20"/>
                <w:color w:val="auto"/>
              </w:rPr>
            </w:pPr>
            <w:r>
              <w:rPr>
                <w:rFonts w:ascii="Times New Roman" w:cs="Times New Roman" w:eastAsia="Times New Roman" w:hAnsi="Times New Roman"/>
                <w:sz w:val="14"/>
                <w:szCs w:val="14"/>
                <w:color w:val="auto"/>
                <w:w w:val="95"/>
              </w:rPr>
              <w:t>9.9%</w:t>
            </w:r>
          </w:p>
        </w:tc>
        <w:tc>
          <w:tcPr>
            <w:tcW w:w="1460" w:type="dxa"/>
            <w:vAlign w:val="bottom"/>
            <w:tcBorders>
              <w:right w:val="single" w:sz="8" w:color="auto"/>
            </w:tcBorders>
            <w:vMerge w:val="restart"/>
          </w:tcPr>
          <w:p>
            <w:pPr>
              <w:jc w:val="center"/>
              <w:ind w:left="232"/>
              <w:spacing w:after="0"/>
              <w:rPr>
                <w:sz w:val="20"/>
                <w:szCs w:val="20"/>
                <w:color w:val="auto"/>
              </w:rPr>
            </w:pPr>
            <w:r>
              <w:rPr>
                <w:rFonts w:ascii="Times New Roman" w:cs="Times New Roman" w:eastAsia="Times New Roman" w:hAnsi="Times New Roman"/>
                <w:sz w:val="14"/>
                <w:szCs w:val="14"/>
                <w:color w:val="auto"/>
                <w:w w:val="99"/>
              </w:rPr>
              <w:t>15.7%</w:t>
            </w:r>
          </w:p>
        </w:tc>
        <w:tc>
          <w:tcPr>
            <w:tcW w:w="0" w:type="dxa"/>
            <w:vAlign w:val="bottom"/>
          </w:tcPr>
          <w:p>
            <w:pPr>
              <w:spacing w:after="0"/>
              <w:rPr>
                <w:sz w:val="1"/>
                <w:szCs w:val="1"/>
                <w:color w:val="auto"/>
              </w:rPr>
            </w:pPr>
          </w:p>
        </w:tc>
      </w:tr>
      <w:tr>
        <w:trPr>
          <w:trHeight w:val="140"/>
        </w:trPr>
        <w:tc>
          <w:tcPr>
            <w:tcW w:w="5640" w:type="dxa"/>
            <w:vAlign w:val="bottom"/>
            <w:tcBorders>
              <w:left w:val="single" w:sz="8" w:color="auto"/>
              <w:right w:val="single" w:sz="8" w:color="auto"/>
            </w:tcBorders>
          </w:tcPr>
          <w:p>
            <w:pPr>
              <w:ind w:left="180"/>
              <w:spacing w:after="0" w:line="140" w:lineRule="exact"/>
              <w:rPr>
                <w:sz w:val="20"/>
                <w:szCs w:val="20"/>
                <w:color w:val="auto"/>
              </w:rPr>
            </w:pPr>
            <w:r>
              <w:rPr>
                <w:rFonts w:ascii="Times New Roman" w:cs="Times New Roman" w:eastAsia="Times New Roman" w:hAnsi="Times New Roman"/>
                <w:sz w:val="14"/>
                <w:szCs w:val="14"/>
                <w:color w:val="auto"/>
              </w:rPr>
              <w:t>Non-interest bearing</w:t>
            </w:r>
          </w:p>
        </w:tc>
        <w:tc>
          <w:tcPr>
            <w:tcW w:w="112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1140" w:type="dxa"/>
            <w:vAlign w:val="bottom"/>
            <w:tcBorders>
              <w:right w:val="single" w:sz="8" w:color="auto"/>
            </w:tcBorders>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14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640" w:type="dxa"/>
            <w:vAlign w:val="bottom"/>
            <w:tcBorders>
              <w:left w:val="single" w:sz="8" w:color="auto"/>
              <w:right w:val="single" w:sz="8" w:color="auto"/>
            </w:tcBorders>
          </w:tcPr>
          <w:p>
            <w:pPr>
              <w:ind w:left="180"/>
              <w:spacing w:after="0" w:line="140" w:lineRule="exact"/>
              <w:rPr>
                <w:sz w:val="20"/>
                <w:szCs w:val="20"/>
                <w:color w:val="auto"/>
              </w:rPr>
            </w:pPr>
            <w:r>
              <w:rPr>
                <w:rFonts w:ascii="Times New Roman" w:cs="Times New Roman" w:eastAsia="Times New Roman" w:hAnsi="Times New Roman"/>
                <w:sz w:val="14"/>
                <w:szCs w:val="14"/>
                <w:color w:val="auto"/>
              </w:rPr>
              <w:t>Interest bearing</w:t>
            </w:r>
          </w:p>
        </w:tc>
        <w:tc>
          <w:tcPr>
            <w:tcW w:w="11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7"/>
              </w:rPr>
              <w:t>107,998,403</w:t>
            </w:r>
          </w:p>
        </w:tc>
        <w:tc>
          <w:tcPr>
            <w:tcW w:w="11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7"/>
              </w:rPr>
              <w:t>118,184,347</w:t>
            </w:r>
          </w:p>
        </w:tc>
        <w:tc>
          <w:tcPr>
            <w:tcW w:w="114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7"/>
              </w:rPr>
              <w:t>121,222,422</w:t>
            </w:r>
          </w:p>
        </w:tc>
        <w:tc>
          <w:tcPr>
            <w:tcW w:w="780" w:type="dxa"/>
            <w:vAlign w:val="bottom"/>
          </w:tcPr>
          <w:p>
            <w:pPr>
              <w:jc w:val="center"/>
              <w:ind w:left="232"/>
              <w:spacing w:after="0" w:line="140" w:lineRule="exact"/>
              <w:rPr>
                <w:sz w:val="20"/>
                <w:szCs w:val="20"/>
                <w:color w:val="auto"/>
              </w:rPr>
            </w:pPr>
            <w:r>
              <w:rPr>
                <w:rFonts w:ascii="Times New Roman" w:cs="Times New Roman" w:eastAsia="Times New Roman" w:hAnsi="Times New Roman"/>
                <w:sz w:val="14"/>
                <w:szCs w:val="14"/>
                <w:color w:val="auto"/>
                <w:w w:val="95"/>
              </w:rPr>
              <w:t>2.6%</w:t>
            </w:r>
          </w:p>
        </w:tc>
        <w:tc>
          <w:tcPr>
            <w:tcW w:w="1460" w:type="dxa"/>
            <w:vAlign w:val="bottom"/>
            <w:tcBorders>
              <w:right w:val="single" w:sz="8" w:color="auto"/>
            </w:tcBorders>
          </w:tcPr>
          <w:p>
            <w:pPr>
              <w:jc w:val="center"/>
              <w:ind w:left="232"/>
              <w:spacing w:after="0" w:line="140" w:lineRule="exact"/>
              <w:rPr>
                <w:sz w:val="20"/>
                <w:szCs w:val="20"/>
                <w:color w:val="auto"/>
              </w:rPr>
            </w:pPr>
            <w:r>
              <w:rPr>
                <w:rFonts w:ascii="Times New Roman" w:cs="Times New Roman" w:eastAsia="Times New Roman" w:hAnsi="Times New Roman"/>
                <w:sz w:val="14"/>
                <w:szCs w:val="14"/>
                <w:color w:val="auto"/>
                <w:w w:val="99"/>
              </w:rPr>
              <w:t>12.2%</w:t>
            </w:r>
          </w:p>
        </w:tc>
        <w:tc>
          <w:tcPr>
            <w:tcW w:w="0" w:type="dxa"/>
            <w:vAlign w:val="bottom"/>
          </w:tcPr>
          <w:p>
            <w:pPr>
              <w:spacing w:after="0"/>
              <w:rPr>
                <w:sz w:val="1"/>
                <w:szCs w:val="1"/>
                <w:color w:val="auto"/>
              </w:rPr>
            </w:pPr>
          </w:p>
        </w:tc>
      </w:tr>
      <w:tr>
        <w:trPr>
          <w:trHeight w:val="175"/>
        </w:trPr>
        <w:tc>
          <w:tcPr>
            <w:tcW w:w="5640" w:type="dxa"/>
            <w:vAlign w:val="bottom"/>
            <w:tcBorders>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Total deposits and obligations</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157,619,082</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170,401,633</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178,627,906</w:t>
            </w:r>
          </w:p>
        </w:tc>
        <w:tc>
          <w:tcPr>
            <w:tcW w:w="780" w:type="dxa"/>
            <w:vAlign w:val="bottom"/>
          </w:tcPr>
          <w:p>
            <w:pPr>
              <w:jc w:val="center"/>
              <w:ind w:left="232"/>
              <w:spacing w:after="0"/>
              <w:rPr>
                <w:sz w:val="20"/>
                <w:szCs w:val="20"/>
                <w:color w:val="auto"/>
              </w:rPr>
            </w:pPr>
            <w:r>
              <w:rPr>
                <w:rFonts w:ascii="Times New Roman" w:cs="Times New Roman" w:eastAsia="Times New Roman" w:hAnsi="Times New Roman"/>
                <w:sz w:val="14"/>
                <w:szCs w:val="14"/>
                <w:color w:val="auto"/>
                <w:w w:val="95"/>
              </w:rPr>
              <w:t>4.8%</w:t>
            </w:r>
          </w:p>
        </w:tc>
        <w:tc>
          <w:tcPr>
            <w:tcW w:w="1460" w:type="dxa"/>
            <w:vAlign w:val="bottom"/>
            <w:tcBorders>
              <w:right w:val="single" w:sz="8" w:color="auto"/>
            </w:tcBorders>
          </w:tcPr>
          <w:p>
            <w:pPr>
              <w:jc w:val="center"/>
              <w:ind w:left="232"/>
              <w:spacing w:after="0"/>
              <w:rPr>
                <w:sz w:val="20"/>
                <w:szCs w:val="20"/>
                <w:color w:val="auto"/>
              </w:rPr>
            </w:pPr>
            <w:r>
              <w:rPr>
                <w:rFonts w:ascii="Times New Roman" w:cs="Times New Roman" w:eastAsia="Times New Roman" w:hAnsi="Times New Roman"/>
                <w:sz w:val="14"/>
                <w:szCs w:val="14"/>
                <w:color w:val="auto"/>
                <w:w w:val="99"/>
              </w:rPr>
              <w:t>13.3%</w:t>
            </w:r>
          </w:p>
        </w:tc>
        <w:tc>
          <w:tcPr>
            <w:tcW w:w="0" w:type="dxa"/>
            <w:vAlign w:val="bottom"/>
          </w:tcPr>
          <w:p>
            <w:pPr>
              <w:spacing w:after="0"/>
              <w:rPr>
                <w:sz w:val="1"/>
                <w:szCs w:val="1"/>
                <w:color w:val="auto"/>
              </w:rPr>
            </w:pPr>
          </w:p>
        </w:tc>
      </w:tr>
      <w:tr>
        <w:trPr>
          <w:trHeight w:val="244"/>
        </w:trPr>
        <w:tc>
          <w:tcPr>
            <w:tcW w:w="56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Payables from repurchase agreements and securities lending</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10,158,614</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8,243,787</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5,872,475</w:t>
            </w:r>
          </w:p>
        </w:tc>
        <w:tc>
          <w:tcPr>
            <w:tcW w:w="780" w:type="dxa"/>
            <w:vAlign w:val="bottom"/>
          </w:tcPr>
          <w:p>
            <w:pPr>
              <w:jc w:val="center"/>
              <w:ind w:left="232"/>
              <w:spacing w:after="0"/>
              <w:rPr>
                <w:sz w:val="20"/>
                <w:szCs w:val="20"/>
                <w:color w:val="auto"/>
              </w:rPr>
            </w:pPr>
            <w:r>
              <w:rPr>
                <w:rFonts w:ascii="Times New Roman" w:cs="Times New Roman" w:eastAsia="Times New Roman" w:hAnsi="Times New Roman"/>
                <w:sz w:val="14"/>
                <w:szCs w:val="14"/>
                <w:color w:val="auto"/>
                <w:w w:val="97"/>
              </w:rPr>
              <w:t>-28.8%</w:t>
            </w:r>
          </w:p>
        </w:tc>
        <w:tc>
          <w:tcPr>
            <w:tcW w:w="1460" w:type="dxa"/>
            <w:vAlign w:val="bottom"/>
            <w:tcBorders>
              <w:right w:val="single" w:sz="8" w:color="auto"/>
            </w:tcBorders>
          </w:tcPr>
          <w:p>
            <w:pPr>
              <w:jc w:val="center"/>
              <w:ind w:left="232"/>
              <w:spacing w:after="0"/>
              <w:rPr>
                <w:sz w:val="20"/>
                <w:szCs w:val="20"/>
                <w:color w:val="auto"/>
              </w:rPr>
            </w:pPr>
            <w:r>
              <w:rPr>
                <w:rFonts w:ascii="Times New Roman" w:cs="Times New Roman" w:eastAsia="Times New Roman" w:hAnsi="Times New Roman"/>
                <w:sz w:val="14"/>
                <w:szCs w:val="14"/>
                <w:color w:val="auto"/>
                <w:w w:val="97"/>
              </w:rPr>
              <w:t>-42.2%</w:t>
            </w:r>
          </w:p>
        </w:tc>
        <w:tc>
          <w:tcPr>
            <w:tcW w:w="0" w:type="dxa"/>
            <w:vAlign w:val="bottom"/>
          </w:tcPr>
          <w:p>
            <w:pPr>
              <w:spacing w:after="0"/>
              <w:rPr>
                <w:sz w:val="1"/>
                <w:szCs w:val="1"/>
                <w:color w:val="auto"/>
              </w:rPr>
            </w:pPr>
          </w:p>
        </w:tc>
      </w:tr>
      <w:tr>
        <w:trPr>
          <w:trHeight w:val="140"/>
        </w:trPr>
        <w:tc>
          <w:tcPr>
            <w:tcW w:w="5640" w:type="dxa"/>
            <w:vAlign w:val="bottom"/>
            <w:tcBorders>
              <w:left w:val="single" w:sz="8" w:color="auto"/>
              <w:right w:val="single" w:sz="8" w:color="auto"/>
            </w:tcBorders>
          </w:tcPr>
          <w:p>
            <w:pPr>
              <w:ind w:left="180"/>
              <w:spacing w:after="0" w:line="140" w:lineRule="exact"/>
              <w:rPr>
                <w:sz w:val="20"/>
                <w:szCs w:val="20"/>
                <w:color w:val="auto"/>
              </w:rPr>
            </w:pPr>
            <w:r>
              <w:rPr>
                <w:rFonts w:ascii="Times New Roman" w:cs="Times New Roman" w:eastAsia="Times New Roman" w:hAnsi="Times New Roman"/>
                <w:sz w:val="14"/>
                <w:szCs w:val="14"/>
                <w:color w:val="auto"/>
              </w:rPr>
              <w:t>BCRP instruments</w:t>
            </w:r>
          </w:p>
        </w:tc>
        <w:tc>
          <w:tcPr>
            <w:tcW w:w="11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7,064,476</w:t>
            </w:r>
          </w:p>
        </w:tc>
        <w:tc>
          <w:tcPr>
            <w:tcW w:w="11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4,776,512</w:t>
            </w:r>
          </w:p>
        </w:tc>
        <w:tc>
          <w:tcPr>
            <w:tcW w:w="114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2,338,426</w:t>
            </w:r>
          </w:p>
        </w:tc>
        <w:tc>
          <w:tcPr>
            <w:tcW w:w="780" w:type="dxa"/>
            <w:vAlign w:val="bottom"/>
          </w:tcPr>
          <w:p>
            <w:pPr>
              <w:jc w:val="center"/>
              <w:ind w:left="232"/>
              <w:spacing w:after="0" w:line="140" w:lineRule="exact"/>
              <w:rPr>
                <w:sz w:val="20"/>
                <w:szCs w:val="20"/>
                <w:color w:val="auto"/>
              </w:rPr>
            </w:pPr>
            <w:r>
              <w:rPr>
                <w:rFonts w:ascii="Times New Roman" w:cs="Times New Roman" w:eastAsia="Times New Roman" w:hAnsi="Times New Roman"/>
                <w:sz w:val="14"/>
                <w:szCs w:val="14"/>
                <w:color w:val="auto"/>
                <w:w w:val="97"/>
              </w:rPr>
              <w:t>-51.0%</w:t>
            </w:r>
          </w:p>
        </w:tc>
        <w:tc>
          <w:tcPr>
            <w:tcW w:w="1460" w:type="dxa"/>
            <w:vAlign w:val="bottom"/>
            <w:tcBorders>
              <w:right w:val="single" w:sz="8" w:color="auto"/>
            </w:tcBorders>
          </w:tcPr>
          <w:p>
            <w:pPr>
              <w:jc w:val="center"/>
              <w:ind w:left="232"/>
              <w:spacing w:after="0" w:line="140" w:lineRule="exact"/>
              <w:rPr>
                <w:sz w:val="20"/>
                <w:szCs w:val="20"/>
                <w:color w:val="auto"/>
              </w:rPr>
            </w:pPr>
            <w:r>
              <w:rPr>
                <w:rFonts w:ascii="Times New Roman" w:cs="Times New Roman" w:eastAsia="Times New Roman" w:hAnsi="Times New Roman"/>
                <w:sz w:val="14"/>
                <w:szCs w:val="14"/>
                <w:color w:val="auto"/>
                <w:w w:val="97"/>
              </w:rPr>
              <w:t>-66.9%</w:t>
            </w:r>
          </w:p>
        </w:tc>
        <w:tc>
          <w:tcPr>
            <w:tcW w:w="0" w:type="dxa"/>
            <w:vAlign w:val="bottom"/>
          </w:tcPr>
          <w:p>
            <w:pPr>
              <w:spacing w:after="0"/>
              <w:rPr>
                <w:sz w:val="1"/>
                <w:szCs w:val="1"/>
                <w:color w:val="auto"/>
              </w:rPr>
            </w:pPr>
          </w:p>
        </w:tc>
      </w:tr>
      <w:tr>
        <w:trPr>
          <w:trHeight w:val="140"/>
        </w:trPr>
        <w:tc>
          <w:tcPr>
            <w:tcW w:w="5640" w:type="dxa"/>
            <w:vAlign w:val="bottom"/>
            <w:tcBorders>
              <w:left w:val="single" w:sz="8" w:color="auto"/>
              <w:right w:val="single" w:sz="8" w:color="auto"/>
            </w:tcBorders>
          </w:tcPr>
          <w:p>
            <w:pPr>
              <w:ind w:left="180"/>
              <w:spacing w:after="0" w:line="140" w:lineRule="exact"/>
              <w:rPr>
                <w:sz w:val="20"/>
                <w:szCs w:val="20"/>
                <w:color w:val="auto"/>
              </w:rPr>
            </w:pPr>
            <w:r>
              <w:rPr>
                <w:rFonts w:ascii="Times New Roman" w:cs="Times New Roman" w:eastAsia="Times New Roman" w:hAnsi="Times New Roman"/>
                <w:sz w:val="14"/>
                <w:szCs w:val="14"/>
                <w:color w:val="auto"/>
              </w:rPr>
              <w:t>Repurchase agreements with third parties</w:t>
            </w:r>
          </w:p>
        </w:tc>
        <w:tc>
          <w:tcPr>
            <w:tcW w:w="11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2,872,797</w:t>
            </w:r>
          </w:p>
        </w:tc>
        <w:tc>
          <w:tcPr>
            <w:tcW w:w="11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3,332,706</w:t>
            </w:r>
          </w:p>
        </w:tc>
        <w:tc>
          <w:tcPr>
            <w:tcW w:w="114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3,473,827</w:t>
            </w:r>
          </w:p>
        </w:tc>
        <w:tc>
          <w:tcPr>
            <w:tcW w:w="780" w:type="dxa"/>
            <w:vAlign w:val="bottom"/>
          </w:tcPr>
          <w:p>
            <w:pPr>
              <w:jc w:val="center"/>
              <w:ind w:left="232"/>
              <w:spacing w:after="0" w:line="140" w:lineRule="exact"/>
              <w:rPr>
                <w:sz w:val="20"/>
                <w:szCs w:val="20"/>
                <w:color w:val="auto"/>
              </w:rPr>
            </w:pPr>
            <w:r>
              <w:rPr>
                <w:rFonts w:ascii="Times New Roman" w:cs="Times New Roman" w:eastAsia="Times New Roman" w:hAnsi="Times New Roman"/>
                <w:sz w:val="14"/>
                <w:szCs w:val="14"/>
                <w:color w:val="auto"/>
                <w:w w:val="95"/>
              </w:rPr>
              <w:t>4.2%</w:t>
            </w:r>
          </w:p>
        </w:tc>
        <w:tc>
          <w:tcPr>
            <w:tcW w:w="1460" w:type="dxa"/>
            <w:vAlign w:val="bottom"/>
            <w:tcBorders>
              <w:right w:val="single" w:sz="8" w:color="auto"/>
            </w:tcBorders>
          </w:tcPr>
          <w:p>
            <w:pPr>
              <w:jc w:val="center"/>
              <w:ind w:left="232"/>
              <w:spacing w:after="0" w:line="140" w:lineRule="exact"/>
              <w:rPr>
                <w:sz w:val="20"/>
                <w:szCs w:val="20"/>
                <w:color w:val="auto"/>
              </w:rPr>
            </w:pPr>
            <w:r>
              <w:rPr>
                <w:rFonts w:ascii="Times New Roman" w:cs="Times New Roman" w:eastAsia="Times New Roman" w:hAnsi="Times New Roman"/>
                <w:sz w:val="14"/>
                <w:szCs w:val="14"/>
                <w:color w:val="auto"/>
                <w:w w:val="99"/>
              </w:rPr>
              <w:t>20.9%</w:t>
            </w:r>
          </w:p>
        </w:tc>
        <w:tc>
          <w:tcPr>
            <w:tcW w:w="0" w:type="dxa"/>
            <w:vAlign w:val="bottom"/>
          </w:tcPr>
          <w:p>
            <w:pPr>
              <w:spacing w:after="0"/>
              <w:rPr>
                <w:sz w:val="1"/>
                <w:szCs w:val="1"/>
                <w:color w:val="auto"/>
              </w:rPr>
            </w:pPr>
          </w:p>
        </w:tc>
      </w:tr>
      <w:tr>
        <w:trPr>
          <w:trHeight w:val="175"/>
        </w:trPr>
        <w:tc>
          <w:tcPr>
            <w:tcW w:w="5640" w:type="dxa"/>
            <w:vAlign w:val="bottom"/>
            <w:tcBorders>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Repurchase agreements with customers</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221,341</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134,569</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3"/>
              </w:rPr>
              <w:t>60,222</w:t>
            </w:r>
          </w:p>
        </w:tc>
        <w:tc>
          <w:tcPr>
            <w:tcW w:w="780" w:type="dxa"/>
            <w:vAlign w:val="bottom"/>
          </w:tcPr>
          <w:p>
            <w:pPr>
              <w:jc w:val="center"/>
              <w:ind w:left="232"/>
              <w:spacing w:after="0"/>
              <w:rPr>
                <w:sz w:val="20"/>
                <w:szCs w:val="20"/>
                <w:color w:val="auto"/>
              </w:rPr>
            </w:pPr>
            <w:r>
              <w:rPr>
                <w:rFonts w:ascii="Times New Roman" w:cs="Times New Roman" w:eastAsia="Times New Roman" w:hAnsi="Times New Roman"/>
                <w:sz w:val="14"/>
                <w:szCs w:val="14"/>
                <w:color w:val="auto"/>
                <w:w w:val="97"/>
              </w:rPr>
              <w:t>-55.2%</w:t>
            </w:r>
          </w:p>
        </w:tc>
        <w:tc>
          <w:tcPr>
            <w:tcW w:w="1460" w:type="dxa"/>
            <w:vAlign w:val="bottom"/>
            <w:tcBorders>
              <w:right w:val="single" w:sz="8" w:color="auto"/>
            </w:tcBorders>
          </w:tcPr>
          <w:p>
            <w:pPr>
              <w:jc w:val="center"/>
              <w:ind w:left="232"/>
              <w:spacing w:after="0"/>
              <w:rPr>
                <w:sz w:val="20"/>
                <w:szCs w:val="20"/>
                <w:color w:val="auto"/>
              </w:rPr>
            </w:pPr>
            <w:r>
              <w:rPr>
                <w:rFonts w:ascii="Times New Roman" w:cs="Times New Roman" w:eastAsia="Times New Roman" w:hAnsi="Times New Roman"/>
                <w:sz w:val="14"/>
                <w:szCs w:val="14"/>
                <w:color w:val="auto"/>
                <w:w w:val="97"/>
              </w:rPr>
              <w:t>-72.8%</w:t>
            </w:r>
          </w:p>
        </w:tc>
        <w:tc>
          <w:tcPr>
            <w:tcW w:w="0" w:type="dxa"/>
            <w:vAlign w:val="bottom"/>
          </w:tcPr>
          <w:p>
            <w:pPr>
              <w:spacing w:after="0"/>
              <w:rPr>
                <w:sz w:val="1"/>
                <w:szCs w:val="1"/>
                <w:color w:val="auto"/>
              </w:rPr>
            </w:pPr>
          </w:p>
        </w:tc>
      </w:tr>
      <w:tr>
        <w:trPr>
          <w:trHeight w:val="244"/>
        </w:trPr>
        <w:tc>
          <w:tcPr>
            <w:tcW w:w="56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Due to banks and correspondents</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10,899,579</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10,675,238</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5"/>
              </w:rPr>
              <w:t>10,213,175</w:t>
            </w:r>
          </w:p>
        </w:tc>
        <w:tc>
          <w:tcPr>
            <w:tcW w:w="780" w:type="dxa"/>
            <w:vAlign w:val="bottom"/>
          </w:tcPr>
          <w:p>
            <w:pPr>
              <w:jc w:val="center"/>
              <w:ind w:left="232"/>
              <w:spacing w:after="0"/>
              <w:rPr>
                <w:sz w:val="20"/>
                <w:szCs w:val="20"/>
                <w:color w:val="auto"/>
              </w:rPr>
            </w:pPr>
            <w:r>
              <w:rPr>
                <w:rFonts w:ascii="Times New Roman" w:cs="Times New Roman" w:eastAsia="Times New Roman" w:hAnsi="Times New Roman"/>
                <w:sz w:val="14"/>
                <w:szCs w:val="14"/>
                <w:color w:val="auto"/>
                <w:w w:val="94"/>
              </w:rPr>
              <w:t>-4.3%</w:t>
            </w:r>
          </w:p>
        </w:tc>
        <w:tc>
          <w:tcPr>
            <w:tcW w:w="1460" w:type="dxa"/>
            <w:vAlign w:val="bottom"/>
            <w:tcBorders>
              <w:right w:val="single" w:sz="8" w:color="auto"/>
            </w:tcBorders>
          </w:tcPr>
          <w:p>
            <w:pPr>
              <w:jc w:val="center"/>
              <w:ind w:left="232"/>
              <w:spacing w:after="0"/>
              <w:rPr>
                <w:sz w:val="20"/>
                <w:szCs w:val="20"/>
                <w:color w:val="auto"/>
              </w:rPr>
            </w:pPr>
            <w:r>
              <w:rPr>
                <w:rFonts w:ascii="Times New Roman" w:cs="Times New Roman" w:eastAsia="Times New Roman" w:hAnsi="Times New Roman"/>
                <w:sz w:val="14"/>
                <w:szCs w:val="14"/>
                <w:color w:val="auto"/>
                <w:w w:val="94"/>
              </w:rPr>
              <w:t>-6.3%</w:t>
            </w:r>
          </w:p>
        </w:tc>
        <w:tc>
          <w:tcPr>
            <w:tcW w:w="0" w:type="dxa"/>
            <w:vAlign w:val="bottom"/>
          </w:tcPr>
          <w:p>
            <w:pPr>
              <w:spacing w:after="0"/>
              <w:rPr>
                <w:sz w:val="1"/>
                <w:szCs w:val="1"/>
                <w:color w:val="auto"/>
              </w:rPr>
            </w:pPr>
          </w:p>
        </w:tc>
      </w:tr>
      <w:tr>
        <w:trPr>
          <w:trHeight w:val="140"/>
        </w:trPr>
        <w:tc>
          <w:tcPr>
            <w:tcW w:w="5640" w:type="dxa"/>
            <w:vAlign w:val="bottom"/>
            <w:tcBorders>
              <w:left w:val="single" w:sz="8" w:color="auto"/>
              <w:right w:val="single" w:sz="8" w:color="auto"/>
            </w:tcBorders>
          </w:tcPr>
          <w:p>
            <w:pPr>
              <w:ind w:left="60"/>
              <w:spacing w:after="0" w:line="140" w:lineRule="exact"/>
              <w:rPr>
                <w:sz w:val="20"/>
                <w:szCs w:val="20"/>
                <w:color w:val="auto"/>
              </w:rPr>
            </w:pPr>
            <w:r>
              <w:rPr>
                <w:rFonts w:ascii="Times New Roman" w:cs="Times New Roman" w:eastAsia="Times New Roman" w:hAnsi="Times New Roman"/>
                <w:sz w:val="14"/>
                <w:szCs w:val="14"/>
                <w:color w:val="auto"/>
              </w:rPr>
              <w:t>Bonds and notes issued</w:t>
            </w:r>
          </w:p>
        </w:tc>
        <w:tc>
          <w:tcPr>
            <w:tcW w:w="11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5"/>
              </w:rPr>
              <w:t>14,391,733</w:t>
            </w:r>
          </w:p>
        </w:tc>
        <w:tc>
          <w:tcPr>
            <w:tcW w:w="11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5"/>
              </w:rPr>
              <w:t>14,025,535</w:t>
            </w:r>
          </w:p>
        </w:tc>
        <w:tc>
          <w:tcPr>
            <w:tcW w:w="114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5"/>
              </w:rPr>
              <w:t>14,750,710</w:t>
            </w:r>
          </w:p>
        </w:tc>
        <w:tc>
          <w:tcPr>
            <w:tcW w:w="780" w:type="dxa"/>
            <w:vAlign w:val="bottom"/>
          </w:tcPr>
          <w:p>
            <w:pPr>
              <w:jc w:val="center"/>
              <w:ind w:left="232"/>
              <w:spacing w:after="0" w:line="140" w:lineRule="exact"/>
              <w:rPr>
                <w:sz w:val="20"/>
                <w:szCs w:val="20"/>
                <w:color w:val="auto"/>
              </w:rPr>
            </w:pPr>
            <w:r>
              <w:rPr>
                <w:rFonts w:ascii="Times New Roman" w:cs="Times New Roman" w:eastAsia="Times New Roman" w:hAnsi="Times New Roman"/>
                <w:sz w:val="14"/>
                <w:szCs w:val="14"/>
                <w:color w:val="auto"/>
                <w:w w:val="95"/>
              </w:rPr>
              <w:t>5.2%</w:t>
            </w:r>
          </w:p>
        </w:tc>
        <w:tc>
          <w:tcPr>
            <w:tcW w:w="1460" w:type="dxa"/>
            <w:vAlign w:val="bottom"/>
            <w:tcBorders>
              <w:right w:val="single" w:sz="8" w:color="auto"/>
            </w:tcBorders>
          </w:tcPr>
          <w:p>
            <w:pPr>
              <w:jc w:val="center"/>
              <w:ind w:left="232"/>
              <w:spacing w:after="0" w:line="140" w:lineRule="exact"/>
              <w:rPr>
                <w:sz w:val="20"/>
                <w:szCs w:val="20"/>
                <w:color w:val="auto"/>
              </w:rPr>
            </w:pPr>
            <w:r>
              <w:rPr>
                <w:rFonts w:ascii="Times New Roman" w:cs="Times New Roman" w:eastAsia="Times New Roman" w:hAnsi="Times New Roman"/>
                <w:sz w:val="14"/>
                <w:szCs w:val="14"/>
                <w:color w:val="auto"/>
                <w:w w:val="95"/>
              </w:rPr>
              <w:t>2.5%</w:t>
            </w:r>
          </w:p>
        </w:tc>
        <w:tc>
          <w:tcPr>
            <w:tcW w:w="0" w:type="dxa"/>
            <w:vAlign w:val="bottom"/>
          </w:tcPr>
          <w:p>
            <w:pPr>
              <w:spacing w:after="0"/>
              <w:rPr>
                <w:sz w:val="1"/>
                <w:szCs w:val="1"/>
                <w:color w:val="auto"/>
              </w:rPr>
            </w:pPr>
          </w:p>
        </w:tc>
      </w:tr>
      <w:tr>
        <w:trPr>
          <w:trHeight w:val="140"/>
        </w:trPr>
        <w:tc>
          <w:tcPr>
            <w:tcW w:w="5640" w:type="dxa"/>
            <w:vAlign w:val="bottom"/>
            <w:tcBorders>
              <w:left w:val="single" w:sz="8" w:color="auto"/>
              <w:right w:val="single" w:sz="8" w:color="auto"/>
            </w:tcBorders>
          </w:tcPr>
          <w:p>
            <w:pPr>
              <w:ind w:left="60"/>
              <w:spacing w:after="0" w:line="140" w:lineRule="exact"/>
              <w:rPr>
                <w:sz w:val="20"/>
                <w:szCs w:val="20"/>
                <w:color w:val="auto"/>
              </w:rPr>
            </w:pPr>
            <w:r>
              <w:rPr>
                <w:rFonts w:ascii="Times New Roman" w:cs="Times New Roman" w:eastAsia="Times New Roman" w:hAnsi="Times New Roman"/>
                <w:sz w:val="14"/>
                <w:szCs w:val="14"/>
                <w:color w:val="auto"/>
              </w:rPr>
              <w:t>Banker’s acceptances outstanding</w:t>
            </w:r>
          </w:p>
        </w:tc>
        <w:tc>
          <w:tcPr>
            <w:tcW w:w="11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639,749</w:t>
            </w:r>
          </w:p>
        </w:tc>
        <w:tc>
          <w:tcPr>
            <w:tcW w:w="11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345,906</w:t>
            </w:r>
          </w:p>
        </w:tc>
        <w:tc>
          <w:tcPr>
            <w:tcW w:w="114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608,309</w:t>
            </w:r>
          </w:p>
        </w:tc>
        <w:tc>
          <w:tcPr>
            <w:tcW w:w="780" w:type="dxa"/>
            <w:vAlign w:val="bottom"/>
          </w:tcPr>
          <w:p>
            <w:pPr>
              <w:jc w:val="center"/>
              <w:ind w:left="252"/>
              <w:spacing w:after="0" w:line="140" w:lineRule="exact"/>
              <w:rPr>
                <w:sz w:val="20"/>
                <w:szCs w:val="20"/>
                <w:color w:val="auto"/>
              </w:rPr>
            </w:pPr>
            <w:r>
              <w:rPr>
                <w:rFonts w:ascii="Times New Roman" w:cs="Times New Roman" w:eastAsia="Times New Roman" w:hAnsi="Times New Roman"/>
                <w:sz w:val="14"/>
                <w:szCs w:val="14"/>
                <w:color w:val="auto"/>
                <w:w w:val="93"/>
              </w:rPr>
              <w:t>75.9%</w:t>
            </w:r>
          </w:p>
        </w:tc>
        <w:tc>
          <w:tcPr>
            <w:tcW w:w="1460" w:type="dxa"/>
            <w:vAlign w:val="bottom"/>
            <w:tcBorders>
              <w:right w:val="single" w:sz="8" w:color="auto"/>
            </w:tcBorders>
          </w:tcPr>
          <w:p>
            <w:pPr>
              <w:jc w:val="center"/>
              <w:ind w:left="232"/>
              <w:spacing w:after="0" w:line="140" w:lineRule="exact"/>
              <w:rPr>
                <w:sz w:val="20"/>
                <w:szCs w:val="20"/>
                <w:color w:val="auto"/>
              </w:rPr>
            </w:pPr>
            <w:r>
              <w:rPr>
                <w:rFonts w:ascii="Times New Roman" w:cs="Times New Roman" w:eastAsia="Times New Roman" w:hAnsi="Times New Roman"/>
                <w:sz w:val="14"/>
                <w:szCs w:val="14"/>
                <w:color w:val="auto"/>
                <w:w w:val="94"/>
              </w:rPr>
              <w:t>-4.9%</w:t>
            </w:r>
          </w:p>
        </w:tc>
        <w:tc>
          <w:tcPr>
            <w:tcW w:w="0" w:type="dxa"/>
            <w:vAlign w:val="bottom"/>
          </w:tcPr>
          <w:p>
            <w:pPr>
              <w:spacing w:after="0"/>
              <w:rPr>
                <w:sz w:val="1"/>
                <w:szCs w:val="1"/>
                <w:color w:val="auto"/>
              </w:rPr>
            </w:pPr>
          </w:p>
        </w:tc>
      </w:tr>
      <w:tr>
        <w:trPr>
          <w:trHeight w:val="140"/>
        </w:trPr>
        <w:tc>
          <w:tcPr>
            <w:tcW w:w="5640" w:type="dxa"/>
            <w:vAlign w:val="bottom"/>
            <w:tcBorders>
              <w:left w:val="single" w:sz="8" w:color="auto"/>
              <w:right w:val="single" w:sz="8" w:color="auto"/>
            </w:tcBorders>
          </w:tcPr>
          <w:p>
            <w:pPr>
              <w:ind w:left="60"/>
              <w:spacing w:after="0" w:line="140" w:lineRule="exact"/>
              <w:rPr>
                <w:sz w:val="20"/>
                <w:szCs w:val="20"/>
                <w:color w:val="auto"/>
              </w:rPr>
            </w:pPr>
            <w:r>
              <w:rPr>
                <w:rFonts w:ascii="Times New Roman" w:cs="Times New Roman" w:eastAsia="Times New Roman" w:hAnsi="Times New Roman"/>
                <w:sz w:val="14"/>
                <w:szCs w:val="14"/>
                <w:color w:val="auto"/>
              </w:rPr>
              <w:t>Insurance contract liability</w:t>
            </w:r>
          </w:p>
        </w:tc>
        <w:tc>
          <w:tcPr>
            <w:tcW w:w="11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5"/>
              </w:rPr>
              <w:t>13,725,052</w:t>
            </w:r>
          </w:p>
        </w:tc>
        <w:tc>
          <w:tcPr>
            <w:tcW w:w="11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5"/>
              </w:rPr>
              <w:t>14,264,155</w:t>
            </w:r>
          </w:p>
        </w:tc>
        <w:tc>
          <w:tcPr>
            <w:tcW w:w="114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5"/>
              </w:rPr>
              <w:t>14,504,324</w:t>
            </w:r>
          </w:p>
        </w:tc>
        <w:tc>
          <w:tcPr>
            <w:tcW w:w="780" w:type="dxa"/>
            <w:vAlign w:val="bottom"/>
          </w:tcPr>
          <w:p>
            <w:pPr>
              <w:jc w:val="center"/>
              <w:ind w:left="232"/>
              <w:spacing w:after="0" w:line="140" w:lineRule="exact"/>
              <w:rPr>
                <w:sz w:val="20"/>
                <w:szCs w:val="20"/>
                <w:color w:val="auto"/>
              </w:rPr>
            </w:pPr>
            <w:r>
              <w:rPr>
                <w:rFonts w:ascii="Times New Roman" w:cs="Times New Roman" w:eastAsia="Times New Roman" w:hAnsi="Times New Roman"/>
                <w:sz w:val="14"/>
                <w:szCs w:val="14"/>
                <w:color w:val="auto"/>
                <w:w w:val="95"/>
              </w:rPr>
              <w:t>1.7%</w:t>
            </w:r>
          </w:p>
        </w:tc>
        <w:tc>
          <w:tcPr>
            <w:tcW w:w="1460" w:type="dxa"/>
            <w:vAlign w:val="bottom"/>
            <w:tcBorders>
              <w:right w:val="single" w:sz="8" w:color="auto"/>
            </w:tcBorders>
          </w:tcPr>
          <w:p>
            <w:pPr>
              <w:jc w:val="center"/>
              <w:ind w:left="232"/>
              <w:spacing w:after="0" w:line="140" w:lineRule="exact"/>
              <w:rPr>
                <w:sz w:val="20"/>
                <w:szCs w:val="20"/>
                <w:color w:val="auto"/>
              </w:rPr>
            </w:pPr>
            <w:r>
              <w:rPr>
                <w:rFonts w:ascii="Times New Roman" w:cs="Times New Roman" w:eastAsia="Times New Roman" w:hAnsi="Times New Roman"/>
                <w:sz w:val="14"/>
                <w:szCs w:val="14"/>
                <w:color w:val="auto"/>
                <w:w w:val="95"/>
              </w:rPr>
              <w:t>5.7%</w:t>
            </w:r>
          </w:p>
        </w:tc>
        <w:tc>
          <w:tcPr>
            <w:tcW w:w="0" w:type="dxa"/>
            <w:vAlign w:val="bottom"/>
          </w:tcPr>
          <w:p>
            <w:pPr>
              <w:spacing w:after="0"/>
              <w:rPr>
                <w:sz w:val="1"/>
                <w:szCs w:val="1"/>
                <w:color w:val="auto"/>
              </w:rPr>
            </w:pPr>
          </w:p>
        </w:tc>
      </w:tr>
      <w:tr>
        <w:trPr>
          <w:trHeight w:val="140"/>
        </w:trPr>
        <w:tc>
          <w:tcPr>
            <w:tcW w:w="5640" w:type="dxa"/>
            <w:vAlign w:val="bottom"/>
            <w:tcBorders>
              <w:left w:val="single" w:sz="8" w:color="auto"/>
              <w:right w:val="single" w:sz="8" w:color="auto"/>
            </w:tcBorders>
          </w:tcPr>
          <w:p>
            <w:pPr>
              <w:ind w:left="60"/>
              <w:spacing w:after="0" w:line="140" w:lineRule="exact"/>
              <w:rPr>
                <w:sz w:val="20"/>
                <w:szCs w:val="20"/>
                <w:color w:val="auto"/>
              </w:rPr>
            </w:pPr>
            <w:r>
              <w:rPr>
                <w:rFonts w:ascii="Times New Roman" w:cs="Times New Roman" w:eastAsia="Times New Roman" w:hAnsi="Times New Roman"/>
                <w:sz w:val="14"/>
                <w:szCs w:val="14"/>
                <w:color w:val="auto"/>
              </w:rPr>
              <w:t>Financial liabilities at fair value through profit or loss</w:t>
            </w:r>
          </w:p>
        </w:tc>
        <w:tc>
          <w:tcPr>
            <w:tcW w:w="11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736,192</w:t>
            </w:r>
          </w:p>
        </w:tc>
        <w:tc>
          <w:tcPr>
            <w:tcW w:w="11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1,055,893</w:t>
            </w:r>
          </w:p>
        </w:tc>
        <w:tc>
          <w:tcPr>
            <w:tcW w:w="114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1,451,894</w:t>
            </w:r>
          </w:p>
        </w:tc>
        <w:tc>
          <w:tcPr>
            <w:tcW w:w="780" w:type="dxa"/>
            <w:vAlign w:val="bottom"/>
          </w:tcPr>
          <w:p>
            <w:pPr>
              <w:jc w:val="center"/>
              <w:ind w:left="252"/>
              <w:spacing w:after="0" w:line="140" w:lineRule="exact"/>
              <w:rPr>
                <w:sz w:val="20"/>
                <w:szCs w:val="20"/>
                <w:color w:val="auto"/>
              </w:rPr>
            </w:pPr>
            <w:r>
              <w:rPr>
                <w:rFonts w:ascii="Times New Roman" w:cs="Times New Roman" w:eastAsia="Times New Roman" w:hAnsi="Times New Roman"/>
                <w:sz w:val="14"/>
                <w:szCs w:val="14"/>
                <w:color w:val="auto"/>
                <w:w w:val="93"/>
              </w:rPr>
              <w:t>37.5%</w:t>
            </w:r>
          </w:p>
        </w:tc>
        <w:tc>
          <w:tcPr>
            <w:tcW w:w="1460" w:type="dxa"/>
            <w:vAlign w:val="bottom"/>
            <w:tcBorders>
              <w:right w:val="single" w:sz="8" w:color="auto"/>
            </w:tcBorders>
          </w:tcPr>
          <w:p>
            <w:pPr>
              <w:jc w:val="center"/>
              <w:ind w:left="232"/>
              <w:spacing w:after="0" w:line="140" w:lineRule="exact"/>
              <w:rPr>
                <w:sz w:val="20"/>
                <w:szCs w:val="20"/>
                <w:color w:val="auto"/>
              </w:rPr>
            </w:pPr>
            <w:r>
              <w:rPr>
                <w:rFonts w:ascii="Times New Roman" w:cs="Times New Roman" w:eastAsia="Times New Roman" w:hAnsi="Times New Roman"/>
                <w:sz w:val="14"/>
                <w:szCs w:val="14"/>
                <w:color w:val="auto"/>
                <w:w w:val="99"/>
              </w:rPr>
              <w:t>97.2%</w:t>
            </w:r>
          </w:p>
        </w:tc>
        <w:tc>
          <w:tcPr>
            <w:tcW w:w="0" w:type="dxa"/>
            <w:vAlign w:val="bottom"/>
          </w:tcPr>
          <w:p>
            <w:pPr>
              <w:spacing w:after="0"/>
              <w:rPr>
                <w:sz w:val="1"/>
                <w:szCs w:val="1"/>
                <w:color w:val="auto"/>
              </w:rPr>
            </w:pPr>
          </w:p>
        </w:tc>
      </w:tr>
      <w:tr>
        <w:trPr>
          <w:trHeight w:val="175"/>
        </w:trPr>
        <w:tc>
          <w:tcPr>
            <w:tcW w:w="56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Other liabilities</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9,487,673</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9,254,277</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5"/>
              </w:rPr>
              <w:t>11,836,817</w:t>
            </w:r>
          </w:p>
        </w:tc>
        <w:tc>
          <w:tcPr>
            <w:tcW w:w="780" w:type="dxa"/>
            <w:vAlign w:val="bottom"/>
          </w:tcPr>
          <w:p>
            <w:pPr>
              <w:jc w:val="center"/>
              <w:ind w:left="252"/>
              <w:spacing w:after="0"/>
              <w:rPr>
                <w:sz w:val="20"/>
                <w:szCs w:val="20"/>
                <w:color w:val="auto"/>
              </w:rPr>
            </w:pPr>
            <w:r>
              <w:rPr>
                <w:rFonts w:ascii="Times New Roman" w:cs="Times New Roman" w:eastAsia="Times New Roman" w:hAnsi="Times New Roman"/>
                <w:sz w:val="14"/>
                <w:szCs w:val="14"/>
                <w:color w:val="auto"/>
                <w:w w:val="93"/>
              </w:rPr>
              <w:t>27.9%</w:t>
            </w:r>
          </w:p>
        </w:tc>
        <w:tc>
          <w:tcPr>
            <w:tcW w:w="1460" w:type="dxa"/>
            <w:vAlign w:val="bottom"/>
            <w:tcBorders>
              <w:right w:val="single" w:sz="8" w:color="auto"/>
            </w:tcBorders>
          </w:tcPr>
          <w:p>
            <w:pPr>
              <w:jc w:val="center"/>
              <w:ind w:left="232"/>
              <w:spacing w:after="0"/>
              <w:rPr>
                <w:sz w:val="20"/>
                <w:szCs w:val="20"/>
                <w:color w:val="auto"/>
              </w:rPr>
            </w:pPr>
            <w:r>
              <w:rPr>
                <w:rFonts w:ascii="Times New Roman" w:cs="Times New Roman" w:eastAsia="Times New Roman" w:hAnsi="Times New Roman"/>
                <w:sz w:val="14"/>
                <w:szCs w:val="14"/>
                <w:color w:val="auto"/>
                <w:w w:val="99"/>
              </w:rPr>
              <w:t>24.8%</w:t>
            </w:r>
          </w:p>
        </w:tc>
        <w:tc>
          <w:tcPr>
            <w:tcW w:w="0" w:type="dxa"/>
            <w:vAlign w:val="bottom"/>
          </w:tcPr>
          <w:p>
            <w:pPr>
              <w:spacing w:after="0"/>
              <w:rPr>
                <w:sz w:val="1"/>
                <w:szCs w:val="1"/>
                <w:color w:val="auto"/>
              </w:rPr>
            </w:pPr>
          </w:p>
        </w:tc>
      </w:tr>
      <w:tr>
        <w:trPr>
          <w:trHeight w:val="279"/>
        </w:trPr>
        <w:tc>
          <w:tcPr>
            <w:tcW w:w="56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Total Liabilities</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217,657,674</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228,266,424</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237,865,610</w:t>
            </w:r>
          </w:p>
        </w:tc>
        <w:tc>
          <w:tcPr>
            <w:tcW w:w="780" w:type="dxa"/>
            <w:vAlign w:val="bottom"/>
          </w:tcPr>
          <w:p>
            <w:pPr>
              <w:jc w:val="center"/>
              <w:ind w:left="252"/>
              <w:spacing w:after="0"/>
              <w:rPr>
                <w:sz w:val="20"/>
                <w:szCs w:val="20"/>
                <w:color w:val="auto"/>
              </w:rPr>
            </w:pPr>
            <w:r>
              <w:rPr>
                <w:rFonts w:ascii="Times New Roman" w:cs="Times New Roman" w:eastAsia="Times New Roman" w:hAnsi="Times New Roman"/>
                <w:sz w:val="14"/>
                <w:szCs w:val="14"/>
                <w:b w:val="1"/>
                <w:bCs w:val="1"/>
                <w:color w:val="auto"/>
                <w:w w:val="95"/>
              </w:rPr>
              <w:t>4.2%</w:t>
            </w:r>
          </w:p>
        </w:tc>
        <w:tc>
          <w:tcPr>
            <w:tcW w:w="1460" w:type="dxa"/>
            <w:vAlign w:val="bottom"/>
            <w:tcBorders>
              <w:right w:val="single" w:sz="8" w:color="auto"/>
            </w:tcBorders>
          </w:tcPr>
          <w:p>
            <w:pPr>
              <w:jc w:val="center"/>
              <w:ind w:left="212"/>
              <w:spacing w:after="0"/>
              <w:rPr>
                <w:sz w:val="20"/>
                <w:szCs w:val="20"/>
                <w:color w:val="auto"/>
              </w:rPr>
            </w:pPr>
            <w:r>
              <w:rPr>
                <w:rFonts w:ascii="Times New Roman" w:cs="Times New Roman" w:eastAsia="Times New Roman" w:hAnsi="Times New Roman"/>
                <w:sz w:val="14"/>
                <w:szCs w:val="14"/>
                <w:b w:val="1"/>
                <w:bCs w:val="1"/>
                <w:color w:val="auto"/>
                <w:w w:val="95"/>
              </w:rPr>
              <w:t>9.3%</w:t>
            </w:r>
          </w:p>
        </w:tc>
        <w:tc>
          <w:tcPr>
            <w:tcW w:w="0" w:type="dxa"/>
            <w:vAlign w:val="bottom"/>
          </w:tcPr>
          <w:p>
            <w:pPr>
              <w:spacing w:after="0"/>
              <w:rPr>
                <w:sz w:val="1"/>
                <w:szCs w:val="1"/>
                <w:color w:val="auto"/>
              </w:rPr>
            </w:pPr>
          </w:p>
        </w:tc>
      </w:tr>
      <w:tr>
        <w:trPr>
          <w:trHeight w:val="384"/>
        </w:trPr>
        <w:tc>
          <w:tcPr>
            <w:tcW w:w="56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Net equity</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35,843,202</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38,366,950</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40,018,343</w:t>
            </w:r>
          </w:p>
        </w:tc>
        <w:tc>
          <w:tcPr>
            <w:tcW w:w="780" w:type="dxa"/>
            <w:vAlign w:val="bottom"/>
          </w:tcPr>
          <w:p>
            <w:pPr>
              <w:jc w:val="center"/>
              <w:ind w:left="252"/>
              <w:spacing w:after="0"/>
              <w:rPr>
                <w:sz w:val="20"/>
                <w:szCs w:val="20"/>
                <w:color w:val="auto"/>
              </w:rPr>
            </w:pPr>
            <w:r>
              <w:rPr>
                <w:rFonts w:ascii="Times New Roman" w:cs="Times New Roman" w:eastAsia="Times New Roman" w:hAnsi="Times New Roman"/>
                <w:sz w:val="14"/>
                <w:szCs w:val="14"/>
                <w:b w:val="1"/>
                <w:bCs w:val="1"/>
                <w:color w:val="auto"/>
                <w:w w:val="95"/>
              </w:rPr>
              <w:t>4.3%</w:t>
            </w:r>
          </w:p>
        </w:tc>
        <w:tc>
          <w:tcPr>
            <w:tcW w:w="1460" w:type="dxa"/>
            <w:vAlign w:val="bottom"/>
            <w:tcBorders>
              <w:right w:val="single" w:sz="8" w:color="auto"/>
            </w:tcBorders>
          </w:tcPr>
          <w:p>
            <w:pPr>
              <w:jc w:val="center"/>
              <w:ind w:left="232"/>
              <w:spacing w:after="0"/>
              <w:rPr>
                <w:sz w:val="20"/>
                <w:szCs w:val="20"/>
                <w:color w:val="auto"/>
              </w:rPr>
            </w:pPr>
            <w:r>
              <w:rPr>
                <w:rFonts w:ascii="Times New Roman" w:cs="Times New Roman" w:eastAsia="Times New Roman" w:hAnsi="Times New Roman"/>
                <w:sz w:val="14"/>
                <w:szCs w:val="14"/>
                <w:b w:val="1"/>
                <w:bCs w:val="1"/>
                <w:color w:val="auto"/>
                <w:w w:val="93"/>
              </w:rPr>
              <w:t>11.6%</w:t>
            </w:r>
          </w:p>
        </w:tc>
        <w:tc>
          <w:tcPr>
            <w:tcW w:w="0" w:type="dxa"/>
            <w:vAlign w:val="bottom"/>
          </w:tcPr>
          <w:p>
            <w:pPr>
              <w:spacing w:after="0"/>
              <w:rPr>
                <w:sz w:val="1"/>
                <w:szCs w:val="1"/>
                <w:color w:val="auto"/>
              </w:rPr>
            </w:pPr>
          </w:p>
        </w:tc>
      </w:tr>
      <w:tr>
        <w:trPr>
          <w:trHeight w:val="140"/>
        </w:trPr>
        <w:tc>
          <w:tcPr>
            <w:tcW w:w="5640" w:type="dxa"/>
            <w:vAlign w:val="bottom"/>
            <w:tcBorders>
              <w:left w:val="single" w:sz="8" w:color="auto"/>
              <w:right w:val="single" w:sz="8" w:color="auto"/>
            </w:tcBorders>
          </w:tcPr>
          <w:p>
            <w:pPr>
              <w:ind w:left="60"/>
              <w:spacing w:after="0" w:line="140" w:lineRule="exact"/>
              <w:rPr>
                <w:sz w:val="20"/>
                <w:szCs w:val="20"/>
                <w:color w:val="auto"/>
              </w:rPr>
            </w:pPr>
            <w:r>
              <w:rPr>
                <w:rFonts w:ascii="Times New Roman" w:cs="Times New Roman" w:eastAsia="Times New Roman" w:hAnsi="Times New Roman"/>
                <w:sz w:val="14"/>
                <w:szCs w:val="14"/>
                <w:color w:val="auto"/>
              </w:rPr>
              <w:t>Capital stock</w:t>
            </w:r>
          </w:p>
        </w:tc>
        <w:tc>
          <w:tcPr>
            <w:tcW w:w="11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1,318,993</w:t>
            </w:r>
          </w:p>
        </w:tc>
        <w:tc>
          <w:tcPr>
            <w:tcW w:w="11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1,318,993</w:t>
            </w:r>
          </w:p>
        </w:tc>
        <w:tc>
          <w:tcPr>
            <w:tcW w:w="114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1,318,993</w:t>
            </w:r>
          </w:p>
        </w:tc>
        <w:tc>
          <w:tcPr>
            <w:tcW w:w="780" w:type="dxa"/>
            <w:vAlign w:val="bottom"/>
          </w:tcPr>
          <w:p>
            <w:pPr>
              <w:jc w:val="center"/>
              <w:ind w:left="232"/>
              <w:spacing w:after="0" w:line="140" w:lineRule="exact"/>
              <w:rPr>
                <w:sz w:val="20"/>
                <w:szCs w:val="20"/>
                <w:color w:val="auto"/>
              </w:rPr>
            </w:pPr>
            <w:r>
              <w:rPr>
                <w:rFonts w:ascii="Times New Roman" w:cs="Times New Roman" w:eastAsia="Times New Roman" w:hAnsi="Times New Roman"/>
                <w:sz w:val="14"/>
                <w:szCs w:val="14"/>
                <w:color w:val="auto"/>
                <w:w w:val="95"/>
              </w:rPr>
              <w:t>0.0%</w:t>
            </w:r>
          </w:p>
        </w:tc>
        <w:tc>
          <w:tcPr>
            <w:tcW w:w="1460" w:type="dxa"/>
            <w:vAlign w:val="bottom"/>
            <w:tcBorders>
              <w:right w:val="single" w:sz="8" w:color="auto"/>
            </w:tcBorders>
          </w:tcPr>
          <w:p>
            <w:pPr>
              <w:jc w:val="center"/>
              <w:ind w:left="232"/>
              <w:spacing w:after="0" w:line="140" w:lineRule="exact"/>
              <w:rPr>
                <w:sz w:val="20"/>
                <w:szCs w:val="20"/>
                <w:color w:val="auto"/>
              </w:rPr>
            </w:pPr>
            <w:r>
              <w:rPr>
                <w:rFonts w:ascii="Times New Roman" w:cs="Times New Roman" w:eastAsia="Times New Roman" w:hAnsi="Times New Roman"/>
                <w:sz w:val="14"/>
                <w:szCs w:val="14"/>
                <w:color w:val="auto"/>
                <w:w w:val="95"/>
              </w:rPr>
              <w:t>0.0%</w:t>
            </w:r>
          </w:p>
        </w:tc>
        <w:tc>
          <w:tcPr>
            <w:tcW w:w="0" w:type="dxa"/>
            <w:vAlign w:val="bottom"/>
          </w:tcPr>
          <w:p>
            <w:pPr>
              <w:spacing w:after="0"/>
              <w:rPr>
                <w:sz w:val="1"/>
                <w:szCs w:val="1"/>
                <w:color w:val="auto"/>
              </w:rPr>
            </w:pPr>
          </w:p>
        </w:tc>
      </w:tr>
      <w:tr>
        <w:trPr>
          <w:trHeight w:val="140"/>
        </w:trPr>
        <w:tc>
          <w:tcPr>
            <w:tcW w:w="5640" w:type="dxa"/>
            <w:vAlign w:val="bottom"/>
            <w:tcBorders>
              <w:left w:val="single" w:sz="8" w:color="auto"/>
              <w:right w:val="single" w:sz="8" w:color="auto"/>
            </w:tcBorders>
          </w:tcPr>
          <w:p>
            <w:pPr>
              <w:ind w:left="60"/>
              <w:spacing w:after="0" w:line="140" w:lineRule="exact"/>
              <w:rPr>
                <w:sz w:val="20"/>
                <w:szCs w:val="20"/>
                <w:color w:val="auto"/>
              </w:rPr>
            </w:pPr>
            <w:r>
              <w:rPr>
                <w:rFonts w:ascii="Times New Roman" w:cs="Times New Roman" w:eastAsia="Times New Roman" w:hAnsi="Times New Roman"/>
                <w:sz w:val="14"/>
                <w:szCs w:val="14"/>
                <w:color w:val="auto"/>
              </w:rPr>
              <w:t>Treasury stock</w:t>
            </w:r>
          </w:p>
        </w:tc>
        <w:tc>
          <w:tcPr>
            <w:tcW w:w="11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4"/>
              </w:rPr>
              <w:t>(209,845)</w:t>
            </w:r>
          </w:p>
        </w:tc>
        <w:tc>
          <w:tcPr>
            <w:tcW w:w="11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4"/>
              </w:rPr>
              <w:t>(209,845)</w:t>
            </w:r>
          </w:p>
        </w:tc>
        <w:tc>
          <w:tcPr>
            <w:tcW w:w="114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4"/>
              </w:rPr>
              <w:t>(208,702)</w:t>
            </w:r>
          </w:p>
        </w:tc>
        <w:tc>
          <w:tcPr>
            <w:tcW w:w="780" w:type="dxa"/>
            <w:vAlign w:val="bottom"/>
          </w:tcPr>
          <w:p>
            <w:pPr>
              <w:jc w:val="center"/>
              <w:ind w:left="232"/>
              <w:spacing w:after="0" w:line="140" w:lineRule="exact"/>
              <w:rPr>
                <w:sz w:val="20"/>
                <w:szCs w:val="20"/>
                <w:color w:val="auto"/>
              </w:rPr>
            </w:pPr>
            <w:r>
              <w:rPr>
                <w:rFonts w:ascii="Times New Roman" w:cs="Times New Roman" w:eastAsia="Times New Roman" w:hAnsi="Times New Roman"/>
                <w:sz w:val="14"/>
                <w:szCs w:val="14"/>
                <w:color w:val="auto"/>
                <w:w w:val="94"/>
              </w:rPr>
              <w:t>-0.5%</w:t>
            </w:r>
          </w:p>
        </w:tc>
        <w:tc>
          <w:tcPr>
            <w:tcW w:w="1460" w:type="dxa"/>
            <w:vAlign w:val="bottom"/>
            <w:tcBorders>
              <w:right w:val="single" w:sz="8" w:color="auto"/>
            </w:tcBorders>
          </w:tcPr>
          <w:p>
            <w:pPr>
              <w:jc w:val="center"/>
              <w:ind w:left="232"/>
              <w:spacing w:after="0" w:line="140" w:lineRule="exact"/>
              <w:rPr>
                <w:sz w:val="20"/>
                <w:szCs w:val="20"/>
                <w:color w:val="auto"/>
              </w:rPr>
            </w:pPr>
            <w:r>
              <w:rPr>
                <w:rFonts w:ascii="Times New Roman" w:cs="Times New Roman" w:eastAsia="Times New Roman" w:hAnsi="Times New Roman"/>
                <w:sz w:val="14"/>
                <w:szCs w:val="14"/>
                <w:color w:val="auto"/>
                <w:w w:val="94"/>
              </w:rPr>
              <w:t>-0.5%</w:t>
            </w:r>
          </w:p>
        </w:tc>
        <w:tc>
          <w:tcPr>
            <w:tcW w:w="0" w:type="dxa"/>
            <w:vAlign w:val="bottom"/>
          </w:tcPr>
          <w:p>
            <w:pPr>
              <w:spacing w:after="0"/>
              <w:rPr>
                <w:sz w:val="1"/>
                <w:szCs w:val="1"/>
                <w:color w:val="auto"/>
              </w:rPr>
            </w:pPr>
          </w:p>
        </w:tc>
      </w:tr>
      <w:tr>
        <w:trPr>
          <w:trHeight w:val="140"/>
        </w:trPr>
        <w:tc>
          <w:tcPr>
            <w:tcW w:w="5640" w:type="dxa"/>
            <w:vAlign w:val="bottom"/>
            <w:tcBorders>
              <w:left w:val="single" w:sz="8" w:color="auto"/>
              <w:right w:val="single" w:sz="8" w:color="auto"/>
            </w:tcBorders>
          </w:tcPr>
          <w:p>
            <w:pPr>
              <w:ind w:left="60"/>
              <w:spacing w:after="0" w:line="140" w:lineRule="exact"/>
              <w:rPr>
                <w:sz w:val="20"/>
                <w:szCs w:val="20"/>
                <w:color w:val="auto"/>
              </w:rPr>
            </w:pPr>
            <w:r>
              <w:rPr>
                <w:rFonts w:ascii="Times New Roman" w:cs="Times New Roman" w:eastAsia="Times New Roman" w:hAnsi="Times New Roman"/>
                <w:sz w:val="14"/>
                <w:szCs w:val="14"/>
                <w:color w:val="auto"/>
              </w:rPr>
              <w:t>Capital surplus</w:t>
            </w:r>
          </w:p>
        </w:tc>
        <w:tc>
          <w:tcPr>
            <w:tcW w:w="11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124,149</w:t>
            </w:r>
          </w:p>
        </w:tc>
        <w:tc>
          <w:tcPr>
            <w:tcW w:w="11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148,729</w:t>
            </w:r>
          </w:p>
        </w:tc>
        <w:tc>
          <w:tcPr>
            <w:tcW w:w="114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112,194</w:t>
            </w:r>
          </w:p>
        </w:tc>
        <w:tc>
          <w:tcPr>
            <w:tcW w:w="780" w:type="dxa"/>
            <w:vAlign w:val="bottom"/>
          </w:tcPr>
          <w:p>
            <w:pPr>
              <w:jc w:val="center"/>
              <w:ind w:left="232"/>
              <w:spacing w:after="0" w:line="140" w:lineRule="exact"/>
              <w:rPr>
                <w:sz w:val="20"/>
                <w:szCs w:val="20"/>
                <w:color w:val="auto"/>
              </w:rPr>
            </w:pPr>
            <w:r>
              <w:rPr>
                <w:rFonts w:ascii="Times New Roman" w:cs="Times New Roman" w:eastAsia="Times New Roman" w:hAnsi="Times New Roman"/>
                <w:sz w:val="14"/>
                <w:szCs w:val="14"/>
                <w:color w:val="auto"/>
                <w:w w:val="97"/>
              </w:rPr>
              <w:t>-24.6%</w:t>
            </w:r>
          </w:p>
        </w:tc>
        <w:tc>
          <w:tcPr>
            <w:tcW w:w="1460" w:type="dxa"/>
            <w:vAlign w:val="bottom"/>
            <w:tcBorders>
              <w:right w:val="single" w:sz="8" w:color="auto"/>
            </w:tcBorders>
          </w:tcPr>
          <w:p>
            <w:pPr>
              <w:jc w:val="center"/>
              <w:ind w:left="232"/>
              <w:spacing w:after="0" w:line="140" w:lineRule="exact"/>
              <w:rPr>
                <w:sz w:val="20"/>
                <w:szCs w:val="20"/>
                <w:color w:val="auto"/>
              </w:rPr>
            </w:pPr>
            <w:r>
              <w:rPr>
                <w:rFonts w:ascii="Times New Roman" w:cs="Times New Roman" w:eastAsia="Times New Roman" w:hAnsi="Times New Roman"/>
                <w:sz w:val="14"/>
                <w:szCs w:val="14"/>
                <w:color w:val="auto"/>
                <w:w w:val="94"/>
              </w:rPr>
              <w:t>-9.6%</w:t>
            </w:r>
          </w:p>
        </w:tc>
        <w:tc>
          <w:tcPr>
            <w:tcW w:w="0" w:type="dxa"/>
            <w:vAlign w:val="bottom"/>
          </w:tcPr>
          <w:p>
            <w:pPr>
              <w:spacing w:after="0"/>
              <w:rPr>
                <w:sz w:val="1"/>
                <w:szCs w:val="1"/>
                <w:color w:val="auto"/>
              </w:rPr>
            </w:pPr>
          </w:p>
        </w:tc>
      </w:tr>
      <w:tr>
        <w:trPr>
          <w:trHeight w:val="140"/>
        </w:trPr>
        <w:tc>
          <w:tcPr>
            <w:tcW w:w="5640" w:type="dxa"/>
            <w:vAlign w:val="bottom"/>
            <w:tcBorders>
              <w:left w:val="single" w:sz="8" w:color="auto"/>
              <w:right w:val="single" w:sz="8" w:color="auto"/>
            </w:tcBorders>
          </w:tcPr>
          <w:p>
            <w:pPr>
              <w:ind w:left="60"/>
              <w:spacing w:after="0" w:line="140" w:lineRule="exact"/>
              <w:rPr>
                <w:sz w:val="20"/>
                <w:szCs w:val="20"/>
                <w:color w:val="auto"/>
              </w:rPr>
            </w:pPr>
            <w:r>
              <w:rPr>
                <w:rFonts w:ascii="Times New Roman" w:cs="Times New Roman" w:eastAsia="Times New Roman" w:hAnsi="Times New Roman"/>
                <w:sz w:val="14"/>
                <w:szCs w:val="14"/>
                <w:color w:val="auto"/>
              </w:rPr>
              <w:t>Reserves</w:t>
            </w:r>
          </w:p>
        </w:tc>
        <w:tc>
          <w:tcPr>
            <w:tcW w:w="11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5"/>
              </w:rPr>
              <w:t>32,792,830</w:t>
            </w:r>
          </w:p>
        </w:tc>
        <w:tc>
          <w:tcPr>
            <w:tcW w:w="11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5"/>
              </w:rPr>
              <w:t>29,648,582</w:t>
            </w:r>
          </w:p>
        </w:tc>
        <w:tc>
          <w:tcPr>
            <w:tcW w:w="114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5"/>
              </w:rPr>
              <w:t>36,483,716</w:t>
            </w:r>
          </w:p>
        </w:tc>
        <w:tc>
          <w:tcPr>
            <w:tcW w:w="780" w:type="dxa"/>
            <w:vAlign w:val="bottom"/>
          </w:tcPr>
          <w:p>
            <w:pPr>
              <w:jc w:val="center"/>
              <w:ind w:left="252"/>
              <w:spacing w:after="0" w:line="140" w:lineRule="exact"/>
              <w:rPr>
                <w:sz w:val="20"/>
                <w:szCs w:val="20"/>
                <w:color w:val="auto"/>
              </w:rPr>
            </w:pPr>
            <w:r>
              <w:rPr>
                <w:rFonts w:ascii="Times New Roman" w:cs="Times New Roman" w:eastAsia="Times New Roman" w:hAnsi="Times New Roman"/>
                <w:sz w:val="14"/>
                <w:szCs w:val="14"/>
                <w:color w:val="auto"/>
                <w:w w:val="93"/>
              </w:rPr>
              <w:t>23.1%</w:t>
            </w:r>
          </w:p>
        </w:tc>
        <w:tc>
          <w:tcPr>
            <w:tcW w:w="1460" w:type="dxa"/>
            <w:vAlign w:val="bottom"/>
            <w:tcBorders>
              <w:right w:val="single" w:sz="8" w:color="auto"/>
            </w:tcBorders>
          </w:tcPr>
          <w:p>
            <w:pPr>
              <w:jc w:val="center"/>
              <w:ind w:left="212"/>
              <w:spacing w:after="0" w:line="140" w:lineRule="exact"/>
              <w:rPr>
                <w:sz w:val="20"/>
                <w:szCs w:val="20"/>
                <w:color w:val="auto"/>
              </w:rPr>
            </w:pPr>
            <w:r>
              <w:rPr>
                <w:rFonts w:ascii="Times New Roman" w:cs="Times New Roman" w:eastAsia="Times New Roman" w:hAnsi="Times New Roman"/>
                <w:sz w:val="14"/>
                <w:szCs w:val="14"/>
                <w:color w:val="auto"/>
                <w:w w:val="93"/>
              </w:rPr>
              <w:t>11.3%</w:t>
            </w:r>
          </w:p>
        </w:tc>
        <w:tc>
          <w:tcPr>
            <w:tcW w:w="0" w:type="dxa"/>
            <w:vAlign w:val="bottom"/>
          </w:tcPr>
          <w:p>
            <w:pPr>
              <w:spacing w:after="0"/>
              <w:rPr>
                <w:sz w:val="1"/>
                <w:szCs w:val="1"/>
                <w:color w:val="auto"/>
              </w:rPr>
            </w:pPr>
          </w:p>
        </w:tc>
      </w:tr>
      <w:tr>
        <w:trPr>
          <w:trHeight w:val="140"/>
        </w:trPr>
        <w:tc>
          <w:tcPr>
            <w:tcW w:w="5640" w:type="dxa"/>
            <w:vAlign w:val="bottom"/>
            <w:tcBorders>
              <w:left w:val="single" w:sz="8" w:color="auto"/>
              <w:right w:val="single" w:sz="8" w:color="auto"/>
            </w:tcBorders>
          </w:tcPr>
          <w:p>
            <w:pPr>
              <w:ind w:left="60"/>
              <w:spacing w:after="0" w:line="140" w:lineRule="exact"/>
              <w:rPr>
                <w:sz w:val="20"/>
                <w:szCs w:val="20"/>
                <w:color w:val="auto"/>
              </w:rPr>
            </w:pPr>
            <w:r>
              <w:rPr>
                <w:rFonts w:ascii="Times New Roman" w:cs="Times New Roman" w:eastAsia="Times New Roman" w:hAnsi="Times New Roman"/>
                <w:sz w:val="14"/>
                <w:szCs w:val="14"/>
                <w:color w:val="auto"/>
              </w:rPr>
              <w:t>Other reserves</w:t>
            </w:r>
          </w:p>
        </w:tc>
        <w:tc>
          <w:tcPr>
            <w:tcW w:w="11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8"/>
              </w:rPr>
              <w:t>33,460</w:t>
            </w:r>
          </w:p>
        </w:tc>
        <w:tc>
          <w:tcPr>
            <w:tcW w:w="11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544,767</w:t>
            </w:r>
          </w:p>
        </w:tc>
        <w:tc>
          <w:tcPr>
            <w:tcW w:w="114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207,887</w:t>
            </w:r>
          </w:p>
        </w:tc>
        <w:tc>
          <w:tcPr>
            <w:tcW w:w="780" w:type="dxa"/>
            <w:vAlign w:val="bottom"/>
          </w:tcPr>
          <w:p>
            <w:pPr>
              <w:jc w:val="center"/>
              <w:ind w:left="232"/>
              <w:spacing w:after="0" w:line="140" w:lineRule="exact"/>
              <w:rPr>
                <w:sz w:val="20"/>
                <w:szCs w:val="20"/>
                <w:color w:val="auto"/>
              </w:rPr>
            </w:pPr>
            <w:r>
              <w:rPr>
                <w:rFonts w:ascii="Times New Roman" w:cs="Times New Roman" w:eastAsia="Times New Roman" w:hAnsi="Times New Roman"/>
                <w:sz w:val="14"/>
                <w:szCs w:val="14"/>
                <w:color w:val="auto"/>
                <w:w w:val="97"/>
              </w:rPr>
              <w:t>-61.8%</w:t>
            </w:r>
          </w:p>
        </w:tc>
        <w:tc>
          <w:tcPr>
            <w:tcW w:w="1460" w:type="dxa"/>
            <w:vAlign w:val="bottom"/>
            <w:tcBorders>
              <w:right w:val="single" w:sz="8" w:color="auto"/>
            </w:tcBorders>
          </w:tcPr>
          <w:p>
            <w:pPr>
              <w:jc w:val="center"/>
              <w:ind w:left="212"/>
              <w:spacing w:after="0" w:line="140" w:lineRule="exact"/>
              <w:rPr>
                <w:sz w:val="20"/>
                <w:szCs w:val="20"/>
                <w:color w:val="auto"/>
              </w:rPr>
            </w:pPr>
            <w:r>
              <w:rPr>
                <w:rFonts w:ascii="Times New Roman" w:cs="Times New Roman" w:eastAsia="Times New Roman" w:hAnsi="Times New Roman"/>
                <w:sz w:val="14"/>
                <w:szCs w:val="14"/>
                <w:color w:val="auto"/>
                <w:w w:val="97"/>
              </w:rPr>
              <w:t>521.3%</w:t>
            </w:r>
          </w:p>
        </w:tc>
        <w:tc>
          <w:tcPr>
            <w:tcW w:w="0" w:type="dxa"/>
            <w:vAlign w:val="bottom"/>
          </w:tcPr>
          <w:p>
            <w:pPr>
              <w:spacing w:after="0"/>
              <w:rPr>
                <w:sz w:val="1"/>
                <w:szCs w:val="1"/>
                <w:color w:val="auto"/>
              </w:rPr>
            </w:pPr>
          </w:p>
        </w:tc>
      </w:tr>
      <w:tr>
        <w:trPr>
          <w:trHeight w:val="175"/>
        </w:trPr>
        <w:tc>
          <w:tcPr>
            <w:tcW w:w="56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Retained earnings</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1,783,615</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6,915,724</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2,104,255</w:t>
            </w:r>
          </w:p>
        </w:tc>
        <w:tc>
          <w:tcPr>
            <w:tcW w:w="780" w:type="dxa"/>
            <w:vAlign w:val="bottom"/>
          </w:tcPr>
          <w:p>
            <w:pPr>
              <w:jc w:val="center"/>
              <w:ind w:left="232"/>
              <w:spacing w:after="0"/>
              <w:rPr>
                <w:sz w:val="20"/>
                <w:szCs w:val="20"/>
                <w:color w:val="auto"/>
              </w:rPr>
            </w:pPr>
            <w:r>
              <w:rPr>
                <w:rFonts w:ascii="Times New Roman" w:cs="Times New Roman" w:eastAsia="Times New Roman" w:hAnsi="Times New Roman"/>
                <w:sz w:val="14"/>
                <w:szCs w:val="14"/>
                <w:color w:val="auto"/>
                <w:w w:val="97"/>
              </w:rPr>
              <w:t>-69.6%</w:t>
            </w:r>
          </w:p>
        </w:tc>
        <w:tc>
          <w:tcPr>
            <w:tcW w:w="1460" w:type="dxa"/>
            <w:vAlign w:val="bottom"/>
            <w:tcBorders>
              <w:right w:val="single" w:sz="8" w:color="auto"/>
            </w:tcBorders>
          </w:tcPr>
          <w:p>
            <w:pPr>
              <w:jc w:val="center"/>
              <w:ind w:left="232"/>
              <w:spacing w:after="0"/>
              <w:rPr>
                <w:sz w:val="20"/>
                <w:szCs w:val="20"/>
                <w:color w:val="auto"/>
              </w:rPr>
            </w:pPr>
            <w:r>
              <w:rPr>
                <w:rFonts w:ascii="Times New Roman" w:cs="Times New Roman" w:eastAsia="Times New Roman" w:hAnsi="Times New Roman"/>
                <w:sz w:val="14"/>
                <w:szCs w:val="14"/>
                <w:color w:val="auto"/>
                <w:w w:val="99"/>
              </w:rPr>
              <w:t>18.0%</w:t>
            </w:r>
          </w:p>
        </w:tc>
        <w:tc>
          <w:tcPr>
            <w:tcW w:w="0" w:type="dxa"/>
            <w:vAlign w:val="bottom"/>
          </w:tcPr>
          <w:p>
            <w:pPr>
              <w:spacing w:after="0"/>
              <w:rPr>
                <w:sz w:val="1"/>
                <w:szCs w:val="1"/>
                <w:color w:val="auto"/>
              </w:rPr>
            </w:pPr>
          </w:p>
        </w:tc>
      </w:tr>
      <w:tr>
        <w:trPr>
          <w:trHeight w:val="279"/>
        </w:trPr>
        <w:tc>
          <w:tcPr>
            <w:tcW w:w="56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Non-controlling interest</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571,698</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729,159</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629,693</w:t>
            </w:r>
          </w:p>
        </w:tc>
        <w:tc>
          <w:tcPr>
            <w:tcW w:w="780" w:type="dxa"/>
            <w:vAlign w:val="bottom"/>
          </w:tcPr>
          <w:p>
            <w:pPr>
              <w:jc w:val="center"/>
              <w:ind w:left="232"/>
              <w:spacing w:after="0"/>
              <w:rPr>
                <w:sz w:val="20"/>
                <w:szCs w:val="20"/>
                <w:color w:val="auto"/>
              </w:rPr>
            </w:pPr>
            <w:r>
              <w:rPr>
                <w:rFonts w:ascii="Times New Roman" w:cs="Times New Roman" w:eastAsia="Times New Roman" w:hAnsi="Times New Roman"/>
                <w:sz w:val="14"/>
                <w:szCs w:val="14"/>
                <w:color w:val="auto"/>
                <w:w w:val="97"/>
              </w:rPr>
              <w:t>-13.6%</w:t>
            </w:r>
          </w:p>
        </w:tc>
        <w:tc>
          <w:tcPr>
            <w:tcW w:w="1460" w:type="dxa"/>
            <w:vAlign w:val="bottom"/>
            <w:tcBorders>
              <w:right w:val="single" w:sz="8" w:color="auto"/>
            </w:tcBorders>
          </w:tcPr>
          <w:p>
            <w:pPr>
              <w:jc w:val="center"/>
              <w:ind w:left="232"/>
              <w:spacing w:after="0"/>
              <w:rPr>
                <w:sz w:val="20"/>
                <w:szCs w:val="20"/>
                <w:color w:val="auto"/>
              </w:rPr>
            </w:pPr>
            <w:r>
              <w:rPr>
                <w:rFonts w:ascii="Times New Roman" w:cs="Times New Roman" w:eastAsia="Times New Roman" w:hAnsi="Times New Roman"/>
                <w:sz w:val="14"/>
                <w:szCs w:val="14"/>
                <w:color w:val="auto"/>
                <w:w w:val="99"/>
              </w:rPr>
              <w:t>10.1%</w:t>
            </w:r>
          </w:p>
        </w:tc>
        <w:tc>
          <w:tcPr>
            <w:tcW w:w="0" w:type="dxa"/>
            <w:vAlign w:val="bottom"/>
          </w:tcPr>
          <w:p>
            <w:pPr>
              <w:spacing w:after="0"/>
              <w:rPr>
                <w:sz w:val="1"/>
                <w:szCs w:val="1"/>
                <w:color w:val="auto"/>
              </w:rPr>
            </w:pPr>
          </w:p>
        </w:tc>
      </w:tr>
      <w:tr>
        <w:trPr>
          <w:trHeight w:val="279"/>
        </w:trPr>
        <w:tc>
          <w:tcPr>
            <w:tcW w:w="56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Total Net Equity</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36,414,900</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39,096,109</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40,648,036</w:t>
            </w:r>
          </w:p>
        </w:tc>
        <w:tc>
          <w:tcPr>
            <w:tcW w:w="780" w:type="dxa"/>
            <w:vAlign w:val="bottom"/>
          </w:tcPr>
          <w:p>
            <w:pPr>
              <w:jc w:val="center"/>
              <w:ind w:left="252"/>
              <w:spacing w:after="0"/>
              <w:rPr>
                <w:sz w:val="20"/>
                <w:szCs w:val="20"/>
                <w:color w:val="auto"/>
              </w:rPr>
            </w:pPr>
            <w:r>
              <w:rPr>
                <w:rFonts w:ascii="Times New Roman" w:cs="Times New Roman" w:eastAsia="Times New Roman" w:hAnsi="Times New Roman"/>
                <w:sz w:val="14"/>
                <w:szCs w:val="14"/>
                <w:b w:val="1"/>
                <w:bCs w:val="1"/>
                <w:color w:val="auto"/>
                <w:w w:val="95"/>
              </w:rPr>
              <w:t>4.0%</w:t>
            </w:r>
          </w:p>
        </w:tc>
        <w:tc>
          <w:tcPr>
            <w:tcW w:w="1460" w:type="dxa"/>
            <w:vAlign w:val="bottom"/>
            <w:tcBorders>
              <w:right w:val="single" w:sz="8" w:color="auto"/>
            </w:tcBorders>
          </w:tcPr>
          <w:p>
            <w:pPr>
              <w:jc w:val="center"/>
              <w:ind w:left="232"/>
              <w:spacing w:after="0"/>
              <w:rPr>
                <w:sz w:val="20"/>
                <w:szCs w:val="20"/>
                <w:color w:val="auto"/>
              </w:rPr>
            </w:pPr>
            <w:r>
              <w:rPr>
                <w:rFonts w:ascii="Times New Roman" w:cs="Times New Roman" w:eastAsia="Times New Roman" w:hAnsi="Times New Roman"/>
                <w:sz w:val="14"/>
                <w:szCs w:val="14"/>
                <w:b w:val="1"/>
                <w:bCs w:val="1"/>
                <w:color w:val="auto"/>
                <w:w w:val="93"/>
              </w:rPr>
              <w:t>11.6%</w:t>
            </w:r>
          </w:p>
        </w:tc>
        <w:tc>
          <w:tcPr>
            <w:tcW w:w="0" w:type="dxa"/>
            <w:vAlign w:val="bottom"/>
          </w:tcPr>
          <w:p>
            <w:pPr>
              <w:spacing w:after="0"/>
              <w:rPr>
                <w:sz w:val="1"/>
                <w:szCs w:val="1"/>
                <w:color w:val="auto"/>
              </w:rPr>
            </w:pPr>
          </w:p>
        </w:tc>
      </w:tr>
      <w:tr>
        <w:trPr>
          <w:trHeight w:val="279"/>
        </w:trPr>
        <w:tc>
          <w:tcPr>
            <w:tcW w:w="56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Total liabilities and equity</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254,072,574</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267,362,533</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278,513,646</w:t>
            </w:r>
          </w:p>
        </w:tc>
        <w:tc>
          <w:tcPr>
            <w:tcW w:w="780" w:type="dxa"/>
            <w:vAlign w:val="bottom"/>
          </w:tcPr>
          <w:p>
            <w:pPr>
              <w:jc w:val="center"/>
              <w:ind w:left="252"/>
              <w:spacing w:after="0"/>
              <w:rPr>
                <w:sz w:val="20"/>
                <w:szCs w:val="20"/>
                <w:color w:val="auto"/>
              </w:rPr>
            </w:pPr>
            <w:r>
              <w:rPr>
                <w:rFonts w:ascii="Times New Roman" w:cs="Times New Roman" w:eastAsia="Times New Roman" w:hAnsi="Times New Roman"/>
                <w:sz w:val="14"/>
                <w:szCs w:val="14"/>
                <w:b w:val="1"/>
                <w:bCs w:val="1"/>
                <w:color w:val="auto"/>
                <w:w w:val="95"/>
              </w:rPr>
              <w:t>4.2%</w:t>
            </w:r>
          </w:p>
        </w:tc>
        <w:tc>
          <w:tcPr>
            <w:tcW w:w="1460" w:type="dxa"/>
            <w:vAlign w:val="bottom"/>
            <w:tcBorders>
              <w:right w:val="single" w:sz="8" w:color="auto"/>
            </w:tcBorders>
          </w:tcPr>
          <w:p>
            <w:pPr>
              <w:jc w:val="center"/>
              <w:ind w:left="212"/>
              <w:spacing w:after="0"/>
              <w:rPr>
                <w:sz w:val="20"/>
                <w:szCs w:val="20"/>
                <w:color w:val="auto"/>
              </w:rPr>
            </w:pPr>
            <w:r>
              <w:rPr>
                <w:rFonts w:ascii="Times New Roman" w:cs="Times New Roman" w:eastAsia="Times New Roman" w:hAnsi="Times New Roman"/>
                <w:sz w:val="14"/>
                <w:szCs w:val="14"/>
                <w:b w:val="1"/>
                <w:bCs w:val="1"/>
                <w:color w:val="auto"/>
                <w:w w:val="95"/>
              </w:rPr>
              <w:t>9.6%</w:t>
            </w:r>
          </w:p>
        </w:tc>
        <w:tc>
          <w:tcPr>
            <w:tcW w:w="0" w:type="dxa"/>
            <w:vAlign w:val="bottom"/>
          </w:tcPr>
          <w:p>
            <w:pPr>
              <w:spacing w:after="0"/>
              <w:rPr>
                <w:sz w:val="1"/>
                <w:szCs w:val="1"/>
                <w:color w:val="auto"/>
              </w:rPr>
            </w:pPr>
          </w:p>
        </w:tc>
      </w:tr>
      <w:tr>
        <w:trPr>
          <w:trHeight w:val="244"/>
        </w:trPr>
        <w:tc>
          <w:tcPr>
            <w:tcW w:w="56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Off-balance sheet</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144,439,635</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142,310,181</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156,490,608</w:t>
            </w:r>
          </w:p>
        </w:tc>
        <w:tc>
          <w:tcPr>
            <w:tcW w:w="780" w:type="dxa"/>
            <w:vAlign w:val="bottom"/>
          </w:tcPr>
          <w:p>
            <w:pPr>
              <w:jc w:val="center"/>
              <w:ind w:left="252"/>
              <w:spacing w:after="0"/>
              <w:rPr>
                <w:sz w:val="20"/>
                <w:szCs w:val="20"/>
                <w:color w:val="auto"/>
              </w:rPr>
            </w:pPr>
            <w:r>
              <w:rPr>
                <w:rFonts w:ascii="Times New Roman" w:cs="Times New Roman" w:eastAsia="Times New Roman" w:hAnsi="Times New Roman"/>
                <w:sz w:val="14"/>
                <w:szCs w:val="14"/>
                <w:b w:val="1"/>
                <w:bCs w:val="1"/>
                <w:color w:val="auto"/>
                <w:w w:val="98"/>
              </w:rPr>
              <w:t>10.0%</w:t>
            </w:r>
          </w:p>
        </w:tc>
        <w:tc>
          <w:tcPr>
            <w:tcW w:w="1460" w:type="dxa"/>
            <w:vAlign w:val="bottom"/>
            <w:tcBorders>
              <w:right w:val="single" w:sz="8" w:color="auto"/>
            </w:tcBorders>
          </w:tcPr>
          <w:p>
            <w:pPr>
              <w:jc w:val="center"/>
              <w:ind w:left="212"/>
              <w:spacing w:after="0"/>
              <w:rPr>
                <w:sz w:val="20"/>
                <w:szCs w:val="20"/>
                <w:color w:val="auto"/>
              </w:rPr>
            </w:pPr>
            <w:r>
              <w:rPr>
                <w:rFonts w:ascii="Times New Roman" w:cs="Times New Roman" w:eastAsia="Times New Roman" w:hAnsi="Times New Roman"/>
                <w:sz w:val="14"/>
                <w:szCs w:val="14"/>
                <w:b w:val="1"/>
                <w:bCs w:val="1"/>
                <w:color w:val="auto"/>
                <w:w w:val="95"/>
              </w:rPr>
              <w:t>8.3%</w:t>
            </w:r>
          </w:p>
        </w:tc>
        <w:tc>
          <w:tcPr>
            <w:tcW w:w="0" w:type="dxa"/>
            <w:vAlign w:val="bottom"/>
          </w:tcPr>
          <w:p>
            <w:pPr>
              <w:spacing w:after="0"/>
              <w:rPr>
                <w:sz w:val="1"/>
                <w:szCs w:val="1"/>
                <w:color w:val="auto"/>
              </w:rPr>
            </w:pPr>
          </w:p>
        </w:tc>
      </w:tr>
      <w:tr>
        <w:trPr>
          <w:trHeight w:val="140"/>
        </w:trPr>
        <w:tc>
          <w:tcPr>
            <w:tcW w:w="5640" w:type="dxa"/>
            <w:vAlign w:val="bottom"/>
            <w:tcBorders>
              <w:left w:val="single" w:sz="8" w:color="auto"/>
              <w:right w:val="single" w:sz="8" w:color="auto"/>
            </w:tcBorders>
          </w:tcPr>
          <w:p>
            <w:pPr>
              <w:ind w:left="60"/>
              <w:spacing w:after="0" w:line="140" w:lineRule="exact"/>
              <w:rPr>
                <w:sz w:val="20"/>
                <w:szCs w:val="20"/>
                <w:color w:val="auto"/>
              </w:rPr>
            </w:pPr>
            <w:r>
              <w:rPr>
                <w:rFonts w:ascii="Times New Roman" w:cs="Times New Roman" w:eastAsia="Times New Roman" w:hAnsi="Times New Roman"/>
                <w:sz w:val="14"/>
                <w:szCs w:val="14"/>
                <w:color w:val="auto"/>
              </w:rPr>
              <w:t>Total performance bonds, stand-by and L/Cs.</w:t>
            </w:r>
          </w:p>
        </w:tc>
        <w:tc>
          <w:tcPr>
            <w:tcW w:w="11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5"/>
              </w:rPr>
              <w:t>20,843,657</w:t>
            </w:r>
          </w:p>
        </w:tc>
        <w:tc>
          <w:tcPr>
            <w:tcW w:w="11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5"/>
              </w:rPr>
              <w:t>21,267,157</w:t>
            </w:r>
          </w:p>
        </w:tc>
        <w:tc>
          <w:tcPr>
            <w:tcW w:w="114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5"/>
              </w:rPr>
              <w:t>21,640,536</w:t>
            </w:r>
          </w:p>
        </w:tc>
        <w:tc>
          <w:tcPr>
            <w:tcW w:w="780" w:type="dxa"/>
            <w:vAlign w:val="bottom"/>
          </w:tcPr>
          <w:p>
            <w:pPr>
              <w:jc w:val="center"/>
              <w:ind w:left="232"/>
              <w:spacing w:after="0" w:line="140" w:lineRule="exact"/>
              <w:rPr>
                <w:sz w:val="20"/>
                <w:szCs w:val="20"/>
                <w:color w:val="auto"/>
              </w:rPr>
            </w:pPr>
            <w:r>
              <w:rPr>
                <w:rFonts w:ascii="Times New Roman" w:cs="Times New Roman" w:eastAsia="Times New Roman" w:hAnsi="Times New Roman"/>
                <w:sz w:val="14"/>
                <w:szCs w:val="14"/>
                <w:color w:val="auto"/>
                <w:w w:val="95"/>
              </w:rPr>
              <w:t>1.8%</w:t>
            </w:r>
          </w:p>
        </w:tc>
        <w:tc>
          <w:tcPr>
            <w:tcW w:w="1460" w:type="dxa"/>
            <w:vAlign w:val="bottom"/>
            <w:tcBorders>
              <w:right w:val="single" w:sz="8" w:color="auto"/>
            </w:tcBorders>
          </w:tcPr>
          <w:p>
            <w:pPr>
              <w:jc w:val="center"/>
              <w:ind w:left="232"/>
              <w:spacing w:after="0" w:line="140" w:lineRule="exact"/>
              <w:rPr>
                <w:sz w:val="20"/>
                <w:szCs w:val="20"/>
                <w:color w:val="auto"/>
              </w:rPr>
            </w:pPr>
            <w:r>
              <w:rPr>
                <w:rFonts w:ascii="Times New Roman" w:cs="Times New Roman" w:eastAsia="Times New Roman" w:hAnsi="Times New Roman"/>
                <w:sz w:val="14"/>
                <w:szCs w:val="14"/>
                <w:color w:val="auto"/>
                <w:w w:val="95"/>
              </w:rPr>
              <w:t>3.8%</w:t>
            </w:r>
          </w:p>
        </w:tc>
        <w:tc>
          <w:tcPr>
            <w:tcW w:w="0" w:type="dxa"/>
            <w:vAlign w:val="bottom"/>
          </w:tcPr>
          <w:p>
            <w:pPr>
              <w:spacing w:after="0"/>
              <w:rPr>
                <w:sz w:val="1"/>
                <w:szCs w:val="1"/>
                <w:color w:val="auto"/>
              </w:rPr>
            </w:pPr>
          </w:p>
        </w:tc>
      </w:tr>
      <w:tr>
        <w:trPr>
          <w:trHeight w:val="140"/>
        </w:trPr>
        <w:tc>
          <w:tcPr>
            <w:tcW w:w="5640" w:type="dxa"/>
            <w:vAlign w:val="bottom"/>
            <w:tcBorders>
              <w:left w:val="single" w:sz="8" w:color="auto"/>
              <w:right w:val="single" w:sz="8" w:color="auto"/>
            </w:tcBorders>
          </w:tcPr>
          <w:p>
            <w:pPr>
              <w:ind w:left="60"/>
              <w:spacing w:after="0" w:line="140" w:lineRule="exact"/>
              <w:rPr>
                <w:sz w:val="20"/>
                <w:szCs w:val="20"/>
                <w:color w:val="auto"/>
              </w:rPr>
            </w:pPr>
            <w:r>
              <w:rPr>
                <w:rFonts w:ascii="Times New Roman" w:cs="Times New Roman" w:eastAsia="Times New Roman" w:hAnsi="Times New Roman"/>
                <w:sz w:val="14"/>
                <w:szCs w:val="14"/>
                <w:color w:val="auto"/>
              </w:rPr>
              <w:t>Undrawn credit lines, advised but not committed</w:t>
            </w:r>
          </w:p>
        </w:tc>
        <w:tc>
          <w:tcPr>
            <w:tcW w:w="11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5"/>
              </w:rPr>
              <w:t>79,021,358</w:t>
            </w:r>
          </w:p>
        </w:tc>
        <w:tc>
          <w:tcPr>
            <w:tcW w:w="11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5"/>
              </w:rPr>
              <w:t>80,250,985</w:t>
            </w:r>
          </w:p>
        </w:tc>
        <w:tc>
          <w:tcPr>
            <w:tcW w:w="114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5"/>
              </w:rPr>
              <w:t>86,229,700</w:t>
            </w:r>
          </w:p>
        </w:tc>
        <w:tc>
          <w:tcPr>
            <w:tcW w:w="780" w:type="dxa"/>
            <w:vAlign w:val="bottom"/>
          </w:tcPr>
          <w:p>
            <w:pPr>
              <w:jc w:val="center"/>
              <w:ind w:left="232"/>
              <w:spacing w:after="0" w:line="140" w:lineRule="exact"/>
              <w:rPr>
                <w:sz w:val="20"/>
                <w:szCs w:val="20"/>
                <w:color w:val="auto"/>
              </w:rPr>
            </w:pPr>
            <w:r>
              <w:rPr>
                <w:rFonts w:ascii="Times New Roman" w:cs="Times New Roman" w:eastAsia="Times New Roman" w:hAnsi="Times New Roman"/>
                <w:sz w:val="14"/>
                <w:szCs w:val="14"/>
                <w:color w:val="auto"/>
                <w:w w:val="95"/>
              </w:rPr>
              <w:t>7.5%</w:t>
            </w:r>
          </w:p>
        </w:tc>
        <w:tc>
          <w:tcPr>
            <w:tcW w:w="1460" w:type="dxa"/>
            <w:vAlign w:val="bottom"/>
            <w:tcBorders>
              <w:right w:val="single" w:sz="8" w:color="auto"/>
            </w:tcBorders>
          </w:tcPr>
          <w:p>
            <w:pPr>
              <w:jc w:val="center"/>
              <w:ind w:left="232"/>
              <w:spacing w:after="0" w:line="140" w:lineRule="exact"/>
              <w:rPr>
                <w:sz w:val="20"/>
                <w:szCs w:val="20"/>
                <w:color w:val="auto"/>
              </w:rPr>
            </w:pPr>
            <w:r>
              <w:rPr>
                <w:rFonts w:ascii="Times New Roman" w:cs="Times New Roman" w:eastAsia="Times New Roman" w:hAnsi="Times New Roman"/>
                <w:sz w:val="14"/>
                <w:szCs w:val="14"/>
                <w:color w:val="auto"/>
                <w:w w:val="95"/>
              </w:rPr>
              <w:t>9.1%</w:t>
            </w:r>
          </w:p>
        </w:tc>
        <w:tc>
          <w:tcPr>
            <w:tcW w:w="0" w:type="dxa"/>
            <w:vAlign w:val="bottom"/>
          </w:tcPr>
          <w:p>
            <w:pPr>
              <w:spacing w:after="0"/>
              <w:rPr>
                <w:sz w:val="1"/>
                <w:szCs w:val="1"/>
                <w:color w:val="auto"/>
              </w:rPr>
            </w:pPr>
          </w:p>
        </w:tc>
      </w:tr>
      <w:tr>
        <w:trPr>
          <w:trHeight w:val="160"/>
        </w:trPr>
        <w:tc>
          <w:tcPr>
            <w:tcW w:w="5640" w:type="dxa"/>
            <w:vAlign w:val="bottom"/>
            <w:tcBorders>
              <w:left w:val="single" w:sz="8" w:color="auto"/>
              <w:bottom w:val="single" w:sz="8" w:color="auto"/>
              <w:right w:val="single" w:sz="8" w:color="auto"/>
            </w:tcBorders>
          </w:tcPr>
          <w:p>
            <w:pPr>
              <w:ind w:left="60"/>
              <w:spacing w:after="0" w:line="160" w:lineRule="exact"/>
              <w:rPr>
                <w:sz w:val="20"/>
                <w:szCs w:val="20"/>
                <w:color w:val="auto"/>
              </w:rPr>
            </w:pPr>
            <w:r>
              <w:rPr>
                <w:rFonts w:ascii="Times New Roman" w:cs="Times New Roman" w:eastAsia="Times New Roman" w:hAnsi="Times New Roman"/>
                <w:sz w:val="14"/>
                <w:szCs w:val="14"/>
                <w:color w:val="auto"/>
              </w:rPr>
              <w:t>Total derivatives (notional) and others</w:t>
            </w:r>
          </w:p>
        </w:tc>
        <w:tc>
          <w:tcPr>
            <w:tcW w:w="112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w w:val="95"/>
              </w:rPr>
              <w:t>44,574,620</w:t>
            </w:r>
          </w:p>
        </w:tc>
        <w:tc>
          <w:tcPr>
            <w:tcW w:w="112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w w:val="95"/>
              </w:rPr>
              <w:t>40,792,039</w:t>
            </w:r>
          </w:p>
        </w:tc>
        <w:tc>
          <w:tcPr>
            <w:tcW w:w="1140" w:type="dxa"/>
            <w:vAlign w:val="bottom"/>
            <w:tcBorders>
              <w:bottom w:val="single" w:sz="8" w:color="auto"/>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w w:val="95"/>
              </w:rPr>
              <w:t>48,620,372</w:t>
            </w:r>
          </w:p>
        </w:tc>
        <w:tc>
          <w:tcPr>
            <w:tcW w:w="780" w:type="dxa"/>
            <w:vAlign w:val="bottom"/>
            <w:tcBorders>
              <w:bottom w:val="single" w:sz="8" w:color="auto"/>
            </w:tcBorders>
          </w:tcPr>
          <w:p>
            <w:pPr>
              <w:jc w:val="center"/>
              <w:ind w:left="252"/>
              <w:spacing w:after="0" w:line="160" w:lineRule="exact"/>
              <w:rPr>
                <w:sz w:val="20"/>
                <w:szCs w:val="20"/>
                <w:color w:val="auto"/>
              </w:rPr>
            </w:pPr>
            <w:r>
              <w:rPr>
                <w:rFonts w:ascii="Times New Roman" w:cs="Times New Roman" w:eastAsia="Times New Roman" w:hAnsi="Times New Roman"/>
                <w:sz w:val="14"/>
                <w:szCs w:val="14"/>
                <w:color w:val="auto"/>
                <w:w w:val="93"/>
              </w:rPr>
              <w:t>19.2%</w:t>
            </w:r>
          </w:p>
        </w:tc>
        <w:tc>
          <w:tcPr>
            <w:tcW w:w="1460" w:type="dxa"/>
            <w:vAlign w:val="bottom"/>
            <w:tcBorders>
              <w:bottom w:val="single" w:sz="8" w:color="auto"/>
              <w:right w:val="single" w:sz="8" w:color="auto"/>
            </w:tcBorders>
          </w:tcPr>
          <w:p>
            <w:pPr>
              <w:jc w:val="center"/>
              <w:ind w:left="232"/>
              <w:spacing w:after="0" w:line="160" w:lineRule="exact"/>
              <w:rPr>
                <w:sz w:val="20"/>
                <w:szCs w:val="20"/>
                <w:color w:val="auto"/>
              </w:rPr>
            </w:pPr>
            <w:r>
              <w:rPr>
                <w:rFonts w:ascii="Times New Roman" w:cs="Times New Roman" w:eastAsia="Times New Roman" w:hAnsi="Times New Roman"/>
                <w:sz w:val="14"/>
                <w:szCs w:val="14"/>
                <w:color w:val="auto"/>
                <w:w w:val="95"/>
              </w:rPr>
              <w:t>9.1%</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 Includes mainly accounts receivables from brokerage and others.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Due to reclassifications, the Balance Sheet may differ from those reported in previous quarters.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986790</wp:posOffset>
            </wp:positionV>
            <wp:extent cx="7140575" cy="1587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0575" cy="15875"/>
                    </a:xfrm>
                    <a:prstGeom prst="rect">
                      <a:avLst/>
                    </a:prstGeom>
                    <a:noFill/>
                  </pic:spPr>
                </pic:pic>
              </a:graphicData>
            </a:graphic>
          </wp:anchor>
        </w:drawing>
        <w:drawing>
          <wp:anchor simplePos="0" relativeHeight="251657728" behindDoc="1" locked="0" layoutInCell="0" allowOverlap="1">
            <wp:simplePos x="0" y="0"/>
            <wp:positionH relativeFrom="column">
              <wp:posOffset>331470</wp:posOffset>
            </wp:positionH>
            <wp:positionV relativeFrom="paragraph">
              <wp:posOffset>124460</wp:posOffset>
            </wp:positionV>
            <wp:extent cx="6447155" cy="56388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447155" cy="563880"/>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56" w:name="page57"/>
    <w:bookmarkEnd w:id="56"/>
    <w:p>
      <w:pPr>
        <w:ind w:left="3180"/>
        <w:spacing w:after="0"/>
        <w:tabs>
          <w:tab w:leader="none" w:pos="3380" w:val="left"/>
          <w:tab w:leader="none" w:pos="9060" w:val="left"/>
        </w:tabs>
        <w:rPr>
          <w:sz w:val="20"/>
          <w:szCs w:val="20"/>
          <w:color w:val="auto"/>
        </w:rPr>
      </w:pPr>
      <w:r>
        <w:rPr>
          <w:rFonts w:ascii="Times New Roman" w:cs="Times New Roman" w:eastAsia="Times New Roman" w:hAnsi="Times New Roman"/>
          <w:sz w:val="17"/>
          <w:szCs w:val="17"/>
          <w:b w:val="1"/>
          <w:bCs w:val="1"/>
          <w:color w:val="A6A6A6"/>
        </w:rPr>
        <w:drawing>
          <wp:anchor simplePos="0" relativeHeight="251657728" behindDoc="1" locked="0" layoutInCell="0" allowOverlap="1">
            <wp:simplePos x="0" y="0"/>
            <wp:positionH relativeFrom="page">
              <wp:posOffset>204470</wp:posOffset>
            </wp:positionH>
            <wp:positionV relativeFrom="page">
              <wp:posOffset>217805</wp:posOffset>
            </wp:positionV>
            <wp:extent cx="7140575" cy="69278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40575" cy="692785"/>
                    </a:xfrm>
                    <a:prstGeom prst="rect">
                      <a:avLst/>
                    </a:prstGeom>
                    <a:noFill/>
                  </pic:spPr>
                </pic:pic>
              </a:graphicData>
            </a:graphic>
          </wp:anchor>
        </w:drawing>
        <w:t>|</w:t>
      </w:r>
      <w:r>
        <w:rPr>
          <w:sz w:val="20"/>
          <w:szCs w:val="20"/>
          <w:color w:val="auto"/>
        </w:rPr>
        <w:tab/>
      </w:r>
      <w:r>
        <w:rPr>
          <w:rFonts w:ascii="Times New Roman" w:cs="Times New Roman" w:eastAsia="Times New Roman" w:hAnsi="Times New Roman"/>
          <w:sz w:val="14"/>
          <w:szCs w:val="14"/>
          <w:color w:val="FFFFFF"/>
        </w:rPr>
        <w:t>Earnings Release 1Q / 2026</w:t>
      </w:r>
      <w:r>
        <w:rPr>
          <w:sz w:val="20"/>
          <w:szCs w:val="20"/>
          <w:color w:val="auto"/>
        </w:rPr>
        <w:tab/>
      </w:r>
      <w:r>
        <w:rPr>
          <w:rFonts w:ascii="Times New Roman" w:cs="Times New Roman" w:eastAsia="Times New Roman" w:hAnsi="Times New Roman"/>
          <w:sz w:val="12"/>
          <w:szCs w:val="12"/>
          <w:color w:val="FF00FF"/>
        </w:rPr>
        <w:t>Analysis of 1Q26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313055</wp:posOffset>
            </wp:positionV>
            <wp:extent cx="7140575" cy="25781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0575" cy="25781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FFFFFF"/>
        </w:rPr>
        <w:t>12. Appendix</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Consolidated Statement of Income</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 Thousands, IFRS)</w:t>
      </w: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122"/>
        </w:trPr>
        <w:tc>
          <w:tcPr>
            <w:tcW w:w="4300" w:type="dxa"/>
            <w:vAlign w:val="bottom"/>
            <w:tcBorders>
              <w:top w:val="single" w:sz="8" w:color="auto"/>
              <w:left w:val="single" w:sz="8" w:color="auto"/>
              <w:right w:val="single" w:sz="8" w:color="auto"/>
            </w:tcBorders>
            <w:shd w:val="clear" w:color="auto" w:fill="1DD5CC"/>
          </w:tcPr>
          <w:p>
            <w:pPr>
              <w:spacing w:after="0"/>
              <w:rPr>
                <w:sz w:val="10"/>
                <w:szCs w:val="10"/>
                <w:color w:val="auto"/>
              </w:rPr>
            </w:pPr>
          </w:p>
        </w:tc>
        <w:tc>
          <w:tcPr>
            <w:tcW w:w="1500" w:type="dxa"/>
            <w:vAlign w:val="bottom"/>
            <w:tcBorders>
              <w:top w:val="single" w:sz="8" w:color="auto"/>
            </w:tcBorders>
            <w:shd w:val="clear" w:color="auto" w:fill="1DD5CC"/>
          </w:tcPr>
          <w:p>
            <w:pPr>
              <w:spacing w:after="0"/>
              <w:rPr>
                <w:sz w:val="10"/>
                <w:szCs w:val="10"/>
                <w:color w:val="auto"/>
              </w:rPr>
            </w:pPr>
          </w:p>
        </w:tc>
        <w:tc>
          <w:tcPr>
            <w:tcW w:w="1580" w:type="dxa"/>
            <w:vAlign w:val="bottom"/>
            <w:tcBorders>
              <w:top w:val="single" w:sz="8" w:color="auto"/>
            </w:tcBorders>
            <w:shd w:val="clear" w:color="auto" w:fill="1DD5CC"/>
          </w:tcPr>
          <w:p>
            <w:pPr>
              <w:jc w:val="right"/>
              <w:ind w:right="521"/>
              <w:spacing w:after="0" w:line="122" w:lineRule="exact"/>
              <w:rPr>
                <w:sz w:val="20"/>
                <w:szCs w:val="20"/>
                <w:color w:val="auto"/>
              </w:rPr>
            </w:pPr>
            <w:r>
              <w:rPr>
                <w:rFonts w:ascii="Times New Roman" w:cs="Times New Roman" w:eastAsia="Times New Roman" w:hAnsi="Times New Roman"/>
                <w:sz w:val="12"/>
                <w:szCs w:val="12"/>
                <w:b w:val="1"/>
                <w:bCs w:val="1"/>
                <w:color w:val="FFFFFF"/>
              </w:rPr>
              <w:t>Quarter</w:t>
            </w:r>
          </w:p>
        </w:tc>
        <w:tc>
          <w:tcPr>
            <w:tcW w:w="1640" w:type="dxa"/>
            <w:vAlign w:val="bottom"/>
            <w:tcBorders>
              <w:top w:val="single" w:sz="8" w:color="auto"/>
              <w:right w:val="single" w:sz="8" w:color="auto"/>
            </w:tcBorders>
            <w:shd w:val="clear" w:color="auto" w:fill="1DD5CC"/>
          </w:tcPr>
          <w:p>
            <w:pPr>
              <w:spacing w:after="0"/>
              <w:rPr>
                <w:sz w:val="10"/>
                <w:szCs w:val="10"/>
                <w:color w:val="auto"/>
              </w:rPr>
            </w:pPr>
          </w:p>
        </w:tc>
        <w:tc>
          <w:tcPr>
            <w:tcW w:w="740" w:type="dxa"/>
            <w:vAlign w:val="bottom"/>
            <w:tcBorders>
              <w:top w:val="single" w:sz="8" w:color="auto"/>
            </w:tcBorders>
            <w:shd w:val="clear" w:color="auto" w:fill="1DD5CC"/>
          </w:tcPr>
          <w:p>
            <w:pPr>
              <w:spacing w:after="0"/>
              <w:rPr>
                <w:sz w:val="10"/>
                <w:szCs w:val="10"/>
                <w:color w:val="auto"/>
              </w:rPr>
            </w:pPr>
          </w:p>
        </w:tc>
        <w:tc>
          <w:tcPr>
            <w:tcW w:w="1500" w:type="dxa"/>
            <w:vAlign w:val="bottom"/>
            <w:tcBorders>
              <w:top w:val="single" w:sz="8" w:color="auto"/>
              <w:right w:val="single" w:sz="8" w:color="auto"/>
            </w:tcBorders>
            <w:shd w:val="clear" w:color="auto" w:fill="1DD5CC"/>
          </w:tcPr>
          <w:p>
            <w:pPr>
              <w:ind w:left="60"/>
              <w:spacing w:after="0" w:line="122" w:lineRule="exact"/>
              <w:rPr>
                <w:sz w:val="20"/>
                <w:szCs w:val="20"/>
                <w:color w:val="auto"/>
              </w:rPr>
            </w:pPr>
            <w:r>
              <w:rPr>
                <w:rFonts w:ascii="Times New Roman" w:cs="Times New Roman" w:eastAsia="Times New Roman" w:hAnsi="Times New Roman"/>
                <w:sz w:val="12"/>
                <w:szCs w:val="12"/>
                <w:b w:val="1"/>
                <w:bCs w:val="1"/>
                <w:color w:val="FFFFFF"/>
              </w:rPr>
              <w:t>% change</w:t>
            </w:r>
          </w:p>
        </w:tc>
        <w:tc>
          <w:tcPr>
            <w:tcW w:w="0" w:type="dxa"/>
            <w:vAlign w:val="bottom"/>
          </w:tcPr>
          <w:p>
            <w:pPr>
              <w:spacing w:after="0"/>
              <w:rPr>
                <w:sz w:val="1"/>
                <w:szCs w:val="1"/>
                <w:color w:val="auto"/>
              </w:rPr>
            </w:pPr>
          </w:p>
        </w:tc>
      </w:tr>
      <w:tr>
        <w:trPr>
          <w:trHeight w:val="145"/>
        </w:trPr>
        <w:tc>
          <w:tcPr>
            <w:tcW w:w="4300" w:type="dxa"/>
            <w:vAlign w:val="bottom"/>
            <w:tcBorders>
              <w:left w:val="single" w:sz="8" w:color="auto"/>
              <w:bottom w:val="single" w:sz="8" w:color="auto"/>
              <w:right w:val="single" w:sz="8" w:color="auto"/>
            </w:tcBorders>
            <w:shd w:val="clear" w:color="auto" w:fill="1DD5CC"/>
          </w:tcPr>
          <w:p>
            <w:pPr>
              <w:spacing w:after="0"/>
              <w:rPr>
                <w:sz w:val="12"/>
                <w:szCs w:val="12"/>
                <w:color w:val="auto"/>
              </w:rPr>
            </w:pPr>
          </w:p>
        </w:tc>
        <w:tc>
          <w:tcPr>
            <w:tcW w:w="1500" w:type="dxa"/>
            <w:vAlign w:val="bottom"/>
            <w:tcBorders>
              <w:bottom w:val="single" w:sz="8" w:color="auto"/>
            </w:tcBorders>
            <w:shd w:val="clear" w:color="auto" w:fill="2AD2C9"/>
          </w:tcPr>
          <w:p>
            <w:pPr>
              <w:jc w:val="center"/>
              <w:spacing w:after="0"/>
              <w:rPr>
                <w:sz w:val="20"/>
                <w:szCs w:val="20"/>
                <w:color w:val="auto"/>
              </w:rPr>
            </w:pPr>
            <w:r>
              <w:rPr>
                <w:rFonts w:ascii="Times New Roman" w:cs="Times New Roman" w:eastAsia="Times New Roman" w:hAnsi="Times New Roman"/>
                <w:sz w:val="12"/>
                <w:szCs w:val="12"/>
                <w:b w:val="1"/>
                <w:bCs w:val="1"/>
                <w:color w:val="FFFFFF"/>
                <w:w w:val="94"/>
              </w:rPr>
              <w:t>1Q25</w:t>
            </w:r>
          </w:p>
        </w:tc>
        <w:tc>
          <w:tcPr>
            <w:tcW w:w="1580" w:type="dxa"/>
            <w:vAlign w:val="bottom"/>
            <w:tcBorders>
              <w:bottom w:val="single" w:sz="8" w:color="auto"/>
            </w:tcBorders>
            <w:shd w:val="clear" w:color="auto" w:fill="2AD2C9"/>
          </w:tcPr>
          <w:p>
            <w:pPr>
              <w:jc w:val="center"/>
              <w:spacing w:after="0"/>
              <w:rPr>
                <w:sz w:val="20"/>
                <w:szCs w:val="20"/>
                <w:color w:val="auto"/>
              </w:rPr>
            </w:pPr>
            <w:r>
              <w:rPr>
                <w:rFonts w:ascii="Times New Roman" w:cs="Times New Roman" w:eastAsia="Times New Roman" w:hAnsi="Times New Roman"/>
                <w:sz w:val="12"/>
                <w:szCs w:val="12"/>
                <w:b w:val="1"/>
                <w:bCs w:val="1"/>
                <w:color w:val="FFFFFF"/>
                <w:w w:val="94"/>
              </w:rPr>
              <w:t>4Q25</w:t>
            </w:r>
          </w:p>
        </w:tc>
        <w:tc>
          <w:tcPr>
            <w:tcW w:w="1640" w:type="dxa"/>
            <w:vAlign w:val="bottom"/>
            <w:tcBorders>
              <w:bottom w:val="single" w:sz="8" w:color="auto"/>
              <w:right w:val="single" w:sz="8" w:color="auto"/>
            </w:tcBorders>
            <w:shd w:val="clear" w:color="auto" w:fill="2AD2C9"/>
          </w:tcPr>
          <w:p>
            <w:pPr>
              <w:jc w:val="center"/>
              <w:ind w:right="1"/>
              <w:spacing w:after="0"/>
              <w:rPr>
                <w:sz w:val="20"/>
                <w:szCs w:val="20"/>
                <w:color w:val="auto"/>
              </w:rPr>
            </w:pPr>
            <w:r>
              <w:rPr>
                <w:rFonts w:ascii="Times New Roman" w:cs="Times New Roman" w:eastAsia="Times New Roman" w:hAnsi="Times New Roman"/>
                <w:sz w:val="12"/>
                <w:szCs w:val="12"/>
                <w:b w:val="1"/>
                <w:bCs w:val="1"/>
                <w:color w:val="FFFFFF"/>
                <w:w w:val="94"/>
              </w:rPr>
              <w:t>1Q26</w:t>
            </w:r>
          </w:p>
        </w:tc>
        <w:tc>
          <w:tcPr>
            <w:tcW w:w="740" w:type="dxa"/>
            <w:vAlign w:val="bottom"/>
            <w:tcBorders>
              <w:bottom w:val="single" w:sz="8" w:color="auto"/>
            </w:tcBorders>
            <w:shd w:val="clear" w:color="auto" w:fill="1DD5CC"/>
          </w:tcPr>
          <w:p>
            <w:pPr>
              <w:jc w:val="center"/>
              <w:ind w:left="201"/>
              <w:spacing w:after="0"/>
              <w:rPr>
                <w:sz w:val="20"/>
                <w:szCs w:val="20"/>
                <w:color w:val="auto"/>
              </w:rPr>
            </w:pPr>
            <w:r>
              <w:rPr>
                <w:rFonts w:ascii="Times New Roman" w:cs="Times New Roman" w:eastAsia="Times New Roman" w:hAnsi="Times New Roman"/>
                <w:sz w:val="12"/>
                <w:szCs w:val="12"/>
                <w:b w:val="1"/>
                <w:bCs w:val="1"/>
                <w:color w:val="FFFFFF"/>
                <w:w w:val="97"/>
              </w:rPr>
              <w:t>QoQ</w:t>
            </w:r>
          </w:p>
        </w:tc>
        <w:tc>
          <w:tcPr>
            <w:tcW w:w="1500" w:type="dxa"/>
            <w:vAlign w:val="bottom"/>
            <w:tcBorders>
              <w:bottom w:val="single" w:sz="8" w:color="auto"/>
              <w:right w:val="single" w:sz="8" w:color="auto"/>
            </w:tcBorders>
            <w:shd w:val="clear" w:color="auto" w:fill="1DD5CC"/>
          </w:tcPr>
          <w:p>
            <w:pPr>
              <w:jc w:val="center"/>
              <w:ind w:left="181"/>
              <w:spacing w:after="0"/>
              <w:rPr>
                <w:sz w:val="20"/>
                <w:szCs w:val="20"/>
                <w:color w:val="auto"/>
              </w:rPr>
            </w:pPr>
            <w:r>
              <w:rPr>
                <w:rFonts w:ascii="Times New Roman" w:cs="Times New Roman" w:eastAsia="Times New Roman" w:hAnsi="Times New Roman"/>
                <w:sz w:val="12"/>
                <w:szCs w:val="12"/>
                <w:b w:val="1"/>
                <w:bCs w:val="1"/>
                <w:color w:val="FFFFFF"/>
                <w:w w:val="94"/>
              </w:rPr>
              <w:t>YoY</w:t>
            </w:r>
          </w:p>
        </w:tc>
        <w:tc>
          <w:tcPr>
            <w:tcW w:w="0" w:type="dxa"/>
            <w:vAlign w:val="bottom"/>
          </w:tcPr>
          <w:p>
            <w:pPr>
              <w:spacing w:after="0"/>
              <w:rPr>
                <w:sz w:val="1"/>
                <w:szCs w:val="1"/>
                <w:color w:val="auto"/>
              </w:rPr>
            </w:pPr>
          </w:p>
        </w:tc>
      </w:tr>
      <w:tr>
        <w:trPr>
          <w:trHeight w:val="104"/>
        </w:trPr>
        <w:tc>
          <w:tcPr>
            <w:tcW w:w="4300" w:type="dxa"/>
            <w:vAlign w:val="bottom"/>
            <w:tcBorders>
              <w:left w:val="single" w:sz="8" w:color="auto"/>
              <w:right w:val="single" w:sz="8" w:color="auto"/>
            </w:tcBorders>
          </w:tcPr>
          <w:p>
            <w:pPr>
              <w:ind w:left="160"/>
              <w:spacing w:after="0" w:line="104" w:lineRule="exact"/>
              <w:rPr>
                <w:sz w:val="20"/>
                <w:szCs w:val="20"/>
                <w:color w:val="auto"/>
              </w:rPr>
            </w:pPr>
            <w:r>
              <w:rPr>
                <w:rFonts w:ascii="Times New Roman" w:cs="Times New Roman" w:eastAsia="Times New Roman" w:hAnsi="Times New Roman"/>
                <w:sz w:val="12"/>
                <w:szCs w:val="12"/>
                <w:b w:val="1"/>
                <w:bCs w:val="1"/>
                <w:color w:val="auto"/>
              </w:rPr>
              <w:t>Interest income and expense</w:t>
            </w:r>
          </w:p>
        </w:tc>
        <w:tc>
          <w:tcPr>
            <w:tcW w:w="15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640" w:type="dxa"/>
            <w:vAlign w:val="bottom"/>
            <w:tcBorders>
              <w:right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15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4300" w:type="dxa"/>
            <w:vAlign w:val="bottom"/>
            <w:tcBorders>
              <w:left w:val="single" w:sz="8" w:color="auto"/>
              <w:right w:val="single" w:sz="8" w:color="auto"/>
            </w:tcBorders>
          </w:tcPr>
          <w:p>
            <w:pPr>
              <w:ind w:left="320"/>
              <w:spacing w:after="0" w:line="127" w:lineRule="exact"/>
              <w:rPr>
                <w:sz w:val="20"/>
                <w:szCs w:val="20"/>
                <w:color w:val="auto"/>
              </w:rPr>
            </w:pPr>
            <w:r>
              <w:rPr>
                <w:rFonts w:ascii="Times New Roman" w:cs="Times New Roman" w:eastAsia="Times New Roman" w:hAnsi="Times New Roman"/>
                <w:sz w:val="12"/>
                <w:szCs w:val="12"/>
                <w:color w:val="auto"/>
              </w:rPr>
              <w:t>Interest and similar income</w:t>
            </w:r>
          </w:p>
        </w:tc>
        <w:tc>
          <w:tcPr>
            <w:tcW w:w="1500" w:type="dxa"/>
            <w:vAlign w:val="bottom"/>
          </w:tcPr>
          <w:p>
            <w:pPr>
              <w:jc w:val="center"/>
              <w:ind w:right="1"/>
              <w:spacing w:after="0" w:line="127" w:lineRule="exact"/>
              <w:rPr>
                <w:sz w:val="20"/>
                <w:szCs w:val="20"/>
                <w:color w:val="auto"/>
              </w:rPr>
            </w:pPr>
            <w:r>
              <w:rPr>
                <w:rFonts w:ascii="Times New Roman" w:cs="Times New Roman" w:eastAsia="Times New Roman" w:hAnsi="Times New Roman"/>
                <w:sz w:val="12"/>
                <w:szCs w:val="12"/>
                <w:color w:val="auto"/>
                <w:w w:val="99"/>
              </w:rPr>
              <w:t>4,894,790</w:t>
            </w:r>
          </w:p>
        </w:tc>
        <w:tc>
          <w:tcPr>
            <w:tcW w:w="158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9"/>
              </w:rPr>
              <w:t>5,125,394</w:t>
            </w:r>
          </w:p>
        </w:tc>
        <w:tc>
          <w:tcPr>
            <w:tcW w:w="1640" w:type="dxa"/>
            <w:vAlign w:val="bottom"/>
            <w:tcBorders>
              <w:right w:val="single" w:sz="8" w:color="auto"/>
            </w:tcBorders>
          </w:tcPr>
          <w:p>
            <w:pPr>
              <w:jc w:val="center"/>
              <w:ind w:right="1"/>
              <w:spacing w:after="0" w:line="127" w:lineRule="exact"/>
              <w:rPr>
                <w:sz w:val="20"/>
                <w:szCs w:val="20"/>
                <w:color w:val="auto"/>
              </w:rPr>
            </w:pPr>
            <w:r>
              <w:rPr>
                <w:rFonts w:ascii="Times New Roman" w:cs="Times New Roman" w:eastAsia="Times New Roman" w:hAnsi="Times New Roman"/>
                <w:sz w:val="12"/>
                <w:szCs w:val="12"/>
                <w:color w:val="auto"/>
                <w:w w:val="95"/>
              </w:rPr>
              <w:t>5,212,412</w:t>
            </w:r>
          </w:p>
        </w:tc>
        <w:tc>
          <w:tcPr>
            <w:tcW w:w="740" w:type="dxa"/>
            <w:vAlign w:val="bottom"/>
          </w:tcPr>
          <w:p>
            <w:pPr>
              <w:jc w:val="center"/>
              <w:ind w:left="201"/>
              <w:spacing w:after="0" w:line="127" w:lineRule="exact"/>
              <w:rPr>
                <w:sz w:val="20"/>
                <w:szCs w:val="20"/>
                <w:color w:val="auto"/>
              </w:rPr>
            </w:pPr>
            <w:r>
              <w:rPr>
                <w:rFonts w:ascii="Times New Roman" w:cs="Times New Roman" w:eastAsia="Times New Roman" w:hAnsi="Times New Roman"/>
                <w:sz w:val="12"/>
                <w:szCs w:val="12"/>
                <w:color w:val="auto"/>
                <w:w w:val="95"/>
              </w:rPr>
              <w:t>1.7%</w:t>
            </w:r>
          </w:p>
        </w:tc>
        <w:tc>
          <w:tcPr>
            <w:tcW w:w="1500" w:type="dxa"/>
            <w:vAlign w:val="bottom"/>
            <w:tcBorders>
              <w:right w:val="single" w:sz="8" w:color="auto"/>
            </w:tcBorders>
          </w:tcPr>
          <w:p>
            <w:pPr>
              <w:jc w:val="center"/>
              <w:ind w:left="181"/>
              <w:spacing w:after="0" w:line="127" w:lineRule="exact"/>
              <w:rPr>
                <w:sz w:val="20"/>
                <w:szCs w:val="20"/>
                <w:color w:val="auto"/>
              </w:rPr>
            </w:pPr>
            <w:r>
              <w:rPr>
                <w:rFonts w:ascii="Times New Roman" w:cs="Times New Roman" w:eastAsia="Times New Roman" w:hAnsi="Times New Roman"/>
                <w:sz w:val="12"/>
                <w:szCs w:val="12"/>
                <w:color w:val="auto"/>
              </w:rPr>
              <w:t>6.5%</w:t>
            </w:r>
          </w:p>
        </w:tc>
        <w:tc>
          <w:tcPr>
            <w:tcW w:w="0" w:type="dxa"/>
            <w:vAlign w:val="bottom"/>
          </w:tcPr>
          <w:p>
            <w:pPr>
              <w:spacing w:after="0"/>
              <w:rPr>
                <w:sz w:val="1"/>
                <w:szCs w:val="1"/>
                <w:color w:val="auto"/>
              </w:rPr>
            </w:pPr>
          </w:p>
        </w:tc>
      </w:tr>
      <w:tr>
        <w:trPr>
          <w:trHeight w:val="125"/>
        </w:trPr>
        <w:tc>
          <w:tcPr>
            <w:tcW w:w="4300" w:type="dxa"/>
            <w:vAlign w:val="bottom"/>
            <w:tcBorders>
              <w:left w:val="single" w:sz="8" w:color="auto"/>
              <w:right w:val="single" w:sz="8" w:color="auto"/>
            </w:tcBorders>
          </w:tcPr>
          <w:p>
            <w:pPr>
              <w:ind w:left="320"/>
              <w:spacing w:after="0" w:line="125" w:lineRule="exact"/>
              <w:rPr>
                <w:sz w:val="20"/>
                <w:szCs w:val="20"/>
                <w:color w:val="auto"/>
              </w:rPr>
            </w:pPr>
            <w:r>
              <w:rPr>
                <w:rFonts w:ascii="Times New Roman" w:cs="Times New Roman" w:eastAsia="Times New Roman" w:hAnsi="Times New Roman"/>
                <w:sz w:val="12"/>
                <w:szCs w:val="12"/>
                <w:color w:val="auto"/>
              </w:rPr>
              <w:t>Interest and similar expenses</w:t>
            </w:r>
          </w:p>
        </w:tc>
        <w:tc>
          <w:tcPr>
            <w:tcW w:w="150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auto"/>
                <w:w w:val="96"/>
              </w:rPr>
              <w:t>(1,322,778)</w:t>
            </w:r>
          </w:p>
        </w:tc>
        <w:tc>
          <w:tcPr>
            <w:tcW w:w="158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auto"/>
                <w:w w:val="99"/>
              </w:rPr>
              <w:t>(1,284,127)</w:t>
            </w:r>
          </w:p>
        </w:tc>
        <w:tc>
          <w:tcPr>
            <w:tcW w:w="1640" w:type="dxa"/>
            <w:vAlign w:val="bottom"/>
            <w:tcBorders>
              <w:right w:val="single" w:sz="8" w:color="auto"/>
            </w:tcBorders>
          </w:tcPr>
          <w:p>
            <w:pPr>
              <w:jc w:val="center"/>
              <w:ind w:right="1"/>
              <w:spacing w:after="0" w:line="125" w:lineRule="exact"/>
              <w:rPr>
                <w:sz w:val="20"/>
                <w:szCs w:val="20"/>
                <w:color w:val="auto"/>
              </w:rPr>
            </w:pPr>
            <w:r>
              <w:rPr>
                <w:rFonts w:ascii="Times New Roman" w:cs="Times New Roman" w:eastAsia="Times New Roman" w:hAnsi="Times New Roman"/>
                <w:sz w:val="12"/>
                <w:szCs w:val="12"/>
                <w:color w:val="auto"/>
                <w:w w:val="96"/>
              </w:rPr>
              <w:t>(1,249,685)</w:t>
            </w:r>
          </w:p>
        </w:tc>
        <w:tc>
          <w:tcPr>
            <w:tcW w:w="740" w:type="dxa"/>
            <w:vAlign w:val="bottom"/>
          </w:tcPr>
          <w:p>
            <w:pPr>
              <w:jc w:val="center"/>
              <w:ind w:left="201"/>
              <w:spacing w:after="0" w:line="125" w:lineRule="exact"/>
              <w:rPr>
                <w:sz w:val="20"/>
                <w:szCs w:val="20"/>
                <w:color w:val="auto"/>
              </w:rPr>
            </w:pPr>
            <w:r>
              <w:rPr>
                <w:rFonts w:ascii="Times New Roman" w:cs="Times New Roman" w:eastAsia="Times New Roman" w:hAnsi="Times New Roman"/>
                <w:sz w:val="12"/>
                <w:szCs w:val="12"/>
                <w:color w:val="auto"/>
                <w:w w:val="96"/>
              </w:rPr>
              <w:t>-2.7%</w:t>
            </w:r>
          </w:p>
        </w:tc>
        <w:tc>
          <w:tcPr>
            <w:tcW w:w="1500" w:type="dxa"/>
            <w:vAlign w:val="bottom"/>
            <w:tcBorders>
              <w:right w:val="single" w:sz="8" w:color="auto"/>
            </w:tcBorders>
          </w:tcPr>
          <w:p>
            <w:pPr>
              <w:jc w:val="center"/>
              <w:ind w:left="181"/>
              <w:spacing w:after="0" w:line="125" w:lineRule="exact"/>
              <w:rPr>
                <w:sz w:val="20"/>
                <w:szCs w:val="20"/>
                <w:color w:val="auto"/>
              </w:rPr>
            </w:pPr>
            <w:r>
              <w:rPr>
                <w:rFonts w:ascii="Times New Roman" w:cs="Times New Roman" w:eastAsia="Times New Roman" w:hAnsi="Times New Roman"/>
                <w:sz w:val="12"/>
                <w:szCs w:val="12"/>
                <w:color w:val="auto"/>
              </w:rPr>
              <w:t>-5.5%</w:t>
            </w:r>
          </w:p>
        </w:tc>
        <w:tc>
          <w:tcPr>
            <w:tcW w:w="0" w:type="dxa"/>
            <w:vAlign w:val="bottom"/>
          </w:tcPr>
          <w:p>
            <w:pPr>
              <w:spacing w:after="0"/>
              <w:rPr>
                <w:sz w:val="1"/>
                <w:szCs w:val="1"/>
                <w:color w:val="auto"/>
              </w:rPr>
            </w:pPr>
          </w:p>
        </w:tc>
      </w:tr>
      <w:tr>
        <w:trPr>
          <w:trHeight w:val="129"/>
        </w:trPr>
        <w:tc>
          <w:tcPr>
            <w:tcW w:w="4300" w:type="dxa"/>
            <w:vAlign w:val="bottom"/>
            <w:tcBorders>
              <w:left w:val="single" w:sz="8" w:color="auto"/>
              <w:right w:val="single" w:sz="8" w:color="auto"/>
            </w:tcBorders>
          </w:tcPr>
          <w:p>
            <w:pPr>
              <w:ind w:left="320"/>
              <w:spacing w:after="0" w:line="129" w:lineRule="exact"/>
              <w:rPr>
                <w:sz w:val="20"/>
                <w:szCs w:val="20"/>
                <w:color w:val="auto"/>
              </w:rPr>
            </w:pPr>
            <w:r>
              <w:rPr>
                <w:rFonts w:ascii="Times New Roman" w:cs="Times New Roman" w:eastAsia="Times New Roman" w:hAnsi="Times New Roman"/>
                <w:sz w:val="12"/>
                <w:szCs w:val="12"/>
                <w:b w:val="1"/>
                <w:bCs w:val="1"/>
                <w:color w:val="auto"/>
              </w:rPr>
              <w:t>Net interest, similar income and expenses</w:t>
            </w:r>
          </w:p>
        </w:tc>
        <w:tc>
          <w:tcPr>
            <w:tcW w:w="1500" w:type="dxa"/>
            <w:vAlign w:val="bottom"/>
          </w:tcPr>
          <w:p>
            <w:pPr>
              <w:jc w:val="center"/>
              <w:ind w:right="1"/>
              <w:spacing w:after="0" w:line="129" w:lineRule="exact"/>
              <w:rPr>
                <w:sz w:val="20"/>
                <w:szCs w:val="20"/>
                <w:color w:val="auto"/>
              </w:rPr>
            </w:pPr>
            <w:r>
              <w:rPr>
                <w:rFonts w:ascii="Times New Roman" w:cs="Times New Roman" w:eastAsia="Times New Roman" w:hAnsi="Times New Roman"/>
                <w:sz w:val="12"/>
                <w:szCs w:val="12"/>
                <w:b w:val="1"/>
                <w:bCs w:val="1"/>
                <w:color w:val="auto"/>
                <w:w w:val="99"/>
              </w:rPr>
              <w:t>3,572,012</w:t>
            </w:r>
          </w:p>
        </w:tc>
        <w:tc>
          <w:tcPr>
            <w:tcW w:w="1580" w:type="dxa"/>
            <w:vAlign w:val="bottom"/>
          </w:tcPr>
          <w:p>
            <w:pPr>
              <w:jc w:val="center"/>
              <w:spacing w:after="0" w:line="129" w:lineRule="exact"/>
              <w:rPr>
                <w:sz w:val="20"/>
                <w:szCs w:val="20"/>
                <w:color w:val="auto"/>
              </w:rPr>
            </w:pPr>
            <w:r>
              <w:rPr>
                <w:rFonts w:ascii="Times New Roman" w:cs="Times New Roman" w:eastAsia="Times New Roman" w:hAnsi="Times New Roman"/>
                <w:sz w:val="12"/>
                <w:szCs w:val="12"/>
                <w:b w:val="1"/>
                <w:bCs w:val="1"/>
                <w:color w:val="auto"/>
                <w:w w:val="99"/>
              </w:rPr>
              <w:t>3,841,267</w:t>
            </w:r>
          </w:p>
        </w:tc>
        <w:tc>
          <w:tcPr>
            <w:tcW w:w="1640" w:type="dxa"/>
            <w:vAlign w:val="bottom"/>
            <w:tcBorders>
              <w:right w:val="single" w:sz="8" w:color="auto"/>
            </w:tcBorders>
          </w:tcPr>
          <w:p>
            <w:pPr>
              <w:jc w:val="center"/>
              <w:ind w:right="1"/>
              <w:spacing w:after="0" w:line="129" w:lineRule="exact"/>
              <w:rPr>
                <w:sz w:val="20"/>
                <w:szCs w:val="20"/>
                <w:color w:val="auto"/>
              </w:rPr>
            </w:pPr>
            <w:r>
              <w:rPr>
                <w:rFonts w:ascii="Times New Roman" w:cs="Times New Roman" w:eastAsia="Times New Roman" w:hAnsi="Times New Roman"/>
                <w:sz w:val="12"/>
                <w:szCs w:val="12"/>
                <w:b w:val="1"/>
                <w:bCs w:val="1"/>
                <w:color w:val="auto"/>
                <w:w w:val="95"/>
              </w:rPr>
              <w:t>3,962,727</w:t>
            </w:r>
          </w:p>
        </w:tc>
        <w:tc>
          <w:tcPr>
            <w:tcW w:w="740" w:type="dxa"/>
            <w:vAlign w:val="bottom"/>
          </w:tcPr>
          <w:p>
            <w:pPr>
              <w:jc w:val="center"/>
              <w:ind w:left="201"/>
              <w:spacing w:after="0" w:line="129" w:lineRule="exact"/>
              <w:rPr>
                <w:sz w:val="20"/>
                <w:szCs w:val="20"/>
                <w:color w:val="auto"/>
              </w:rPr>
            </w:pPr>
            <w:r>
              <w:rPr>
                <w:rFonts w:ascii="Times New Roman" w:cs="Times New Roman" w:eastAsia="Times New Roman" w:hAnsi="Times New Roman"/>
                <w:sz w:val="12"/>
                <w:szCs w:val="12"/>
                <w:b w:val="1"/>
                <w:bCs w:val="1"/>
                <w:color w:val="auto"/>
              </w:rPr>
              <w:t>3.2%</w:t>
            </w:r>
          </w:p>
        </w:tc>
        <w:tc>
          <w:tcPr>
            <w:tcW w:w="1500" w:type="dxa"/>
            <w:vAlign w:val="bottom"/>
            <w:tcBorders>
              <w:right w:val="single" w:sz="8" w:color="auto"/>
            </w:tcBorders>
          </w:tcPr>
          <w:p>
            <w:pPr>
              <w:jc w:val="center"/>
              <w:ind w:left="181"/>
              <w:spacing w:after="0" w:line="129" w:lineRule="exact"/>
              <w:rPr>
                <w:sz w:val="20"/>
                <w:szCs w:val="20"/>
                <w:color w:val="auto"/>
              </w:rPr>
            </w:pPr>
            <w:r>
              <w:rPr>
                <w:rFonts w:ascii="Times New Roman" w:cs="Times New Roman" w:eastAsia="Times New Roman" w:hAnsi="Times New Roman"/>
                <w:sz w:val="12"/>
                <w:szCs w:val="12"/>
                <w:b w:val="1"/>
                <w:bCs w:val="1"/>
                <w:color w:val="auto"/>
              </w:rPr>
              <w:t>10.9%</w:t>
            </w:r>
          </w:p>
        </w:tc>
        <w:tc>
          <w:tcPr>
            <w:tcW w:w="0" w:type="dxa"/>
            <w:vAlign w:val="bottom"/>
          </w:tcPr>
          <w:p>
            <w:pPr>
              <w:spacing w:after="0"/>
              <w:rPr>
                <w:sz w:val="1"/>
                <w:szCs w:val="1"/>
                <w:color w:val="auto"/>
              </w:rPr>
            </w:pPr>
          </w:p>
        </w:tc>
      </w:tr>
      <w:tr>
        <w:trPr>
          <w:trHeight w:val="127"/>
        </w:trPr>
        <w:tc>
          <w:tcPr>
            <w:tcW w:w="4300" w:type="dxa"/>
            <w:vAlign w:val="bottom"/>
            <w:tcBorders>
              <w:left w:val="single" w:sz="8" w:color="auto"/>
              <w:right w:val="single" w:sz="8" w:color="auto"/>
            </w:tcBorders>
          </w:tcPr>
          <w:p>
            <w:pPr>
              <w:ind w:left="160"/>
              <w:spacing w:after="0" w:line="127" w:lineRule="exact"/>
              <w:rPr>
                <w:sz w:val="20"/>
                <w:szCs w:val="20"/>
                <w:color w:val="auto"/>
              </w:rPr>
            </w:pPr>
            <w:r>
              <w:rPr>
                <w:rFonts w:ascii="Times New Roman" w:cs="Times New Roman" w:eastAsia="Times New Roman" w:hAnsi="Times New Roman"/>
                <w:sz w:val="12"/>
                <w:szCs w:val="12"/>
                <w:color w:val="auto"/>
              </w:rPr>
              <w:t>Provision for credit losses on loan portfolio</w:t>
            </w:r>
          </w:p>
        </w:tc>
        <w:tc>
          <w:tcPr>
            <w:tcW w:w="150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7"/>
              </w:rPr>
              <w:t>(695,733)</w:t>
            </w:r>
          </w:p>
        </w:tc>
        <w:tc>
          <w:tcPr>
            <w:tcW w:w="158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7"/>
              </w:rPr>
              <w:t>(773,311)</w:t>
            </w:r>
          </w:p>
        </w:tc>
        <w:tc>
          <w:tcPr>
            <w:tcW w:w="1640" w:type="dxa"/>
            <w:vAlign w:val="bottom"/>
            <w:tcBorders>
              <w:right w:val="single" w:sz="8" w:color="auto"/>
            </w:tcBorders>
          </w:tcPr>
          <w:p>
            <w:pPr>
              <w:jc w:val="center"/>
              <w:ind w:right="1"/>
              <w:spacing w:after="0" w:line="127" w:lineRule="exact"/>
              <w:rPr>
                <w:sz w:val="20"/>
                <w:szCs w:val="20"/>
                <w:color w:val="auto"/>
              </w:rPr>
            </w:pPr>
            <w:r>
              <w:rPr>
                <w:rFonts w:ascii="Times New Roman" w:cs="Times New Roman" w:eastAsia="Times New Roman" w:hAnsi="Times New Roman"/>
                <w:sz w:val="12"/>
                <w:szCs w:val="12"/>
                <w:color w:val="auto"/>
                <w:w w:val="97"/>
              </w:rPr>
              <w:t>(612,011)</w:t>
            </w:r>
          </w:p>
        </w:tc>
        <w:tc>
          <w:tcPr>
            <w:tcW w:w="740" w:type="dxa"/>
            <w:vAlign w:val="bottom"/>
          </w:tcPr>
          <w:p>
            <w:pPr>
              <w:jc w:val="center"/>
              <w:ind w:left="201"/>
              <w:spacing w:after="0" w:line="127" w:lineRule="exact"/>
              <w:rPr>
                <w:sz w:val="20"/>
                <w:szCs w:val="20"/>
                <w:color w:val="auto"/>
              </w:rPr>
            </w:pPr>
            <w:r>
              <w:rPr>
                <w:rFonts w:ascii="Times New Roman" w:cs="Times New Roman" w:eastAsia="Times New Roman" w:hAnsi="Times New Roman"/>
                <w:sz w:val="12"/>
                <w:szCs w:val="12"/>
                <w:color w:val="auto"/>
              </w:rPr>
              <w:t>-20.9%</w:t>
            </w:r>
          </w:p>
        </w:tc>
        <w:tc>
          <w:tcPr>
            <w:tcW w:w="1500" w:type="dxa"/>
            <w:vAlign w:val="bottom"/>
            <w:tcBorders>
              <w:right w:val="single" w:sz="8" w:color="auto"/>
            </w:tcBorders>
          </w:tcPr>
          <w:p>
            <w:pPr>
              <w:jc w:val="center"/>
              <w:ind w:left="181"/>
              <w:spacing w:after="0" w:line="127" w:lineRule="exact"/>
              <w:rPr>
                <w:sz w:val="20"/>
                <w:szCs w:val="20"/>
                <w:color w:val="auto"/>
              </w:rPr>
            </w:pPr>
            <w:r>
              <w:rPr>
                <w:rFonts w:ascii="Times New Roman" w:cs="Times New Roman" w:eastAsia="Times New Roman" w:hAnsi="Times New Roman"/>
                <w:sz w:val="12"/>
                <w:szCs w:val="12"/>
                <w:color w:val="auto"/>
                <w:w w:val="97"/>
              </w:rPr>
              <w:t>-12.0%</w:t>
            </w:r>
          </w:p>
        </w:tc>
        <w:tc>
          <w:tcPr>
            <w:tcW w:w="0" w:type="dxa"/>
            <w:vAlign w:val="bottom"/>
          </w:tcPr>
          <w:p>
            <w:pPr>
              <w:spacing w:after="0"/>
              <w:rPr>
                <w:sz w:val="1"/>
                <w:szCs w:val="1"/>
                <w:color w:val="auto"/>
              </w:rPr>
            </w:pPr>
          </w:p>
        </w:tc>
      </w:tr>
      <w:tr>
        <w:trPr>
          <w:trHeight w:val="125"/>
        </w:trPr>
        <w:tc>
          <w:tcPr>
            <w:tcW w:w="4300" w:type="dxa"/>
            <w:vAlign w:val="bottom"/>
            <w:tcBorders>
              <w:left w:val="single" w:sz="8" w:color="auto"/>
              <w:right w:val="single" w:sz="8" w:color="auto"/>
            </w:tcBorders>
          </w:tcPr>
          <w:p>
            <w:pPr>
              <w:ind w:left="160"/>
              <w:spacing w:after="0" w:line="125" w:lineRule="exact"/>
              <w:rPr>
                <w:sz w:val="20"/>
                <w:szCs w:val="20"/>
                <w:color w:val="auto"/>
              </w:rPr>
            </w:pPr>
            <w:r>
              <w:rPr>
                <w:rFonts w:ascii="Times New Roman" w:cs="Times New Roman" w:eastAsia="Times New Roman" w:hAnsi="Times New Roman"/>
                <w:sz w:val="12"/>
                <w:szCs w:val="12"/>
                <w:color w:val="auto"/>
              </w:rPr>
              <w:t>Recoveries of written-off loans</w:t>
            </w:r>
          </w:p>
        </w:tc>
        <w:tc>
          <w:tcPr>
            <w:tcW w:w="150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auto"/>
                <w:w w:val="97"/>
              </w:rPr>
              <w:t>113,840</w:t>
            </w:r>
          </w:p>
        </w:tc>
        <w:tc>
          <w:tcPr>
            <w:tcW w:w="158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auto"/>
                <w:w w:val="97"/>
              </w:rPr>
              <w:t>127,025</w:t>
            </w:r>
          </w:p>
        </w:tc>
        <w:tc>
          <w:tcPr>
            <w:tcW w:w="1640" w:type="dxa"/>
            <w:vAlign w:val="bottom"/>
            <w:tcBorders>
              <w:right w:val="single" w:sz="8" w:color="auto"/>
            </w:tcBorders>
          </w:tcPr>
          <w:p>
            <w:pPr>
              <w:jc w:val="center"/>
              <w:ind w:right="1"/>
              <w:spacing w:after="0" w:line="125" w:lineRule="exact"/>
              <w:rPr>
                <w:sz w:val="20"/>
                <w:szCs w:val="20"/>
                <w:color w:val="auto"/>
              </w:rPr>
            </w:pPr>
            <w:r>
              <w:rPr>
                <w:rFonts w:ascii="Times New Roman" w:cs="Times New Roman" w:eastAsia="Times New Roman" w:hAnsi="Times New Roman"/>
                <w:sz w:val="12"/>
                <w:szCs w:val="12"/>
                <w:color w:val="auto"/>
                <w:w w:val="97"/>
              </w:rPr>
              <w:t>129,923</w:t>
            </w:r>
          </w:p>
        </w:tc>
        <w:tc>
          <w:tcPr>
            <w:tcW w:w="740" w:type="dxa"/>
            <w:vAlign w:val="bottom"/>
          </w:tcPr>
          <w:p>
            <w:pPr>
              <w:jc w:val="center"/>
              <w:ind w:left="201"/>
              <w:spacing w:after="0" w:line="125" w:lineRule="exact"/>
              <w:rPr>
                <w:sz w:val="20"/>
                <w:szCs w:val="20"/>
                <w:color w:val="auto"/>
              </w:rPr>
            </w:pPr>
            <w:r>
              <w:rPr>
                <w:rFonts w:ascii="Times New Roman" w:cs="Times New Roman" w:eastAsia="Times New Roman" w:hAnsi="Times New Roman"/>
                <w:sz w:val="12"/>
                <w:szCs w:val="12"/>
                <w:color w:val="auto"/>
                <w:w w:val="95"/>
              </w:rPr>
              <w:t>2.3%</w:t>
            </w:r>
          </w:p>
        </w:tc>
        <w:tc>
          <w:tcPr>
            <w:tcW w:w="1500" w:type="dxa"/>
            <w:vAlign w:val="bottom"/>
            <w:tcBorders>
              <w:right w:val="single" w:sz="8" w:color="auto"/>
            </w:tcBorders>
          </w:tcPr>
          <w:p>
            <w:pPr>
              <w:jc w:val="center"/>
              <w:ind w:left="181"/>
              <w:spacing w:after="0" w:line="125" w:lineRule="exact"/>
              <w:rPr>
                <w:sz w:val="20"/>
                <w:szCs w:val="20"/>
                <w:color w:val="auto"/>
              </w:rPr>
            </w:pPr>
            <w:r>
              <w:rPr>
                <w:rFonts w:ascii="Times New Roman" w:cs="Times New Roman" w:eastAsia="Times New Roman" w:hAnsi="Times New Roman"/>
                <w:sz w:val="12"/>
                <w:szCs w:val="12"/>
                <w:color w:val="auto"/>
                <w:w w:val="96"/>
              </w:rPr>
              <w:t>14.1%</w:t>
            </w:r>
          </w:p>
        </w:tc>
        <w:tc>
          <w:tcPr>
            <w:tcW w:w="0" w:type="dxa"/>
            <w:vAlign w:val="bottom"/>
          </w:tcPr>
          <w:p>
            <w:pPr>
              <w:spacing w:after="0"/>
              <w:rPr>
                <w:sz w:val="1"/>
                <w:szCs w:val="1"/>
                <w:color w:val="auto"/>
              </w:rPr>
            </w:pPr>
          </w:p>
        </w:tc>
      </w:tr>
      <w:tr>
        <w:trPr>
          <w:trHeight w:val="127"/>
        </w:trPr>
        <w:tc>
          <w:tcPr>
            <w:tcW w:w="4300" w:type="dxa"/>
            <w:vAlign w:val="bottom"/>
            <w:tcBorders>
              <w:left w:val="single" w:sz="8" w:color="auto"/>
              <w:right w:val="single" w:sz="8" w:color="auto"/>
            </w:tcBorders>
          </w:tcPr>
          <w:p>
            <w:pPr>
              <w:ind w:left="160"/>
              <w:spacing w:after="0" w:line="127" w:lineRule="exact"/>
              <w:rPr>
                <w:sz w:val="20"/>
                <w:szCs w:val="20"/>
                <w:color w:val="auto"/>
              </w:rPr>
            </w:pPr>
            <w:r>
              <w:rPr>
                <w:rFonts w:ascii="Times New Roman" w:cs="Times New Roman" w:eastAsia="Times New Roman" w:hAnsi="Times New Roman"/>
                <w:sz w:val="12"/>
                <w:szCs w:val="12"/>
                <w:b w:val="1"/>
                <w:bCs w:val="1"/>
                <w:color w:val="auto"/>
              </w:rPr>
              <w:t>Provision for credit losses on loan portfolio, net of recoveries</w:t>
            </w:r>
          </w:p>
        </w:tc>
        <w:tc>
          <w:tcPr>
            <w:tcW w:w="150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b w:val="1"/>
                <w:bCs w:val="1"/>
                <w:color w:val="auto"/>
                <w:w w:val="97"/>
              </w:rPr>
              <w:t>(581,893)</w:t>
            </w:r>
          </w:p>
        </w:tc>
        <w:tc>
          <w:tcPr>
            <w:tcW w:w="158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b w:val="1"/>
                <w:bCs w:val="1"/>
                <w:color w:val="auto"/>
                <w:w w:val="97"/>
              </w:rPr>
              <w:t>(646,286)</w:t>
            </w:r>
          </w:p>
        </w:tc>
        <w:tc>
          <w:tcPr>
            <w:tcW w:w="1640" w:type="dxa"/>
            <w:vAlign w:val="bottom"/>
            <w:tcBorders>
              <w:right w:val="single" w:sz="8" w:color="auto"/>
            </w:tcBorders>
          </w:tcPr>
          <w:p>
            <w:pPr>
              <w:jc w:val="center"/>
              <w:ind w:right="1"/>
              <w:spacing w:after="0" w:line="127" w:lineRule="exact"/>
              <w:rPr>
                <w:sz w:val="20"/>
                <w:szCs w:val="20"/>
                <w:color w:val="auto"/>
              </w:rPr>
            </w:pPr>
            <w:r>
              <w:rPr>
                <w:rFonts w:ascii="Times New Roman" w:cs="Times New Roman" w:eastAsia="Times New Roman" w:hAnsi="Times New Roman"/>
                <w:sz w:val="12"/>
                <w:szCs w:val="12"/>
                <w:b w:val="1"/>
                <w:bCs w:val="1"/>
                <w:color w:val="auto"/>
                <w:w w:val="97"/>
              </w:rPr>
              <w:t>(482,088)</w:t>
            </w:r>
          </w:p>
        </w:tc>
        <w:tc>
          <w:tcPr>
            <w:tcW w:w="740" w:type="dxa"/>
            <w:vAlign w:val="bottom"/>
          </w:tcPr>
          <w:p>
            <w:pPr>
              <w:jc w:val="center"/>
              <w:ind w:left="201"/>
              <w:spacing w:after="0" w:line="127" w:lineRule="exact"/>
              <w:rPr>
                <w:sz w:val="20"/>
                <w:szCs w:val="20"/>
                <w:color w:val="auto"/>
              </w:rPr>
            </w:pPr>
            <w:r>
              <w:rPr>
                <w:rFonts w:ascii="Times New Roman" w:cs="Times New Roman" w:eastAsia="Times New Roman" w:hAnsi="Times New Roman"/>
                <w:sz w:val="12"/>
                <w:szCs w:val="12"/>
                <w:b w:val="1"/>
                <w:bCs w:val="1"/>
                <w:color w:val="auto"/>
                <w:w w:val="97"/>
              </w:rPr>
              <w:t>-25.4%</w:t>
            </w:r>
          </w:p>
        </w:tc>
        <w:tc>
          <w:tcPr>
            <w:tcW w:w="1500" w:type="dxa"/>
            <w:vAlign w:val="bottom"/>
            <w:tcBorders>
              <w:right w:val="single" w:sz="8" w:color="auto"/>
            </w:tcBorders>
          </w:tcPr>
          <w:p>
            <w:pPr>
              <w:jc w:val="center"/>
              <w:ind w:left="181"/>
              <w:spacing w:after="0" w:line="127" w:lineRule="exact"/>
              <w:rPr>
                <w:sz w:val="20"/>
                <w:szCs w:val="20"/>
                <w:color w:val="auto"/>
              </w:rPr>
            </w:pPr>
            <w:r>
              <w:rPr>
                <w:rFonts w:ascii="Times New Roman" w:cs="Times New Roman" w:eastAsia="Times New Roman" w:hAnsi="Times New Roman"/>
                <w:sz w:val="12"/>
                <w:szCs w:val="12"/>
                <w:b w:val="1"/>
                <w:bCs w:val="1"/>
                <w:color w:val="auto"/>
              </w:rPr>
              <w:t>-17.2%</w:t>
            </w:r>
          </w:p>
        </w:tc>
        <w:tc>
          <w:tcPr>
            <w:tcW w:w="0" w:type="dxa"/>
            <w:vAlign w:val="bottom"/>
          </w:tcPr>
          <w:p>
            <w:pPr>
              <w:spacing w:after="0"/>
              <w:rPr>
                <w:sz w:val="1"/>
                <w:szCs w:val="1"/>
                <w:color w:val="auto"/>
              </w:rPr>
            </w:pPr>
          </w:p>
        </w:tc>
      </w:tr>
      <w:tr>
        <w:trPr>
          <w:trHeight w:val="127"/>
        </w:trPr>
        <w:tc>
          <w:tcPr>
            <w:tcW w:w="4300" w:type="dxa"/>
            <w:vAlign w:val="bottom"/>
            <w:tcBorders>
              <w:left w:val="single" w:sz="8" w:color="auto"/>
              <w:right w:val="single" w:sz="8" w:color="auto"/>
            </w:tcBorders>
          </w:tcPr>
          <w:p>
            <w:pPr>
              <w:ind w:left="160"/>
              <w:spacing w:after="0" w:line="127" w:lineRule="exact"/>
              <w:rPr>
                <w:sz w:val="20"/>
                <w:szCs w:val="20"/>
                <w:color w:val="auto"/>
              </w:rPr>
            </w:pPr>
            <w:r>
              <w:rPr>
                <w:rFonts w:ascii="Times New Roman" w:cs="Times New Roman" w:eastAsia="Times New Roman" w:hAnsi="Times New Roman"/>
                <w:sz w:val="12"/>
                <w:szCs w:val="12"/>
                <w:b w:val="1"/>
                <w:bCs w:val="1"/>
                <w:color w:val="auto"/>
              </w:rPr>
              <w:t>Net interest, similar income and expenses, after provision for credit losses on</w:t>
            </w: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2,990,119</w:t>
            </w: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3,194,981</w:t>
            </w:r>
          </w:p>
        </w:tc>
        <w:tc>
          <w:tcPr>
            <w:tcW w:w="1640" w:type="dxa"/>
            <w:vAlign w:val="bottom"/>
            <w:tcBorders>
              <w:right w:val="single" w:sz="8" w:color="auto"/>
            </w:tcBorders>
            <w:vMerge w:val="restart"/>
          </w:tcPr>
          <w:p>
            <w:pPr>
              <w:jc w:val="center"/>
              <w:ind w:right="1"/>
              <w:spacing w:after="0"/>
              <w:rPr>
                <w:sz w:val="20"/>
                <w:szCs w:val="20"/>
                <w:color w:val="auto"/>
              </w:rPr>
            </w:pPr>
            <w:r>
              <w:rPr>
                <w:rFonts w:ascii="Times New Roman" w:cs="Times New Roman" w:eastAsia="Times New Roman" w:hAnsi="Times New Roman"/>
                <w:sz w:val="12"/>
                <w:szCs w:val="12"/>
                <w:b w:val="1"/>
                <w:bCs w:val="1"/>
                <w:color w:val="auto"/>
                <w:w w:val="95"/>
              </w:rPr>
              <w:t>3,480,639</w:t>
            </w:r>
          </w:p>
        </w:tc>
        <w:tc>
          <w:tcPr>
            <w:tcW w:w="740" w:type="dxa"/>
            <w:vAlign w:val="bottom"/>
            <w:vMerge w:val="restart"/>
          </w:tcPr>
          <w:p>
            <w:pPr>
              <w:jc w:val="center"/>
              <w:ind w:left="201"/>
              <w:spacing w:after="0"/>
              <w:rPr>
                <w:sz w:val="20"/>
                <w:szCs w:val="20"/>
                <w:color w:val="auto"/>
              </w:rPr>
            </w:pPr>
            <w:r>
              <w:rPr>
                <w:rFonts w:ascii="Times New Roman" w:cs="Times New Roman" w:eastAsia="Times New Roman" w:hAnsi="Times New Roman"/>
                <w:sz w:val="12"/>
                <w:szCs w:val="12"/>
                <w:b w:val="1"/>
                <w:bCs w:val="1"/>
                <w:color w:val="auto"/>
              </w:rPr>
              <w:t>8.9%</w:t>
            </w:r>
          </w:p>
        </w:tc>
        <w:tc>
          <w:tcPr>
            <w:tcW w:w="1500" w:type="dxa"/>
            <w:vAlign w:val="bottom"/>
            <w:tcBorders>
              <w:right w:val="single" w:sz="8" w:color="auto"/>
            </w:tcBorders>
            <w:vMerge w:val="restart"/>
          </w:tcPr>
          <w:p>
            <w:pPr>
              <w:jc w:val="center"/>
              <w:ind w:left="181"/>
              <w:spacing w:after="0"/>
              <w:rPr>
                <w:sz w:val="20"/>
                <w:szCs w:val="20"/>
                <w:color w:val="auto"/>
              </w:rPr>
            </w:pPr>
            <w:r>
              <w:rPr>
                <w:rFonts w:ascii="Times New Roman" w:cs="Times New Roman" w:eastAsia="Times New Roman" w:hAnsi="Times New Roman"/>
                <w:sz w:val="12"/>
                <w:szCs w:val="12"/>
                <w:b w:val="1"/>
                <w:bCs w:val="1"/>
                <w:color w:val="auto"/>
              </w:rPr>
              <w:t>16.4%</w:t>
            </w:r>
          </w:p>
        </w:tc>
        <w:tc>
          <w:tcPr>
            <w:tcW w:w="0" w:type="dxa"/>
            <w:vAlign w:val="bottom"/>
          </w:tcPr>
          <w:p>
            <w:pPr>
              <w:spacing w:after="0"/>
              <w:rPr>
                <w:sz w:val="1"/>
                <w:szCs w:val="1"/>
                <w:color w:val="auto"/>
              </w:rPr>
            </w:pPr>
          </w:p>
        </w:tc>
      </w:tr>
      <w:tr>
        <w:trPr>
          <w:trHeight w:val="92"/>
        </w:trPr>
        <w:tc>
          <w:tcPr>
            <w:tcW w:w="4300" w:type="dxa"/>
            <w:vAlign w:val="bottom"/>
            <w:tcBorders>
              <w:left w:val="single" w:sz="8" w:color="auto"/>
              <w:right w:val="single" w:sz="8" w:color="auto"/>
            </w:tcBorders>
            <w:vMerge w:val="restart"/>
          </w:tcPr>
          <w:p>
            <w:pPr>
              <w:ind w:left="320"/>
              <w:spacing w:after="0"/>
              <w:rPr>
                <w:sz w:val="20"/>
                <w:szCs w:val="20"/>
                <w:color w:val="auto"/>
              </w:rPr>
            </w:pPr>
            <w:r>
              <w:rPr>
                <w:rFonts w:ascii="Times New Roman" w:cs="Times New Roman" w:eastAsia="Times New Roman" w:hAnsi="Times New Roman"/>
                <w:sz w:val="12"/>
                <w:szCs w:val="12"/>
                <w:b w:val="1"/>
                <w:bCs w:val="1"/>
                <w:color w:val="auto"/>
              </w:rPr>
              <w:t>loan portfolio</w:t>
            </w:r>
          </w:p>
        </w:tc>
        <w:tc>
          <w:tcPr>
            <w:tcW w:w="1500" w:type="dxa"/>
            <w:vAlign w:val="bottom"/>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1640" w:type="dxa"/>
            <w:vAlign w:val="bottom"/>
            <w:tcBorders>
              <w:right w:val="single" w:sz="8" w:color="auto"/>
            </w:tcBorders>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15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4300" w:type="dxa"/>
            <w:vAlign w:val="bottom"/>
            <w:tcBorders>
              <w:left w:val="single" w:sz="8" w:color="auto"/>
              <w:right w:val="single" w:sz="8" w:color="auto"/>
            </w:tcBorders>
            <w:vMerge w:val="continue"/>
          </w:tcPr>
          <w:p>
            <w:pPr>
              <w:spacing w:after="0"/>
              <w:rPr>
                <w:sz w:val="5"/>
                <w:szCs w:val="5"/>
                <w:color w:val="auto"/>
              </w:rPr>
            </w:pPr>
          </w:p>
        </w:tc>
        <w:tc>
          <w:tcPr>
            <w:tcW w:w="150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640" w:type="dxa"/>
            <w:vAlign w:val="bottom"/>
            <w:tcBorders>
              <w:right w:val="single" w:sz="8" w:color="auto"/>
            </w:tcBorders>
          </w:tcPr>
          <w:p>
            <w:pPr>
              <w:spacing w:after="0"/>
              <w:rPr>
                <w:sz w:val="5"/>
                <w:szCs w:val="5"/>
                <w:color w:val="auto"/>
              </w:rPr>
            </w:pPr>
          </w:p>
        </w:tc>
        <w:tc>
          <w:tcPr>
            <w:tcW w:w="740" w:type="dxa"/>
            <w:vAlign w:val="bottom"/>
          </w:tcPr>
          <w:p>
            <w:pPr>
              <w:spacing w:after="0"/>
              <w:rPr>
                <w:sz w:val="5"/>
                <w:szCs w:val="5"/>
                <w:color w:val="auto"/>
              </w:rPr>
            </w:pPr>
          </w:p>
        </w:tc>
        <w:tc>
          <w:tcPr>
            <w:tcW w:w="15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7"/>
        </w:trPr>
        <w:tc>
          <w:tcPr>
            <w:tcW w:w="430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2"/>
                <w:szCs w:val="12"/>
                <w:b w:val="1"/>
                <w:bCs w:val="1"/>
                <w:color w:val="auto"/>
              </w:rPr>
              <w:t>Other income</w:t>
            </w:r>
          </w:p>
        </w:tc>
        <w:tc>
          <w:tcPr>
            <w:tcW w:w="15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640" w:type="dxa"/>
            <w:vAlign w:val="bottom"/>
            <w:tcBorders>
              <w:right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15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4300" w:type="dxa"/>
            <w:vAlign w:val="bottom"/>
            <w:tcBorders>
              <w:left w:val="single" w:sz="8" w:color="auto"/>
              <w:right w:val="single" w:sz="8" w:color="auto"/>
            </w:tcBorders>
          </w:tcPr>
          <w:p>
            <w:pPr>
              <w:ind w:left="320"/>
              <w:spacing w:after="0" w:line="127" w:lineRule="exact"/>
              <w:rPr>
                <w:sz w:val="20"/>
                <w:szCs w:val="20"/>
                <w:color w:val="auto"/>
              </w:rPr>
            </w:pPr>
            <w:r>
              <w:rPr>
                <w:rFonts w:ascii="Times New Roman" w:cs="Times New Roman" w:eastAsia="Times New Roman" w:hAnsi="Times New Roman"/>
                <w:sz w:val="12"/>
                <w:szCs w:val="12"/>
                <w:color w:val="auto"/>
              </w:rPr>
              <w:t>Fee income</w:t>
            </w:r>
          </w:p>
        </w:tc>
        <w:tc>
          <w:tcPr>
            <w:tcW w:w="150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7"/>
              </w:rPr>
              <w:t>994,024</w:t>
            </w:r>
          </w:p>
        </w:tc>
        <w:tc>
          <w:tcPr>
            <w:tcW w:w="158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5"/>
              </w:rPr>
              <w:t>1,118,110</w:t>
            </w:r>
          </w:p>
        </w:tc>
        <w:tc>
          <w:tcPr>
            <w:tcW w:w="1640" w:type="dxa"/>
            <w:vAlign w:val="bottom"/>
            <w:tcBorders>
              <w:right w:val="single" w:sz="8" w:color="auto"/>
            </w:tcBorders>
          </w:tcPr>
          <w:p>
            <w:pPr>
              <w:jc w:val="center"/>
              <w:ind w:right="1"/>
              <w:spacing w:after="0" w:line="127" w:lineRule="exact"/>
              <w:rPr>
                <w:sz w:val="20"/>
                <w:szCs w:val="20"/>
                <w:color w:val="auto"/>
              </w:rPr>
            </w:pPr>
            <w:r>
              <w:rPr>
                <w:rFonts w:ascii="Times New Roman" w:cs="Times New Roman" w:eastAsia="Times New Roman" w:hAnsi="Times New Roman"/>
                <w:sz w:val="12"/>
                <w:szCs w:val="12"/>
                <w:color w:val="auto"/>
                <w:w w:val="95"/>
              </w:rPr>
              <w:t>1,149,284</w:t>
            </w:r>
          </w:p>
        </w:tc>
        <w:tc>
          <w:tcPr>
            <w:tcW w:w="740" w:type="dxa"/>
            <w:vAlign w:val="bottom"/>
          </w:tcPr>
          <w:p>
            <w:pPr>
              <w:jc w:val="center"/>
              <w:ind w:left="201"/>
              <w:spacing w:after="0" w:line="127" w:lineRule="exact"/>
              <w:rPr>
                <w:sz w:val="20"/>
                <w:szCs w:val="20"/>
                <w:color w:val="auto"/>
              </w:rPr>
            </w:pPr>
            <w:r>
              <w:rPr>
                <w:rFonts w:ascii="Times New Roman" w:cs="Times New Roman" w:eastAsia="Times New Roman" w:hAnsi="Times New Roman"/>
                <w:sz w:val="12"/>
                <w:szCs w:val="12"/>
                <w:color w:val="auto"/>
                <w:w w:val="95"/>
              </w:rPr>
              <w:t>2.8%</w:t>
            </w:r>
          </w:p>
        </w:tc>
        <w:tc>
          <w:tcPr>
            <w:tcW w:w="1500" w:type="dxa"/>
            <w:vAlign w:val="bottom"/>
            <w:tcBorders>
              <w:right w:val="single" w:sz="8" w:color="auto"/>
            </w:tcBorders>
          </w:tcPr>
          <w:p>
            <w:pPr>
              <w:jc w:val="center"/>
              <w:ind w:left="181"/>
              <w:spacing w:after="0" w:line="127" w:lineRule="exact"/>
              <w:rPr>
                <w:sz w:val="20"/>
                <w:szCs w:val="20"/>
                <w:color w:val="auto"/>
              </w:rPr>
            </w:pPr>
            <w:r>
              <w:rPr>
                <w:rFonts w:ascii="Times New Roman" w:cs="Times New Roman" w:eastAsia="Times New Roman" w:hAnsi="Times New Roman"/>
                <w:sz w:val="12"/>
                <w:szCs w:val="12"/>
                <w:color w:val="auto"/>
                <w:w w:val="96"/>
              </w:rPr>
              <w:t>15.6%</w:t>
            </w:r>
          </w:p>
        </w:tc>
        <w:tc>
          <w:tcPr>
            <w:tcW w:w="0" w:type="dxa"/>
            <w:vAlign w:val="bottom"/>
          </w:tcPr>
          <w:p>
            <w:pPr>
              <w:spacing w:after="0"/>
              <w:rPr>
                <w:sz w:val="1"/>
                <w:szCs w:val="1"/>
                <w:color w:val="auto"/>
              </w:rPr>
            </w:pPr>
          </w:p>
        </w:tc>
      </w:tr>
      <w:tr>
        <w:trPr>
          <w:trHeight w:val="127"/>
        </w:trPr>
        <w:tc>
          <w:tcPr>
            <w:tcW w:w="4300" w:type="dxa"/>
            <w:vAlign w:val="bottom"/>
            <w:tcBorders>
              <w:left w:val="single" w:sz="8" w:color="auto"/>
              <w:right w:val="single" w:sz="8" w:color="auto"/>
            </w:tcBorders>
          </w:tcPr>
          <w:p>
            <w:pPr>
              <w:ind w:left="320"/>
              <w:spacing w:after="0" w:line="127" w:lineRule="exact"/>
              <w:rPr>
                <w:sz w:val="20"/>
                <w:szCs w:val="20"/>
                <w:color w:val="auto"/>
              </w:rPr>
            </w:pPr>
            <w:r>
              <w:rPr>
                <w:rFonts w:ascii="Times New Roman" w:cs="Times New Roman" w:eastAsia="Times New Roman" w:hAnsi="Times New Roman"/>
                <w:sz w:val="12"/>
                <w:szCs w:val="12"/>
                <w:color w:val="auto"/>
              </w:rPr>
              <w:t>Net gain on foreign exchange transactions</w:t>
            </w:r>
          </w:p>
        </w:tc>
        <w:tc>
          <w:tcPr>
            <w:tcW w:w="150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7"/>
              </w:rPr>
              <w:t>343,814</w:t>
            </w:r>
          </w:p>
        </w:tc>
        <w:tc>
          <w:tcPr>
            <w:tcW w:w="158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7"/>
              </w:rPr>
              <w:t>426,916</w:t>
            </w:r>
          </w:p>
        </w:tc>
        <w:tc>
          <w:tcPr>
            <w:tcW w:w="1640" w:type="dxa"/>
            <w:vAlign w:val="bottom"/>
            <w:tcBorders>
              <w:right w:val="single" w:sz="8" w:color="auto"/>
            </w:tcBorders>
          </w:tcPr>
          <w:p>
            <w:pPr>
              <w:jc w:val="center"/>
              <w:ind w:right="1"/>
              <w:spacing w:after="0" w:line="127" w:lineRule="exact"/>
              <w:rPr>
                <w:sz w:val="20"/>
                <w:szCs w:val="20"/>
                <w:color w:val="auto"/>
              </w:rPr>
            </w:pPr>
            <w:r>
              <w:rPr>
                <w:rFonts w:ascii="Times New Roman" w:cs="Times New Roman" w:eastAsia="Times New Roman" w:hAnsi="Times New Roman"/>
                <w:sz w:val="12"/>
                <w:szCs w:val="12"/>
                <w:color w:val="auto"/>
                <w:w w:val="97"/>
              </w:rPr>
              <w:t>448,884</w:t>
            </w:r>
          </w:p>
        </w:tc>
        <w:tc>
          <w:tcPr>
            <w:tcW w:w="740" w:type="dxa"/>
            <w:vAlign w:val="bottom"/>
          </w:tcPr>
          <w:p>
            <w:pPr>
              <w:jc w:val="center"/>
              <w:ind w:left="201"/>
              <w:spacing w:after="0" w:line="127" w:lineRule="exact"/>
              <w:rPr>
                <w:sz w:val="20"/>
                <w:szCs w:val="20"/>
                <w:color w:val="auto"/>
              </w:rPr>
            </w:pPr>
            <w:r>
              <w:rPr>
                <w:rFonts w:ascii="Times New Roman" w:cs="Times New Roman" w:eastAsia="Times New Roman" w:hAnsi="Times New Roman"/>
                <w:sz w:val="12"/>
                <w:szCs w:val="12"/>
                <w:color w:val="auto"/>
                <w:w w:val="95"/>
              </w:rPr>
              <w:t>5.1%</w:t>
            </w:r>
          </w:p>
        </w:tc>
        <w:tc>
          <w:tcPr>
            <w:tcW w:w="1500" w:type="dxa"/>
            <w:vAlign w:val="bottom"/>
            <w:tcBorders>
              <w:right w:val="single" w:sz="8" w:color="auto"/>
            </w:tcBorders>
          </w:tcPr>
          <w:p>
            <w:pPr>
              <w:jc w:val="center"/>
              <w:ind w:left="181"/>
              <w:spacing w:after="0" w:line="127" w:lineRule="exact"/>
              <w:rPr>
                <w:sz w:val="20"/>
                <w:szCs w:val="20"/>
                <w:color w:val="auto"/>
              </w:rPr>
            </w:pPr>
            <w:r>
              <w:rPr>
                <w:rFonts w:ascii="Times New Roman" w:cs="Times New Roman" w:eastAsia="Times New Roman" w:hAnsi="Times New Roman"/>
                <w:sz w:val="12"/>
                <w:szCs w:val="12"/>
                <w:color w:val="auto"/>
                <w:w w:val="96"/>
              </w:rPr>
              <w:t>30.6%</w:t>
            </w:r>
          </w:p>
        </w:tc>
        <w:tc>
          <w:tcPr>
            <w:tcW w:w="0" w:type="dxa"/>
            <w:vAlign w:val="bottom"/>
          </w:tcPr>
          <w:p>
            <w:pPr>
              <w:spacing w:after="0"/>
              <w:rPr>
                <w:sz w:val="1"/>
                <w:szCs w:val="1"/>
                <w:color w:val="auto"/>
              </w:rPr>
            </w:pPr>
          </w:p>
        </w:tc>
      </w:tr>
      <w:tr>
        <w:trPr>
          <w:trHeight w:val="127"/>
        </w:trPr>
        <w:tc>
          <w:tcPr>
            <w:tcW w:w="4300" w:type="dxa"/>
            <w:vAlign w:val="bottom"/>
            <w:tcBorders>
              <w:left w:val="single" w:sz="8" w:color="auto"/>
              <w:right w:val="single" w:sz="8" w:color="auto"/>
            </w:tcBorders>
          </w:tcPr>
          <w:p>
            <w:pPr>
              <w:ind w:left="320"/>
              <w:spacing w:after="0" w:line="127" w:lineRule="exact"/>
              <w:rPr>
                <w:sz w:val="20"/>
                <w:szCs w:val="20"/>
                <w:color w:val="auto"/>
              </w:rPr>
            </w:pPr>
            <w:r>
              <w:rPr>
                <w:rFonts w:ascii="Times New Roman" w:cs="Times New Roman" w:eastAsia="Times New Roman" w:hAnsi="Times New Roman"/>
                <w:sz w:val="12"/>
                <w:szCs w:val="12"/>
                <w:color w:val="auto"/>
              </w:rPr>
              <w:t>Net loss on securities</w:t>
            </w:r>
          </w:p>
        </w:tc>
        <w:tc>
          <w:tcPr>
            <w:tcW w:w="1500" w:type="dxa"/>
            <w:vAlign w:val="bottom"/>
          </w:tcPr>
          <w:p>
            <w:pPr>
              <w:jc w:val="center"/>
              <w:ind w:right="1"/>
              <w:spacing w:after="0" w:line="127" w:lineRule="exact"/>
              <w:rPr>
                <w:sz w:val="20"/>
                <w:szCs w:val="20"/>
                <w:color w:val="auto"/>
              </w:rPr>
            </w:pPr>
            <w:r>
              <w:rPr>
                <w:rFonts w:ascii="Times New Roman" w:cs="Times New Roman" w:eastAsia="Times New Roman" w:hAnsi="Times New Roman"/>
                <w:sz w:val="12"/>
                <w:szCs w:val="12"/>
                <w:color w:val="auto"/>
                <w:w w:val="97"/>
              </w:rPr>
              <w:t>(28,149)</w:t>
            </w:r>
          </w:p>
        </w:tc>
        <w:tc>
          <w:tcPr>
            <w:tcW w:w="158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6"/>
              </w:rPr>
              <w:t>96,280</w:t>
            </w:r>
          </w:p>
        </w:tc>
        <w:tc>
          <w:tcPr>
            <w:tcW w:w="1640" w:type="dxa"/>
            <w:vAlign w:val="bottom"/>
            <w:tcBorders>
              <w:right w:val="single" w:sz="8" w:color="auto"/>
            </w:tcBorders>
          </w:tcPr>
          <w:p>
            <w:pPr>
              <w:jc w:val="center"/>
              <w:ind w:right="1"/>
              <w:spacing w:after="0" w:line="127" w:lineRule="exact"/>
              <w:rPr>
                <w:sz w:val="20"/>
                <w:szCs w:val="20"/>
                <w:color w:val="auto"/>
              </w:rPr>
            </w:pPr>
            <w:r>
              <w:rPr>
                <w:rFonts w:ascii="Times New Roman" w:cs="Times New Roman" w:eastAsia="Times New Roman" w:hAnsi="Times New Roman"/>
                <w:sz w:val="12"/>
                <w:szCs w:val="12"/>
                <w:color w:val="auto"/>
                <w:w w:val="97"/>
              </w:rPr>
              <w:t>135,637</w:t>
            </w:r>
          </w:p>
        </w:tc>
        <w:tc>
          <w:tcPr>
            <w:tcW w:w="740" w:type="dxa"/>
            <w:vAlign w:val="bottom"/>
          </w:tcPr>
          <w:p>
            <w:pPr>
              <w:jc w:val="center"/>
              <w:ind w:left="201"/>
              <w:spacing w:after="0" w:line="127" w:lineRule="exact"/>
              <w:rPr>
                <w:sz w:val="20"/>
                <w:szCs w:val="20"/>
                <w:color w:val="auto"/>
              </w:rPr>
            </w:pPr>
            <w:r>
              <w:rPr>
                <w:rFonts w:ascii="Times New Roman" w:cs="Times New Roman" w:eastAsia="Times New Roman" w:hAnsi="Times New Roman"/>
                <w:sz w:val="12"/>
                <w:szCs w:val="12"/>
                <w:color w:val="auto"/>
              </w:rPr>
              <w:t>40.9%</w:t>
            </w:r>
          </w:p>
        </w:tc>
        <w:tc>
          <w:tcPr>
            <w:tcW w:w="1500" w:type="dxa"/>
            <w:vAlign w:val="bottom"/>
            <w:tcBorders>
              <w:right w:val="single" w:sz="8" w:color="auto"/>
            </w:tcBorders>
          </w:tcPr>
          <w:p>
            <w:pPr>
              <w:jc w:val="center"/>
              <w:ind w:left="181"/>
              <w:spacing w:after="0" w:line="127" w:lineRule="exact"/>
              <w:rPr>
                <w:sz w:val="20"/>
                <w:szCs w:val="20"/>
                <w:color w:val="auto"/>
              </w:rPr>
            </w:pPr>
            <w:r>
              <w:rPr>
                <w:rFonts w:ascii="Times New Roman" w:cs="Times New Roman" w:eastAsia="Times New Roman" w:hAnsi="Times New Roman"/>
                <w:sz w:val="12"/>
                <w:szCs w:val="12"/>
                <w:color w:val="auto"/>
              </w:rPr>
              <w:t>-581.9%</w:t>
            </w:r>
          </w:p>
        </w:tc>
        <w:tc>
          <w:tcPr>
            <w:tcW w:w="0" w:type="dxa"/>
            <w:vAlign w:val="bottom"/>
          </w:tcPr>
          <w:p>
            <w:pPr>
              <w:spacing w:after="0"/>
              <w:rPr>
                <w:sz w:val="1"/>
                <w:szCs w:val="1"/>
                <w:color w:val="auto"/>
              </w:rPr>
            </w:pPr>
          </w:p>
        </w:tc>
      </w:tr>
      <w:tr>
        <w:trPr>
          <w:trHeight w:val="127"/>
        </w:trPr>
        <w:tc>
          <w:tcPr>
            <w:tcW w:w="4300" w:type="dxa"/>
            <w:vAlign w:val="bottom"/>
            <w:tcBorders>
              <w:left w:val="single" w:sz="8" w:color="auto"/>
              <w:right w:val="single" w:sz="8" w:color="auto"/>
            </w:tcBorders>
          </w:tcPr>
          <w:p>
            <w:pPr>
              <w:ind w:left="320"/>
              <w:spacing w:after="0" w:line="127" w:lineRule="exact"/>
              <w:rPr>
                <w:sz w:val="20"/>
                <w:szCs w:val="20"/>
                <w:color w:val="auto"/>
              </w:rPr>
            </w:pPr>
            <w:r>
              <w:rPr>
                <w:rFonts w:ascii="Times New Roman" w:cs="Times New Roman" w:eastAsia="Times New Roman" w:hAnsi="Times New Roman"/>
                <w:sz w:val="12"/>
                <w:szCs w:val="12"/>
                <w:color w:val="auto"/>
              </w:rPr>
              <w:t>Net gain from associates</w:t>
            </w:r>
          </w:p>
        </w:tc>
        <w:tc>
          <w:tcPr>
            <w:tcW w:w="1500" w:type="dxa"/>
            <w:vAlign w:val="bottom"/>
          </w:tcPr>
          <w:p>
            <w:pPr>
              <w:jc w:val="center"/>
              <w:ind w:right="1"/>
              <w:spacing w:after="0" w:line="127" w:lineRule="exact"/>
              <w:rPr>
                <w:sz w:val="20"/>
                <w:szCs w:val="20"/>
                <w:color w:val="auto"/>
              </w:rPr>
            </w:pPr>
            <w:r>
              <w:rPr>
                <w:rFonts w:ascii="Times New Roman" w:cs="Times New Roman" w:eastAsia="Times New Roman" w:hAnsi="Times New Roman"/>
                <w:sz w:val="12"/>
                <w:szCs w:val="12"/>
                <w:color w:val="auto"/>
                <w:w w:val="96"/>
              </w:rPr>
              <w:t>24,068</w:t>
            </w:r>
          </w:p>
        </w:tc>
        <w:tc>
          <w:tcPr>
            <w:tcW w:w="158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6"/>
              </w:rPr>
              <w:t>5,588</w:t>
            </w:r>
          </w:p>
        </w:tc>
        <w:tc>
          <w:tcPr>
            <w:tcW w:w="1640" w:type="dxa"/>
            <w:vAlign w:val="bottom"/>
            <w:tcBorders>
              <w:right w:val="single" w:sz="8" w:color="auto"/>
            </w:tcBorders>
          </w:tcPr>
          <w:p>
            <w:pPr>
              <w:jc w:val="center"/>
              <w:ind w:right="1"/>
              <w:spacing w:after="0" w:line="127" w:lineRule="exact"/>
              <w:rPr>
                <w:sz w:val="20"/>
                <w:szCs w:val="20"/>
                <w:color w:val="auto"/>
              </w:rPr>
            </w:pPr>
            <w:r>
              <w:rPr>
                <w:rFonts w:ascii="Times New Roman" w:cs="Times New Roman" w:eastAsia="Times New Roman" w:hAnsi="Times New Roman"/>
                <w:sz w:val="12"/>
                <w:szCs w:val="12"/>
                <w:color w:val="auto"/>
                <w:w w:val="96"/>
              </w:rPr>
              <w:t>9,296</w:t>
            </w:r>
          </w:p>
        </w:tc>
        <w:tc>
          <w:tcPr>
            <w:tcW w:w="740" w:type="dxa"/>
            <w:vAlign w:val="bottom"/>
          </w:tcPr>
          <w:p>
            <w:pPr>
              <w:jc w:val="center"/>
              <w:ind w:left="201"/>
              <w:spacing w:after="0" w:line="127" w:lineRule="exact"/>
              <w:rPr>
                <w:sz w:val="20"/>
                <w:szCs w:val="20"/>
                <w:color w:val="auto"/>
              </w:rPr>
            </w:pPr>
            <w:r>
              <w:rPr>
                <w:rFonts w:ascii="Times New Roman" w:cs="Times New Roman" w:eastAsia="Times New Roman" w:hAnsi="Times New Roman"/>
                <w:sz w:val="12"/>
                <w:szCs w:val="12"/>
                <w:color w:val="auto"/>
              </w:rPr>
              <w:t>66.4%</w:t>
            </w:r>
          </w:p>
        </w:tc>
        <w:tc>
          <w:tcPr>
            <w:tcW w:w="1500" w:type="dxa"/>
            <w:vAlign w:val="bottom"/>
            <w:tcBorders>
              <w:right w:val="single" w:sz="8" w:color="auto"/>
            </w:tcBorders>
          </w:tcPr>
          <w:p>
            <w:pPr>
              <w:jc w:val="center"/>
              <w:ind w:left="181"/>
              <w:spacing w:after="0" w:line="127" w:lineRule="exact"/>
              <w:rPr>
                <w:sz w:val="20"/>
                <w:szCs w:val="20"/>
                <w:color w:val="auto"/>
              </w:rPr>
            </w:pPr>
            <w:r>
              <w:rPr>
                <w:rFonts w:ascii="Times New Roman" w:cs="Times New Roman" w:eastAsia="Times New Roman" w:hAnsi="Times New Roman"/>
                <w:sz w:val="12"/>
                <w:szCs w:val="12"/>
                <w:color w:val="auto"/>
                <w:w w:val="97"/>
              </w:rPr>
              <w:t>-61.4%</w:t>
            </w:r>
          </w:p>
        </w:tc>
        <w:tc>
          <w:tcPr>
            <w:tcW w:w="0" w:type="dxa"/>
            <w:vAlign w:val="bottom"/>
          </w:tcPr>
          <w:p>
            <w:pPr>
              <w:spacing w:after="0"/>
              <w:rPr>
                <w:sz w:val="1"/>
                <w:szCs w:val="1"/>
                <w:color w:val="auto"/>
              </w:rPr>
            </w:pPr>
          </w:p>
        </w:tc>
      </w:tr>
      <w:tr>
        <w:trPr>
          <w:trHeight w:val="127"/>
        </w:trPr>
        <w:tc>
          <w:tcPr>
            <w:tcW w:w="4300" w:type="dxa"/>
            <w:vAlign w:val="bottom"/>
            <w:tcBorders>
              <w:left w:val="single" w:sz="8" w:color="auto"/>
              <w:right w:val="single" w:sz="8" w:color="auto"/>
            </w:tcBorders>
          </w:tcPr>
          <w:p>
            <w:pPr>
              <w:ind w:left="320"/>
              <w:spacing w:after="0" w:line="127" w:lineRule="exact"/>
              <w:rPr>
                <w:sz w:val="20"/>
                <w:szCs w:val="20"/>
                <w:color w:val="auto"/>
              </w:rPr>
            </w:pPr>
            <w:r>
              <w:rPr>
                <w:rFonts w:ascii="Times New Roman" w:cs="Times New Roman" w:eastAsia="Times New Roman" w:hAnsi="Times New Roman"/>
                <w:sz w:val="12"/>
                <w:szCs w:val="12"/>
                <w:color w:val="auto"/>
              </w:rPr>
              <w:t>Net gain (loss) on derivatives held for trading</w:t>
            </w:r>
          </w:p>
        </w:tc>
        <w:tc>
          <w:tcPr>
            <w:tcW w:w="1500" w:type="dxa"/>
            <w:vAlign w:val="bottom"/>
          </w:tcPr>
          <w:p>
            <w:pPr>
              <w:jc w:val="center"/>
              <w:ind w:right="1"/>
              <w:spacing w:after="0" w:line="127" w:lineRule="exact"/>
              <w:rPr>
                <w:sz w:val="20"/>
                <w:szCs w:val="20"/>
                <w:color w:val="auto"/>
              </w:rPr>
            </w:pPr>
            <w:r>
              <w:rPr>
                <w:rFonts w:ascii="Times New Roman" w:cs="Times New Roman" w:eastAsia="Times New Roman" w:hAnsi="Times New Roman"/>
                <w:sz w:val="12"/>
                <w:szCs w:val="12"/>
                <w:color w:val="auto"/>
                <w:w w:val="96"/>
              </w:rPr>
              <w:t>18,499</w:t>
            </w:r>
          </w:p>
        </w:tc>
        <w:tc>
          <w:tcPr>
            <w:tcW w:w="158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6"/>
              </w:rPr>
              <w:t>11,756</w:t>
            </w:r>
          </w:p>
        </w:tc>
        <w:tc>
          <w:tcPr>
            <w:tcW w:w="1640" w:type="dxa"/>
            <w:vAlign w:val="bottom"/>
            <w:tcBorders>
              <w:right w:val="single" w:sz="8" w:color="auto"/>
            </w:tcBorders>
          </w:tcPr>
          <w:p>
            <w:pPr>
              <w:jc w:val="center"/>
              <w:ind w:right="1"/>
              <w:spacing w:after="0" w:line="127" w:lineRule="exact"/>
              <w:rPr>
                <w:sz w:val="20"/>
                <w:szCs w:val="20"/>
                <w:color w:val="auto"/>
              </w:rPr>
            </w:pPr>
            <w:r>
              <w:rPr>
                <w:rFonts w:ascii="Times New Roman" w:cs="Times New Roman" w:eastAsia="Times New Roman" w:hAnsi="Times New Roman"/>
                <w:sz w:val="12"/>
                <w:szCs w:val="12"/>
                <w:color w:val="auto"/>
              </w:rPr>
              <w:t>27,463</w:t>
            </w:r>
          </w:p>
        </w:tc>
        <w:tc>
          <w:tcPr>
            <w:tcW w:w="740" w:type="dxa"/>
            <w:vAlign w:val="bottom"/>
          </w:tcPr>
          <w:p>
            <w:pPr>
              <w:jc w:val="center"/>
              <w:ind w:left="201"/>
              <w:spacing w:after="0" w:line="127" w:lineRule="exact"/>
              <w:rPr>
                <w:sz w:val="20"/>
                <w:szCs w:val="20"/>
                <w:color w:val="auto"/>
              </w:rPr>
            </w:pPr>
            <w:r>
              <w:rPr>
                <w:rFonts w:ascii="Times New Roman" w:cs="Times New Roman" w:eastAsia="Times New Roman" w:hAnsi="Times New Roman"/>
                <w:sz w:val="12"/>
                <w:szCs w:val="12"/>
                <w:color w:val="auto"/>
                <w:w w:val="97"/>
              </w:rPr>
              <w:t>133.6%</w:t>
            </w:r>
          </w:p>
        </w:tc>
        <w:tc>
          <w:tcPr>
            <w:tcW w:w="1500" w:type="dxa"/>
            <w:vAlign w:val="bottom"/>
            <w:tcBorders>
              <w:right w:val="single" w:sz="8" w:color="auto"/>
            </w:tcBorders>
          </w:tcPr>
          <w:p>
            <w:pPr>
              <w:jc w:val="center"/>
              <w:ind w:left="181"/>
              <w:spacing w:after="0" w:line="127" w:lineRule="exact"/>
              <w:rPr>
                <w:sz w:val="20"/>
                <w:szCs w:val="20"/>
                <w:color w:val="auto"/>
              </w:rPr>
            </w:pPr>
            <w:r>
              <w:rPr>
                <w:rFonts w:ascii="Times New Roman" w:cs="Times New Roman" w:eastAsia="Times New Roman" w:hAnsi="Times New Roman"/>
                <w:sz w:val="12"/>
                <w:szCs w:val="12"/>
                <w:color w:val="auto"/>
                <w:w w:val="96"/>
              </w:rPr>
              <w:t>48.5%</w:t>
            </w:r>
          </w:p>
        </w:tc>
        <w:tc>
          <w:tcPr>
            <w:tcW w:w="0" w:type="dxa"/>
            <w:vAlign w:val="bottom"/>
          </w:tcPr>
          <w:p>
            <w:pPr>
              <w:spacing w:after="0"/>
              <w:rPr>
                <w:sz w:val="1"/>
                <w:szCs w:val="1"/>
                <w:color w:val="auto"/>
              </w:rPr>
            </w:pPr>
          </w:p>
        </w:tc>
      </w:tr>
      <w:tr>
        <w:trPr>
          <w:trHeight w:val="127"/>
        </w:trPr>
        <w:tc>
          <w:tcPr>
            <w:tcW w:w="4300" w:type="dxa"/>
            <w:vAlign w:val="bottom"/>
            <w:tcBorders>
              <w:left w:val="single" w:sz="8" w:color="auto"/>
              <w:right w:val="single" w:sz="8" w:color="auto"/>
            </w:tcBorders>
          </w:tcPr>
          <w:p>
            <w:pPr>
              <w:ind w:left="320"/>
              <w:spacing w:after="0" w:line="127" w:lineRule="exact"/>
              <w:rPr>
                <w:sz w:val="20"/>
                <w:szCs w:val="20"/>
                <w:color w:val="auto"/>
              </w:rPr>
            </w:pPr>
            <w:r>
              <w:rPr>
                <w:rFonts w:ascii="Times New Roman" w:cs="Times New Roman" w:eastAsia="Times New Roman" w:hAnsi="Times New Roman"/>
                <w:sz w:val="12"/>
                <w:szCs w:val="12"/>
                <w:color w:val="auto"/>
              </w:rPr>
              <w:t>Net gain (loss) from exchange differences</w:t>
            </w:r>
          </w:p>
        </w:tc>
        <w:tc>
          <w:tcPr>
            <w:tcW w:w="1500" w:type="dxa"/>
            <w:vAlign w:val="bottom"/>
          </w:tcPr>
          <w:p>
            <w:pPr>
              <w:jc w:val="center"/>
              <w:ind w:right="1"/>
              <w:spacing w:after="0" w:line="127" w:lineRule="exact"/>
              <w:rPr>
                <w:sz w:val="20"/>
                <w:szCs w:val="20"/>
                <w:color w:val="auto"/>
              </w:rPr>
            </w:pPr>
            <w:r>
              <w:rPr>
                <w:rFonts w:ascii="Times New Roman" w:cs="Times New Roman" w:eastAsia="Times New Roman" w:hAnsi="Times New Roman"/>
                <w:sz w:val="12"/>
                <w:szCs w:val="12"/>
                <w:color w:val="auto"/>
                <w:w w:val="96"/>
              </w:rPr>
              <w:t>15,959</w:t>
            </w:r>
          </w:p>
        </w:tc>
        <w:tc>
          <w:tcPr>
            <w:tcW w:w="158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6"/>
              </w:rPr>
              <w:t>8,319</w:t>
            </w:r>
          </w:p>
        </w:tc>
        <w:tc>
          <w:tcPr>
            <w:tcW w:w="1640" w:type="dxa"/>
            <w:vAlign w:val="bottom"/>
            <w:tcBorders>
              <w:right w:val="single" w:sz="8" w:color="auto"/>
            </w:tcBorders>
          </w:tcPr>
          <w:p>
            <w:pPr>
              <w:jc w:val="center"/>
              <w:ind w:right="1"/>
              <w:spacing w:after="0" w:line="127" w:lineRule="exact"/>
              <w:rPr>
                <w:sz w:val="20"/>
                <w:szCs w:val="20"/>
                <w:color w:val="auto"/>
              </w:rPr>
            </w:pPr>
            <w:r>
              <w:rPr>
                <w:rFonts w:ascii="Times New Roman" w:cs="Times New Roman" w:eastAsia="Times New Roman" w:hAnsi="Times New Roman"/>
                <w:sz w:val="12"/>
                <w:szCs w:val="12"/>
                <w:color w:val="auto"/>
                <w:w w:val="96"/>
              </w:rPr>
              <w:t>8,557</w:t>
            </w:r>
          </w:p>
        </w:tc>
        <w:tc>
          <w:tcPr>
            <w:tcW w:w="740" w:type="dxa"/>
            <w:vAlign w:val="bottom"/>
          </w:tcPr>
          <w:p>
            <w:pPr>
              <w:jc w:val="center"/>
              <w:ind w:left="201"/>
              <w:spacing w:after="0" w:line="127" w:lineRule="exact"/>
              <w:rPr>
                <w:sz w:val="20"/>
                <w:szCs w:val="20"/>
                <w:color w:val="auto"/>
              </w:rPr>
            </w:pPr>
            <w:r>
              <w:rPr>
                <w:rFonts w:ascii="Times New Roman" w:cs="Times New Roman" w:eastAsia="Times New Roman" w:hAnsi="Times New Roman"/>
                <w:sz w:val="12"/>
                <w:szCs w:val="12"/>
                <w:color w:val="auto"/>
                <w:w w:val="95"/>
              </w:rPr>
              <w:t>2.9%</w:t>
            </w:r>
          </w:p>
        </w:tc>
        <w:tc>
          <w:tcPr>
            <w:tcW w:w="1500" w:type="dxa"/>
            <w:vAlign w:val="bottom"/>
            <w:tcBorders>
              <w:right w:val="single" w:sz="8" w:color="auto"/>
            </w:tcBorders>
          </w:tcPr>
          <w:p>
            <w:pPr>
              <w:jc w:val="center"/>
              <w:ind w:left="181"/>
              <w:spacing w:after="0" w:line="127" w:lineRule="exact"/>
              <w:rPr>
                <w:sz w:val="20"/>
                <w:szCs w:val="20"/>
                <w:color w:val="auto"/>
              </w:rPr>
            </w:pPr>
            <w:r>
              <w:rPr>
                <w:rFonts w:ascii="Times New Roman" w:cs="Times New Roman" w:eastAsia="Times New Roman" w:hAnsi="Times New Roman"/>
                <w:sz w:val="12"/>
                <w:szCs w:val="12"/>
                <w:color w:val="auto"/>
                <w:w w:val="97"/>
              </w:rPr>
              <w:t>-46.4%</w:t>
            </w:r>
          </w:p>
        </w:tc>
        <w:tc>
          <w:tcPr>
            <w:tcW w:w="0" w:type="dxa"/>
            <w:vAlign w:val="bottom"/>
          </w:tcPr>
          <w:p>
            <w:pPr>
              <w:spacing w:after="0"/>
              <w:rPr>
                <w:sz w:val="1"/>
                <w:szCs w:val="1"/>
                <w:color w:val="auto"/>
              </w:rPr>
            </w:pPr>
          </w:p>
        </w:tc>
      </w:tr>
      <w:tr>
        <w:trPr>
          <w:trHeight w:val="125"/>
        </w:trPr>
        <w:tc>
          <w:tcPr>
            <w:tcW w:w="4300" w:type="dxa"/>
            <w:vAlign w:val="bottom"/>
            <w:tcBorders>
              <w:left w:val="single" w:sz="8" w:color="auto"/>
              <w:right w:val="single" w:sz="8" w:color="auto"/>
            </w:tcBorders>
          </w:tcPr>
          <w:p>
            <w:pPr>
              <w:ind w:left="320"/>
              <w:spacing w:after="0" w:line="125" w:lineRule="exact"/>
              <w:rPr>
                <w:sz w:val="20"/>
                <w:szCs w:val="20"/>
                <w:color w:val="auto"/>
              </w:rPr>
            </w:pPr>
            <w:r>
              <w:rPr>
                <w:rFonts w:ascii="Times New Roman" w:cs="Times New Roman" w:eastAsia="Times New Roman" w:hAnsi="Times New Roman"/>
                <w:sz w:val="12"/>
                <w:szCs w:val="12"/>
                <w:color w:val="auto"/>
              </w:rPr>
              <w:t>Others</w:t>
            </w:r>
          </w:p>
        </w:tc>
        <w:tc>
          <w:tcPr>
            <w:tcW w:w="150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auto"/>
                <w:w w:val="97"/>
              </w:rPr>
              <w:t>322,001</w:t>
            </w:r>
          </w:p>
        </w:tc>
        <w:tc>
          <w:tcPr>
            <w:tcW w:w="158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auto"/>
                <w:w w:val="97"/>
              </w:rPr>
              <w:t>132,530</w:t>
            </w:r>
          </w:p>
        </w:tc>
        <w:tc>
          <w:tcPr>
            <w:tcW w:w="1640" w:type="dxa"/>
            <w:vAlign w:val="bottom"/>
            <w:tcBorders>
              <w:right w:val="single" w:sz="8" w:color="auto"/>
            </w:tcBorders>
          </w:tcPr>
          <w:p>
            <w:pPr>
              <w:jc w:val="center"/>
              <w:ind w:right="1"/>
              <w:spacing w:after="0" w:line="125" w:lineRule="exact"/>
              <w:rPr>
                <w:sz w:val="20"/>
                <w:szCs w:val="20"/>
                <w:color w:val="auto"/>
              </w:rPr>
            </w:pPr>
            <w:r>
              <w:rPr>
                <w:rFonts w:ascii="Times New Roman" w:cs="Times New Roman" w:eastAsia="Times New Roman" w:hAnsi="Times New Roman"/>
                <w:sz w:val="12"/>
                <w:szCs w:val="12"/>
                <w:color w:val="auto"/>
              </w:rPr>
              <w:t>77,203</w:t>
            </w:r>
          </w:p>
        </w:tc>
        <w:tc>
          <w:tcPr>
            <w:tcW w:w="740" w:type="dxa"/>
            <w:vAlign w:val="bottom"/>
          </w:tcPr>
          <w:p>
            <w:pPr>
              <w:jc w:val="center"/>
              <w:ind w:left="201"/>
              <w:spacing w:after="0" w:line="125" w:lineRule="exact"/>
              <w:rPr>
                <w:sz w:val="20"/>
                <w:szCs w:val="20"/>
                <w:color w:val="auto"/>
              </w:rPr>
            </w:pPr>
            <w:r>
              <w:rPr>
                <w:rFonts w:ascii="Times New Roman" w:cs="Times New Roman" w:eastAsia="Times New Roman" w:hAnsi="Times New Roman"/>
                <w:sz w:val="12"/>
                <w:szCs w:val="12"/>
                <w:color w:val="auto"/>
              </w:rPr>
              <w:t>-41.7%</w:t>
            </w:r>
          </w:p>
        </w:tc>
        <w:tc>
          <w:tcPr>
            <w:tcW w:w="1500" w:type="dxa"/>
            <w:vAlign w:val="bottom"/>
            <w:tcBorders>
              <w:right w:val="single" w:sz="8" w:color="auto"/>
            </w:tcBorders>
          </w:tcPr>
          <w:p>
            <w:pPr>
              <w:jc w:val="center"/>
              <w:ind w:left="181"/>
              <w:spacing w:after="0" w:line="125" w:lineRule="exact"/>
              <w:rPr>
                <w:sz w:val="20"/>
                <w:szCs w:val="20"/>
                <w:color w:val="auto"/>
              </w:rPr>
            </w:pPr>
            <w:r>
              <w:rPr>
                <w:rFonts w:ascii="Times New Roman" w:cs="Times New Roman" w:eastAsia="Times New Roman" w:hAnsi="Times New Roman"/>
                <w:sz w:val="12"/>
                <w:szCs w:val="12"/>
                <w:color w:val="auto"/>
                <w:w w:val="97"/>
              </w:rPr>
              <w:t>-76.0%</w:t>
            </w:r>
          </w:p>
        </w:tc>
        <w:tc>
          <w:tcPr>
            <w:tcW w:w="0" w:type="dxa"/>
            <w:vAlign w:val="bottom"/>
          </w:tcPr>
          <w:p>
            <w:pPr>
              <w:spacing w:after="0"/>
              <w:rPr>
                <w:sz w:val="1"/>
                <w:szCs w:val="1"/>
                <w:color w:val="auto"/>
              </w:rPr>
            </w:pPr>
          </w:p>
        </w:tc>
      </w:tr>
      <w:tr>
        <w:trPr>
          <w:trHeight w:val="127"/>
        </w:trPr>
        <w:tc>
          <w:tcPr>
            <w:tcW w:w="4300" w:type="dxa"/>
            <w:vAlign w:val="bottom"/>
            <w:tcBorders>
              <w:left w:val="single" w:sz="8" w:color="auto"/>
              <w:right w:val="single" w:sz="8" w:color="auto"/>
            </w:tcBorders>
          </w:tcPr>
          <w:p>
            <w:pPr>
              <w:ind w:left="320"/>
              <w:spacing w:after="0" w:line="127" w:lineRule="exact"/>
              <w:rPr>
                <w:sz w:val="20"/>
                <w:szCs w:val="20"/>
                <w:color w:val="auto"/>
              </w:rPr>
            </w:pPr>
            <w:r>
              <w:rPr>
                <w:rFonts w:ascii="Times New Roman" w:cs="Times New Roman" w:eastAsia="Times New Roman" w:hAnsi="Times New Roman"/>
                <w:sz w:val="12"/>
                <w:szCs w:val="12"/>
                <w:b w:val="1"/>
                <w:bCs w:val="1"/>
                <w:color w:val="auto"/>
              </w:rPr>
              <w:t>Total other income</w:t>
            </w:r>
          </w:p>
        </w:tc>
        <w:tc>
          <w:tcPr>
            <w:tcW w:w="1500" w:type="dxa"/>
            <w:vAlign w:val="bottom"/>
          </w:tcPr>
          <w:p>
            <w:pPr>
              <w:jc w:val="center"/>
              <w:ind w:right="1"/>
              <w:spacing w:after="0" w:line="127" w:lineRule="exact"/>
              <w:rPr>
                <w:sz w:val="20"/>
                <w:szCs w:val="20"/>
                <w:color w:val="auto"/>
              </w:rPr>
            </w:pPr>
            <w:r>
              <w:rPr>
                <w:rFonts w:ascii="Times New Roman" w:cs="Times New Roman" w:eastAsia="Times New Roman" w:hAnsi="Times New Roman"/>
                <w:sz w:val="12"/>
                <w:szCs w:val="12"/>
                <w:b w:val="1"/>
                <w:bCs w:val="1"/>
                <w:color w:val="auto"/>
                <w:w w:val="99"/>
              </w:rPr>
              <w:t>1,690,216</w:t>
            </w:r>
          </w:p>
        </w:tc>
        <w:tc>
          <w:tcPr>
            <w:tcW w:w="158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b w:val="1"/>
                <w:bCs w:val="1"/>
                <w:color w:val="auto"/>
                <w:w w:val="99"/>
              </w:rPr>
              <w:t>1,799,499</w:t>
            </w:r>
          </w:p>
        </w:tc>
        <w:tc>
          <w:tcPr>
            <w:tcW w:w="1640" w:type="dxa"/>
            <w:vAlign w:val="bottom"/>
            <w:tcBorders>
              <w:right w:val="single" w:sz="8" w:color="auto"/>
            </w:tcBorders>
          </w:tcPr>
          <w:p>
            <w:pPr>
              <w:jc w:val="center"/>
              <w:ind w:right="1"/>
              <w:spacing w:after="0" w:line="127" w:lineRule="exact"/>
              <w:rPr>
                <w:sz w:val="20"/>
                <w:szCs w:val="20"/>
                <w:color w:val="auto"/>
              </w:rPr>
            </w:pPr>
            <w:r>
              <w:rPr>
                <w:rFonts w:ascii="Times New Roman" w:cs="Times New Roman" w:eastAsia="Times New Roman" w:hAnsi="Times New Roman"/>
                <w:sz w:val="12"/>
                <w:szCs w:val="12"/>
                <w:b w:val="1"/>
                <w:bCs w:val="1"/>
                <w:color w:val="auto"/>
                <w:w w:val="95"/>
              </w:rPr>
              <w:t>1,856,324</w:t>
            </w:r>
          </w:p>
        </w:tc>
        <w:tc>
          <w:tcPr>
            <w:tcW w:w="740" w:type="dxa"/>
            <w:vAlign w:val="bottom"/>
          </w:tcPr>
          <w:p>
            <w:pPr>
              <w:jc w:val="center"/>
              <w:ind w:left="201"/>
              <w:spacing w:after="0" w:line="127" w:lineRule="exact"/>
              <w:rPr>
                <w:sz w:val="20"/>
                <w:szCs w:val="20"/>
                <w:color w:val="auto"/>
              </w:rPr>
            </w:pPr>
            <w:r>
              <w:rPr>
                <w:rFonts w:ascii="Times New Roman" w:cs="Times New Roman" w:eastAsia="Times New Roman" w:hAnsi="Times New Roman"/>
                <w:sz w:val="12"/>
                <w:szCs w:val="12"/>
                <w:b w:val="1"/>
                <w:bCs w:val="1"/>
                <w:color w:val="auto"/>
              </w:rPr>
              <w:t>3.2%</w:t>
            </w:r>
          </w:p>
        </w:tc>
        <w:tc>
          <w:tcPr>
            <w:tcW w:w="1500" w:type="dxa"/>
            <w:vAlign w:val="bottom"/>
            <w:tcBorders>
              <w:right w:val="single" w:sz="8" w:color="auto"/>
            </w:tcBorders>
          </w:tcPr>
          <w:p>
            <w:pPr>
              <w:jc w:val="center"/>
              <w:ind w:left="181"/>
              <w:spacing w:after="0" w:line="127" w:lineRule="exact"/>
              <w:rPr>
                <w:sz w:val="20"/>
                <w:szCs w:val="20"/>
                <w:color w:val="auto"/>
              </w:rPr>
            </w:pPr>
            <w:r>
              <w:rPr>
                <w:rFonts w:ascii="Times New Roman" w:cs="Times New Roman" w:eastAsia="Times New Roman" w:hAnsi="Times New Roman"/>
                <w:sz w:val="12"/>
                <w:szCs w:val="12"/>
                <w:b w:val="1"/>
                <w:bCs w:val="1"/>
                <w:color w:val="auto"/>
                <w:w w:val="96"/>
              </w:rPr>
              <w:t>9.8%</w:t>
            </w:r>
          </w:p>
        </w:tc>
        <w:tc>
          <w:tcPr>
            <w:tcW w:w="0" w:type="dxa"/>
            <w:vAlign w:val="bottom"/>
          </w:tcPr>
          <w:p>
            <w:pPr>
              <w:spacing w:after="0"/>
              <w:rPr>
                <w:sz w:val="1"/>
                <w:szCs w:val="1"/>
                <w:color w:val="auto"/>
              </w:rPr>
            </w:pPr>
          </w:p>
        </w:tc>
      </w:tr>
      <w:tr>
        <w:trPr>
          <w:trHeight w:val="129"/>
        </w:trPr>
        <w:tc>
          <w:tcPr>
            <w:tcW w:w="4300" w:type="dxa"/>
            <w:vAlign w:val="bottom"/>
            <w:tcBorders>
              <w:left w:val="single" w:sz="8" w:color="auto"/>
              <w:right w:val="single" w:sz="8" w:color="auto"/>
            </w:tcBorders>
          </w:tcPr>
          <w:p>
            <w:pPr>
              <w:ind w:left="160"/>
              <w:spacing w:after="0" w:line="129" w:lineRule="exact"/>
              <w:rPr>
                <w:sz w:val="20"/>
                <w:szCs w:val="20"/>
                <w:color w:val="auto"/>
              </w:rPr>
            </w:pPr>
            <w:r>
              <w:rPr>
                <w:rFonts w:ascii="Times New Roman" w:cs="Times New Roman" w:eastAsia="Times New Roman" w:hAnsi="Times New Roman"/>
                <w:sz w:val="12"/>
                <w:szCs w:val="12"/>
                <w:b w:val="1"/>
                <w:bCs w:val="1"/>
                <w:color w:val="auto"/>
              </w:rPr>
              <w:t>Insurance underwriting result</w:t>
            </w:r>
          </w:p>
        </w:tc>
        <w:tc>
          <w:tcPr>
            <w:tcW w:w="15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640" w:type="dxa"/>
            <w:vAlign w:val="bottom"/>
            <w:tcBorders>
              <w:right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15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300" w:type="dxa"/>
            <w:vAlign w:val="bottom"/>
            <w:tcBorders>
              <w:left w:val="single" w:sz="8" w:color="auto"/>
              <w:right w:val="single" w:sz="8" w:color="auto"/>
            </w:tcBorders>
          </w:tcPr>
          <w:p>
            <w:pPr>
              <w:ind w:left="320"/>
              <w:spacing w:after="0" w:line="127" w:lineRule="exact"/>
              <w:rPr>
                <w:sz w:val="20"/>
                <w:szCs w:val="20"/>
                <w:color w:val="auto"/>
              </w:rPr>
            </w:pPr>
            <w:r>
              <w:rPr>
                <w:rFonts w:ascii="Times New Roman" w:cs="Times New Roman" w:eastAsia="Times New Roman" w:hAnsi="Times New Roman"/>
                <w:sz w:val="12"/>
                <w:szCs w:val="12"/>
                <w:color w:val="auto"/>
              </w:rPr>
              <w:t>Insurance Service Result</w:t>
            </w:r>
          </w:p>
        </w:tc>
        <w:tc>
          <w:tcPr>
            <w:tcW w:w="150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7"/>
              </w:rPr>
              <w:t>416,106</w:t>
            </w:r>
          </w:p>
        </w:tc>
        <w:tc>
          <w:tcPr>
            <w:tcW w:w="158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7"/>
              </w:rPr>
              <w:t>519,300</w:t>
            </w:r>
          </w:p>
        </w:tc>
        <w:tc>
          <w:tcPr>
            <w:tcW w:w="1640" w:type="dxa"/>
            <w:vAlign w:val="bottom"/>
            <w:tcBorders>
              <w:right w:val="single" w:sz="8" w:color="auto"/>
            </w:tcBorders>
          </w:tcPr>
          <w:p>
            <w:pPr>
              <w:jc w:val="center"/>
              <w:ind w:right="1"/>
              <w:spacing w:after="0" w:line="127" w:lineRule="exact"/>
              <w:rPr>
                <w:sz w:val="20"/>
                <w:szCs w:val="20"/>
                <w:color w:val="auto"/>
              </w:rPr>
            </w:pPr>
            <w:r>
              <w:rPr>
                <w:rFonts w:ascii="Times New Roman" w:cs="Times New Roman" w:eastAsia="Times New Roman" w:hAnsi="Times New Roman"/>
                <w:sz w:val="12"/>
                <w:szCs w:val="12"/>
                <w:color w:val="auto"/>
                <w:w w:val="97"/>
              </w:rPr>
              <w:t>345,846</w:t>
            </w:r>
          </w:p>
        </w:tc>
        <w:tc>
          <w:tcPr>
            <w:tcW w:w="740" w:type="dxa"/>
            <w:vAlign w:val="bottom"/>
          </w:tcPr>
          <w:p>
            <w:pPr>
              <w:jc w:val="center"/>
              <w:ind w:left="201"/>
              <w:spacing w:after="0" w:line="127" w:lineRule="exact"/>
              <w:rPr>
                <w:sz w:val="20"/>
                <w:szCs w:val="20"/>
                <w:color w:val="auto"/>
              </w:rPr>
            </w:pPr>
            <w:r>
              <w:rPr>
                <w:rFonts w:ascii="Times New Roman" w:cs="Times New Roman" w:eastAsia="Times New Roman" w:hAnsi="Times New Roman"/>
                <w:sz w:val="12"/>
                <w:szCs w:val="12"/>
                <w:color w:val="auto"/>
              </w:rPr>
              <w:t>-33.4%</w:t>
            </w:r>
          </w:p>
        </w:tc>
        <w:tc>
          <w:tcPr>
            <w:tcW w:w="1500" w:type="dxa"/>
            <w:vAlign w:val="bottom"/>
            <w:tcBorders>
              <w:right w:val="single" w:sz="8" w:color="auto"/>
            </w:tcBorders>
          </w:tcPr>
          <w:p>
            <w:pPr>
              <w:jc w:val="center"/>
              <w:ind w:left="181"/>
              <w:spacing w:after="0" w:line="127" w:lineRule="exact"/>
              <w:rPr>
                <w:sz w:val="20"/>
                <w:szCs w:val="20"/>
                <w:color w:val="auto"/>
              </w:rPr>
            </w:pPr>
            <w:r>
              <w:rPr>
                <w:rFonts w:ascii="Times New Roman" w:cs="Times New Roman" w:eastAsia="Times New Roman" w:hAnsi="Times New Roman"/>
                <w:sz w:val="12"/>
                <w:szCs w:val="12"/>
                <w:color w:val="auto"/>
                <w:w w:val="97"/>
              </w:rPr>
              <w:t>-16.9%</w:t>
            </w:r>
          </w:p>
        </w:tc>
        <w:tc>
          <w:tcPr>
            <w:tcW w:w="0" w:type="dxa"/>
            <w:vAlign w:val="bottom"/>
          </w:tcPr>
          <w:p>
            <w:pPr>
              <w:spacing w:after="0"/>
              <w:rPr>
                <w:sz w:val="1"/>
                <w:szCs w:val="1"/>
                <w:color w:val="auto"/>
              </w:rPr>
            </w:pPr>
          </w:p>
        </w:tc>
      </w:tr>
      <w:tr>
        <w:trPr>
          <w:trHeight w:val="125"/>
        </w:trPr>
        <w:tc>
          <w:tcPr>
            <w:tcW w:w="4300" w:type="dxa"/>
            <w:vAlign w:val="bottom"/>
            <w:tcBorders>
              <w:left w:val="single" w:sz="8" w:color="auto"/>
              <w:right w:val="single" w:sz="8" w:color="auto"/>
            </w:tcBorders>
          </w:tcPr>
          <w:p>
            <w:pPr>
              <w:ind w:left="320"/>
              <w:spacing w:after="0" w:line="125" w:lineRule="exact"/>
              <w:rPr>
                <w:sz w:val="20"/>
                <w:szCs w:val="20"/>
                <w:color w:val="auto"/>
              </w:rPr>
            </w:pPr>
            <w:r>
              <w:rPr>
                <w:rFonts w:ascii="Times New Roman" w:cs="Times New Roman" w:eastAsia="Times New Roman" w:hAnsi="Times New Roman"/>
                <w:sz w:val="12"/>
                <w:szCs w:val="12"/>
                <w:color w:val="auto"/>
              </w:rPr>
              <w:t>Reinsurance Result</w:t>
            </w:r>
          </w:p>
        </w:tc>
        <w:tc>
          <w:tcPr>
            <w:tcW w:w="1500" w:type="dxa"/>
            <w:vAlign w:val="bottom"/>
          </w:tcPr>
          <w:p>
            <w:pPr>
              <w:jc w:val="center"/>
              <w:ind w:right="1"/>
              <w:spacing w:after="0" w:line="125" w:lineRule="exact"/>
              <w:rPr>
                <w:sz w:val="20"/>
                <w:szCs w:val="20"/>
                <w:color w:val="auto"/>
              </w:rPr>
            </w:pPr>
            <w:r>
              <w:rPr>
                <w:rFonts w:ascii="Times New Roman" w:cs="Times New Roman" w:eastAsia="Times New Roman" w:hAnsi="Times New Roman"/>
                <w:sz w:val="12"/>
                <w:szCs w:val="12"/>
                <w:color w:val="auto"/>
                <w:w w:val="97"/>
              </w:rPr>
              <w:t>(86,972)</w:t>
            </w:r>
          </w:p>
        </w:tc>
        <w:tc>
          <w:tcPr>
            <w:tcW w:w="158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auto"/>
                <w:w w:val="97"/>
              </w:rPr>
              <w:t>(198,457)</w:t>
            </w:r>
          </w:p>
        </w:tc>
        <w:tc>
          <w:tcPr>
            <w:tcW w:w="1640" w:type="dxa"/>
            <w:vAlign w:val="bottom"/>
            <w:tcBorders>
              <w:right w:val="single" w:sz="8" w:color="auto"/>
            </w:tcBorders>
          </w:tcPr>
          <w:p>
            <w:pPr>
              <w:jc w:val="center"/>
              <w:ind w:right="21"/>
              <w:spacing w:after="0" w:line="125" w:lineRule="exact"/>
              <w:rPr>
                <w:sz w:val="20"/>
                <w:szCs w:val="20"/>
                <w:color w:val="auto"/>
              </w:rPr>
            </w:pPr>
            <w:r>
              <w:rPr>
                <w:rFonts w:ascii="Times New Roman" w:cs="Times New Roman" w:eastAsia="Times New Roman" w:hAnsi="Times New Roman"/>
                <w:sz w:val="12"/>
                <w:szCs w:val="12"/>
                <w:color w:val="auto"/>
                <w:w w:val="97"/>
              </w:rPr>
              <w:t>(46,783)</w:t>
            </w:r>
          </w:p>
        </w:tc>
        <w:tc>
          <w:tcPr>
            <w:tcW w:w="740" w:type="dxa"/>
            <w:vAlign w:val="bottom"/>
          </w:tcPr>
          <w:p>
            <w:pPr>
              <w:jc w:val="center"/>
              <w:ind w:left="201"/>
              <w:spacing w:after="0" w:line="125" w:lineRule="exact"/>
              <w:rPr>
                <w:sz w:val="20"/>
                <w:szCs w:val="20"/>
                <w:color w:val="auto"/>
              </w:rPr>
            </w:pPr>
            <w:r>
              <w:rPr>
                <w:rFonts w:ascii="Times New Roman" w:cs="Times New Roman" w:eastAsia="Times New Roman" w:hAnsi="Times New Roman"/>
                <w:sz w:val="12"/>
                <w:szCs w:val="12"/>
                <w:color w:val="auto"/>
              </w:rPr>
              <w:t>-76.4%</w:t>
            </w:r>
          </w:p>
        </w:tc>
        <w:tc>
          <w:tcPr>
            <w:tcW w:w="1500" w:type="dxa"/>
            <w:vAlign w:val="bottom"/>
            <w:tcBorders>
              <w:right w:val="single" w:sz="8" w:color="auto"/>
            </w:tcBorders>
          </w:tcPr>
          <w:p>
            <w:pPr>
              <w:jc w:val="center"/>
              <w:ind w:left="181"/>
              <w:spacing w:after="0" w:line="125" w:lineRule="exact"/>
              <w:rPr>
                <w:sz w:val="20"/>
                <w:szCs w:val="20"/>
                <w:color w:val="auto"/>
              </w:rPr>
            </w:pPr>
            <w:r>
              <w:rPr>
                <w:rFonts w:ascii="Times New Roman" w:cs="Times New Roman" w:eastAsia="Times New Roman" w:hAnsi="Times New Roman"/>
                <w:sz w:val="12"/>
                <w:szCs w:val="12"/>
                <w:color w:val="auto"/>
                <w:w w:val="97"/>
              </w:rPr>
              <w:t>-46.2%</w:t>
            </w:r>
          </w:p>
        </w:tc>
        <w:tc>
          <w:tcPr>
            <w:tcW w:w="0" w:type="dxa"/>
            <w:vAlign w:val="bottom"/>
          </w:tcPr>
          <w:p>
            <w:pPr>
              <w:spacing w:after="0"/>
              <w:rPr>
                <w:sz w:val="1"/>
                <w:szCs w:val="1"/>
                <w:color w:val="auto"/>
              </w:rPr>
            </w:pPr>
          </w:p>
        </w:tc>
      </w:tr>
      <w:tr>
        <w:trPr>
          <w:trHeight w:val="156"/>
        </w:trPr>
        <w:tc>
          <w:tcPr>
            <w:tcW w:w="430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2"/>
                <w:szCs w:val="12"/>
                <w:b w:val="1"/>
                <w:bCs w:val="1"/>
                <w:color w:val="auto"/>
              </w:rPr>
              <w:t>Total insurance underwriting result</w:t>
            </w:r>
          </w:p>
        </w:tc>
        <w:tc>
          <w:tcPr>
            <w:tcW w:w="15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329,134</w:t>
            </w:r>
          </w:p>
        </w:tc>
        <w:tc>
          <w:tcPr>
            <w:tcW w:w="15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320,843</w:t>
            </w:r>
          </w:p>
        </w:tc>
        <w:tc>
          <w:tcPr>
            <w:tcW w:w="1640" w:type="dxa"/>
            <w:vAlign w:val="bottom"/>
            <w:tcBorders>
              <w:right w:val="single" w:sz="8" w:color="auto"/>
            </w:tcBorders>
          </w:tcPr>
          <w:p>
            <w:pPr>
              <w:jc w:val="center"/>
              <w:ind w:right="1"/>
              <w:spacing w:after="0"/>
              <w:rPr>
                <w:sz w:val="20"/>
                <w:szCs w:val="20"/>
                <w:color w:val="auto"/>
              </w:rPr>
            </w:pPr>
            <w:r>
              <w:rPr>
                <w:rFonts w:ascii="Times New Roman" w:cs="Times New Roman" w:eastAsia="Times New Roman" w:hAnsi="Times New Roman"/>
                <w:sz w:val="12"/>
                <w:szCs w:val="12"/>
                <w:b w:val="1"/>
                <w:bCs w:val="1"/>
                <w:color w:val="auto"/>
                <w:w w:val="97"/>
              </w:rPr>
              <w:t>299,063</w:t>
            </w:r>
          </w:p>
        </w:tc>
        <w:tc>
          <w:tcPr>
            <w:tcW w:w="740" w:type="dxa"/>
            <w:vAlign w:val="bottom"/>
          </w:tcPr>
          <w:p>
            <w:pPr>
              <w:jc w:val="center"/>
              <w:ind w:left="201"/>
              <w:spacing w:after="0"/>
              <w:rPr>
                <w:sz w:val="20"/>
                <w:szCs w:val="20"/>
                <w:color w:val="auto"/>
              </w:rPr>
            </w:pPr>
            <w:r>
              <w:rPr>
                <w:rFonts w:ascii="Times New Roman" w:cs="Times New Roman" w:eastAsia="Times New Roman" w:hAnsi="Times New Roman"/>
                <w:sz w:val="12"/>
                <w:szCs w:val="12"/>
                <w:b w:val="1"/>
                <w:bCs w:val="1"/>
                <w:color w:val="auto"/>
              </w:rPr>
              <w:t>-6.8%</w:t>
            </w:r>
          </w:p>
        </w:tc>
        <w:tc>
          <w:tcPr>
            <w:tcW w:w="1500" w:type="dxa"/>
            <w:vAlign w:val="bottom"/>
            <w:tcBorders>
              <w:right w:val="single" w:sz="8" w:color="auto"/>
            </w:tcBorders>
          </w:tcPr>
          <w:p>
            <w:pPr>
              <w:jc w:val="center"/>
              <w:ind w:left="181"/>
              <w:spacing w:after="0"/>
              <w:rPr>
                <w:sz w:val="20"/>
                <w:szCs w:val="20"/>
                <w:color w:val="auto"/>
              </w:rPr>
            </w:pPr>
            <w:r>
              <w:rPr>
                <w:rFonts w:ascii="Times New Roman" w:cs="Times New Roman" w:eastAsia="Times New Roman" w:hAnsi="Times New Roman"/>
                <w:sz w:val="12"/>
                <w:szCs w:val="12"/>
                <w:b w:val="1"/>
                <w:bCs w:val="1"/>
                <w:color w:val="auto"/>
                <w:w w:val="96"/>
              </w:rPr>
              <w:t>-9.1%</w:t>
            </w:r>
          </w:p>
        </w:tc>
        <w:tc>
          <w:tcPr>
            <w:tcW w:w="0" w:type="dxa"/>
            <w:vAlign w:val="bottom"/>
          </w:tcPr>
          <w:p>
            <w:pPr>
              <w:spacing w:after="0"/>
              <w:rPr>
                <w:sz w:val="1"/>
                <w:szCs w:val="1"/>
                <w:color w:val="auto"/>
              </w:rPr>
            </w:pPr>
          </w:p>
        </w:tc>
      </w:tr>
      <w:tr>
        <w:trPr>
          <w:trHeight w:val="227"/>
        </w:trPr>
        <w:tc>
          <w:tcPr>
            <w:tcW w:w="430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2"/>
                <w:szCs w:val="12"/>
                <w:b w:val="1"/>
                <w:bCs w:val="1"/>
                <w:color w:val="auto"/>
              </w:rPr>
              <w:t>Medical services result</w:t>
            </w:r>
          </w:p>
        </w:tc>
        <w:tc>
          <w:tcPr>
            <w:tcW w:w="15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640" w:type="dxa"/>
            <w:vAlign w:val="bottom"/>
            <w:tcBorders>
              <w:right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15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4300" w:type="dxa"/>
            <w:vAlign w:val="bottom"/>
            <w:tcBorders>
              <w:left w:val="single" w:sz="8" w:color="auto"/>
              <w:right w:val="single" w:sz="8" w:color="auto"/>
            </w:tcBorders>
          </w:tcPr>
          <w:p>
            <w:pPr>
              <w:ind w:left="320"/>
              <w:spacing w:after="0" w:line="127" w:lineRule="exact"/>
              <w:rPr>
                <w:sz w:val="20"/>
                <w:szCs w:val="20"/>
                <w:color w:val="auto"/>
              </w:rPr>
            </w:pPr>
            <w:r>
              <w:rPr>
                <w:rFonts w:ascii="Times New Roman" w:cs="Times New Roman" w:eastAsia="Times New Roman" w:hAnsi="Times New Roman"/>
                <w:sz w:val="12"/>
                <w:szCs w:val="12"/>
                <w:color w:val="auto"/>
              </w:rPr>
              <w:t>Sales of medical services</w:t>
            </w:r>
          </w:p>
        </w:tc>
        <w:tc>
          <w:tcPr>
            <w:tcW w:w="1500" w:type="dxa"/>
            <w:vAlign w:val="bottom"/>
          </w:tcPr>
          <w:p>
            <w:pPr>
              <w:jc w:val="center"/>
              <w:ind w:right="1"/>
              <w:spacing w:after="0" w:line="127" w:lineRule="exact"/>
              <w:rPr>
                <w:sz w:val="20"/>
                <w:szCs w:val="20"/>
                <w:color w:val="auto"/>
              </w:rPr>
            </w:pPr>
            <w:r>
              <w:rPr>
                <w:rFonts w:ascii="Times New Roman" w:cs="Times New Roman" w:eastAsia="Times New Roman" w:hAnsi="Times New Roman"/>
                <w:sz w:val="12"/>
                <w:szCs w:val="12"/>
                <w:color w:val="auto"/>
                <w:w w:val="96"/>
              </w:rPr>
              <w:t>78,121</w:t>
            </w:r>
          </w:p>
        </w:tc>
        <w:tc>
          <w:tcPr>
            <w:tcW w:w="158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7"/>
              </w:rPr>
              <w:t>414,114</w:t>
            </w:r>
          </w:p>
        </w:tc>
        <w:tc>
          <w:tcPr>
            <w:tcW w:w="1640" w:type="dxa"/>
            <w:vAlign w:val="bottom"/>
            <w:tcBorders>
              <w:right w:val="single" w:sz="8" w:color="auto"/>
            </w:tcBorders>
          </w:tcPr>
          <w:p>
            <w:pPr>
              <w:jc w:val="center"/>
              <w:ind w:right="1"/>
              <w:spacing w:after="0" w:line="127" w:lineRule="exact"/>
              <w:rPr>
                <w:sz w:val="20"/>
                <w:szCs w:val="20"/>
                <w:color w:val="auto"/>
              </w:rPr>
            </w:pPr>
            <w:r>
              <w:rPr>
                <w:rFonts w:ascii="Times New Roman" w:cs="Times New Roman" w:eastAsia="Times New Roman" w:hAnsi="Times New Roman"/>
                <w:sz w:val="12"/>
                <w:szCs w:val="12"/>
                <w:color w:val="auto"/>
                <w:w w:val="97"/>
              </w:rPr>
              <w:t>424,565</w:t>
            </w:r>
          </w:p>
        </w:tc>
        <w:tc>
          <w:tcPr>
            <w:tcW w:w="740" w:type="dxa"/>
            <w:vAlign w:val="bottom"/>
          </w:tcPr>
          <w:p>
            <w:pPr>
              <w:jc w:val="center"/>
              <w:ind w:left="201"/>
              <w:spacing w:after="0" w:line="127" w:lineRule="exact"/>
              <w:rPr>
                <w:sz w:val="20"/>
                <w:szCs w:val="20"/>
                <w:color w:val="auto"/>
              </w:rPr>
            </w:pPr>
            <w:r>
              <w:rPr>
                <w:rFonts w:ascii="Times New Roman" w:cs="Times New Roman" w:eastAsia="Times New Roman" w:hAnsi="Times New Roman"/>
                <w:sz w:val="12"/>
                <w:szCs w:val="12"/>
                <w:color w:val="auto"/>
                <w:w w:val="95"/>
              </w:rPr>
              <w:t>2.5%</w:t>
            </w:r>
          </w:p>
        </w:tc>
        <w:tc>
          <w:tcPr>
            <w:tcW w:w="1500" w:type="dxa"/>
            <w:vAlign w:val="bottom"/>
            <w:tcBorders>
              <w:right w:val="single" w:sz="8" w:color="auto"/>
            </w:tcBorders>
          </w:tcPr>
          <w:p>
            <w:pPr>
              <w:jc w:val="center"/>
              <w:ind w:left="181"/>
              <w:spacing w:after="0" w:line="127" w:lineRule="exact"/>
              <w:rPr>
                <w:sz w:val="20"/>
                <w:szCs w:val="20"/>
                <w:color w:val="auto"/>
              </w:rPr>
            </w:pPr>
            <w:r>
              <w:rPr>
                <w:rFonts w:ascii="Times New Roman" w:cs="Times New Roman" w:eastAsia="Times New Roman" w:hAnsi="Times New Roman"/>
                <w:sz w:val="12"/>
                <w:szCs w:val="12"/>
                <w:color w:val="auto"/>
              </w:rPr>
              <w:t>443.5%</w:t>
            </w:r>
          </w:p>
        </w:tc>
        <w:tc>
          <w:tcPr>
            <w:tcW w:w="0" w:type="dxa"/>
            <w:vAlign w:val="bottom"/>
          </w:tcPr>
          <w:p>
            <w:pPr>
              <w:spacing w:after="0"/>
              <w:rPr>
                <w:sz w:val="1"/>
                <w:szCs w:val="1"/>
                <w:color w:val="auto"/>
              </w:rPr>
            </w:pPr>
          </w:p>
        </w:tc>
      </w:tr>
      <w:tr>
        <w:trPr>
          <w:trHeight w:val="125"/>
        </w:trPr>
        <w:tc>
          <w:tcPr>
            <w:tcW w:w="4300" w:type="dxa"/>
            <w:vAlign w:val="bottom"/>
            <w:tcBorders>
              <w:left w:val="single" w:sz="8" w:color="auto"/>
              <w:right w:val="single" w:sz="8" w:color="auto"/>
            </w:tcBorders>
          </w:tcPr>
          <w:p>
            <w:pPr>
              <w:ind w:left="320"/>
              <w:spacing w:after="0" w:line="125" w:lineRule="exact"/>
              <w:rPr>
                <w:sz w:val="20"/>
                <w:szCs w:val="20"/>
                <w:color w:val="auto"/>
              </w:rPr>
            </w:pPr>
            <w:r>
              <w:rPr>
                <w:rFonts w:ascii="Times New Roman" w:cs="Times New Roman" w:eastAsia="Times New Roman" w:hAnsi="Times New Roman"/>
                <w:sz w:val="12"/>
                <w:szCs w:val="12"/>
                <w:color w:val="auto"/>
              </w:rPr>
              <w:t>Cost of sales of medical services</w:t>
            </w:r>
          </w:p>
        </w:tc>
        <w:tc>
          <w:tcPr>
            <w:tcW w:w="1500" w:type="dxa"/>
            <w:vAlign w:val="bottom"/>
          </w:tcPr>
          <w:p>
            <w:pPr>
              <w:jc w:val="center"/>
              <w:ind w:right="1"/>
              <w:spacing w:after="0" w:line="125" w:lineRule="exact"/>
              <w:rPr>
                <w:sz w:val="20"/>
                <w:szCs w:val="20"/>
                <w:color w:val="auto"/>
              </w:rPr>
            </w:pPr>
            <w:r>
              <w:rPr>
                <w:rFonts w:ascii="Times New Roman" w:cs="Times New Roman" w:eastAsia="Times New Roman" w:hAnsi="Times New Roman"/>
                <w:sz w:val="12"/>
                <w:szCs w:val="12"/>
                <w:color w:val="auto"/>
                <w:w w:val="97"/>
              </w:rPr>
              <w:t>(35,432)</w:t>
            </w:r>
          </w:p>
        </w:tc>
        <w:tc>
          <w:tcPr>
            <w:tcW w:w="158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auto"/>
                <w:w w:val="97"/>
              </w:rPr>
              <w:t>(289,441)</w:t>
            </w:r>
          </w:p>
        </w:tc>
        <w:tc>
          <w:tcPr>
            <w:tcW w:w="1640" w:type="dxa"/>
            <w:vAlign w:val="bottom"/>
            <w:tcBorders>
              <w:right w:val="single" w:sz="8" w:color="auto"/>
            </w:tcBorders>
          </w:tcPr>
          <w:p>
            <w:pPr>
              <w:jc w:val="center"/>
              <w:ind w:right="1"/>
              <w:spacing w:after="0" w:line="125" w:lineRule="exact"/>
              <w:rPr>
                <w:sz w:val="20"/>
                <w:szCs w:val="20"/>
                <w:color w:val="auto"/>
              </w:rPr>
            </w:pPr>
            <w:r>
              <w:rPr>
                <w:rFonts w:ascii="Times New Roman" w:cs="Times New Roman" w:eastAsia="Times New Roman" w:hAnsi="Times New Roman"/>
                <w:sz w:val="12"/>
                <w:szCs w:val="12"/>
                <w:color w:val="auto"/>
                <w:w w:val="97"/>
              </w:rPr>
              <w:t>(300,727)</w:t>
            </w:r>
          </w:p>
        </w:tc>
        <w:tc>
          <w:tcPr>
            <w:tcW w:w="740" w:type="dxa"/>
            <w:vAlign w:val="bottom"/>
          </w:tcPr>
          <w:p>
            <w:pPr>
              <w:jc w:val="center"/>
              <w:ind w:left="201"/>
              <w:spacing w:after="0" w:line="125" w:lineRule="exact"/>
              <w:rPr>
                <w:sz w:val="20"/>
                <w:szCs w:val="20"/>
                <w:color w:val="auto"/>
              </w:rPr>
            </w:pPr>
            <w:r>
              <w:rPr>
                <w:rFonts w:ascii="Times New Roman" w:cs="Times New Roman" w:eastAsia="Times New Roman" w:hAnsi="Times New Roman"/>
                <w:sz w:val="12"/>
                <w:szCs w:val="12"/>
                <w:color w:val="auto"/>
                <w:w w:val="95"/>
              </w:rPr>
              <w:t>3.9%</w:t>
            </w:r>
          </w:p>
        </w:tc>
        <w:tc>
          <w:tcPr>
            <w:tcW w:w="1500" w:type="dxa"/>
            <w:vAlign w:val="bottom"/>
            <w:tcBorders>
              <w:right w:val="single" w:sz="8" w:color="auto"/>
            </w:tcBorders>
          </w:tcPr>
          <w:p>
            <w:pPr>
              <w:jc w:val="center"/>
              <w:ind w:left="181"/>
              <w:spacing w:after="0" w:line="125" w:lineRule="exact"/>
              <w:rPr>
                <w:sz w:val="20"/>
                <w:szCs w:val="20"/>
                <w:color w:val="auto"/>
              </w:rPr>
            </w:pPr>
            <w:r>
              <w:rPr>
                <w:rFonts w:ascii="Times New Roman" w:cs="Times New Roman" w:eastAsia="Times New Roman" w:hAnsi="Times New Roman"/>
                <w:sz w:val="12"/>
                <w:szCs w:val="12"/>
                <w:color w:val="auto"/>
              </w:rPr>
              <w:t>748.7%</w:t>
            </w:r>
          </w:p>
        </w:tc>
        <w:tc>
          <w:tcPr>
            <w:tcW w:w="0" w:type="dxa"/>
            <w:vAlign w:val="bottom"/>
          </w:tcPr>
          <w:p>
            <w:pPr>
              <w:spacing w:after="0"/>
              <w:rPr>
                <w:sz w:val="1"/>
                <w:szCs w:val="1"/>
                <w:color w:val="auto"/>
              </w:rPr>
            </w:pPr>
          </w:p>
        </w:tc>
      </w:tr>
      <w:tr>
        <w:trPr>
          <w:trHeight w:val="156"/>
        </w:trPr>
        <w:tc>
          <w:tcPr>
            <w:tcW w:w="4300" w:type="dxa"/>
            <w:vAlign w:val="bottom"/>
            <w:tcBorders>
              <w:left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2"/>
                <w:szCs w:val="12"/>
                <w:b w:val="1"/>
                <w:bCs w:val="1"/>
                <w:color w:val="auto"/>
              </w:rPr>
              <w:t>Total medical services result</w:t>
            </w:r>
          </w:p>
        </w:tc>
        <w:tc>
          <w:tcPr>
            <w:tcW w:w="1500" w:type="dxa"/>
            <w:vAlign w:val="bottom"/>
          </w:tcPr>
          <w:p>
            <w:pPr>
              <w:jc w:val="center"/>
              <w:ind w:right="1"/>
              <w:spacing w:after="0"/>
              <w:rPr>
                <w:sz w:val="20"/>
                <w:szCs w:val="20"/>
                <w:color w:val="auto"/>
              </w:rPr>
            </w:pPr>
            <w:r>
              <w:rPr>
                <w:rFonts w:ascii="Times New Roman" w:cs="Times New Roman" w:eastAsia="Times New Roman" w:hAnsi="Times New Roman"/>
                <w:sz w:val="12"/>
                <w:szCs w:val="12"/>
                <w:b w:val="1"/>
                <w:bCs w:val="1"/>
                <w:color w:val="auto"/>
                <w:w w:val="96"/>
              </w:rPr>
              <w:t>42,689</w:t>
            </w:r>
          </w:p>
        </w:tc>
        <w:tc>
          <w:tcPr>
            <w:tcW w:w="15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124,673</w:t>
            </w:r>
          </w:p>
        </w:tc>
        <w:tc>
          <w:tcPr>
            <w:tcW w:w="1640" w:type="dxa"/>
            <w:vAlign w:val="bottom"/>
            <w:tcBorders>
              <w:right w:val="single" w:sz="8" w:color="auto"/>
            </w:tcBorders>
          </w:tcPr>
          <w:p>
            <w:pPr>
              <w:jc w:val="center"/>
              <w:ind w:right="1"/>
              <w:spacing w:after="0"/>
              <w:rPr>
                <w:sz w:val="20"/>
                <w:szCs w:val="20"/>
                <w:color w:val="auto"/>
              </w:rPr>
            </w:pPr>
            <w:r>
              <w:rPr>
                <w:rFonts w:ascii="Times New Roman" w:cs="Times New Roman" w:eastAsia="Times New Roman" w:hAnsi="Times New Roman"/>
                <w:sz w:val="12"/>
                <w:szCs w:val="12"/>
                <w:b w:val="1"/>
                <w:bCs w:val="1"/>
                <w:color w:val="auto"/>
                <w:w w:val="97"/>
              </w:rPr>
              <w:t>123,838</w:t>
            </w:r>
          </w:p>
        </w:tc>
        <w:tc>
          <w:tcPr>
            <w:tcW w:w="740" w:type="dxa"/>
            <w:vAlign w:val="bottom"/>
          </w:tcPr>
          <w:p>
            <w:pPr>
              <w:jc w:val="center"/>
              <w:ind w:left="201"/>
              <w:spacing w:after="0"/>
              <w:rPr>
                <w:sz w:val="20"/>
                <w:szCs w:val="20"/>
                <w:color w:val="auto"/>
              </w:rPr>
            </w:pPr>
            <w:r>
              <w:rPr>
                <w:rFonts w:ascii="Times New Roman" w:cs="Times New Roman" w:eastAsia="Times New Roman" w:hAnsi="Times New Roman"/>
                <w:sz w:val="12"/>
                <w:szCs w:val="12"/>
                <w:b w:val="1"/>
                <w:bCs w:val="1"/>
                <w:color w:val="auto"/>
              </w:rPr>
              <w:t>-0.7%</w:t>
            </w:r>
          </w:p>
        </w:tc>
        <w:tc>
          <w:tcPr>
            <w:tcW w:w="1500" w:type="dxa"/>
            <w:vAlign w:val="bottom"/>
            <w:tcBorders>
              <w:right w:val="single" w:sz="8" w:color="auto"/>
            </w:tcBorders>
          </w:tcPr>
          <w:p>
            <w:pPr>
              <w:jc w:val="center"/>
              <w:ind w:left="181"/>
              <w:spacing w:after="0"/>
              <w:rPr>
                <w:sz w:val="20"/>
                <w:szCs w:val="20"/>
                <w:color w:val="auto"/>
              </w:rPr>
            </w:pPr>
            <w:r>
              <w:rPr>
                <w:rFonts w:ascii="Times New Roman" w:cs="Times New Roman" w:eastAsia="Times New Roman" w:hAnsi="Times New Roman"/>
                <w:sz w:val="12"/>
                <w:szCs w:val="12"/>
                <w:b w:val="1"/>
                <w:bCs w:val="1"/>
                <w:color w:val="auto"/>
                <w:w w:val="97"/>
              </w:rPr>
              <w:t>190.1%</w:t>
            </w:r>
          </w:p>
        </w:tc>
        <w:tc>
          <w:tcPr>
            <w:tcW w:w="0" w:type="dxa"/>
            <w:vAlign w:val="bottom"/>
          </w:tcPr>
          <w:p>
            <w:pPr>
              <w:spacing w:after="0"/>
              <w:rPr>
                <w:sz w:val="1"/>
                <w:szCs w:val="1"/>
                <w:color w:val="auto"/>
              </w:rPr>
            </w:pPr>
          </w:p>
        </w:tc>
      </w:tr>
      <w:tr>
        <w:trPr>
          <w:trHeight w:val="227"/>
        </w:trPr>
        <w:tc>
          <w:tcPr>
            <w:tcW w:w="430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2"/>
                <w:szCs w:val="12"/>
                <w:b w:val="1"/>
                <w:bCs w:val="1"/>
                <w:color w:val="auto"/>
              </w:rPr>
              <w:t>Total Expenses</w:t>
            </w:r>
          </w:p>
        </w:tc>
        <w:tc>
          <w:tcPr>
            <w:tcW w:w="15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640" w:type="dxa"/>
            <w:vAlign w:val="bottom"/>
            <w:tcBorders>
              <w:right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15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4300" w:type="dxa"/>
            <w:vAlign w:val="bottom"/>
            <w:tcBorders>
              <w:left w:val="single" w:sz="8" w:color="auto"/>
              <w:right w:val="single" w:sz="8" w:color="auto"/>
            </w:tcBorders>
          </w:tcPr>
          <w:p>
            <w:pPr>
              <w:ind w:left="320"/>
              <w:spacing w:after="0" w:line="127" w:lineRule="exact"/>
              <w:rPr>
                <w:sz w:val="20"/>
                <w:szCs w:val="20"/>
                <w:color w:val="auto"/>
              </w:rPr>
            </w:pPr>
            <w:r>
              <w:rPr>
                <w:rFonts w:ascii="Times New Roman" w:cs="Times New Roman" w:eastAsia="Times New Roman" w:hAnsi="Times New Roman"/>
                <w:sz w:val="12"/>
                <w:szCs w:val="12"/>
                <w:color w:val="auto"/>
              </w:rPr>
              <w:t>Salaries and employee benefits</w:t>
            </w:r>
          </w:p>
        </w:tc>
        <w:tc>
          <w:tcPr>
            <w:tcW w:w="150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6"/>
              </w:rPr>
              <w:t>(1,361,690)</w:t>
            </w:r>
          </w:p>
        </w:tc>
        <w:tc>
          <w:tcPr>
            <w:tcW w:w="158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9"/>
              </w:rPr>
              <w:t>(1,428,178)</w:t>
            </w:r>
          </w:p>
        </w:tc>
        <w:tc>
          <w:tcPr>
            <w:tcW w:w="1640" w:type="dxa"/>
            <w:vAlign w:val="bottom"/>
            <w:tcBorders>
              <w:right w:val="single" w:sz="8" w:color="auto"/>
            </w:tcBorders>
          </w:tcPr>
          <w:p>
            <w:pPr>
              <w:jc w:val="center"/>
              <w:ind w:right="1"/>
              <w:spacing w:after="0" w:line="127" w:lineRule="exact"/>
              <w:rPr>
                <w:sz w:val="20"/>
                <w:szCs w:val="20"/>
                <w:color w:val="auto"/>
              </w:rPr>
            </w:pPr>
            <w:r>
              <w:rPr>
                <w:rFonts w:ascii="Times New Roman" w:cs="Times New Roman" w:eastAsia="Times New Roman" w:hAnsi="Times New Roman"/>
                <w:sz w:val="12"/>
                <w:szCs w:val="12"/>
                <w:color w:val="auto"/>
                <w:w w:val="96"/>
              </w:rPr>
              <w:t>(1,459,421)</w:t>
            </w:r>
          </w:p>
        </w:tc>
        <w:tc>
          <w:tcPr>
            <w:tcW w:w="740" w:type="dxa"/>
            <w:vAlign w:val="bottom"/>
          </w:tcPr>
          <w:p>
            <w:pPr>
              <w:jc w:val="center"/>
              <w:ind w:left="201"/>
              <w:spacing w:after="0" w:line="127" w:lineRule="exact"/>
              <w:rPr>
                <w:sz w:val="20"/>
                <w:szCs w:val="20"/>
                <w:color w:val="auto"/>
              </w:rPr>
            </w:pPr>
            <w:r>
              <w:rPr>
                <w:rFonts w:ascii="Times New Roman" w:cs="Times New Roman" w:eastAsia="Times New Roman" w:hAnsi="Times New Roman"/>
                <w:sz w:val="12"/>
                <w:szCs w:val="12"/>
                <w:color w:val="auto"/>
                <w:w w:val="95"/>
              </w:rPr>
              <w:t>2.2%</w:t>
            </w:r>
          </w:p>
        </w:tc>
        <w:tc>
          <w:tcPr>
            <w:tcW w:w="1500" w:type="dxa"/>
            <w:vAlign w:val="bottom"/>
            <w:tcBorders>
              <w:right w:val="single" w:sz="8" w:color="auto"/>
            </w:tcBorders>
          </w:tcPr>
          <w:p>
            <w:pPr>
              <w:jc w:val="center"/>
              <w:ind w:left="181"/>
              <w:spacing w:after="0" w:line="127" w:lineRule="exact"/>
              <w:rPr>
                <w:sz w:val="20"/>
                <w:szCs w:val="20"/>
                <w:color w:val="auto"/>
              </w:rPr>
            </w:pPr>
            <w:r>
              <w:rPr>
                <w:rFonts w:ascii="Times New Roman" w:cs="Times New Roman" w:eastAsia="Times New Roman" w:hAnsi="Times New Roman"/>
                <w:sz w:val="12"/>
                <w:szCs w:val="12"/>
                <w:color w:val="auto"/>
              </w:rPr>
              <w:t>7.2%</w:t>
            </w:r>
          </w:p>
        </w:tc>
        <w:tc>
          <w:tcPr>
            <w:tcW w:w="0" w:type="dxa"/>
            <w:vAlign w:val="bottom"/>
          </w:tcPr>
          <w:p>
            <w:pPr>
              <w:spacing w:after="0"/>
              <w:rPr>
                <w:sz w:val="1"/>
                <w:szCs w:val="1"/>
                <w:color w:val="auto"/>
              </w:rPr>
            </w:pPr>
          </w:p>
        </w:tc>
      </w:tr>
      <w:tr>
        <w:trPr>
          <w:trHeight w:val="127"/>
        </w:trPr>
        <w:tc>
          <w:tcPr>
            <w:tcW w:w="4300" w:type="dxa"/>
            <w:vAlign w:val="bottom"/>
            <w:tcBorders>
              <w:left w:val="single" w:sz="8" w:color="auto"/>
              <w:right w:val="single" w:sz="8" w:color="auto"/>
            </w:tcBorders>
          </w:tcPr>
          <w:p>
            <w:pPr>
              <w:ind w:left="320"/>
              <w:spacing w:after="0" w:line="127" w:lineRule="exact"/>
              <w:rPr>
                <w:sz w:val="20"/>
                <w:szCs w:val="20"/>
                <w:color w:val="auto"/>
              </w:rPr>
            </w:pPr>
            <w:r>
              <w:rPr>
                <w:rFonts w:ascii="Times New Roman" w:cs="Times New Roman" w:eastAsia="Times New Roman" w:hAnsi="Times New Roman"/>
                <w:sz w:val="12"/>
                <w:szCs w:val="12"/>
                <w:color w:val="auto"/>
              </w:rPr>
              <w:t>Administrative, general and tax expenses</w:t>
            </w:r>
          </w:p>
        </w:tc>
        <w:tc>
          <w:tcPr>
            <w:tcW w:w="150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7"/>
              </w:rPr>
              <w:t>(869,834)</w:t>
            </w:r>
          </w:p>
        </w:tc>
        <w:tc>
          <w:tcPr>
            <w:tcW w:w="158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9"/>
              </w:rPr>
              <w:t>(1,186,497)</w:t>
            </w:r>
          </w:p>
        </w:tc>
        <w:tc>
          <w:tcPr>
            <w:tcW w:w="1640" w:type="dxa"/>
            <w:vAlign w:val="bottom"/>
            <w:tcBorders>
              <w:right w:val="single" w:sz="8" w:color="auto"/>
            </w:tcBorders>
          </w:tcPr>
          <w:p>
            <w:pPr>
              <w:jc w:val="center"/>
              <w:ind w:right="1"/>
              <w:spacing w:after="0" w:line="127" w:lineRule="exact"/>
              <w:rPr>
                <w:sz w:val="20"/>
                <w:szCs w:val="20"/>
                <w:color w:val="auto"/>
              </w:rPr>
            </w:pPr>
            <w:r>
              <w:rPr>
                <w:rFonts w:ascii="Times New Roman" w:cs="Times New Roman" w:eastAsia="Times New Roman" w:hAnsi="Times New Roman"/>
                <w:sz w:val="12"/>
                <w:szCs w:val="12"/>
                <w:color w:val="auto"/>
                <w:w w:val="96"/>
              </w:rPr>
              <w:t>(1,061,666)</w:t>
            </w:r>
          </w:p>
        </w:tc>
        <w:tc>
          <w:tcPr>
            <w:tcW w:w="740" w:type="dxa"/>
            <w:vAlign w:val="bottom"/>
          </w:tcPr>
          <w:p>
            <w:pPr>
              <w:jc w:val="center"/>
              <w:ind w:left="201"/>
              <w:spacing w:after="0" w:line="127" w:lineRule="exact"/>
              <w:rPr>
                <w:sz w:val="20"/>
                <w:szCs w:val="20"/>
                <w:color w:val="auto"/>
              </w:rPr>
            </w:pPr>
            <w:r>
              <w:rPr>
                <w:rFonts w:ascii="Times New Roman" w:cs="Times New Roman" w:eastAsia="Times New Roman" w:hAnsi="Times New Roman"/>
                <w:sz w:val="12"/>
                <w:szCs w:val="12"/>
                <w:color w:val="auto"/>
              </w:rPr>
              <w:t>-10.5%</w:t>
            </w:r>
          </w:p>
        </w:tc>
        <w:tc>
          <w:tcPr>
            <w:tcW w:w="1500" w:type="dxa"/>
            <w:vAlign w:val="bottom"/>
            <w:tcBorders>
              <w:right w:val="single" w:sz="8" w:color="auto"/>
            </w:tcBorders>
          </w:tcPr>
          <w:p>
            <w:pPr>
              <w:jc w:val="center"/>
              <w:ind w:left="181"/>
              <w:spacing w:after="0" w:line="127" w:lineRule="exact"/>
              <w:rPr>
                <w:sz w:val="20"/>
                <w:szCs w:val="20"/>
                <w:color w:val="auto"/>
              </w:rPr>
            </w:pPr>
            <w:r>
              <w:rPr>
                <w:rFonts w:ascii="Times New Roman" w:cs="Times New Roman" w:eastAsia="Times New Roman" w:hAnsi="Times New Roman"/>
                <w:sz w:val="12"/>
                <w:szCs w:val="12"/>
                <w:color w:val="auto"/>
                <w:w w:val="96"/>
              </w:rPr>
              <w:t>22.1%</w:t>
            </w:r>
          </w:p>
        </w:tc>
        <w:tc>
          <w:tcPr>
            <w:tcW w:w="0" w:type="dxa"/>
            <w:vAlign w:val="bottom"/>
          </w:tcPr>
          <w:p>
            <w:pPr>
              <w:spacing w:after="0"/>
              <w:rPr>
                <w:sz w:val="1"/>
                <w:szCs w:val="1"/>
                <w:color w:val="auto"/>
              </w:rPr>
            </w:pPr>
          </w:p>
        </w:tc>
      </w:tr>
      <w:tr>
        <w:trPr>
          <w:trHeight w:val="127"/>
        </w:trPr>
        <w:tc>
          <w:tcPr>
            <w:tcW w:w="4300" w:type="dxa"/>
            <w:vAlign w:val="bottom"/>
            <w:tcBorders>
              <w:left w:val="single" w:sz="8" w:color="auto"/>
              <w:right w:val="single" w:sz="8" w:color="auto"/>
            </w:tcBorders>
          </w:tcPr>
          <w:p>
            <w:pPr>
              <w:ind w:left="320"/>
              <w:spacing w:after="0" w:line="127" w:lineRule="exact"/>
              <w:rPr>
                <w:sz w:val="20"/>
                <w:szCs w:val="20"/>
                <w:color w:val="auto"/>
              </w:rPr>
            </w:pPr>
            <w:r>
              <w:rPr>
                <w:rFonts w:ascii="Times New Roman" w:cs="Times New Roman" w:eastAsia="Times New Roman" w:hAnsi="Times New Roman"/>
                <w:sz w:val="12"/>
                <w:szCs w:val="12"/>
                <w:color w:val="auto"/>
              </w:rPr>
              <w:t>Depreciation and amortization</w:t>
            </w:r>
          </w:p>
        </w:tc>
        <w:tc>
          <w:tcPr>
            <w:tcW w:w="150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7"/>
              </w:rPr>
              <w:t>(203,766)</w:t>
            </w:r>
          </w:p>
        </w:tc>
        <w:tc>
          <w:tcPr>
            <w:tcW w:w="158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7"/>
              </w:rPr>
              <w:t>(256,914)</w:t>
            </w:r>
          </w:p>
        </w:tc>
        <w:tc>
          <w:tcPr>
            <w:tcW w:w="1640" w:type="dxa"/>
            <w:vAlign w:val="bottom"/>
            <w:tcBorders>
              <w:right w:val="single" w:sz="8" w:color="auto"/>
            </w:tcBorders>
          </w:tcPr>
          <w:p>
            <w:pPr>
              <w:jc w:val="center"/>
              <w:ind w:right="1"/>
              <w:spacing w:after="0" w:line="127" w:lineRule="exact"/>
              <w:rPr>
                <w:sz w:val="20"/>
                <w:szCs w:val="20"/>
                <w:color w:val="auto"/>
              </w:rPr>
            </w:pPr>
            <w:r>
              <w:rPr>
                <w:rFonts w:ascii="Times New Roman" w:cs="Times New Roman" w:eastAsia="Times New Roman" w:hAnsi="Times New Roman"/>
                <w:sz w:val="12"/>
                <w:szCs w:val="12"/>
                <w:color w:val="auto"/>
                <w:w w:val="97"/>
              </w:rPr>
              <w:t>(241,368)</w:t>
            </w:r>
          </w:p>
        </w:tc>
        <w:tc>
          <w:tcPr>
            <w:tcW w:w="740" w:type="dxa"/>
            <w:vAlign w:val="bottom"/>
          </w:tcPr>
          <w:p>
            <w:pPr>
              <w:jc w:val="center"/>
              <w:ind w:left="201"/>
              <w:spacing w:after="0" w:line="127" w:lineRule="exact"/>
              <w:rPr>
                <w:sz w:val="20"/>
                <w:szCs w:val="20"/>
                <w:color w:val="auto"/>
              </w:rPr>
            </w:pPr>
            <w:r>
              <w:rPr>
                <w:rFonts w:ascii="Times New Roman" w:cs="Times New Roman" w:eastAsia="Times New Roman" w:hAnsi="Times New Roman"/>
                <w:sz w:val="12"/>
                <w:szCs w:val="12"/>
                <w:color w:val="auto"/>
                <w:w w:val="96"/>
              </w:rPr>
              <w:t>-6.1%</w:t>
            </w:r>
          </w:p>
        </w:tc>
        <w:tc>
          <w:tcPr>
            <w:tcW w:w="1500" w:type="dxa"/>
            <w:vAlign w:val="bottom"/>
            <w:tcBorders>
              <w:right w:val="single" w:sz="8" w:color="auto"/>
            </w:tcBorders>
          </w:tcPr>
          <w:p>
            <w:pPr>
              <w:jc w:val="center"/>
              <w:ind w:left="181"/>
              <w:spacing w:after="0" w:line="127" w:lineRule="exact"/>
              <w:rPr>
                <w:sz w:val="20"/>
                <w:szCs w:val="20"/>
                <w:color w:val="auto"/>
              </w:rPr>
            </w:pPr>
            <w:r>
              <w:rPr>
                <w:rFonts w:ascii="Times New Roman" w:cs="Times New Roman" w:eastAsia="Times New Roman" w:hAnsi="Times New Roman"/>
                <w:sz w:val="12"/>
                <w:szCs w:val="12"/>
                <w:color w:val="auto"/>
                <w:w w:val="96"/>
              </w:rPr>
              <w:t>18.5%</w:t>
            </w:r>
          </w:p>
        </w:tc>
        <w:tc>
          <w:tcPr>
            <w:tcW w:w="0" w:type="dxa"/>
            <w:vAlign w:val="bottom"/>
          </w:tcPr>
          <w:p>
            <w:pPr>
              <w:spacing w:after="0"/>
              <w:rPr>
                <w:sz w:val="1"/>
                <w:szCs w:val="1"/>
                <w:color w:val="auto"/>
              </w:rPr>
            </w:pPr>
          </w:p>
        </w:tc>
      </w:tr>
      <w:tr>
        <w:trPr>
          <w:trHeight w:val="127"/>
        </w:trPr>
        <w:tc>
          <w:tcPr>
            <w:tcW w:w="4300" w:type="dxa"/>
            <w:vAlign w:val="bottom"/>
            <w:tcBorders>
              <w:left w:val="single" w:sz="8" w:color="auto"/>
              <w:right w:val="single" w:sz="8" w:color="auto"/>
            </w:tcBorders>
          </w:tcPr>
          <w:p>
            <w:pPr>
              <w:ind w:left="320"/>
              <w:spacing w:after="0" w:line="127" w:lineRule="exact"/>
              <w:rPr>
                <w:sz w:val="20"/>
                <w:szCs w:val="20"/>
                <w:color w:val="auto"/>
              </w:rPr>
            </w:pPr>
            <w:r>
              <w:rPr>
                <w:rFonts w:ascii="Times New Roman" w:cs="Times New Roman" w:eastAsia="Times New Roman" w:hAnsi="Times New Roman"/>
                <w:sz w:val="12"/>
                <w:szCs w:val="12"/>
                <w:color w:val="auto"/>
              </w:rPr>
              <w:t>Impairment loss on goodwill</w:t>
            </w:r>
          </w:p>
        </w:tc>
        <w:tc>
          <w:tcPr>
            <w:tcW w:w="1500" w:type="dxa"/>
            <w:vAlign w:val="bottom"/>
          </w:tcPr>
          <w:p>
            <w:pPr>
              <w:jc w:val="right"/>
              <w:ind w:right="741"/>
              <w:spacing w:after="0" w:line="127" w:lineRule="exact"/>
              <w:rPr>
                <w:sz w:val="20"/>
                <w:szCs w:val="20"/>
                <w:color w:val="auto"/>
              </w:rPr>
            </w:pPr>
            <w:r>
              <w:rPr>
                <w:rFonts w:ascii="Times New Roman" w:cs="Times New Roman" w:eastAsia="Times New Roman" w:hAnsi="Times New Roman"/>
                <w:sz w:val="12"/>
                <w:szCs w:val="12"/>
                <w:color w:val="auto"/>
              </w:rPr>
              <w:t>-</w:t>
            </w:r>
          </w:p>
        </w:tc>
        <w:tc>
          <w:tcPr>
            <w:tcW w:w="1580" w:type="dxa"/>
            <w:vAlign w:val="bottom"/>
          </w:tcPr>
          <w:p>
            <w:pPr>
              <w:jc w:val="right"/>
              <w:ind w:right="761"/>
              <w:spacing w:after="0" w:line="127" w:lineRule="exact"/>
              <w:rPr>
                <w:sz w:val="20"/>
                <w:szCs w:val="20"/>
                <w:color w:val="auto"/>
              </w:rPr>
            </w:pPr>
            <w:r>
              <w:rPr>
                <w:rFonts w:ascii="Times New Roman" w:cs="Times New Roman" w:eastAsia="Times New Roman" w:hAnsi="Times New Roman"/>
                <w:sz w:val="12"/>
                <w:szCs w:val="12"/>
                <w:color w:val="auto"/>
              </w:rPr>
              <w:t>-</w:t>
            </w:r>
          </w:p>
        </w:tc>
        <w:tc>
          <w:tcPr>
            <w:tcW w:w="1640" w:type="dxa"/>
            <w:vAlign w:val="bottom"/>
            <w:tcBorders>
              <w:right w:val="single" w:sz="8" w:color="auto"/>
            </w:tcBorders>
          </w:tcPr>
          <w:p>
            <w:pPr>
              <w:jc w:val="right"/>
              <w:ind w:right="821"/>
              <w:spacing w:after="0" w:line="127"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center"/>
              <w:ind w:left="201"/>
              <w:spacing w:after="0" w:line="127" w:lineRule="exact"/>
              <w:rPr>
                <w:sz w:val="20"/>
                <w:szCs w:val="20"/>
                <w:color w:val="auto"/>
              </w:rPr>
            </w:pPr>
            <w:r>
              <w:rPr>
                <w:rFonts w:ascii="Times New Roman" w:cs="Times New Roman" w:eastAsia="Times New Roman" w:hAnsi="Times New Roman"/>
                <w:sz w:val="12"/>
                <w:szCs w:val="12"/>
                <w:color w:val="auto"/>
                <w:w w:val="92"/>
              </w:rPr>
              <w:t>n.a.</w:t>
            </w:r>
          </w:p>
        </w:tc>
        <w:tc>
          <w:tcPr>
            <w:tcW w:w="1500" w:type="dxa"/>
            <w:vAlign w:val="bottom"/>
            <w:tcBorders>
              <w:right w:val="single" w:sz="8" w:color="auto"/>
            </w:tcBorders>
          </w:tcPr>
          <w:p>
            <w:pPr>
              <w:jc w:val="center"/>
              <w:ind w:left="181"/>
              <w:spacing w:after="0" w:line="127" w:lineRule="exact"/>
              <w:rPr>
                <w:sz w:val="20"/>
                <w:szCs w:val="20"/>
                <w:color w:val="auto"/>
              </w:rPr>
            </w:pPr>
            <w:r>
              <w:rPr>
                <w:rFonts w:ascii="Times New Roman" w:cs="Times New Roman" w:eastAsia="Times New Roman" w:hAnsi="Times New Roman"/>
                <w:sz w:val="12"/>
                <w:szCs w:val="12"/>
                <w:color w:val="auto"/>
              </w:rPr>
              <w:t>n.a.</w:t>
            </w:r>
          </w:p>
        </w:tc>
        <w:tc>
          <w:tcPr>
            <w:tcW w:w="0" w:type="dxa"/>
            <w:vAlign w:val="bottom"/>
          </w:tcPr>
          <w:p>
            <w:pPr>
              <w:spacing w:after="0"/>
              <w:rPr>
                <w:sz w:val="1"/>
                <w:szCs w:val="1"/>
                <w:color w:val="auto"/>
              </w:rPr>
            </w:pPr>
          </w:p>
        </w:tc>
      </w:tr>
      <w:tr>
        <w:trPr>
          <w:trHeight w:val="127"/>
        </w:trPr>
        <w:tc>
          <w:tcPr>
            <w:tcW w:w="4300" w:type="dxa"/>
            <w:vAlign w:val="bottom"/>
            <w:tcBorders>
              <w:left w:val="single" w:sz="8" w:color="auto"/>
              <w:right w:val="single" w:sz="8" w:color="auto"/>
            </w:tcBorders>
          </w:tcPr>
          <w:p>
            <w:pPr>
              <w:ind w:left="320"/>
              <w:spacing w:after="0" w:line="127" w:lineRule="exact"/>
              <w:rPr>
                <w:sz w:val="20"/>
                <w:szCs w:val="20"/>
                <w:color w:val="auto"/>
              </w:rPr>
            </w:pPr>
            <w:r>
              <w:rPr>
                <w:rFonts w:ascii="Times New Roman" w:cs="Times New Roman" w:eastAsia="Times New Roman" w:hAnsi="Times New Roman"/>
                <w:sz w:val="12"/>
                <w:szCs w:val="12"/>
                <w:color w:val="auto"/>
              </w:rPr>
              <w:t>Association in participation</w:t>
            </w:r>
          </w:p>
        </w:tc>
        <w:tc>
          <w:tcPr>
            <w:tcW w:w="150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7"/>
              </w:rPr>
              <w:t>(6,799)</w:t>
            </w:r>
          </w:p>
        </w:tc>
        <w:tc>
          <w:tcPr>
            <w:tcW w:w="158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9"/>
              </w:rPr>
              <w:t>(120)</w:t>
            </w:r>
          </w:p>
        </w:tc>
        <w:tc>
          <w:tcPr>
            <w:tcW w:w="1640" w:type="dxa"/>
            <w:vAlign w:val="bottom"/>
            <w:tcBorders>
              <w:right w:val="single" w:sz="8" w:color="auto"/>
            </w:tcBorders>
          </w:tcPr>
          <w:p>
            <w:pPr>
              <w:jc w:val="center"/>
              <w:ind w:right="1"/>
              <w:spacing w:after="0" w:line="127" w:lineRule="exact"/>
              <w:rPr>
                <w:sz w:val="20"/>
                <w:szCs w:val="20"/>
                <w:color w:val="auto"/>
              </w:rPr>
            </w:pPr>
            <w:r>
              <w:rPr>
                <w:rFonts w:ascii="Times New Roman" w:cs="Times New Roman" w:eastAsia="Times New Roman" w:hAnsi="Times New Roman"/>
                <w:sz w:val="12"/>
                <w:szCs w:val="12"/>
                <w:color w:val="auto"/>
                <w:w w:val="99"/>
              </w:rPr>
              <w:t>(173)</w:t>
            </w:r>
          </w:p>
        </w:tc>
        <w:tc>
          <w:tcPr>
            <w:tcW w:w="740" w:type="dxa"/>
            <w:vAlign w:val="bottom"/>
          </w:tcPr>
          <w:p>
            <w:pPr>
              <w:jc w:val="center"/>
              <w:ind w:left="201"/>
              <w:spacing w:after="0" w:line="127" w:lineRule="exact"/>
              <w:rPr>
                <w:sz w:val="20"/>
                <w:szCs w:val="20"/>
                <w:color w:val="auto"/>
              </w:rPr>
            </w:pPr>
            <w:r>
              <w:rPr>
                <w:rFonts w:ascii="Times New Roman" w:cs="Times New Roman" w:eastAsia="Times New Roman" w:hAnsi="Times New Roman"/>
                <w:sz w:val="12"/>
                <w:szCs w:val="12"/>
                <w:color w:val="auto"/>
              </w:rPr>
              <w:t>44.2%</w:t>
            </w:r>
          </w:p>
        </w:tc>
        <w:tc>
          <w:tcPr>
            <w:tcW w:w="1500" w:type="dxa"/>
            <w:vAlign w:val="bottom"/>
            <w:tcBorders>
              <w:right w:val="single" w:sz="8" w:color="auto"/>
            </w:tcBorders>
          </w:tcPr>
          <w:p>
            <w:pPr>
              <w:jc w:val="center"/>
              <w:ind w:left="181"/>
              <w:spacing w:after="0" w:line="127" w:lineRule="exact"/>
              <w:rPr>
                <w:sz w:val="20"/>
                <w:szCs w:val="20"/>
                <w:color w:val="auto"/>
              </w:rPr>
            </w:pPr>
            <w:r>
              <w:rPr>
                <w:rFonts w:ascii="Times New Roman" w:cs="Times New Roman" w:eastAsia="Times New Roman" w:hAnsi="Times New Roman"/>
                <w:sz w:val="12"/>
                <w:szCs w:val="12"/>
                <w:color w:val="auto"/>
                <w:w w:val="97"/>
              </w:rPr>
              <w:t>-97.5%</w:t>
            </w:r>
          </w:p>
        </w:tc>
        <w:tc>
          <w:tcPr>
            <w:tcW w:w="0" w:type="dxa"/>
            <w:vAlign w:val="bottom"/>
          </w:tcPr>
          <w:p>
            <w:pPr>
              <w:spacing w:after="0"/>
              <w:rPr>
                <w:sz w:val="1"/>
                <w:szCs w:val="1"/>
                <w:color w:val="auto"/>
              </w:rPr>
            </w:pPr>
          </w:p>
        </w:tc>
      </w:tr>
      <w:tr>
        <w:trPr>
          <w:trHeight w:val="125"/>
        </w:trPr>
        <w:tc>
          <w:tcPr>
            <w:tcW w:w="4300" w:type="dxa"/>
            <w:vAlign w:val="bottom"/>
            <w:tcBorders>
              <w:left w:val="single" w:sz="8" w:color="auto"/>
              <w:right w:val="single" w:sz="8" w:color="auto"/>
            </w:tcBorders>
          </w:tcPr>
          <w:p>
            <w:pPr>
              <w:ind w:left="320"/>
              <w:spacing w:after="0" w:line="125" w:lineRule="exact"/>
              <w:rPr>
                <w:sz w:val="20"/>
                <w:szCs w:val="20"/>
                <w:color w:val="auto"/>
              </w:rPr>
            </w:pPr>
            <w:r>
              <w:rPr>
                <w:rFonts w:ascii="Times New Roman" w:cs="Times New Roman" w:eastAsia="Times New Roman" w:hAnsi="Times New Roman"/>
                <w:sz w:val="12"/>
                <w:szCs w:val="12"/>
                <w:color w:val="auto"/>
              </w:rPr>
              <w:t>Other expenses</w:t>
            </w:r>
          </w:p>
        </w:tc>
        <w:tc>
          <w:tcPr>
            <w:tcW w:w="1500" w:type="dxa"/>
            <w:vAlign w:val="bottom"/>
          </w:tcPr>
          <w:p>
            <w:pPr>
              <w:jc w:val="center"/>
              <w:ind w:right="1"/>
              <w:spacing w:after="0" w:line="125" w:lineRule="exact"/>
              <w:rPr>
                <w:sz w:val="20"/>
                <w:szCs w:val="20"/>
                <w:color w:val="auto"/>
              </w:rPr>
            </w:pPr>
            <w:r>
              <w:rPr>
                <w:rFonts w:ascii="Times New Roman" w:cs="Times New Roman" w:eastAsia="Times New Roman" w:hAnsi="Times New Roman"/>
                <w:sz w:val="12"/>
                <w:szCs w:val="12"/>
                <w:color w:val="auto"/>
                <w:w w:val="97"/>
              </w:rPr>
              <w:t>(90,785)</w:t>
            </w:r>
          </w:p>
        </w:tc>
        <w:tc>
          <w:tcPr>
            <w:tcW w:w="158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auto"/>
                <w:w w:val="97"/>
              </w:rPr>
              <w:t>(208,248)</w:t>
            </w:r>
          </w:p>
        </w:tc>
        <w:tc>
          <w:tcPr>
            <w:tcW w:w="1640" w:type="dxa"/>
            <w:vAlign w:val="bottom"/>
            <w:tcBorders>
              <w:right w:val="single" w:sz="8" w:color="auto"/>
            </w:tcBorders>
          </w:tcPr>
          <w:p>
            <w:pPr>
              <w:jc w:val="center"/>
              <w:ind w:right="21"/>
              <w:spacing w:after="0" w:line="125" w:lineRule="exact"/>
              <w:rPr>
                <w:sz w:val="20"/>
                <w:szCs w:val="20"/>
                <w:color w:val="auto"/>
              </w:rPr>
            </w:pPr>
            <w:r>
              <w:rPr>
                <w:rFonts w:ascii="Times New Roman" w:cs="Times New Roman" w:eastAsia="Times New Roman" w:hAnsi="Times New Roman"/>
                <w:sz w:val="12"/>
                <w:szCs w:val="12"/>
                <w:color w:val="auto"/>
                <w:w w:val="97"/>
              </w:rPr>
              <w:t>(78,203)</w:t>
            </w:r>
          </w:p>
        </w:tc>
        <w:tc>
          <w:tcPr>
            <w:tcW w:w="740" w:type="dxa"/>
            <w:vAlign w:val="bottom"/>
          </w:tcPr>
          <w:p>
            <w:pPr>
              <w:jc w:val="center"/>
              <w:ind w:left="201"/>
              <w:spacing w:after="0" w:line="125" w:lineRule="exact"/>
              <w:rPr>
                <w:sz w:val="20"/>
                <w:szCs w:val="20"/>
                <w:color w:val="auto"/>
              </w:rPr>
            </w:pPr>
            <w:r>
              <w:rPr>
                <w:rFonts w:ascii="Times New Roman" w:cs="Times New Roman" w:eastAsia="Times New Roman" w:hAnsi="Times New Roman"/>
                <w:sz w:val="12"/>
                <w:szCs w:val="12"/>
                <w:color w:val="auto"/>
              </w:rPr>
              <w:t>-62.4%</w:t>
            </w:r>
          </w:p>
        </w:tc>
        <w:tc>
          <w:tcPr>
            <w:tcW w:w="1500" w:type="dxa"/>
            <w:vAlign w:val="bottom"/>
            <w:tcBorders>
              <w:right w:val="single" w:sz="8" w:color="auto"/>
            </w:tcBorders>
          </w:tcPr>
          <w:p>
            <w:pPr>
              <w:jc w:val="center"/>
              <w:ind w:left="181"/>
              <w:spacing w:after="0" w:line="125" w:lineRule="exact"/>
              <w:rPr>
                <w:sz w:val="20"/>
                <w:szCs w:val="20"/>
                <w:color w:val="auto"/>
              </w:rPr>
            </w:pPr>
            <w:r>
              <w:rPr>
                <w:rFonts w:ascii="Times New Roman" w:cs="Times New Roman" w:eastAsia="Times New Roman" w:hAnsi="Times New Roman"/>
                <w:sz w:val="12"/>
                <w:szCs w:val="12"/>
                <w:color w:val="auto"/>
                <w:w w:val="97"/>
              </w:rPr>
              <w:t>-13.9%</w:t>
            </w:r>
          </w:p>
        </w:tc>
        <w:tc>
          <w:tcPr>
            <w:tcW w:w="0" w:type="dxa"/>
            <w:vAlign w:val="bottom"/>
          </w:tcPr>
          <w:p>
            <w:pPr>
              <w:spacing w:after="0"/>
              <w:rPr>
                <w:sz w:val="1"/>
                <w:szCs w:val="1"/>
                <w:color w:val="auto"/>
              </w:rPr>
            </w:pPr>
          </w:p>
        </w:tc>
      </w:tr>
      <w:tr>
        <w:trPr>
          <w:trHeight w:val="156"/>
        </w:trPr>
        <w:tc>
          <w:tcPr>
            <w:tcW w:w="4300" w:type="dxa"/>
            <w:vAlign w:val="bottom"/>
            <w:tcBorders>
              <w:left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2"/>
                <w:szCs w:val="12"/>
                <w:b w:val="1"/>
                <w:bCs w:val="1"/>
                <w:color w:val="auto"/>
              </w:rPr>
              <w:t>Total expenses</w:t>
            </w:r>
          </w:p>
        </w:tc>
        <w:tc>
          <w:tcPr>
            <w:tcW w:w="15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(2,532,874)</w:t>
            </w:r>
          </w:p>
        </w:tc>
        <w:tc>
          <w:tcPr>
            <w:tcW w:w="15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(3,079,957)</w:t>
            </w:r>
          </w:p>
        </w:tc>
        <w:tc>
          <w:tcPr>
            <w:tcW w:w="1640" w:type="dxa"/>
            <w:vAlign w:val="bottom"/>
            <w:tcBorders>
              <w:right w:val="single" w:sz="8" w:color="auto"/>
            </w:tcBorders>
          </w:tcPr>
          <w:p>
            <w:pPr>
              <w:jc w:val="center"/>
              <w:ind w:right="1"/>
              <w:spacing w:after="0"/>
              <w:rPr>
                <w:sz w:val="20"/>
                <w:szCs w:val="20"/>
                <w:color w:val="auto"/>
              </w:rPr>
            </w:pPr>
            <w:r>
              <w:rPr>
                <w:rFonts w:ascii="Times New Roman" w:cs="Times New Roman" w:eastAsia="Times New Roman" w:hAnsi="Times New Roman"/>
                <w:sz w:val="12"/>
                <w:szCs w:val="12"/>
                <w:b w:val="1"/>
                <w:bCs w:val="1"/>
                <w:color w:val="auto"/>
                <w:w w:val="96"/>
              </w:rPr>
              <w:t>(2,840,831)</w:t>
            </w:r>
          </w:p>
        </w:tc>
        <w:tc>
          <w:tcPr>
            <w:tcW w:w="740" w:type="dxa"/>
            <w:vAlign w:val="bottom"/>
          </w:tcPr>
          <w:p>
            <w:pPr>
              <w:jc w:val="center"/>
              <w:ind w:left="201"/>
              <w:spacing w:after="0"/>
              <w:rPr>
                <w:sz w:val="20"/>
                <w:szCs w:val="20"/>
                <w:color w:val="auto"/>
              </w:rPr>
            </w:pPr>
            <w:r>
              <w:rPr>
                <w:rFonts w:ascii="Times New Roman" w:cs="Times New Roman" w:eastAsia="Times New Roman" w:hAnsi="Times New Roman"/>
                <w:sz w:val="12"/>
                <w:szCs w:val="12"/>
                <w:b w:val="1"/>
                <w:bCs w:val="1"/>
                <w:color w:val="auto"/>
              </w:rPr>
              <w:t>-7.8%</w:t>
            </w:r>
          </w:p>
        </w:tc>
        <w:tc>
          <w:tcPr>
            <w:tcW w:w="1500" w:type="dxa"/>
            <w:vAlign w:val="bottom"/>
            <w:tcBorders>
              <w:right w:val="single" w:sz="8" w:color="auto"/>
            </w:tcBorders>
          </w:tcPr>
          <w:p>
            <w:pPr>
              <w:jc w:val="center"/>
              <w:ind w:left="181"/>
              <w:spacing w:after="0"/>
              <w:rPr>
                <w:sz w:val="20"/>
                <w:szCs w:val="20"/>
                <w:color w:val="auto"/>
              </w:rPr>
            </w:pPr>
            <w:r>
              <w:rPr>
                <w:rFonts w:ascii="Times New Roman" w:cs="Times New Roman" w:eastAsia="Times New Roman" w:hAnsi="Times New Roman"/>
                <w:sz w:val="12"/>
                <w:szCs w:val="12"/>
                <w:b w:val="1"/>
                <w:bCs w:val="1"/>
                <w:color w:val="auto"/>
              </w:rPr>
              <w:t>12.2%</w:t>
            </w:r>
          </w:p>
        </w:tc>
        <w:tc>
          <w:tcPr>
            <w:tcW w:w="0" w:type="dxa"/>
            <w:vAlign w:val="bottom"/>
          </w:tcPr>
          <w:p>
            <w:pPr>
              <w:spacing w:after="0"/>
              <w:rPr>
                <w:sz w:val="1"/>
                <w:szCs w:val="1"/>
                <w:color w:val="auto"/>
              </w:rPr>
            </w:pPr>
          </w:p>
        </w:tc>
      </w:tr>
      <w:tr>
        <w:trPr>
          <w:trHeight w:val="254"/>
        </w:trPr>
        <w:tc>
          <w:tcPr>
            <w:tcW w:w="430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2"/>
                <w:szCs w:val="12"/>
                <w:b w:val="1"/>
                <w:bCs w:val="1"/>
                <w:color w:val="auto"/>
              </w:rPr>
              <w:t>Profit before income tax</w:t>
            </w:r>
          </w:p>
        </w:tc>
        <w:tc>
          <w:tcPr>
            <w:tcW w:w="1500" w:type="dxa"/>
            <w:vAlign w:val="bottom"/>
          </w:tcPr>
          <w:p>
            <w:pPr>
              <w:jc w:val="center"/>
              <w:ind w:right="1"/>
              <w:spacing w:after="0"/>
              <w:rPr>
                <w:sz w:val="20"/>
                <w:szCs w:val="20"/>
                <w:color w:val="auto"/>
              </w:rPr>
            </w:pPr>
            <w:r>
              <w:rPr>
                <w:rFonts w:ascii="Times New Roman" w:cs="Times New Roman" w:eastAsia="Times New Roman" w:hAnsi="Times New Roman"/>
                <w:sz w:val="12"/>
                <w:szCs w:val="12"/>
                <w:b w:val="1"/>
                <w:bCs w:val="1"/>
                <w:color w:val="auto"/>
                <w:w w:val="99"/>
              </w:rPr>
              <w:t>2,519,284</w:t>
            </w:r>
          </w:p>
        </w:tc>
        <w:tc>
          <w:tcPr>
            <w:tcW w:w="15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2,360,039</w:t>
            </w:r>
          </w:p>
        </w:tc>
        <w:tc>
          <w:tcPr>
            <w:tcW w:w="1640" w:type="dxa"/>
            <w:vAlign w:val="bottom"/>
            <w:tcBorders>
              <w:right w:val="single" w:sz="8" w:color="auto"/>
            </w:tcBorders>
          </w:tcPr>
          <w:p>
            <w:pPr>
              <w:jc w:val="center"/>
              <w:ind w:right="1"/>
              <w:spacing w:after="0"/>
              <w:rPr>
                <w:sz w:val="20"/>
                <w:szCs w:val="20"/>
                <w:color w:val="auto"/>
              </w:rPr>
            </w:pPr>
            <w:r>
              <w:rPr>
                <w:rFonts w:ascii="Times New Roman" w:cs="Times New Roman" w:eastAsia="Times New Roman" w:hAnsi="Times New Roman"/>
                <w:sz w:val="12"/>
                <w:szCs w:val="12"/>
                <w:b w:val="1"/>
                <w:bCs w:val="1"/>
                <w:color w:val="auto"/>
                <w:w w:val="95"/>
              </w:rPr>
              <w:t>2,919,033</w:t>
            </w:r>
          </w:p>
        </w:tc>
        <w:tc>
          <w:tcPr>
            <w:tcW w:w="740" w:type="dxa"/>
            <w:vAlign w:val="bottom"/>
          </w:tcPr>
          <w:p>
            <w:pPr>
              <w:jc w:val="center"/>
              <w:ind w:left="201"/>
              <w:spacing w:after="0"/>
              <w:rPr>
                <w:sz w:val="20"/>
                <w:szCs w:val="20"/>
                <w:color w:val="auto"/>
              </w:rPr>
            </w:pPr>
            <w:r>
              <w:rPr>
                <w:rFonts w:ascii="Times New Roman" w:cs="Times New Roman" w:eastAsia="Times New Roman" w:hAnsi="Times New Roman"/>
                <w:sz w:val="12"/>
                <w:szCs w:val="12"/>
                <w:b w:val="1"/>
                <w:bCs w:val="1"/>
                <w:color w:val="auto"/>
                <w:w w:val="96"/>
              </w:rPr>
              <w:t>23.7%</w:t>
            </w:r>
          </w:p>
        </w:tc>
        <w:tc>
          <w:tcPr>
            <w:tcW w:w="1500" w:type="dxa"/>
            <w:vAlign w:val="bottom"/>
            <w:tcBorders>
              <w:right w:val="single" w:sz="8" w:color="auto"/>
            </w:tcBorders>
          </w:tcPr>
          <w:p>
            <w:pPr>
              <w:jc w:val="center"/>
              <w:ind w:left="181"/>
              <w:spacing w:after="0"/>
              <w:rPr>
                <w:sz w:val="20"/>
                <w:szCs w:val="20"/>
                <w:color w:val="auto"/>
              </w:rPr>
            </w:pPr>
            <w:r>
              <w:rPr>
                <w:rFonts w:ascii="Times New Roman" w:cs="Times New Roman" w:eastAsia="Times New Roman" w:hAnsi="Times New Roman"/>
                <w:sz w:val="12"/>
                <w:szCs w:val="12"/>
                <w:b w:val="1"/>
                <w:bCs w:val="1"/>
                <w:color w:val="auto"/>
              </w:rPr>
              <w:t>15.9%</w:t>
            </w:r>
          </w:p>
        </w:tc>
        <w:tc>
          <w:tcPr>
            <w:tcW w:w="0" w:type="dxa"/>
            <w:vAlign w:val="bottom"/>
          </w:tcPr>
          <w:p>
            <w:pPr>
              <w:spacing w:after="0"/>
              <w:rPr>
                <w:sz w:val="1"/>
                <w:szCs w:val="1"/>
                <w:color w:val="auto"/>
              </w:rPr>
            </w:pPr>
          </w:p>
        </w:tc>
      </w:tr>
      <w:tr>
        <w:trPr>
          <w:trHeight w:val="254"/>
        </w:trPr>
        <w:tc>
          <w:tcPr>
            <w:tcW w:w="4300" w:type="dxa"/>
            <w:vAlign w:val="bottom"/>
            <w:tcBorders>
              <w:left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2"/>
                <w:szCs w:val="12"/>
                <w:color w:val="auto"/>
              </w:rPr>
              <w:t>Income tax</w:t>
            </w:r>
          </w:p>
        </w:tc>
        <w:tc>
          <w:tcPr>
            <w:tcW w:w="15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(704,469)</w:t>
            </w:r>
          </w:p>
        </w:tc>
        <w:tc>
          <w:tcPr>
            <w:tcW w:w="15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(735,153)</w:t>
            </w:r>
          </w:p>
        </w:tc>
        <w:tc>
          <w:tcPr>
            <w:tcW w:w="1640" w:type="dxa"/>
            <w:vAlign w:val="bottom"/>
            <w:tcBorders>
              <w:right w:val="single" w:sz="8" w:color="auto"/>
            </w:tcBorders>
          </w:tcPr>
          <w:p>
            <w:pPr>
              <w:jc w:val="center"/>
              <w:ind w:right="1"/>
              <w:spacing w:after="0"/>
              <w:rPr>
                <w:sz w:val="20"/>
                <w:szCs w:val="20"/>
                <w:color w:val="auto"/>
              </w:rPr>
            </w:pPr>
            <w:r>
              <w:rPr>
                <w:rFonts w:ascii="Times New Roman" w:cs="Times New Roman" w:eastAsia="Times New Roman" w:hAnsi="Times New Roman"/>
                <w:sz w:val="12"/>
                <w:szCs w:val="12"/>
                <w:color w:val="auto"/>
                <w:w w:val="97"/>
              </w:rPr>
              <w:t>(808,891)</w:t>
            </w:r>
          </w:p>
        </w:tc>
        <w:tc>
          <w:tcPr>
            <w:tcW w:w="740" w:type="dxa"/>
            <w:vAlign w:val="bottom"/>
          </w:tcPr>
          <w:p>
            <w:pPr>
              <w:jc w:val="center"/>
              <w:ind w:left="201"/>
              <w:spacing w:after="0"/>
              <w:rPr>
                <w:sz w:val="20"/>
                <w:szCs w:val="20"/>
                <w:color w:val="auto"/>
              </w:rPr>
            </w:pPr>
            <w:r>
              <w:rPr>
                <w:rFonts w:ascii="Times New Roman" w:cs="Times New Roman" w:eastAsia="Times New Roman" w:hAnsi="Times New Roman"/>
                <w:sz w:val="12"/>
                <w:szCs w:val="12"/>
                <w:color w:val="auto"/>
              </w:rPr>
              <w:t>10.0%</w:t>
            </w:r>
          </w:p>
        </w:tc>
        <w:tc>
          <w:tcPr>
            <w:tcW w:w="1500" w:type="dxa"/>
            <w:vAlign w:val="bottom"/>
            <w:tcBorders>
              <w:right w:val="single" w:sz="8" w:color="auto"/>
            </w:tcBorders>
          </w:tcPr>
          <w:p>
            <w:pPr>
              <w:jc w:val="center"/>
              <w:ind w:left="181"/>
              <w:spacing w:after="0"/>
              <w:rPr>
                <w:sz w:val="20"/>
                <w:szCs w:val="20"/>
                <w:color w:val="auto"/>
              </w:rPr>
            </w:pPr>
            <w:r>
              <w:rPr>
                <w:rFonts w:ascii="Times New Roman" w:cs="Times New Roman" w:eastAsia="Times New Roman" w:hAnsi="Times New Roman"/>
                <w:sz w:val="12"/>
                <w:szCs w:val="12"/>
                <w:color w:val="auto"/>
                <w:w w:val="96"/>
              </w:rPr>
              <w:t>14.8%</w:t>
            </w:r>
          </w:p>
        </w:tc>
        <w:tc>
          <w:tcPr>
            <w:tcW w:w="0" w:type="dxa"/>
            <w:vAlign w:val="bottom"/>
          </w:tcPr>
          <w:p>
            <w:pPr>
              <w:spacing w:after="0"/>
              <w:rPr>
                <w:sz w:val="1"/>
                <w:szCs w:val="1"/>
                <w:color w:val="auto"/>
              </w:rPr>
            </w:pPr>
          </w:p>
        </w:tc>
      </w:tr>
      <w:tr>
        <w:trPr>
          <w:trHeight w:val="227"/>
        </w:trPr>
        <w:tc>
          <w:tcPr>
            <w:tcW w:w="430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2"/>
                <w:szCs w:val="12"/>
                <w:b w:val="1"/>
                <w:bCs w:val="1"/>
                <w:color w:val="auto"/>
              </w:rPr>
              <w:t>Net profit</w:t>
            </w:r>
          </w:p>
        </w:tc>
        <w:tc>
          <w:tcPr>
            <w:tcW w:w="1500" w:type="dxa"/>
            <w:vAlign w:val="bottom"/>
          </w:tcPr>
          <w:p>
            <w:pPr>
              <w:jc w:val="center"/>
              <w:ind w:right="1"/>
              <w:spacing w:after="0"/>
              <w:rPr>
                <w:sz w:val="20"/>
                <w:szCs w:val="20"/>
                <w:color w:val="auto"/>
              </w:rPr>
            </w:pPr>
            <w:r>
              <w:rPr>
                <w:rFonts w:ascii="Times New Roman" w:cs="Times New Roman" w:eastAsia="Times New Roman" w:hAnsi="Times New Roman"/>
                <w:sz w:val="12"/>
                <w:szCs w:val="12"/>
                <w:b w:val="1"/>
                <w:bCs w:val="1"/>
                <w:color w:val="auto"/>
                <w:w w:val="99"/>
              </w:rPr>
              <w:t>1,814,815</w:t>
            </w:r>
          </w:p>
        </w:tc>
        <w:tc>
          <w:tcPr>
            <w:tcW w:w="15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1,624,886</w:t>
            </w:r>
          </w:p>
        </w:tc>
        <w:tc>
          <w:tcPr>
            <w:tcW w:w="1640" w:type="dxa"/>
            <w:vAlign w:val="bottom"/>
            <w:tcBorders>
              <w:right w:val="single" w:sz="8" w:color="auto"/>
            </w:tcBorders>
          </w:tcPr>
          <w:p>
            <w:pPr>
              <w:jc w:val="center"/>
              <w:ind w:right="1"/>
              <w:spacing w:after="0"/>
              <w:rPr>
                <w:sz w:val="20"/>
                <w:szCs w:val="20"/>
                <w:color w:val="auto"/>
              </w:rPr>
            </w:pPr>
            <w:r>
              <w:rPr>
                <w:rFonts w:ascii="Times New Roman" w:cs="Times New Roman" w:eastAsia="Times New Roman" w:hAnsi="Times New Roman"/>
                <w:sz w:val="12"/>
                <w:szCs w:val="12"/>
                <w:b w:val="1"/>
                <w:bCs w:val="1"/>
                <w:color w:val="auto"/>
                <w:w w:val="95"/>
              </w:rPr>
              <w:t>2,110,142</w:t>
            </w:r>
          </w:p>
        </w:tc>
        <w:tc>
          <w:tcPr>
            <w:tcW w:w="740" w:type="dxa"/>
            <w:vAlign w:val="bottom"/>
          </w:tcPr>
          <w:p>
            <w:pPr>
              <w:jc w:val="center"/>
              <w:ind w:left="201"/>
              <w:spacing w:after="0"/>
              <w:rPr>
                <w:sz w:val="20"/>
                <w:szCs w:val="20"/>
                <w:color w:val="auto"/>
              </w:rPr>
            </w:pPr>
            <w:r>
              <w:rPr>
                <w:rFonts w:ascii="Times New Roman" w:cs="Times New Roman" w:eastAsia="Times New Roman" w:hAnsi="Times New Roman"/>
                <w:sz w:val="12"/>
                <w:szCs w:val="12"/>
                <w:b w:val="1"/>
                <w:bCs w:val="1"/>
                <w:color w:val="auto"/>
                <w:w w:val="96"/>
              </w:rPr>
              <w:t>29.9%</w:t>
            </w:r>
          </w:p>
        </w:tc>
        <w:tc>
          <w:tcPr>
            <w:tcW w:w="1500" w:type="dxa"/>
            <w:vAlign w:val="bottom"/>
            <w:tcBorders>
              <w:right w:val="single" w:sz="8" w:color="auto"/>
            </w:tcBorders>
          </w:tcPr>
          <w:p>
            <w:pPr>
              <w:jc w:val="center"/>
              <w:ind w:left="181"/>
              <w:spacing w:after="0"/>
              <w:rPr>
                <w:sz w:val="20"/>
                <w:szCs w:val="20"/>
                <w:color w:val="auto"/>
              </w:rPr>
            </w:pPr>
            <w:r>
              <w:rPr>
                <w:rFonts w:ascii="Times New Roman" w:cs="Times New Roman" w:eastAsia="Times New Roman" w:hAnsi="Times New Roman"/>
                <w:sz w:val="12"/>
                <w:szCs w:val="12"/>
                <w:b w:val="1"/>
                <w:bCs w:val="1"/>
                <w:color w:val="auto"/>
              </w:rPr>
              <w:t>16.3%</w:t>
            </w:r>
          </w:p>
        </w:tc>
        <w:tc>
          <w:tcPr>
            <w:tcW w:w="0" w:type="dxa"/>
            <w:vAlign w:val="bottom"/>
          </w:tcPr>
          <w:p>
            <w:pPr>
              <w:spacing w:after="0"/>
              <w:rPr>
                <w:sz w:val="1"/>
                <w:szCs w:val="1"/>
                <w:color w:val="auto"/>
              </w:rPr>
            </w:pPr>
          </w:p>
        </w:tc>
      </w:tr>
      <w:tr>
        <w:trPr>
          <w:trHeight w:val="125"/>
        </w:trPr>
        <w:tc>
          <w:tcPr>
            <w:tcW w:w="4300" w:type="dxa"/>
            <w:vAlign w:val="bottom"/>
            <w:tcBorders>
              <w:left w:val="single" w:sz="8" w:color="auto"/>
              <w:right w:val="single" w:sz="8" w:color="auto"/>
            </w:tcBorders>
          </w:tcPr>
          <w:p>
            <w:pPr>
              <w:ind w:left="160"/>
              <w:spacing w:after="0" w:line="125" w:lineRule="exact"/>
              <w:rPr>
                <w:sz w:val="20"/>
                <w:szCs w:val="20"/>
                <w:color w:val="auto"/>
              </w:rPr>
            </w:pPr>
            <w:r>
              <w:rPr>
                <w:rFonts w:ascii="Times New Roman" w:cs="Times New Roman" w:eastAsia="Times New Roman" w:hAnsi="Times New Roman"/>
                <w:sz w:val="12"/>
                <w:szCs w:val="12"/>
                <w:color w:val="auto"/>
              </w:rPr>
              <w:t>Non-controlling interest</w:t>
            </w:r>
          </w:p>
        </w:tc>
        <w:tc>
          <w:tcPr>
            <w:tcW w:w="1500" w:type="dxa"/>
            <w:vAlign w:val="bottom"/>
          </w:tcPr>
          <w:p>
            <w:pPr>
              <w:jc w:val="center"/>
              <w:ind w:right="1"/>
              <w:spacing w:after="0" w:line="125" w:lineRule="exact"/>
              <w:rPr>
                <w:sz w:val="20"/>
                <w:szCs w:val="20"/>
                <w:color w:val="auto"/>
              </w:rPr>
            </w:pPr>
            <w:r>
              <w:rPr>
                <w:rFonts w:ascii="Times New Roman" w:cs="Times New Roman" w:eastAsia="Times New Roman" w:hAnsi="Times New Roman"/>
                <w:sz w:val="12"/>
                <w:szCs w:val="12"/>
                <w:color w:val="auto"/>
                <w:w w:val="96"/>
              </w:rPr>
              <w:t>37,118</w:t>
            </w:r>
          </w:p>
        </w:tc>
        <w:tc>
          <w:tcPr>
            <w:tcW w:w="158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auto"/>
                <w:w w:val="96"/>
              </w:rPr>
              <w:t>37,876</w:t>
            </w:r>
          </w:p>
        </w:tc>
        <w:tc>
          <w:tcPr>
            <w:tcW w:w="1640" w:type="dxa"/>
            <w:vAlign w:val="bottom"/>
            <w:tcBorders>
              <w:right w:val="single" w:sz="8" w:color="auto"/>
            </w:tcBorders>
          </w:tcPr>
          <w:p>
            <w:pPr>
              <w:jc w:val="center"/>
              <w:ind w:right="1"/>
              <w:spacing w:after="0" w:line="125" w:lineRule="exact"/>
              <w:rPr>
                <w:sz w:val="20"/>
                <w:szCs w:val="20"/>
                <w:color w:val="auto"/>
              </w:rPr>
            </w:pPr>
            <w:r>
              <w:rPr>
                <w:rFonts w:ascii="Times New Roman" w:cs="Times New Roman" w:eastAsia="Times New Roman" w:hAnsi="Times New Roman"/>
                <w:sz w:val="12"/>
                <w:szCs w:val="12"/>
                <w:color w:val="auto"/>
              </w:rPr>
              <w:t>46,958</w:t>
            </w:r>
          </w:p>
        </w:tc>
        <w:tc>
          <w:tcPr>
            <w:tcW w:w="740" w:type="dxa"/>
            <w:vAlign w:val="bottom"/>
          </w:tcPr>
          <w:p>
            <w:pPr>
              <w:jc w:val="center"/>
              <w:ind w:left="201"/>
              <w:spacing w:after="0" w:line="125" w:lineRule="exact"/>
              <w:rPr>
                <w:sz w:val="20"/>
                <w:szCs w:val="20"/>
                <w:color w:val="auto"/>
              </w:rPr>
            </w:pPr>
            <w:r>
              <w:rPr>
                <w:rFonts w:ascii="Times New Roman" w:cs="Times New Roman" w:eastAsia="Times New Roman" w:hAnsi="Times New Roman"/>
                <w:sz w:val="12"/>
                <w:szCs w:val="12"/>
                <w:color w:val="auto"/>
              </w:rPr>
              <w:t>24.0%</w:t>
            </w:r>
          </w:p>
        </w:tc>
        <w:tc>
          <w:tcPr>
            <w:tcW w:w="1500" w:type="dxa"/>
            <w:vAlign w:val="bottom"/>
            <w:tcBorders>
              <w:right w:val="single" w:sz="8" w:color="auto"/>
            </w:tcBorders>
          </w:tcPr>
          <w:p>
            <w:pPr>
              <w:jc w:val="center"/>
              <w:ind w:left="181"/>
              <w:spacing w:after="0" w:line="125" w:lineRule="exact"/>
              <w:rPr>
                <w:sz w:val="20"/>
                <w:szCs w:val="20"/>
                <w:color w:val="auto"/>
              </w:rPr>
            </w:pPr>
            <w:r>
              <w:rPr>
                <w:rFonts w:ascii="Times New Roman" w:cs="Times New Roman" w:eastAsia="Times New Roman" w:hAnsi="Times New Roman"/>
                <w:sz w:val="12"/>
                <w:szCs w:val="12"/>
                <w:color w:val="auto"/>
                <w:w w:val="96"/>
              </w:rPr>
              <w:t>26.5%</w:t>
            </w:r>
          </w:p>
        </w:tc>
        <w:tc>
          <w:tcPr>
            <w:tcW w:w="0" w:type="dxa"/>
            <w:vAlign w:val="bottom"/>
          </w:tcPr>
          <w:p>
            <w:pPr>
              <w:spacing w:after="0"/>
              <w:rPr>
                <w:sz w:val="1"/>
                <w:szCs w:val="1"/>
                <w:color w:val="auto"/>
              </w:rPr>
            </w:pPr>
          </w:p>
        </w:tc>
      </w:tr>
      <w:tr>
        <w:trPr>
          <w:trHeight w:val="145"/>
        </w:trPr>
        <w:tc>
          <w:tcPr>
            <w:tcW w:w="430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2"/>
                <w:szCs w:val="12"/>
                <w:b w:val="1"/>
                <w:bCs w:val="1"/>
                <w:color w:val="auto"/>
              </w:rPr>
              <w:t>Net profit attributable to Credicorp</w:t>
            </w:r>
          </w:p>
        </w:tc>
        <w:tc>
          <w:tcPr>
            <w:tcW w:w="1500" w:type="dxa"/>
            <w:vAlign w:val="bottom"/>
            <w:tcBorders>
              <w:bottom w:val="single" w:sz="8" w:color="auto"/>
            </w:tcBorders>
          </w:tcPr>
          <w:p>
            <w:pPr>
              <w:jc w:val="center"/>
              <w:ind w:right="1"/>
              <w:spacing w:after="0"/>
              <w:rPr>
                <w:sz w:val="20"/>
                <w:szCs w:val="20"/>
                <w:color w:val="auto"/>
              </w:rPr>
            </w:pPr>
            <w:r>
              <w:rPr>
                <w:rFonts w:ascii="Times New Roman" w:cs="Times New Roman" w:eastAsia="Times New Roman" w:hAnsi="Times New Roman"/>
                <w:sz w:val="12"/>
                <w:szCs w:val="12"/>
                <w:b w:val="1"/>
                <w:bCs w:val="1"/>
                <w:color w:val="auto"/>
                <w:w w:val="99"/>
              </w:rPr>
              <w:t>1,777,697</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1,587,010</w:t>
            </w:r>
          </w:p>
        </w:tc>
        <w:tc>
          <w:tcPr>
            <w:tcW w:w="1640" w:type="dxa"/>
            <w:vAlign w:val="bottom"/>
            <w:tcBorders>
              <w:bottom w:val="single" w:sz="8" w:color="auto"/>
              <w:right w:val="single" w:sz="8" w:color="auto"/>
            </w:tcBorders>
          </w:tcPr>
          <w:p>
            <w:pPr>
              <w:jc w:val="center"/>
              <w:ind w:right="1"/>
              <w:spacing w:after="0"/>
              <w:rPr>
                <w:sz w:val="20"/>
                <w:szCs w:val="20"/>
                <w:color w:val="auto"/>
              </w:rPr>
            </w:pPr>
            <w:r>
              <w:rPr>
                <w:rFonts w:ascii="Times New Roman" w:cs="Times New Roman" w:eastAsia="Times New Roman" w:hAnsi="Times New Roman"/>
                <w:sz w:val="12"/>
                <w:szCs w:val="12"/>
                <w:b w:val="1"/>
                <w:bCs w:val="1"/>
                <w:color w:val="auto"/>
                <w:w w:val="95"/>
              </w:rPr>
              <w:t>2,063,184</w:t>
            </w:r>
          </w:p>
        </w:tc>
        <w:tc>
          <w:tcPr>
            <w:tcW w:w="740" w:type="dxa"/>
            <w:vAlign w:val="bottom"/>
            <w:tcBorders>
              <w:bottom w:val="single" w:sz="8" w:color="auto"/>
            </w:tcBorders>
          </w:tcPr>
          <w:p>
            <w:pPr>
              <w:jc w:val="center"/>
              <w:ind w:left="201"/>
              <w:spacing w:after="0"/>
              <w:rPr>
                <w:sz w:val="20"/>
                <w:szCs w:val="20"/>
                <w:color w:val="auto"/>
              </w:rPr>
            </w:pPr>
            <w:r>
              <w:rPr>
                <w:rFonts w:ascii="Times New Roman" w:cs="Times New Roman" w:eastAsia="Times New Roman" w:hAnsi="Times New Roman"/>
                <w:sz w:val="12"/>
                <w:szCs w:val="12"/>
                <w:b w:val="1"/>
                <w:bCs w:val="1"/>
                <w:color w:val="auto"/>
                <w:w w:val="96"/>
              </w:rPr>
              <w:t>30.0%</w:t>
            </w:r>
          </w:p>
        </w:tc>
        <w:tc>
          <w:tcPr>
            <w:tcW w:w="1500" w:type="dxa"/>
            <w:vAlign w:val="bottom"/>
            <w:tcBorders>
              <w:bottom w:val="single" w:sz="8" w:color="auto"/>
              <w:right w:val="single" w:sz="8" w:color="auto"/>
            </w:tcBorders>
          </w:tcPr>
          <w:p>
            <w:pPr>
              <w:jc w:val="center"/>
              <w:ind w:left="181"/>
              <w:spacing w:after="0"/>
              <w:rPr>
                <w:sz w:val="20"/>
                <w:szCs w:val="20"/>
                <w:color w:val="auto"/>
              </w:rPr>
            </w:pPr>
            <w:r>
              <w:rPr>
                <w:rFonts w:ascii="Times New Roman" w:cs="Times New Roman" w:eastAsia="Times New Roman" w:hAnsi="Times New Roman"/>
                <w:sz w:val="12"/>
                <w:szCs w:val="12"/>
                <w:b w:val="1"/>
                <w:bCs w:val="1"/>
                <w:color w:val="auto"/>
              </w:rPr>
              <w:t>16.1%</w:t>
            </w:r>
          </w:p>
        </w:tc>
        <w:tc>
          <w:tcPr>
            <w:tcW w:w="0" w:type="dxa"/>
            <w:vAlign w:val="bottom"/>
          </w:tcPr>
          <w:p>
            <w:pPr>
              <w:spacing w:after="0"/>
              <w:rPr>
                <w:sz w:val="1"/>
                <w:szCs w:val="1"/>
                <w:color w:val="auto"/>
              </w:rPr>
            </w:pPr>
          </w:p>
        </w:tc>
      </w:tr>
      <w:tr>
        <w:trPr>
          <w:trHeight w:val="1724"/>
        </w:trPr>
        <w:tc>
          <w:tcPr>
            <w:tcW w:w="43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-982345</wp:posOffset>
            </wp:positionV>
            <wp:extent cx="6447155" cy="5721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447155" cy="572135"/>
                    </a:xfrm>
                    <a:prstGeom prst="rect">
                      <a:avLst/>
                    </a:prstGeom>
                    <a:noFill/>
                  </pic:spPr>
                </pic:pic>
              </a:graphicData>
            </a:graphic>
          </wp:anchor>
        </w:drawing>
      </w:r>
    </w:p>
    <w:p>
      <w:pPr>
        <w:sectPr>
          <w:pgSz w:w="11900" w:h="16838" w:orient="portrait"/>
          <w:cols w:equalWidth="0" w:num="1">
            <w:col w:w="11240"/>
          </w:cols>
          <w:pgMar w:left="320" w:top="745" w:right="339" w:bottom="1440" w:gutter="0" w:footer="0" w:header="0"/>
        </w:sectPr>
      </w:pPr>
    </w:p>
    <w:bookmarkStart w:id="57" w:name="page58"/>
    <w:bookmarkEnd w:id="57"/>
    <w:p>
      <w:pPr>
        <w:ind w:left="3180"/>
        <w:spacing w:after="0"/>
        <w:tabs>
          <w:tab w:leader="none" w:pos="3380" w:val="left"/>
          <w:tab w:leader="none" w:pos="9060" w:val="left"/>
        </w:tabs>
        <w:rPr>
          <w:sz w:val="20"/>
          <w:szCs w:val="20"/>
          <w:color w:val="auto"/>
        </w:rPr>
      </w:pPr>
      <w:r>
        <w:rPr>
          <w:rFonts w:ascii="Times New Roman" w:cs="Times New Roman" w:eastAsia="Times New Roman" w:hAnsi="Times New Roman"/>
          <w:sz w:val="17"/>
          <w:szCs w:val="17"/>
          <w:b w:val="1"/>
          <w:bCs w:val="1"/>
          <w:color w:val="A6A6A6"/>
        </w:rPr>
        <w:drawing>
          <wp:anchor simplePos="0" relativeHeight="251657728" behindDoc="1" locked="0" layoutInCell="0" allowOverlap="1">
            <wp:simplePos x="0" y="0"/>
            <wp:positionH relativeFrom="page">
              <wp:posOffset>204470</wp:posOffset>
            </wp:positionH>
            <wp:positionV relativeFrom="page">
              <wp:posOffset>217805</wp:posOffset>
            </wp:positionV>
            <wp:extent cx="7140575" cy="69278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40575" cy="692785"/>
                    </a:xfrm>
                    <a:prstGeom prst="rect">
                      <a:avLst/>
                    </a:prstGeom>
                    <a:noFill/>
                  </pic:spPr>
                </pic:pic>
              </a:graphicData>
            </a:graphic>
          </wp:anchor>
        </w:drawing>
        <w:t>|</w:t>
      </w:r>
      <w:r>
        <w:rPr>
          <w:sz w:val="20"/>
          <w:szCs w:val="20"/>
          <w:color w:val="auto"/>
        </w:rPr>
        <w:tab/>
      </w:r>
      <w:r>
        <w:rPr>
          <w:rFonts w:ascii="Times New Roman" w:cs="Times New Roman" w:eastAsia="Times New Roman" w:hAnsi="Times New Roman"/>
          <w:sz w:val="14"/>
          <w:szCs w:val="14"/>
          <w:color w:val="FFFFFF"/>
        </w:rPr>
        <w:t>Earnings Release 1Q / 2026</w:t>
      </w:r>
      <w:r>
        <w:rPr>
          <w:sz w:val="20"/>
          <w:szCs w:val="20"/>
          <w:color w:val="auto"/>
        </w:rPr>
        <w:tab/>
      </w:r>
      <w:r>
        <w:rPr>
          <w:rFonts w:ascii="Times New Roman" w:cs="Times New Roman" w:eastAsia="Times New Roman" w:hAnsi="Times New Roman"/>
          <w:sz w:val="12"/>
          <w:szCs w:val="12"/>
          <w:color w:val="FF00FF"/>
        </w:rPr>
        <w:t>Analysis of 1Q26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313055</wp:posOffset>
            </wp:positionV>
            <wp:extent cx="7140575" cy="25781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40575" cy="25781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FFFFFF"/>
        </w:rPr>
        <w:t>12. Appendix</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12.7.2. Credicorp Stand-alone</w:t>
      </w:r>
    </w:p>
    <w:p>
      <w:pPr>
        <w:spacing w:after="0" w:line="21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5"/>
          <w:szCs w:val="15"/>
          <w:b w:val="1"/>
          <w:bCs w:val="1"/>
          <w:color w:val="auto"/>
        </w:rPr>
        <w:t>Statement of Financial Position</w:t>
      </w:r>
    </w:p>
    <w:p>
      <w:pPr>
        <w:spacing w:after="0" w:line="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5"/>
          <w:szCs w:val="15"/>
          <w:b w:val="1"/>
          <w:bCs w:val="1"/>
          <w:color w:val="auto"/>
        </w:rPr>
        <w:t>(S/ thousands, IFRS)</w:t>
      </w:r>
    </w:p>
    <w:p>
      <w:pPr>
        <w:spacing w:after="0" w:line="206" w:lineRule="exact"/>
        <w:rPr>
          <w:sz w:val="20"/>
          <w:szCs w:val="20"/>
          <w:color w:val="auto"/>
        </w:rPr>
      </w:pPr>
    </w:p>
    <w:tbl>
      <w:tblPr>
        <w:tblLayout w:type="fixed"/>
        <w:tblInd w:w="230" w:type="dxa"/>
        <w:tblCellMar>
          <w:top w:w="0" w:type="dxa"/>
          <w:left w:w="0" w:type="dxa"/>
          <w:bottom w:w="0" w:type="dxa"/>
          <w:right w:w="0" w:type="dxa"/>
        </w:tblCellMar>
      </w:tblPr>
      <w:tr>
        <w:trPr>
          <w:trHeight w:val="122"/>
        </w:trPr>
        <w:tc>
          <w:tcPr>
            <w:tcW w:w="5200" w:type="dxa"/>
            <w:vAlign w:val="bottom"/>
            <w:tcBorders>
              <w:top w:val="single" w:sz="8" w:color="auto"/>
              <w:left w:val="single" w:sz="8" w:color="auto"/>
              <w:right w:val="single" w:sz="8" w:color="auto"/>
            </w:tcBorders>
            <w:shd w:val="clear" w:color="auto" w:fill="2AD2C9"/>
          </w:tcPr>
          <w:p>
            <w:pPr>
              <w:spacing w:after="0"/>
              <w:rPr>
                <w:sz w:val="10"/>
                <w:szCs w:val="10"/>
                <w:color w:val="auto"/>
              </w:rPr>
            </w:pPr>
          </w:p>
        </w:tc>
        <w:tc>
          <w:tcPr>
            <w:tcW w:w="1100" w:type="dxa"/>
            <w:vAlign w:val="bottom"/>
            <w:tcBorders>
              <w:top w:val="single" w:sz="8" w:color="auto"/>
            </w:tcBorders>
            <w:shd w:val="clear" w:color="auto" w:fill="2AD2C9"/>
          </w:tcPr>
          <w:p>
            <w:pPr>
              <w:spacing w:after="0"/>
              <w:rPr>
                <w:sz w:val="10"/>
                <w:szCs w:val="10"/>
                <w:color w:val="auto"/>
              </w:rPr>
            </w:pPr>
          </w:p>
        </w:tc>
        <w:tc>
          <w:tcPr>
            <w:tcW w:w="1120" w:type="dxa"/>
            <w:vAlign w:val="bottom"/>
            <w:tcBorders>
              <w:top w:val="single" w:sz="8" w:color="auto"/>
            </w:tcBorders>
            <w:shd w:val="clear" w:color="auto" w:fill="2AD2C9"/>
          </w:tcPr>
          <w:p>
            <w:pPr>
              <w:jc w:val="right"/>
              <w:ind w:right="361"/>
              <w:spacing w:after="0" w:line="122" w:lineRule="exact"/>
              <w:rPr>
                <w:sz w:val="20"/>
                <w:szCs w:val="20"/>
                <w:color w:val="auto"/>
              </w:rPr>
            </w:pPr>
            <w:r>
              <w:rPr>
                <w:rFonts w:ascii="Times New Roman" w:cs="Times New Roman" w:eastAsia="Times New Roman" w:hAnsi="Times New Roman"/>
                <w:sz w:val="12"/>
                <w:szCs w:val="12"/>
                <w:b w:val="1"/>
                <w:bCs w:val="1"/>
                <w:color w:val="FFFFFF"/>
              </w:rPr>
              <w:t>As of</w:t>
            </w:r>
          </w:p>
        </w:tc>
        <w:tc>
          <w:tcPr>
            <w:tcW w:w="1140" w:type="dxa"/>
            <w:vAlign w:val="bottom"/>
            <w:tcBorders>
              <w:top w:val="single" w:sz="8" w:color="auto"/>
              <w:right w:val="single" w:sz="8" w:color="auto"/>
            </w:tcBorders>
            <w:shd w:val="clear" w:color="auto" w:fill="2AD2C9"/>
          </w:tcPr>
          <w:p>
            <w:pPr>
              <w:spacing w:after="0"/>
              <w:rPr>
                <w:sz w:val="10"/>
                <w:szCs w:val="10"/>
                <w:color w:val="auto"/>
              </w:rPr>
            </w:pPr>
          </w:p>
        </w:tc>
        <w:tc>
          <w:tcPr>
            <w:tcW w:w="780" w:type="dxa"/>
            <w:vAlign w:val="bottom"/>
            <w:tcBorders>
              <w:top w:val="single" w:sz="8" w:color="auto"/>
            </w:tcBorders>
            <w:shd w:val="clear" w:color="auto" w:fill="2AD2C9"/>
          </w:tcPr>
          <w:p>
            <w:pPr>
              <w:spacing w:after="0"/>
              <w:rPr>
                <w:sz w:val="10"/>
                <w:szCs w:val="10"/>
                <w:color w:val="auto"/>
              </w:rPr>
            </w:pPr>
          </w:p>
        </w:tc>
        <w:tc>
          <w:tcPr>
            <w:tcW w:w="1460" w:type="dxa"/>
            <w:vAlign w:val="bottom"/>
            <w:tcBorders>
              <w:top w:val="single" w:sz="8" w:color="auto"/>
              <w:right w:val="single" w:sz="8" w:color="auto"/>
            </w:tcBorders>
            <w:shd w:val="clear" w:color="auto" w:fill="2AD2C9"/>
          </w:tcPr>
          <w:p>
            <w:pPr>
              <w:ind w:left="80"/>
              <w:spacing w:after="0" w:line="122" w:lineRule="exact"/>
              <w:rPr>
                <w:sz w:val="20"/>
                <w:szCs w:val="20"/>
                <w:color w:val="auto"/>
              </w:rPr>
            </w:pPr>
            <w:r>
              <w:rPr>
                <w:rFonts w:ascii="Times New Roman" w:cs="Times New Roman" w:eastAsia="Times New Roman" w:hAnsi="Times New Roman"/>
                <w:sz w:val="12"/>
                <w:szCs w:val="12"/>
                <w:b w:val="1"/>
                <w:bCs w:val="1"/>
                <w:color w:val="FFFFFF"/>
              </w:rPr>
              <w:t>% change</w:t>
            </w:r>
          </w:p>
        </w:tc>
      </w:tr>
      <w:tr>
        <w:trPr>
          <w:trHeight w:val="145"/>
        </w:trPr>
        <w:tc>
          <w:tcPr>
            <w:tcW w:w="5200" w:type="dxa"/>
            <w:vAlign w:val="bottom"/>
            <w:tcBorders>
              <w:left w:val="single" w:sz="8" w:color="auto"/>
              <w:bottom w:val="single" w:sz="8" w:color="auto"/>
              <w:right w:val="single" w:sz="8" w:color="auto"/>
            </w:tcBorders>
            <w:shd w:val="clear" w:color="auto" w:fill="2AD2C9"/>
          </w:tcPr>
          <w:p>
            <w:pPr>
              <w:spacing w:after="0"/>
              <w:rPr>
                <w:sz w:val="12"/>
                <w:szCs w:val="12"/>
                <w:color w:val="auto"/>
              </w:rPr>
            </w:pPr>
          </w:p>
        </w:tc>
        <w:tc>
          <w:tcPr>
            <w:tcW w:w="1100" w:type="dxa"/>
            <w:vAlign w:val="bottom"/>
            <w:tcBorders>
              <w:bottom w:val="single" w:sz="8" w:color="auto"/>
            </w:tcBorders>
            <w:shd w:val="clear" w:color="auto" w:fill="2AD2C9"/>
          </w:tcPr>
          <w:p>
            <w:pPr>
              <w:jc w:val="right"/>
              <w:ind w:right="301"/>
              <w:spacing w:after="0"/>
              <w:rPr>
                <w:sz w:val="20"/>
                <w:szCs w:val="20"/>
                <w:color w:val="auto"/>
              </w:rPr>
            </w:pPr>
            <w:r>
              <w:rPr>
                <w:rFonts w:ascii="Times New Roman" w:cs="Times New Roman" w:eastAsia="Times New Roman" w:hAnsi="Times New Roman"/>
                <w:sz w:val="12"/>
                <w:szCs w:val="12"/>
                <w:b w:val="1"/>
                <w:bCs w:val="1"/>
                <w:color w:val="FFFFFF"/>
              </w:rPr>
              <w:t>Mar 25</w:t>
            </w:r>
          </w:p>
        </w:tc>
        <w:tc>
          <w:tcPr>
            <w:tcW w:w="1120" w:type="dxa"/>
            <w:vAlign w:val="bottom"/>
            <w:tcBorders>
              <w:bottom w:val="single" w:sz="8" w:color="auto"/>
            </w:tcBorders>
            <w:shd w:val="clear" w:color="auto" w:fill="2AD2C9"/>
          </w:tcPr>
          <w:p>
            <w:pPr>
              <w:jc w:val="right"/>
              <w:ind w:right="321"/>
              <w:spacing w:after="0"/>
              <w:rPr>
                <w:sz w:val="20"/>
                <w:szCs w:val="20"/>
                <w:color w:val="auto"/>
              </w:rPr>
            </w:pPr>
            <w:r>
              <w:rPr>
                <w:rFonts w:ascii="Times New Roman" w:cs="Times New Roman" w:eastAsia="Times New Roman" w:hAnsi="Times New Roman"/>
                <w:sz w:val="12"/>
                <w:szCs w:val="12"/>
                <w:b w:val="1"/>
                <w:bCs w:val="1"/>
                <w:color w:val="FFFFFF"/>
              </w:rPr>
              <w:t>Dec 25</w:t>
            </w:r>
          </w:p>
        </w:tc>
        <w:tc>
          <w:tcPr>
            <w:tcW w:w="1140" w:type="dxa"/>
            <w:vAlign w:val="bottom"/>
            <w:tcBorders>
              <w:bottom w:val="single" w:sz="8" w:color="auto"/>
              <w:right w:val="single" w:sz="8" w:color="auto"/>
            </w:tcBorders>
            <w:shd w:val="clear" w:color="auto" w:fill="2AD2C9"/>
          </w:tcPr>
          <w:p>
            <w:pPr>
              <w:jc w:val="right"/>
              <w:ind w:right="341"/>
              <w:spacing w:after="0"/>
              <w:rPr>
                <w:sz w:val="20"/>
                <w:szCs w:val="20"/>
                <w:color w:val="auto"/>
              </w:rPr>
            </w:pPr>
            <w:r>
              <w:rPr>
                <w:rFonts w:ascii="Times New Roman" w:cs="Times New Roman" w:eastAsia="Times New Roman" w:hAnsi="Times New Roman"/>
                <w:sz w:val="12"/>
                <w:szCs w:val="12"/>
                <w:b w:val="1"/>
                <w:bCs w:val="1"/>
                <w:color w:val="FFFFFF"/>
              </w:rPr>
              <w:t>Mar 26</w:t>
            </w:r>
          </w:p>
        </w:tc>
        <w:tc>
          <w:tcPr>
            <w:tcW w:w="780" w:type="dxa"/>
            <w:vAlign w:val="bottom"/>
            <w:tcBorders>
              <w:bottom w:val="single" w:sz="8" w:color="auto"/>
            </w:tcBorders>
            <w:shd w:val="clear" w:color="auto" w:fill="2AD2C9"/>
          </w:tcPr>
          <w:p>
            <w:pPr>
              <w:jc w:val="center"/>
              <w:ind w:left="241"/>
              <w:spacing w:after="0"/>
              <w:rPr>
                <w:sz w:val="20"/>
                <w:szCs w:val="20"/>
                <w:color w:val="auto"/>
              </w:rPr>
            </w:pPr>
            <w:r>
              <w:rPr>
                <w:rFonts w:ascii="Times New Roman" w:cs="Times New Roman" w:eastAsia="Times New Roman" w:hAnsi="Times New Roman"/>
                <w:sz w:val="12"/>
                <w:szCs w:val="12"/>
                <w:b w:val="1"/>
                <w:bCs w:val="1"/>
                <w:color w:val="FFFFFF"/>
                <w:w w:val="97"/>
              </w:rPr>
              <w:t>QoQ</w:t>
            </w:r>
          </w:p>
        </w:tc>
        <w:tc>
          <w:tcPr>
            <w:tcW w:w="1460" w:type="dxa"/>
            <w:vAlign w:val="bottom"/>
            <w:tcBorders>
              <w:bottom w:val="single" w:sz="8" w:color="auto"/>
              <w:right w:val="single" w:sz="8" w:color="auto"/>
            </w:tcBorders>
            <w:shd w:val="clear" w:color="auto" w:fill="2AD2C9"/>
          </w:tcPr>
          <w:p>
            <w:pPr>
              <w:jc w:val="center"/>
              <w:ind w:left="241"/>
              <w:spacing w:after="0"/>
              <w:rPr>
                <w:sz w:val="20"/>
                <w:szCs w:val="20"/>
                <w:color w:val="auto"/>
              </w:rPr>
            </w:pPr>
            <w:r>
              <w:rPr>
                <w:rFonts w:ascii="Times New Roman" w:cs="Times New Roman" w:eastAsia="Times New Roman" w:hAnsi="Times New Roman"/>
                <w:sz w:val="12"/>
                <w:szCs w:val="12"/>
                <w:b w:val="1"/>
                <w:bCs w:val="1"/>
                <w:color w:val="FFFFFF"/>
                <w:w w:val="85"/>
              </w:rPr>
              <w:t>YoY</w:t>
            </w:r>
          </w:p>
        </w:tc>
      </w:tr>
      <w:tr>
        <w:trPr>
          <w:trHeight w:val="104"/>
        </w:trPr>
        <w:tc>
          <w:tcPr>
            <w:tcW w:w="5200" w:type="dxa"/>
            <w:vAlign w:val="bottom"/>
            <w:tcBorders>
              <w:left w:val="single" w:sz="8" w:color="auto"/>
              <w:right w:val="single" w:sz="8" w:color="auto"/>
            </w:tcBorders>
          </w:tcPr>
          <w:p>
            <w:pPr>
              <w:ind w:left="120"/>
              <w:spacing w:after="0" w:line="104" w:lineRule="exact"/>
              <w:rPr>
                <w:sz w:val="20"/>
                <w:szCs w:val="20"/>
                <w:color w:val="auto"/>
              </w:rPr>
            </w:pPr>
            <w:r>
              <w:rPr>
                <w:rFonts w:ascii="Times New Roman" w:cs="Times New Roman" w:eastAsia="Times New Roman" w:hAnsi="Times New Roman"/>
                <w:sz w:val="12"/>
                <w:szCs w:val="12"/>
                <w:b w:val="1"/>
                <w:bCs w:val="1"/>
                <w:color w:val="auto"/>
              </w:rPr>
              <w:t>ASSETS</w:t>
            </w: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1460" w:type="dxa"/>
            <w:vAlign w:val="bottom"/>
            <w:tcBorders>
              <w:right w:val="single" w:sz="8" w:color="auto"/>
            </w:tcBorders>
          </w:tcPr>
          <w:p>
            <w:pPr>
              <w:spacing w:after="0"/>
              <w:rPr>
                <w:sz w:val="9"/>
                <w:szCs w:val="9"/>
                <w:color w:val="auto"/>
              </w:rPr>
            </w:pPr>
          </w:p>
        </w:tc>
      </w:tr>
      <w:tr>
        <w:trPr>
          <w:trHeight w:val="127"/>
        </w:trPr>
        <w:tc>
          <w:tcPr>
            <w:tcW w:w="5200" w:type="dxa"/>
            <w:vAlign w:val="bottom"/>
            <w:tcBorders>
              <w:left w:val="single" w:sz="8" w:color="auto"/>
              <w:right w:val="single" w:sz="8" w:color="auto"/>
            </w:tcBorders>
          </w:tcPr>
          <w:p>
            <w:pPr>
              <w:ind w:left="120"/>
              <w:spacing w:after="0" w:line="127" w:lineRule="exact"/>
              <w:rPr>
                <w:sz w:val="20"/>
                <w:szCs w:val="20"/>
                <w:color w:val="auto"/>
              </w:rPr>
            </w:pPr>
            <w:r>
              <w:rPr>
                <w:rFonts w:ascii="Times New Roman" w:cs="Times New Roman" w:eastAsia="Times New Roman" w:hAnsi="Times New Roman"/>
                <w:sz w:val="12"/>
                <w:szCs w:val="12"/>
                <w:color w:val="auto"/>
              </w:rPr>
              <w:t>Cash and cash equivalents</w:t>
            </w:r>
          </w:p>
        </w:tc>
        <w:tc>
          <w:tcPr>
            <w:tcW w:w="110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7"/>
              </w:rPr>
              <w:t>399,817</w:t>
            </w:r>
          </w:p>
        </w:tc>
        <w:tc>
          <w:tcPr>
            <w:tcW w:w="112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7"/>
              </w:rPr>
              <w:t>320,909</w:t>
            </w:r>
          </w:p>
        </w:tc>
        <w:tc>
          <w:tcPr>
            <w:tcW w:w="1140" w:type="dxa"/>
            <w:vAlign w:val="bottom"/>
            <w:tcBorders>
              <w:right w:val="single" w:sz="8" w:color="auto"/>
            </w:tcBorders>
          </w:tcPr>
          <w:p>
            <w:pPr>
              <w:jc w:val="center"/>
              <w:spacing w:after="0" w:line="127" w:lineRule="exact"/>
              <w:rPr>
                <w:sz w:val="20"/>
                <w:szCs w:val="20"/>
                <w:color w:val="auto"/>
              </w:rPr>
            </w:pPr>
            <w:r>
              <w:rPr>
                <w:rFonts w:ascii="Times New Roman" w:cs="Times New Roman" w:eastAsia="Times New Roman" w:hAnsi="Times New Roman"/>
                <w:sz w:val="12"/>
                <w:szCs w:val="12"/>
                <w:color w:val="auto"/>
              </w:rPr>
              <w:t>321,003</w:t>
            </w:r>
          </w:p>
        </w:tc>
        <w:tc>
          <w:tcPr>
            <w:tcW w:w="780" w:type="dxa"/>
            <w:vAlign w:val="bottom"/>
          </w:tcPr>
          <w:p>
            <w:pPr>
              <w:jc w:val="center"/>
              <w:ind w:left="241"/>
              <w:spacing w:after="0" w:line="127" w:lineRule="exact"/>
              <w:rPr>
                <w:sz w:val="20"/>
                <w:szCs w:val="20"/>
                <w:color w:val="auto"/>
              </w:rPr>
            </w:pPr>
            <w:r>
              <w:rPr>
                <w:rFonts w:ascii="Times New Roman" w:cs="Times New Roman" w:eastAsia="Times New Roman" w:hAnsi="Times New Roman"/>
                <w:sz w:val="12"/>
                <w:szCs w:val="12"/>
                <w:color w:val="auto"/>
                <w:w w:val="95"/>
              </w:rPr>
              <w:t>0.0%</w:t>
            </w:r>
          </w:p>
        </w:tc>
        <w:tc>
          <w:tcPr>
            <w:tcW w:w="1460" w:type="dxa"/>
            <w:vAlign w:val="bottom"/>
            <w:tcBorders>
              <w:right w:val="single" w:sz="8" w:color="auto"/>
            </w:tcBorders>
          </w:tcPr>
          <w:p>
            <w:pPr>
              <w:jc w:val="center"/>
              <w:ind w:left="241"/>
              <w:spacing w:after="0" w:line="127" w:lineRule="exact"/>
              <w:rPr>
                <w:sz w:val="20"/>
                <w:szCs w:val="20"/>
                <w:color w:val="auto"/>
              </w:rPr>
            </w:pPr>
            <w:r>
              <w:rPr>
                <w:rFonts w:ascii="Times New Roman" w:cs="Times New Roman" w:eastAsia="Times New Roman" w:hAnsi="Times New Roman"/>
                <w:sz w:val="12"/>
                <w:szCs w:val="12"/>
                <w:color w:val="auto"/>
              </w:rPr>
              <w:t>-19.7%</w:t>
            </w:r>
          </w:p>
        </w:tc>
      </w:tr>
      <w:tr>
        <w:trPr>
          <w:trHeight w:val="127"/>
        </w:trPr>
        <w:tc>
          <w:tcPr>
            <w:tcW w:w="5200" w:type="dxa"/>
            <w:vAlign w:val="bottom"/>
            <w:tcBorders>
              <w:left w:val="single" w:sz="8" w:color="auto"/>
              <w:right w:val="single" w:sz="8" w:color="auto"/>
            </w:tcBorders>
          </w:tcPr>
          <w:p>
            <w:pPr>
              <w:ind w:left="120"/>
              <w:spacing w:after="0" w:line="127" w:lineRule="exact"/>
              <w:rPr>
                <w:sz w:val="20"/>
                <w:szCs w:val="20"/>
                <w:color w:val="auto"/>
              </w:rPr>
            </w:pPr>
            <w:r>
              <w:rPr>
                <w:rFonts w:ascii="Times New Roman" w:cs="Times New Roman" w:eastAsia="Times New Roman" w:hAnsi="Times New Roman"/>
                <w:sz w:val="12"/>
                <w:szCs w:val="12"/>
                <w:color w:val="auto"/>
              </w:rPr>
              <w:t>At fair value through profit or loss</w:t>
            </w:r>
          </w:p>
        </w:tc>
        <w:tc>
          <w:tcPr>
            <w:tcW w:w="1100" w:type="dxa"/>
            <w:vAlign w:val="bottom"/>
          </w:tcPr>
          <w:p>
            <w:pPr>
              <w:jc w:val="right"/>
              <w:ind w:right="521"/>
              <w:spacing w:after="0" w:line="127" w:lineRule="exact"/>
              <w:rPr>
                <w:sz w:val="20"/>
                <w:szCs w:val="20"/>
                <w:color w:val="auto"/>
              </w:rPr>
            </w:pPr>
            <w:r>
              <w:rPr>
                <w:rFonts w:ascii="Times New Roman" w:cs="Times New Roman" w:eastAsia="Times New Roman" w:hAnsi="Times New Roman"/>
                <w:sz w:val="12"/>
                <w:szCs w:val="12"/>
                <w:color w:val="auto"/>
              </w:rPr>
              <w:t>-</w:t>
            </w:r>
          </w:p>
        </w:tc>
        <w:tc>
          <w:tcPr>
            <w:tcW w:w="1120" w:type="dxa"/>
            <w:vAlign w:val="bottom"/>
          </w:tcPr>
          <w:p>
            <w:pPr>
              <w:jc w:val="right"/>
              <w:ind w:right="521"/>
              <w:spacing w:after="0" w:line="127" w:lineRule="exact"/>
              <w:rPr>
                <w:sz w:val="20"/>
                <w:szCs w:val="20"/>
                <w:color w:val="auto"/>
              </w:rPr>
            </w:pPr>
            <w:r>
              <w:rPr>
                <w:rFonts w:ascii="Times New Roman" w:cs="Times New Roman" w:eastAsia="Times New Roman" w:hAnsi="Times New Roman"/>
                <w:sz w:val="12"/>
                <w:szCs w:val="12"/>
                <w:color w:val="auto"/>
              </w:rPr>
              <w:t>-</w:t>
            </w:r>
          </w:p>
        </w:tc>
        <w:tc>
          <w:tcPr>
            <w:tcW w:w="1140" w:type="dxa"/>
            <w:vAlign w:val="bottom"/>
            <w:tcBorders>
              <w:right w:val="single" w:sz="8" w:color="auto"/>
            </w:tcBorders>
          </w:tcPr>
          <w:p>
            <w:pPr>
              <w:jc w:val="right"/>
              <w:ind w:right="541"/>
              <w:spacing w:after="0" w:line="127"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center"/>
              <w:ind w:left="241"/>
              <w:spacing w:after="0" w:line="127" w:lineRule="exact"/>
              <w:rPr>
                <w:sz w:val="20"/>
                <w:szCs w:val="20"/>
                <w:color w:val="auto"/>
              </w:rPr>
            </w:pPr>
            <w:r>
              <w:rPr>
                <w:rFonts w:ascii="Times New Roman" w:cs="Times New Roman" w:eastAsia="Times New Roman" w:hAnsi="Times New Roman"/>
                <w:sz w:val="12"/>
                <w:szCs w:val="12"/>
                <w:color w:val="auto"/>
                <w:w w:val="92"/>
              </w:rPr>
              <w:t>n.a.</w:t>
            </w:r>
          </w:p>
        </w:tc>
        <w:tc>
          <w:tcPr>
            <w:tcW w:w="1460" w:type="dxa"/>
            <w:vAlign w:val="bottom"/>
            <w:tcBorders>
              <w:right w:val="single" w:sz="8" w:color="auto"/>
            </w:tcBorders>
          </w:tcPr>
          <w:p>
            <w:pPr>
              <w:jc w:val="center"/>
              <w:ind w:left="241"/>
              <w:spacing w:after="0" w:line="127" w:lineRule="exact"/>
              <w:rPr>
                <w:sz w:val="20"/>
                <w:szCs w:val="20"/>
                <w:color w:val="auto"/>
              </w:rPr>
            </w:pPr>
            <w:r>
              <w:rPr>
                <w:rFonts w:ascii="Times New Roman" w:cs="Times New Roman" w:eastAsia="Times New Roman" w:hAnsi="Times New Roman"/>
                <w:sz w:val="12"/>
                <w:szCs w:val="12"/>
                <w:color w:val="auto"/>
                <w:w w:val="92"/>
              </w:rPr>
              <w:t>n.a.</w:t>
            </w:r>
          </w:p>
        </w:tc>
      </w:tr>
      <w:tr>
        <w:trPr>
          <w:trHeight w:val="127"/>
        </w:trPr>
        <w:tc>
          <w:tcPr>
            <w:tcW w:w="5200" w:type="dxa"/>
            <w:vAlign w:val="bottom"/>
            <w:tcBorders>
              <w:left w:val="single" w:sz="8" w:color="auto"/>
              <w:right w:val="single" w:sz="8" w:color="auto"/>
            </w:tcBorders>
          </w:tcPr>
          <w:p>
            <w:pPr>
              <w:ind w:left="120"/>
              <w:spacing w:after="0" w:line="127" w:lineRule="exact"/>
              <w:rPr>
                <w:sz w:val="20"/>
                <w:szCs w:val="20"/>
                <w:color w:val="auto"/>
              </w:rPr>
            </w:pPr>
            <w:r>
              <w:rPr>
                <w:rFonts w:ascii="Times New Roman" w:cs="Times New Roman" w:eastAsia="Times New Roman" w:hAnsi="Times New Roman"/>
                <w:sz w:val="12"/>
                <w:szCs w:val="12"/>
                <w:color w:val="auto"/>
              </w:rPr>
              <w:t>Fair value through other comprehensive income investments</w:t>
            </w:r>
          </w:p>
        </w:tc>
        <w:tc>
          <w:tcPr>
            <w:tcW w:w="110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5"/>
              </w:rPr>
              <w:t>1,232,139</w:t>
            </w:r>
          </w:p>
        </w:tc>
        <w:tc>
          <w:tcPr>
            <w:tcW w:w="112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7"/>
              </w:rPr>
              <w:t>101,684</w:t>
            </w:r>
          </w:p>
        </w:tc>
        <w:tc>
          <w:tcPr>
            <w:tcW w:w="1140" w:type="dxa"/>
            <w:vAlign w:val="bottom"/>
            <w:tcBorders>
              <w:right w:val="single" w:sz="8" w:color="auto"/>
            </w:tcBorders>
          </w:tcPr>
          <w:p>
            <w:pPr>
              <w:jc w:val="center"/>
              <w:spacing w:after="0" w:line="127" w:lineRule="exact"/>
              <w:rPr>
                <w:sz w:val="20"/>
                <w:szCs w:val="20"/>
                <w:color w:val="auto"/>
              </w:rPr>
            </w:pPr>
            <w:r>
              <w:rPr>
                <w:rFonts w:ascii="Times New Roman" w:cs="Times New Roman" w:eastAsia="Times New Roman" w:hAnsi="Times New Roman"/>
                <w:sz w:val="12"/>
                <w:szCs w:val="12"/>
                <w:color w:val="auto"/>
              </w:rPr>
              <w:t>102,795</w:t>
            </w:r>
          </w:p>
        </w:tc>
        <w:tc>
          <w:tcPr>
            <w:tcW w:w="780" w:type="dxa"/>
            <w:vAlign w:val="bottom"/>
          </w:tcPr>
          <w:p>
            <w:pPr>
              <w:jc w:val="center"/>
              <w:ind w:left="241"/>
              <w:spacing w:after="0" w:line="127" w:lineRule="exact"/>
              <w:rPr>
                <w:sz w:val="20"/>
                <w:szCs w:val="20"/>
                <w:color w:val="auto"/>
              </w:rPr>
            </w:pPr>
            <w:r>
              <w:rPr>
                <w:rFonts w:ascii="Times New Roman" w:cs="Times New Roman" w:eastAsia="Times New Roman" w:hAnsi="Times New Roman"/>
                <w:sz w:val="12"/>
                <w:szCs w:val="12"/>
                <w:color w:val="auto"/>
                <w:w w:val="95"/>
              </w:rPr>
              <w:t>1.1%</w:t>
            </w:r>
          </w:p>
        </w:tc>
        <w:tc>
          <w:tcPr>
            <w:tcW w:w="1460" w:type="dxa"/>
            <w:vAlign w:val="bottom"/>
            <w:tcBorders>
              <w:right w:val="single" w:sz="8" w:color="auto"/>
            </w:tcBorders>
          </w:tcPr>
          <w:p>
            <w:pPr>
              <w:jc w:val="center"/>
              <w:ind w:left="241"/>
              <w:spacing w:after="0" w:line="127" w:lineRule="exact"/>
              <w:rPr>
                <w:sz w:val="20"/>
                <w:szCs w:val="20"/>
                <w:color w:val="auto"/>
              </w:rPr>
            </w:pPr>
            <w:r>
              <w:rPr>
                <w:rFonts w:ascii="Times New Roman" w:cs="Times New Roman" w:eastAsia="Times New Roman" w:hAnsi="Times New Roman"/>
                <w:sz w:val="12"/>
                <w:szCs w:val="12"/>
                <w:color w:val="auto"/>
              </w:rPr>
              <w:t>-91.7%</w:t>
            </w:r>
          </w:p>
        </w:tc>
      </w:tr>
      <w:tr>
        <w:trPr>
          <w:trHeight w:val="127"/>
        </w:trPr>
        <w:tc>
          <w:tcPr>
            <w:tcW w:w="5200" w:type="dxa"/>
            <w:vAlign w:val="bottom"/>
            <w:tcBorders>
              <w:left w:val="single" w:sz="8" w:color="auto"/>
              <w:right w:val="single" w:sz="8" w:color="auto"/>
            </w:tcBorders>
          </w:tcPr>
          <w:p>
            <w:pPr>
              <w:ind w:left="120"/>
              <w:spacing w:after="0" w:line="127" w:lineRule="exact"/>
              <w:rPr>
                <w:sz w:val="20"/>
                <w:szCs w:val="20"/>
                <w:color w:val="auto"/>
              </w:rPr>
            </w:pPr>
            <w:r>
              <w:rPr>
                <w:rFonts w:ascii="Times New Roman" w:cs="Times New Roman" w:eastAsia="Times New Roman" w:hAnsi="Times New Roman"/>
                <w:sz w:val="12"/>
                <w:szCs w:val="12"/>
                <w:color w:val="auto"/>
              </w:rPr>
              <w:t>In subsidiaries and associates investments</w:t>
            </w:r>
          </w:p>
        </w:tc>
        <w:tc>
          <w:tcPr>
            <w:tcW w:w="110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9"/>
              </w:rPr>
              <w:t>39,435,439</w:t>
            </w:r>
          </w:p>
        </w:tc>
        <w:tc>
          <w:tcPr>
            <w:tcW w:w="112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9"/>
              </w:rPr>
              <w:t>42,246,625</w:t>
            </w:r>
          </w:p>
        </w:tc>
        <w:tc>
          <w:tcPr>
            <w:tcW w:w="1140" w:type="dxa"/>
            <w:vAlign w:val="bottom"/>
            <w:tcBorders>
              <w:right w:val="single" w:sz="8" w:color="auto"/>
            </w:tcBorders>
          </w:tcPr>
          <w:p>
            <w:pPr>
              <w:jc w:val="center"/>
              <w:spacing w:after="0" w:line="127" w:lineRule="exact"/>
              <w:rPr>
                <w:sz w:val="20"/>
                <w:szCs w:val="20"/>
                <w:color w:val="auto"/>
              </w:rPr>
            </w:pPr>
            <w:r>
              <w:rPr>
                <w:rFonts w:ascii="Times New Roman" w:cs="Times New Roman" w:eastAsia="Times New Roman" w:hAnsi="Times New Roman"/>
                <w:sz w:val="12"/>
                <w:szCs w:val="12"/>
                <w:color w:val="auto"/>
                <w:w w:val="96"/>
              </w:rPr>
              <w:t>43,803,642</w:t>
            </w:r>
          </w:p>
        </w:tc>
        <w:tc>
          <w:tcPr>
            <w:tcW w:w="780" w:type="dxa"/>
            <w:vAlign w:val="bottom"/>
          </w:tcPr>
          <w:p>
            <w:pPr>
              <w:jc w:val="center"/>
              <w:ind w:left="241"/>
              <w:spacing w:after="0" w:line="127" w:lineRule="exact"/>
              <w:rPr>
                <w:sz w:val="20"/>
                <w:szCs w:val="20"/>
                <w:color w:val="auto"/>
              </w:rPr>
            </w:pPr>
            <w:r>
              <w:rPr>
                <w:rFonts w:ascii="Times New Roman" w:cs="Times New Roman" w:eastAsia="Times New Roman" w:hAnsi="Times New Roman"/>
                <w:sz w:val="12"/>
                <w:szCs w:val="12"/>
                <w:color w:val="auto"/>
                <w:w w:val="95"/>
              </w:rPr>
              <w:t>3.7%</w:t>
            </w:r>
          </w:p>
        </w:tc>
        <w:tc>
          <w:tcPr>
            <w:tcW w:w="1460" w:type="dxa"/>
            <w:vAlign w:val="bottom"/>
            <w:tcBorders>
              <w:right w:val="single" w:sz="8" w:color="auto"/>
            </w:tcBorders>
          </w:tcPr>
          <w:p>
            <w:pPr>
              <w:jc w:val="center"/>
              <w:ind w:left="241"/>
              <w:spacing w:after="0" w:line="127" w:lineRule="exact"/>
              <w:rPr>
                <w:sz w:val="20"/>
                <w:szCs w:val="20"/>
                <w:color w:val="auto"/>
              </w:rPr>
            </w:pPr>
            <w:r>
              <w:rPr>
                <w:rFonts w:ascii="Times New Roman" w:cs="Times New Roman" w:eastAsia="Times New Roman" w:hAnsi="Times New Roman"/>
                <w:sz w:val="12"/>
                <w:szCs w:val="12"/>
                <w:color w:val="auto"/>
              </w:rPr>
              <w:t>11.1%</w:t>
            </w:r>
          </w:p>
        </w:tc>
      </w:tr>
      <w:tr>
        <w:trPr>
          <w:trHeight w:val="127"/>
        </w:trPr>
        <w:tc>
          <w:tcPr>
            <w:tcW w:w="5200" w:type="dxa"/>
            <w:vAlign w:val="bottom"/>
            <w:tcBorders>
              <w:left w:val="single" w:sz="8" w:color="auto"/>
              <w:right w:val="single" w:sz="8" w:color="auto"/>
            </w:tcBorders>
          </w:tcPr>
          <w:p>
            <w:pPr>
              <w:ind w:left="120"/>
              <w:spacing w:after="0" w:line="127" w:lineRule="exact"/>
              <w:rPr>
                <w:sz w:val="20"/>
                <w:szCs w:val="20"/>
                <w:color w:val="auto"/>
              </w:rPr>
            </w:pPr>
            <w:r>
              <w:rPr>
                <w:rFonts w:ascii="Times New Roman" w:cs="Times New Roman" w:eastAsia="Times New Roman" w:hAnsi="Times New Roman"/>
                <w:sz w:val="12"/>
                <w:szCs w:val="12"/>
                <w:color w:val="auto"/>
              </w:rPr>
              <w:t>Investments at amortized cost</w:t>
            </w:r>
          </w:p>
        </w:tc>
        <w:tc>
          <w:tcPr>
            <w:tcW w:w="110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7"/>
              </w:rPr>
              <w:t>686,418</w:t>
            </w:r>
          </w:p>
        </w:tc>
        <w:tc>
          <w:tcPr>
            <w:tcW w:w="1120" w:type="dxa"/>
            <w:vAlign w:val="bottom"/>
          </w:tcPr>
          <w:p>
            <w:pPr>
              <w:jc w:val="right"/>
              <w:ind w:right="521"/>
              <w:spacing w:after="0" w:line="127" w:lineRule="exact"/>
              <w:rPr>
                <w:sz w:val="20"/>
                <w:szCs w:val="20"/>
                <w:color w:val="auto"/>
              </w:rPr>
            </w:pPr>
            <w:r>
              <w:rPr>
                <w:rFonts w:ascii="Times New Roman" w:cs="Times New Roman" w:eastAsia="Times New Roman" w:hAnsi="Times New Roman"/>
                <w:sz w:val="12"/>
                <w:szCs w:val="12"/>
                <w:color w:val="auto"/>
              </w:rPr>
              <w:t>-</w:t>
            </w:r>
          </w:p>
        </w:tc>
        <w:tc>
          <w:tcPr>
            <w:tcW w:w="1140" w:type="dxa"/>
            <w:vAlign w:val="bottom"/>
            <w:tcBorders>
              <w:right w:val="single" w:sz="8" w:color="auto"/>
            </w:tcBorders>
          </w:tcPr>
          <w:p>
            <w:pPr>
              <w:jc w:val="right"/>
              <w:ind w:right="541"/>
              <w:spacing w:after="0" w:line="127"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center"/>
              <w:ind w:left="241"/>
              <w:spacing w:after="0" w:line="127" w:lineRule="exact"/>
              <w:rPr>
                <w:sz w:val="20"/>
                <w:szCs w:val="20"/>
                <w:color w:val="auto"/>
              </w:rPr>
            </w:pPr>
            <w:r>
              <w:rPr>
                <w:rFonts w:ascii="Times New Roman" w:cs="Times New Roman" w:eastAsia="Times New Roman" w:hAnsi="Times New Roman"/>
                <w:sz w:val="12"/>
                <w:szCs w:val="12"/>
                <w:color w:val="auto"/>
                <w:w w:val="92"/>
              </w:rPr>
              <w:t>n.a.</w:t>
            </w:r>
          </w:p>
        </w:tc>
        <w:tc>
          <w:tcPr>
            <w:tcW w:w="1460" w:type="dxa"/>
            <w:vAlign w:val="bottom"/>
            <w:tcBorders>
              <w:right w:val="single" w:sz="8" w:color="auto"/>
            </w:tcBorders>
          </w:tcPr>
          <w:p>
            <w:pPr>
              <w:jc w:val="center"/>
              <w:ind w:left="241"/>
              <w:spacing w:after="0" w:line="127" w:lineRule="exact"/>
              <w:rPr>
                <w:sz w:val="20"/>
                <w:szCs w:val="20"/>
                <w:color w:val="auto"/>
              </w:rPr>
            </w:pPr>
            <w:r>
              <w:rPr>
                <w:rFonts w:ascii="Times New Roman" w:cs="Times New Roman" w:eastAsia="Times New Roman" w:hAnsi="Times New Roman"/>
                <w:sz w:val="12"/>
                <w:szCs w:val="12"/>
                <w:color w:val="auto"/>
                <w:w w:val="92"/>
              </w:rPr>
              <w:t>n.a.</w:t>
            </w:r>
          </w:p>
        </w:tc>
      </w:tr>
      <w:tr>
        <w:trPr>
          <w:trHeight w:val="125"/>
        </w:trPr>
        <w:tc>
          <w:tcPr>
            <w:tcW w:w="5200" w:type="dxa"/>
            <w:vAlign w:val="bottom"/>
            <w:tcBorders>
              <w:left w:val="single" w:sz="8" w:color="auto"/>
              <w:right w:val="single" w:sz="8" w:color="auto"/>
            </w:tcBorders>
          </w:tcPr>
          <w:p>
            <w:pPr>
              <w:ind w:left="120"/>
              <w:spacing w:after="0" w:line="125" w:lineRule="exact"/>
              <w:rPr>
                <w:sz w:val="20"/>
                <w:szCs w:val="20"/>
                <w:color w:val="auto"/>
              </w:rPr>
            </w:pPr>
            <w:r>
              <w:rPr>
                <w:rFonts w:ascii="Times New Roman" w:cs="Times New Roman" w:eastAsia="Times New Roman" w:hAnsi="Times New Roman"/>
                <w:sz w:val="12"/>
                <w:szCs w:val="12"/>
                <w:color w:val="auto"/>
              </w:rPr>
              <w:t>Other assets</w:t>
            </w:r>
          </w:p>
        </w:tc>
        <w:tc>
          <w:tcPr>
            <w:tcW w:w="110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auto"/>
                <w:w w:val="97"/>
              </w:rPr>
              <w:t>250,990</w:t>
            </w:r>
          </w:p>
        </w:tc>
        <w:tc>
          <w:tcPr>
            <w:tcW w:w="112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auto"/>
                <w:w w:val="96"/>
              </w:rPr>
              <w:t>8,836</w:t>
            </w:r>
          </w:p>
        </w:tc>
        <w:tc>
          <w:tcPr>
            <w:tcW w:w="1140" w:type="dxa"/>
            <w:vAlign w:val="bottom"/>
            <w:tcBorders>
              <w:right w:val="single" w:sz="8" w:color="auto"/>
            </w:tcBorders>
          </w:tcPr>
          <w:p>
            <w:pPr>
              <w:jc w:val="center"/>
              <w:spacing w:after="0" w:line="125" w:lineRule="exact"/>
              <w:rPr>
                <w:sz w:val="20"/>
                <w:szCs w:val="20"/>
                <w:color w:val="auto"/>
              </w:rPr>
            </w:pPr>
            <w:r>
              <w:rPr>
                <w:rFonts w:ascii="Times New Roman" w:cs="Times New Roman" w:eastAsia="Times New Roman" w:hAnsi="Times New Roman"/>
                <w:sz w:val="12"/>
                <w:szCs w:val="12"/>
                <w:color w:val="auto"/>
                <w:w w:val="97"/>
              </w:rPr>
              <w:t>269,011</w:t>
            </w:r>
          </w:p>
        </w:tc>
        <w:tc>
          <w:tcPr>
            <w:tcW w:w="780" w:type="dxa"/>
            <w:vAlign w:val="bottom"/>
          </w:tcPr>
          <w:p>
            <w:pPr>
              <w:jc w:val="center"/>
              <w:ind w:left="241"/>
              <w:spacing w:after="0" w:line="125" w:lineRule="exact"/>
              <w:rPr>
                <w:sz w:val="20"/>
                <w:szCs w:val="20"/>
                <w:color w:val="auto"/>
              </w:rPr>
            </w:pPr>
            <w:r>
              <w:rPr>
                <w:rFonts w:ascii="Times New Roman" w:cs="Times New Roman" w:eastAsia="Times New Roman" w:hAnsi="Times New Roman"/>
                <w:sz w:val="12"/>
                <w:szCs w:val="12"/>
                <w:color w:val="auto"/>
                <w:w w:val="92"/>
              </w:rPr>
              <w:t>n.a.</w:t>
            </w:r>
          </w:p>
        </w:tc>
        <w:tc>
          <w:tcPr>
            <w:tcW w:w="1460" w:type="dxa"/>
            <w:vAlign w:val="bottom"/>
            <w:tcBorders>
              <w:right w:val="single" w:sz="8" w:color="auto"/>
            </w:tcBorders>
          </w:tcPr>
          <w:p>
            <w:pPr>
              <w:jc w:val="center"/>
              <w:ind w:left="241"/>
              <w:spacing w:after="0" w:line="125" w:lineRule="exact"/>
              <w:rPr>
                <w:sz w:val="20"/>
                <w:szCs w:val="20"/>
                <w:color w:val="auto"/>
              </w:rPr>
            </w:pPr>
            <w:r>
              <w:rPr>
                <w:rFonts w:ascii="Times New Roman" w:cs="Times New Roman" w:eastAsia="Times New Roman" w:hAnsi="Times New Roman"/>
                <w:sz w:val="12"/>
                <w:szCs w:val="12"/>
                <w:color w:val="auto"/>
                <w:w w:val="95"/>
              </w:rPr>
              <w:t>7.2%</w:t>
            </w:r>
          </w:p>
        </w:tc>
      </w:tr>
      <w:tr>
        <w:trPr>
          <w:trHeight w:val="156"/>
        </w:trPr>
        <w:tc>
          <w:tcPr>
            <w:tcW w:w="5200" w:type="dxa"/>
            <w:vAlign w:val="bottom"/>
            <w:tcBorders>
              <w:left w:val="single" w:sz="8" w:color="auto"/>
              <w:right w:val="single" w:sz="8" w:color="auto"/>
            </w:tcBorders>
          </w:tcPr>
          <w:p>
            <w:pPr>
              <w:ind w:left="2300"/>
              <w:spacing w:after="0"/>
              <w:rPr>
                <w:sz w:val="20"/>
                <w:szCs w:val="20"/>
                <w:color w:val="auto"/>
              </w:rPr>
            </w:pPr>
            <w:r>
              <w:rPr>
                <w:rFonts w:ascii="Times New Roman" w:cs="Times New Roman" w:eastAsia="Times New Roman" w:hAnsi="Times New Roman"/>
                <w:sz w:val="12"/>
                <w:szCs w:val="12"/>
                <w:b w:val="1"/>
                <w:bCs w:val="1"/>
                <w:color w:val="auto"/>
              </w:rPr>
              <w:t>Total Assets</w:t>
            </w:r>
          </w:p>
        </w:tc>
        <w:tc>
          <w:tcPr>
            <w:tcW w:w="11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42,004,803</w:t>
            </w: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42,678,054</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44,496,451</w:t>
            </w:r>
          </w:p>
        </w:tc>
        <w:tc>
          <w:tcPr>
            <w:tcW w:w="780" w:type="dxa"/>
            <w:vAlign w:val="bottom"/>
          </w:tcPr>
          <w:p>
            <w:pPr>
              <w:jc w:val="center"/>
              <w:ind w:left="261"/>
              <w:spacing w:after="0"/>
              <w:rPr>
                <w:sz w:val="20"/>
                <w:szCs w:val="20"/>
                <w:color w:val="auto"/>
              </w:rPr>
            </w:pPr>
            <w:r>
              <w:rPr>
                <w:rFonts w:ascii="Times New Roman" w:cs="Times New Roman" w:eastAsia="Times New Roman" w:hAnsi="Times New Roman"/>
                <w:sz w:val="12"/>
                <w:szCs w:val="12"/>
                <w:b w:val="1"/>
                <w:bCs w:val="1"/>
                <w:color w:val="auto"/>
                <w:w w:val="96"/>
              </w:rPr>
              <w:t>4.3%</w:t>
            </w:r>
          </w:p>
        </w:tc>
        <w:tc>
          <w:tcPr>
            <w:tcW w:w="1460" w:type="dxa"/>
            <w:vAlign w:val="bottom"/>
            <w:tcBorders>
              <w:right w:val="single" w:sz="8" w:color="auto"/>
            </w:tcBorders>
          </w:tcPr>
          <w:p>
            <w:pPr>
              <w:jc w:val="center"/>
              <w:ind w:left="241"/>
              <w:spacing w:after="0"/>
              <w:rPr>
                <w:sz w:val="20"/>
                <w:szCs w:val="20"/>
                <w:color w:val="auto"/>
              </w:rPr>
            </w:pPr>
            <w:r>
              <w:rPr>
                <w:rFonts w:ascii="Times New Roman" w:cs="Times New Roman" w:eastAsia="Times New Roman" w:hAnsi="Times New Roman"/>
                <w:sz w:val="12"/>
                <w:szCs w:val="12"/>
                <w:b w:val="1"/>
                <w:bCs w:val="1"/>
                <w:color w:val="auto"/>
              </w:rPr>
              <w:t>5.9%</w:t>
            </w:r>
          </w:p>
        </w:tc>
      </w:tr>
      <w:tr>
        <w:trPr>
          <w:trHeight w:val="227"/>
        </w:trPr>
        <w:tc>
          <w:tcPr>
            <w:tcW w:w="52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2"/>
                <w:szCs w:val="12"/>
                <w:b w:val="1"/>
                <w:bCs w:val="1"/>
                <w:color w:val="auto"/>
              </w:rPr>
              <w:t>LIABILITIES AND NET SHAREHOLDERS’ EQUITY</w:t>
            </w:r>
          </w:p>
        </w:tc>
        <w:tc>
          <w:tcPr>
            <w:tcW w:w="1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1460" w:type="dxa"/>
            <w:vAlign w:val="bottom"/>
            <w:tcBorders>
              <w:right w:val="single" w:sz="8" w:color="auto"/>
            </w:tcBorders>
          </w:tcPr>
          <w:p>
            <w:pPr>
              <w:spacing w:after="0"/>
              <w:rPr>
                <w:sz w:val="19"/>
                <w:szCs w:val="19"/>
                <w:color w:val="auto"/>
              </w:rPr>
            </w:pPr>
          </w:p>
        </w:tc>
      </w:tr>
      <w:tr>
        <w:trPr>
          <w:trHeight w:val="127"/>
        </w:trPr>
        <w:tc>
          <w:tcPr>
            <w:tcW w:w="5200" w:type="dxa"/>
            <w:vAlign w:val="bottom"/>
            <w:tcBorders>
              <w:left w:val="single" w:sz="8" w:color="auto"/>
              <w:right w:val="single" w:sz="8" w:color="auto"/>
            </w:tcBorders>
          </w:tcPr>
          <w:p>
            <w:pPr>
              <w:ind w:left="120"/>
              <w:spacing w:after="0" w:line="127" w:lineRule="exact"/>
              <w:rPr>
                <w:sz w:val="20"/>
                <w:szCs w:val="20"/>
                <w:color w:val="auto"/>
              </w:rPr>
            </w:pPr>
            <w:r>
              <w:rPr>
                <w:rFonts w:ascii="Times New Roman" w:cs="Times New Roman" w:eastAsia="Times New Roman" w:hAnsi="Times New Roman"/>
                <w:sz w:val="12"/>
                <w:szCs w:val="12"/>
                <w:color w:val="auto"/>
              </w:rPr>
              <w:t>Due to banks, correspondents and other entities</w:t>
            </w:r>
          </w:p>
        </w:tc>
        <w:tc>
          <w:tcPr>
            <w:tcW w:w="1100" w:type="dxa"/>
            <w:vAlign w:val="bottom"/>
          </w:tcPr>
          <w:p>
            <w:pPr>
              <w:jc w:val="right"/>
              <w:ind w:right="521"/>
              <w:spacing w:after="0" w:line="127" w:lineRule="exact"/>
              <w:rPr>
                <w:sz w:val="20"/>
                <w:szCs w:val="20"/>
                <w:color w:val="auto"/>
              </w:rPr>
            </w:pPr>
            <w:r>
              <w:rPr>
                <w:rFonts w:ascii="Times New Roman" w:cs="Times New Roman" w:eastAsia="Times New Roman" w:hAnsi="Times New Roman"/>
                <w:sz w:val="12"/>
                <w:szCs w:val="12"/>
                <w:color w:val="auto"/>
              </w:rPr>
              <w:t>-</w:t>
            </w:r>
          </w:p>
        </w:tc>
        <w:tc>
          <w:tcPr>
            <w:tcW w:w="1120" w:type="dxa"/>
            <w:vAlign w:val="bottom"/>
          </w:tcPr>
          <w:p>
            <w:pPr>
              <w:jc w:val="right"/>
              <w:ind w:right="521"/>
              <w:spacing w:after="0" w:line="127" w:lineRule="exact"/>
              <w:rPr>
                <w:sz w:val="20"/>
                <w:szCs w:val="20"/>
                <w:color w:val="auto"/>
              </w:rPr>
            </w:pPr>
            <w:r>
              <w:rPr>
                <w:rFonts w:ascii="Times New Roman" w:cs="Times New Roman" w:eastAsia="Times New Roman" w:hAnsi="Times New Roman"/>
                <w:sz w:val="12"/>
                <w:szCs w:val="12"/>
                <w:color w:val="auto"/>
              </w:rPr>
              <w:t>-</w:t>
            </w:r>
          </w:p>
        </w:tc>
        <w:tc>
          <w:tcPr>
            <w:tcW w:w="1140" w:type="dxa"/>
            <w:vAlign w:val="bottom"/>
            <w:tcBorders>
              <w:right w:val="single" w:sz="8" w:color="auto"/>
            </w:tcBorders>
          </w:tcPr>
          <w:p>
            <w:pPr>
              <w:jc w:val="right"/>
              <w:ind w:right="541"/>
              <w:spacing w:after="0" w:line="127"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center"/>
              <w:ind w:left="241"/>
              <w:spacing w:after="0" w:line="127" w:lineRule="exact"/>
              <w:rPr>
                <w:sz w:val="20"/>
                <w:szCs w:val="20"/>
                <w:color w:val="auto"/>
              </w:rPr>
            </w:pPr>
            <w:r>
              <w:rPr>
                <w:rFonts w:ascii="Times New Roman" w:cs="Times New Roman" w:eastAsia="Times New Roman" w:hAnsi="Times New Roman"/>
                <w:sz w:val="12"/>
                <w:szCs w:val="12"/>
                <w:color w:val="auto"/>
                <w:w w:val="92"/>
              </w:rPr>
              <w:t>n.a.</w:t>
            </w:r>
          </w:p>
        </w:tc>
        <w:tc>
          <w:tcPr>
            <w:tcW w:w="1460" w:type="dxa"/>
            <w:vAlign w:val="bottom"/>
            <w:tcBorders>
              <w:right w:val="single" w:sz="8" w:color="auto"/>
            </w:tcBorders>
          </w:tcPr>
          <w:p>
            <w:pPr>
              <w:jc w:val="center"/>
              <w:ind w:left="241"/>
              <w:spacing w:after="0" w:line="127" w:lineRule="exact"/>
              <w:rPr>
                <w:sz w:val="20"/>
                <w:szCs w:val="20"/>
                <w:color w:val="auto"/>
              </w:rPr>
            </w:pPr>
            <w:r>
              <w:rPr>
                <w:rFonts w:ascii="Times New Roman" w:cs="Times New Roman" w:eastAsia="Times New Roman" w:hAnsi="Times New Roman"/>
                <w:sz w:val="12"/>
                <w:szCs w:val="12"/>
                <w:color w:val="auto"/>
                <w:w w:val="92"/>
              </w:rPr>
              <w:t>n.a.</w:t>
            </w:r>
          </w:p>
        </w:tc>
      </w:tr>
      <w:tr>
        <w:trPr>
          <w:trHeight w:val="127"/>
        </w:trPr>
        <w:tc>
          <w:tcPr>
            <w:tcW w:w="5200" w:type="dxa"/>
            <w:vAlign w:val="bottom"/>
            <w:tcBorders>
              <w:left w:val="single" w:sz="8" w:color="auto"/>
              <w:right w:val="single" w:sz="8" w:color="auto"/>
            </w:tcBorders>
          </w:tcPr>
          <w:p>
            <w:pPr>
              <w:ind w:left="120"/>
              <w:spacing w:after="0" w:line="127" w:lineRule="exact"/>
              <w:rPr>
                <w:sz w:val="20"/>
                <w:szCs w:val="20"/>
                <w:color w:val="auto"/>
              </w:rPr>
            </w:pPr>
            <w:r>
              <w:rPr>
                <w:rFonts w:ascii="Times New Roman" w:cs="Times New Roman" w:eastAsia="Times New Roman" w:hAnsi="Times New Roman"/>
                <w:sz w:val="12"/>
                <w:szCs w:val="12"/>
                <w:color w:val="auto"/>
              </w:rPr>
              <w:t>Bonds and notes issued</w:t>
            </w:r>
          </w:p>
        </w:tc>
        <w:tc>
          <w:tcPr>
            <w:tcW w:w="110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5"/>
              </w:rPr>
              <w:t>1,796,058</w:t>
            </w:r>
          </w:p>
        </w:tc>
        <w:tc>
          <w:tcPr>
            <w:tcW w:w="1120" w:type="dxa"/>
            <w:vAlign w:val="bottom"/>
          </w:tcPr>
          <w:p>
            <w:pPr>
              <w:jc w:val="right"/>
              <w:ind w:right="521"/>
              <w:spacing w:after="0" w:line="127" w:lineRule="exact"/>
              <w:rPr>
                <w:sz w:val="20"/>
                <w:szCs w:val="20"/>
                <w:color w:val="auto"/>
              </w:rPr>
            </w:pPr>
            <w:r>
              <w:rPr>
                <w:rFonts w:ascii="Times New Roman" w:cs="Times New Roman" w:eastAsia="Times New Roman" w:hAnsi="Times New Roman"/>
                <w:sz w:val="12"/>
                <w:szCs w:val="12"/>
                <w:color w:val="auto"/>
              </w:rPr>
              <w:t>-</w:t>
            </w:r>
          </w:p>
        </w:tc>
        <w:tc>
          <w:tcPr>
            <w:tcW w:w="1140" w:type="dxa"/>
            <w:vAlign w:val="bottom"/>
            <w:tcBorders>
              <w:right w:val="single" w:sz="8" w:color="auto"/>
            </w:tcBorders>
          </w:tcPr>
          <w:p>
            <w:pPr>
              <w:jc w:val="right"/>
              <w:ind w:right="541"/>
              <w:spacing w:after="0" w:line="127"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center"/>
              <w:ind w:left="241"/>
              <w:spacing w:after="0" w:line="127" w:lineRule="exact"/>
              <w:rPr>
                <w:sz w:val="20"/>
                <w:szCs w:val="20"/>
                <w:color w:val="auto"/>
              </w:rPr>
            </w:pPr>
            <w:r>
              <w:rPr>
                <w:rFonts w:ascii="Times New Roman" w:cs="Times New Roman" w:eastAsia="Times New Roman" w:hAnsi="Times New Roman"/>
                <w:sz w:val="12"/>
                <w:szCs w:val="12"/>
                <w:color w:val="auto"/>
                <w:w w:val="92"/>
              </w:rPr>
              <w:t>n.a.</w:t>
            </w:r>
          </w:p>
        </w:tc>
        <w:tc>
          <w:tcPr>
            <w:tcW w:w="1460" w:type="dxa"/>
            <w:vAlign w:val="bottom"/>
            <w:tcBorders>
              <w:right w:val="single" w:sz="8" w:color="auto"/>
            </w:tcBorders>
          </w:tcPr>
          <w:p>
            <w:pPr>
              <w:jc w:val="center"/>
              <w:ind w:left="241"/>
              <w:spacing w:after="0" w:line="127" w:lineRule="exact"/>
              <w:rPr>
                <w:sz w:val="20"/>
                <w:szCs w:val="20"/>
                <w:color w:val="auto"/>
              </w:rPr>
            </w:pPr>
            <w:r>
              <w:rPr>
                <w:rFonts w:ascii="Times New Roman" w:cs="Times New Roman" w:eastAsia="Times New Roman" w:hAnsi="Times New Roman"/>
                <w:sz w:val="12"/>
                <w:szCs w:val="12"/>
                <w:color w:val="auto"/>
                <w:w w:val="92"/>
              </w:rPr>
              <w:t>n.a.</w:t>
            </w:r>
          </w:p>
        </w:tc>
      </w:tr>
      <w:tr>
        <w:trPr>
          <w:trHeight w:val="125"/>
        </w:trPr>
        <w:tc>
          <w:tcPr>
            <w:tcW w:w="5200" w:type="dxa"/>
            <w:vAlign w:val="bottom"/>
            <w:tcBorders>
              <w:left w:val="single" w:sz="8" w:color="auto"/>
              <w:right w:val="single" w:sz="8" w:color="auto"/>
            </w:tcBorders>
          </w:tcPr>
          <w:p>
            <w:pPr>
              <w:ind w:left="120"/>
              <w:spacing w:after="0" w:line="125" w:lineRule="exact"/>
              <w:rPr>
                <w:sz w:val="20"/>
                <w:szCs w:val="20"/>
                <w:color w:val="auto"/>
              </w:rPr>
            </w:pPr>
            <w:r>
              <w:rPr>
                <w:rFonts w:ascii="Times New Roman" w:cs="Times New Roman" w:eastAsia="Times New Roman" w:hAnsi="Times New Roman"/>
                <w:sz w:val="12"/>
                <w:szCs w:val="12"/>
                <w:color w:val="auto"/>
              </w:rPr>
              <w:t>Other liabilities</w:t>
            </w:r>
          </w:p>
        </w:tc>
        <w:tc>
          <w:tcPr>
            <w:tcW w:w="110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auto"/>
                <w:w w:val="97"/>
              </w:rPr>
              <w:t>276,279</w:t>
            </w:r>
          </w:p>
        </w:tc>
        <w:tc>
          <w:tcPr>
            <w:tcW w:w="112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auto"/>
                <w:w w:val="97"/>
              </w:rPr>
              <w:t>274,606</w:t>
            </w:r>
          </w:p>
        </w:tc>
        <w:tc>
          <w:tcPr>
            <w:tcW w:w="1140" w:type="dxa"/>
            <w:vAlign w:val="bottom"/>
            <w:tcBorders>
              <w:right w:val="single" w:sz="8" w:color="auto"/>
            </w:tcBorders>
          </w:tcPr>
          <w:p>
            <w:pPr>
              <w:jc w:val="center"/>
              <w:spacing w:after="0" w:line="125" w:lineRule="exact"/>
              <w:rPr>
                <w:sz w:val="20"/>
                <w:szCs w:val="20"/>
                <w:color w:val="auto"/>
              </w:rPr>
            </w:pPr>
            <w:r>
              <w:rPr>
                <w:rFonts w:ascii="Times New Roman" w:cs="Times New Roman" w:eastAsia="Times New Roman" w:hAnsi="Times New Roman"/>
                <w:sz w:val="12"/>
                <w:szCs w:val="12"/>
                <w:color w:val="auto"/>
              </w:rPr>
              <w:t>342,671</w:t>
            </w:r>
          </w:p>
        </w:tc>
        <w:tc>
          <w:tcPr>
            <w:tcW w:w="780" w:type="dxa"/>
            <w:vAlign w:val="bottom"/>
          </w:tcPr>
          <w:p>
            <w:pPr>
              <w:jc w:val="center"/>
              <w:ind w:left="261"/>
              <w:spacing w:after="0" w:line="125" w:lineRule="exact"/>
              <w:rPr>
                <w:sz w:val="20"/>
                <w:szCs w:val="20"/>
                <w:color w:val="auto"/>
              </w:rPr>
            </w:pPr>
            <w:r>
              <w:rPr>
                <w:rFonts w:ascii="Times New Roman" w:cs="Times New Roman" w:eastAsia="Times New Roman" w:hAnsi="Times New Roman"/>
                <w:sz w:val="12"/>
                <w:szCs w:val="12"/>
                <w:color w:val="auto"/>
                <w:w w:val="96"/>
              </w:rPr>
              <w:t>24.8%</w:t>
            </w:r>
          </w:p>
        </w:tc>
        <w:tc>
          <w:tcPr>
            <w:tcW w:w="1460" w:type="dxa"/>
            <w:vAlign w:val="bottom"/>
            <w:tcBorders>
              <w:right w:val="single" w:sz="8" w:color="auto"/>
            </w:tcBorders>
          </w:tcPr>
          <w:p>
            <w:pPr>
              <w:jc w:val="center"/>
              <w:ind w:left="241"/>
              <w:spacing w:after="0" w:line="125" w:lineRule="exact"/>
              <w:rPr>
                <w:sz w:val="20"/>
                <w:szCs w:val="20"/>
                <w:color w:val="auto"/>
              </w:rPr>
            </w:pPr>
            <w:r>
              <w:rPr>
                <w:rFonts w:ascii="Times New Roman" w:cs="Times New Roman" w:eastAsia="Times New Roman" w:hAnsi="Times New Roman"/>
                <w:sz w:val="12"/>
                <w:szCs w:val="12"/>
                <w:color w:val="auto"/>
              </w:rPr>
              <w:t>24.0%</w:t>
            </w:r>
          </w:p>
        </w:tc>
      </w:tr>
      <w:tr>
        <w:trPr>
          <w:trHeight w:val="156"/>
        </w:trPr>
        <w:tc>
          <w:tcPr>
            <w:tcW w:w="5200" w:type="dxa"/>
            <w:vAlign w:val="bottom"/>
            <w:tcBorders>
              <w:left w:val="single" w:sz="8" w:color="auto"/>
              <w:right w:val="single" w:sz="8" w:color="auto"/>
            </w:tcBorders>
          </w:tcPr>
          <w:p>
            <w:pPr>
              <w:ind w:left="2200"/>
              <w:spacing w:after="0"/>
              <w:rPr>
                <w:sz w:val="20"/>
                <w:szCs w:val="20"/>
                <w:color w:val="auto"/>
              </w:rPr>
            </w:pPr>
            <w:r>
              <w:rPr>
                <w:rFonts w:ascii="Times New Roman" w:cs="Times New Roman" w:eastAsia="Times New Roman" w:hAnsi="Times New Roman"/>
                <w:sz w:val="12"/>
                <w:szCs w:val="12"/>
                <w:b w:val="1"/>
                <w:bCs w:val="1"/>
                <w:color w:val="auto"/>
              </w:rPr>
              <w:t>Total Liabilities</w:t>
            </w:r>
          </w:p>
        </w:tc>
        <w:tc>
          <w:tcPr>
            <w:tcW w:w="11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2,072,337</w:t>
            </w: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274,606</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342,671</w:t>
            </w:r>
          </w:p>
        </w:tc>
        <w:tc>
          <w:tcPr>
            <w:tcW w:w="780" w:type="dxa"/>
            <w:vAlign w:val="bottom"/>
          </w:tcPr>
          <w:p>
            <w:pPr>
              <w:jc w:val="center"/>
              <w:ind w:left="241"/>
              <w:spacing w:after="0"/>
              <w:rPr>
                <w:sz w:val="20"/>
                <w:szCs w:val="20"/>
                <w:color w:val="auto"/>
              </w:rPr>
            </w:pPr>
            <w:r>
              <w:rPr>
                <w:rFonts w:ascii="Times New Roman" w:cs="Times New Roman" w:eastAsia="Times New Roman" w:hAnsi="Times New Roman"/>
                <w:sz w:val="12"/>
                <w:szCs w:val="12"/>
                <w:b w:val="1"/>
                <w:bCs w:val="1"/>
                <w:color w:val="auto"/>
                <w:w w:val="96"/>
              </w:rPr>
              <w:t>24.8%</w:t>
            </w:r>
          </w:p>
        </w:tc>
        <w:tc>
          <w:tcPr>
            <w:tcW w:w="1460" w:type="dxa"/>
            <w:vAlign w:val="bottom"/>
            <w:tcBorders>
              <w:right w:val="single" w:sz="8" w:color="auto"/>
            </w:tcBorders>
          </w:tcPr>
          <w:p>
            <w:pPr>
              <w:jc w:val="center"/>
              <w:ind w:left="241"/>
              <w:spacing w:after="0"/>
              <w:rPr>
                <w:sz w:val="20"/>
                <w:szCs w:val="20"/>
                <w:color w:val="auto"/>
              </w:rPr>
            </w:pPr>
            <w:r>
              <w:rPr>
                <w:rFonts w:ascii="Times New Roman" w:cs="Times New Roman" w:eastAsia="Times New Roman" w:hAnsi="Times New Roman"/>
                <w:sz w:val="12"/>
                <w:szCs w:val="12"/>
                <w:b w:val="1"/>
                <w:bCs w:val="1"/>
                <w:color w:val="auto"/>
                <w:w w:val="97"/>
              </w:rPr>
              <w:t>-83.5%</w:t>
            </w:r>
          </w:p>
        </w:tc>
      </w:tr>
      <w:tr>
        <w:trPr>
          <w:trHeight w:val="227"/>
        </w:trPr>
        <w:tc>
          <w:tcPr>
            <w:tcW w:w="52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2"/>
                <w:szCs w:val="12"/>
                <w:b w:val="1"/>
                <w:bCs w:val="1"/>
                <w:color w:val="auto"/>
              </w:rPr>
              <w:t>NET EQUITY</w:t>
            </w:r>
          </w:p>
        </w:tc>
        <w:tc>
          <w:tcPr>
            <w:tcW w:w="1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1460" w:type="dxa"/>
            <w:vAlign w:val="bottom"/>
            <w:tcBorders>
              <w:right w:val="single" w:sz="8" w:color="auto"/>
            </w:tcBorders>
          </w:tcPr>
          <w:p>
            <w:pPr>
              <w:spacing w:after="0"/>
              <w:rPr>
                <w:sz w:val="19"/>
                <w:szCs w:val="19"/>
                <w:color w:val="auto"/>
              </w:rPr>
            </w:pPr>
          </w:p>
        </w:tc>
      </w:tr>
      <w:tr>
        <w:trPr>
          <w:trHeight w:val="127"/>
        </w:trPr>
        <w:tc>
          <w:tcPr>
            <w:tcW w:w="5200" w:type="dxa"/>
            <w:vAlign w:val="bottom"/>
            <w:tcBorders>
              <w:left w:val="single" w:sz="8" w:color="auto"/>
              <w:right w:val="single" w:sz="8" w:color="auto"/>
            </w:tcBorders>
          </w:tcPr>
          <w:p>
            <w:pPr>
              <w:ind w:left="120"/>
              <w:spacing w:after="0" w:line="127" w:lineRule="exact"/>
              <w:rPr>
                <w:sz w:val="20"/>
                <w:szCs w:val="20"/>
                <w:color w:val="auto"/>
              </w:rPr>
            </w:pPr>
            <w:r>
              <w:rPr>
                <w:rFonts w:ascii="Times New Roman" w:cs="Times New Roman" w:eastAsia="Times New Roman" w:hAnsi="Times New Roman"/>
                <w:sz w:val="12"/>
                <w:szCs w:val="12"/>
                <w:color w:val="auto"/>
              </w:rPr>
              <w:t>Capital stock</w:t>
            </w:r>
          </w:p>
        </w:tc>
        <w:tc>
          <w:tcPr>
            <w:tcW w:w="110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5"/>
              </w:rPr>
              <w:t>1,318,993</w:t>
            </w:r>
          </w:p>
        </w:tc>
        <w:tc>
          <w:tcPr>
            <w:tcW w:w="112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9"/>
              </w:rPr>
              <w:t>1,318,993</w:t>
            </w:r>
          </w:p>
        </w:tc>
        <w:tc>
          <w:tcPr>
            <w:tcW w:w="1140" w:type="dxa"/>
            <w:vAlign w:val="bottom"/>
            <w:tcBorders>
              <w:right w:val="single" w:sz="8" w:color="auto"/>
            </w:tcBorders>
          </w:tcPr>
          <w:p>
            <w:pPr>
              <w:jc w:val="center"/>
              <w:spacing w:after="0" w:line="127" w:lineRule="exact"/>
              <w:rPr>
                <w:sz w:val="20"/>
                <w:szCs w:val="20"/>
                <w:color w:val="auto"/>
              </w:rPr>
            </w:pPr>
            <w:r>
              <w:rPr>
                <w:rFonts w:ascii="Times New Roman" w:cs="Times New Roman" w:eastAsia="Times New Roman" w:hAnsi="Times New Roman"/>
                <w:sz w:val="12"/>
                <w:szCs w:val="12"/>
                <w:color w:val="auto"/>
                <w:w w:val="99"/>
              </w:rPr>
              <w:t>1,318,993</w:t>
            </w:r>
          </w:p>
        </w:tc>
        <w:tc>
          <w:tcPr>
            <w:tcW w:w="780" w:type="dxa"/>
            <w:vAlign w:val="bottom"/>
          </w:tcPr>
          <w:p>
            <w:pPr>
              <w:jc w:val="center"/>
              <w:ind w:left="241"/>
              <w:spacing w:after="0" w:line="127" w:lineRule="exact"/>
              <w:rPr>
                <w:sz w:val="20"/>
                <w:szCs w:val="20"/>
                <w:color w:val="auto"/>
              </w:rPr>
            </w:pPr>
            <w:r>
              <w:rPr>
                <w:rFonts w:ascii="Times New Roman" w:cs="Times New Roman" w:eastAsia="Times New Roman" w:hAnsi="Times New Roman"/>
                <w:sz w:val="12"/>
                <w:szCs w:val="12"/>
                <w:color w:val="auto"/>
                <w:w w:val="95"/>
              </w:rPr>
              <w:t>0.0%</w:t>
            </w:r>
          </w:p>
        </w:tc>
        <w:tc>
          <w:tcPr>
            <w:tcW w:w="1460" w:type="dxa"/>
            <w:vAlign w:val="bottom"/>
            <w:tcBorders>
              <w:right w:val="single" w:sz="8" w:color="auto"/>
            </w:tcBorders>
          </w:tcPr>
          <w:p>
            <w:pPr>
              <w:jc w:val="center"/>
              <w:ind w:left="241"/>
              <w:spacing w:after="0" w:line="127" w:lineRule="exact"/>
              <w:rPr>
                <w:sz w:val="20"/>
                <w:szCs w:val="20"/>
                <w:color w:val="auto"/>
              </w:rPr>
            </w:pPr>
            <w:r>
              <w:rPr>
                <w:rFonts w:ascii="Times New Roman" w:cs="Times New Roman" w:eastAsia="Times New Roman" w:hAnsi="Times New Roman"/>
                <w:sz w:val="12"/>
                <w:szCs w:val="12"/>
                <w:color w:val="auto"/>
                <w:w w:val="95"/>
              </w:rPr>
              <w:t>0.0%</w:t>
            </w:r>
          </w:p>
        </w:tc>
      </w:tr>
      <w:tr>
        <w:trPr>
          <w:trHeight w:val="127"/>
        </w:trPr>
        <w:tc>
          <w:tcPr>
            <w:tcW w:w="5200" w:type="dxa"/>
            <w:vAlign w:val="bottom"/>
            <w:tcBorders>
              <w:left w:val="single" w:sz="8" w:color="auto"/>
              <w:right w:val="single" w:sz="8" w:color="auto"/>
            </w:tcBorders>
          </w:tcPr>
          <w:p>
            <w:pPr>
              <w:ind w:left="120"/>
              <w:spacing w:after="0" w:line="127" w:lineRule="exact"/>
              <w:rPr>
                <w:sz w:val="20"/>
                <w:szCs w:val="20"/>
                <w:color w:val="auto"/>
              </w:rPr>
            </w:pPr>
            <w:r>
              <w:rPr>
                <w:rFonts w:ascii="Times New Roman" w:cs="Times New Roman" w:eastAsia="Times New Roman" w:hAnsi="Times New Roman"/>
                <w:sz w:val="12"/>
                <w:szCs w:val="12"/>
                <w:color w:val="auto"/>
              </w:rPr>
              <w:t>Capital Surplus</w:t>
            </w:r>
          </w:p>
        </w:tc>
        <w:tc>
          <w:tcPr>
            <w:tcW w:w="110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7"/>
              </w:rPr>
              <w:t>384,542</w:t>
            </w:r>
          </w:p>
        </w:tc>
        <w:tc>
          <w:tcPr>
            <w:tcW w:w="112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7"/>
              </w:rPr>
              <w:t>384,542</w:t>
            </w:r>
          </w:p>
        </w:tc>
        <w:tc>
          <w:tcPr>
            <w:tcW w:w="1140" w:type="dxa"/>
            <w:vAlign w:val="bottom"/>
            <w:tcBorders>
              <w:right w:val="single" w:sz="8" w:color="auto"/>
            </w:tcBorders>
          </w:tcPr>
          <w:p>
            <w:pPr>
              <w:jc w:val="center"/>
              <w:spacing w:after="0" w:line="127" w:lineRule="exact"/>
              <w:rPr>
                <w:sz w:val="20"/>
                <w:szCs w:val="20"/>
                <w:color w:val="auto"/>
              </w:rPr>
            </w:pPr>
            <w:r>
              <w:rPr>
                <w:rFonts w:ascii="Times New Roman" w:cs="Times New Roman" w:eastAsia="Times New Roman" w:hAnsi="Times New Roman"/>
                <w:sz w:val="12"/>
                <w:szCs w:val="12"/>
                <w:color w:val="auto"/>
              </w:rPr>
              <w:t>384,542</w:t>
            </w:r>
          </w:p>
        </w:tc>
        <w:tc>
          <w:tcPr>
            <w:tcW w:w="780" w:type="dxa"/>
            <w:vAlign w:val="bottom"/>
          </w:tcPr>
          <w:p>
            <w:pPr>
              <w:jc w:val="center"/>
              <w:ind w:left="241"/>
              <w:spacing w:after="0" w:line="127" w:lineRule="exact"/>
              <w:rPr>
                <w:sz w:val="20"/>
                <w:szCs w:val="20"/>
                <w:color w:val="auto"/>
              </w:rPr>
            </w:pPr>
            <w:r>
              <w:rPr>
                <w:rFonts w:ascii="Times New Roman" w:cs="Times New Roman" w:eastAsia="Times New Roman" w:hAnsi="Times New Roman"/>
                <w:sz w:val="12"/>
                <w:szCs w:val="12"/>
                <w:color w:val="auto"/>
                <w:w w:val="95"/>
              </w:rPr>
              <w:t>0.0%</w:t>
            </w:r>
          </w:p>
        </w:tc>
        <w:tc>
          <w:tcPr>
            <w:tcW w:w="1460" w:type="dxa"/>
            <w:vAlign w:val="bottom"/>
            <w:tcBorders>
              <w:right w:val="single" w:sz="8" w:color="auto"/>
            </w:tcBorders>
          </w:tcPr>
          <w:p>
            <w:pPr>
              <w:jc w:val="center"/>
              <w:ind w:left="241"/>
              <w:spacing w:after="0" w:line="127" w:lineRule="exact"/>
              <w:rPr>
                <w:sz w:val="20"/>
                <w:szCs w:val="20"/>
                <w:color w:val="auto"/>
              </w:rPr>
            </w:pPr>
            <w:r>
              <w:rPr>
                <w:rFonts w:ascii="Times New Roman" w:cs="Times New Roman" w:eastAsia="Times New Roman" w:hAnsi="Times New Roman"/>
                <w:sz w:val="12"/>
                <w:szCs w:val="12"/>
                <w:color w:val="auto"/>
                <w:w w:val="95"/>
              </w:rPr>
              <w:t>0.0%</w:t>
            </w:r>
          </w:p>
        </w:tc>
      </w:tr>
      <w:tr>
        <w:trPr>
          <w:trHeight w:val="127"/>
        </w:trPr>
        <w:tc>
          <w:tcPr>
            <w:tcW w:w="5200" w:type="dxa"/>
            <w:vAlign w:val="bottom"/>
            <w:tcBorders>
              <w:left w:val="single" w:sz="8" w:color="auto"/>
              <w:right w:val="single" w:sz="8" w:color="auto"/>
            </w:tcBorders>
          </w:tcPr>
          <w:p>
            <w:pPr>
              <w:ind w:left="120"/>
              <w:spacing w:after="0" w:line="127" w:lineRule="exact"/>
              <w:rPr>
                <w:sz w:val="20"/>
                <w:szCs w:val="20"/>
                <w:color w:val="auto"/>
              </w:rPr>
            </w:pPr>
            <w:r>
              <w:rPr>
                <w:rFonts w:ascii="Times New Roman" w:cs="Times New Roman" w:eastAsia="Times New Roman" w:hAnsi="Times New Roman"/>
                <w:sz w:val="12"/>
                <w:szCs w:val="12"/>
                <w:color w:val="auto"/>
              </w:rPr>
              <w:t>Reserve</w:t>
            </w:r>
          </w:p>
        </w:tc>
        <w:tc>
          <w:tcPr>
            <w:tcW w:w="110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9"/>
              </w:rPr>
              <w:t>32,291,005</w:t>
            </w:r>
          </w:p>
        </w:tc>
        <w:tc>
          <w:tcPr>
            <w:tcW w:w="112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9"/>
              </w:rPr>
              <w:t>28,438,708</w:t>
            </w:r>
          </w:p>
        </w:tc>
        <w:tc>
          <w:tcPr>
            <w:tcW w:w="1140" w:type="dxa"/>
            <w:vAlign w:val="bottom"/>
            <w:tcBorders>
              <w:right w:val="single" w:sz="8" w:color="auto"/>
            </w:tcBorders>
          </w:tcPr>
          <w:p>
            <w:pPr>
              <w:jc w:val="center"/>
              <w:spacing w:after="0" w:line="127" w:lineRule="exact"/>
              <w:rPr>
                <w:sz w:val="20"/>
                <w:szCs w:val="20"/>
                <w:color w:val="auto"/>
              </w:rPr>
            </w:pPr>
            <w:r>
              <w:rPr>
                <w:rFonts w:ascii="Times New Roman" w:cs="Times New Roman" w:eastAsia="Times New Roman" w:hAnsi="Times New Roman"/>
                <w:sz w:val="12"/>
                <w:szCs w:val="12"/>
                <w:color w:val="auto"/>
                <w:w w:val="96"/>
              </w:rPr>
              <w:t>35,324,402</w:t>
            </w:r>
          </w:p>
        </w:tc>
        <w:tc>
          <w:tcPr>
            <w:tcW w:w="780" w:type="dxa"/>
            <w:vAlign w:val="bottom"/>
          </w:tcPr>
          <w:p>
            <w:pPr>
              <w:jc w:val="center"/>
              <w:ind w:left="261"/>
              <w:spacing w:after="0" w:line="127" w:lineRule="exact"/>
              <w:rPr>
                <w:sz w:val="20"/>
                <w:szCs w:val="20"/>
                <w:color w:val="auto"/>
              </w:rPr>
            </w:pPr>
            <w:r>
              <w:rPr>
                <w:rFonts w:ascii="Times New Roman" w:cs="Times New Roman" w:eastAsia="Times New Roman" w:hAnsi="Times New Roman"/>
                <w:sz w:val="12"/>
                <w:szCs w:val="12"/>
                <w:color w:val="auto"/>
                <w:w w:val="96"/>
              </w:rPr>
              <w:t>24.2%</w:t>
            </w:r>
          </w:p>
        </w:tc>
        <w:tc>
          <w:tcPr>
            <w:tcW w:w="1460" w:type="dxa"/>
            <w:vAlign w:val="bottom"/>
            <w:tcBorders>
              <w:right w:val="single" w:sz="8" w:color="auto"/>
            </w:tcBorders>
          </w:tcPr>
          <w:p>
            <w:pPr>
              <w:jc w:val="center"/>
              <w:ind w:left="241"/>
              <w:spacing w:after="0" w:line="127" w:lineRule="exact"/>
              <w:rPr>
                <w:sz w:val="20"/>
                <w:szCs w:val="20"/>
                <w:color w:val="auto"/>
              </w:rPr>
            </w:pPr>
            <w:r>
              <w:rPr>
                <w:rFonts w:ascii="Times New Roman" w:cs="Times New Roman" w:eastAsia="Times New Roman" w:hAnsi="Times New Roman"/>
                <w:sz w:val="12"/>
                <w:szCs w:val="12"/>
                <w:color w:val="auto"/>
                <w:w w:val="95"/>
              </w:rPr>
              <w:t>9.4%</w:t>
            </w:r>
          </w:p>
        </w:tc>
      </w:tr>
      <w:tr>
        <w:trPr>
          <w:trHeight w:val="127"/>
        </w:trPr>
        <w:tc>
          <w:tcPr>
            <w:tcW w:w="5200" w:type="dxa"/>
            <w:vAlign w:val="bottom"/>
            <w:tcBorders>
              <w:left w:val="single" w:sz="8" w:color="auto"/>
              <w:right w:val="single" w:sz="8" w:color="auto"/>
            </w:tcBorders>
          </w:tcPr>
          <w:p>
            <w:pPr>
              <w:ind w:left="120"/>
              <w:spacing w:after="0" w:line="127" w:lineRule="exact"/>
              <w:rPr>
                <w:sz w:val="20"/>
                <w:szCs w:val="20"/>
                <w:color w:val="auto"/>
              </w:rPr>
            </w:pPr>
            <w:r>
              <w:rPr>
                <w:rFonts w:ascii="Times New Roman" w:cs="Times New Roman" w:eastAsia="Times New Roman" w:hAnsi="Times New Roman"/>
                <w:sz w:val="12"/>
                <w:szCs w:val="12"/>
                <w:color w:val="auto"/>
              </w:rPr>
              <w:t>Unrealized results</w:t>
            </w:r>
          </w:p>
        </w:tc>
        <w:tc>
          <w:tcPr>
            <w:tcW w:w="110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7"/>
              </w:rPr>
              <w:t>(245,864)</w:t>
            </w:r>
          </w:p>
        </w:tc>
        <w:tc>
          <w:tcPr>
            <w:tcW w:w="112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7"/>
              </w:rPr>
              <w:t>275,191</w:t>
            </w:r>
          </w:p>
        </w:tc>
        <w:tc>
          <w:tcPr>
            <w:tcW w:w="1140" w:type="dxa"/>
            <w:vAlign w:val="bottom"/>
            <w:tcBorders>
              <w:right w:val="single" w:sz="8" w:color="auto"/>
            </w:tcBorders>
          </w:tcPr>
          <w:p>
            <w:pPr>
              <w:jc w:val="center"/>
              <w:spacing w:after="0" w:line="127" w:lineRule="exact"/>
              <w:rPr>
                <w:sz w:val="20"/>
                <w:szCs w:val="20"/>
                <w:color w:val="auto"/>
              </w:rPr>
            </w:pPr>
            <w:r>
              <w:rPr>
                <w:rFonts w:ascii="Times New Roman" w:cs="Times New Roman" w:eastAsia="Times New Roman" w:hAnsi="Times New Roman"/>
                <w:sz w:val="12"/>
                <w:szCs w:val="12"/>
                <w:color w:val="auto"/>
                <w:w w:val="97"/>
              </w:rPr>
              <w:t>(55,555)</w:t>
            </w:r>
          </w:p>
        </w:tc>
        <w:tc>
          <w:tcPr>
            <w:tcW w:w="780" w:type="dxa"/>
            <w:vAlign w:val="bottom"/>
          </w:tcPr>
          <w:p>
            <w:pPr>
              <w:jc w:val="center"/>
              <w:ind w:left="241"/>
              <w:spacing w:after="0" w:line="127" w:lineRule="exact"/>
              <w:rPr>
                <w:sz w:val="20"/>
                <w:szCs w:val="20"/>
                <w:color w:val="auto"/>
              </w:rPr>
            </w:pPr>
            <w:r>
              <w:rPr>
                <w:rFonts w:ascii="Times New Roman" w:cs="Times New Roman" w:eastAsia="Times New Roman" w:hAnsi="Times New Roman"/>
                <w:sz w:val="12"/>
                <w:szCs w:val="12"/>
                <w:color w:val="auto"/>
                <w:w w:val="92"/>
              </w:rPr>
              <w:t>n.a.</w:t>
            </w:r>
          </w:p>
        </w:tc>
        <w:tc>
          <w:tcPr>
            <w:tcW w:w="1460" w:type="dxa"/>
            <w:vAlign w:val="bottom"/>
            <w:tcBorders>
              <w:right w:val="single" w:sz="8" w:color="auto"/>
            </w:tcBorders>
          </w:tcPr>
          <w:p>
            <w:pPr>
              <w:jc w:val="center"/>
              <w:ind w:left="241"/>
              <w:spacing w:after="0" w:line="127" w:lineRule="exact"/>
              <w:rPr>
                <w:sz w:val="20"/>
                <w:szCs w:val="20"/>
                <w:color w:val="auto"/>
              </w:rPr>
            </w:pPr>
            <w:r>
              <w:rPr>
                <w:rFonts w:ascii="Times New Roman" w:cs="Times New Roman" w:eastAsia="Times New Roman" w:hAnsi="Times New Roman"/>
                <w:sz w:val="12"/>
                <w:szCs w:val="12"/>
                <w:color w:val="auto"/>
                <w:w w:val="92"/>
              </w:rPr>
              <w:t>n.a.</w:t>
            </w:r>
          </w:p>
        </w:tc>
      </w:tr>
      <w:tr>
        <w:trPr>
          <w:trHeight w:val="125"/>
        </w:trPr>
        <w:tc>
          <w:tcPr>
            <w:tcW w:w="5200" w:type="dxa"/>
            <w:vAlign w:val="bottom"/>
            <w:tcBorders>
              <w:left w:val="single" w:sz="8" w:color="auto"/>
              <w:right w:val="single" w:sz="8" w:color="auto"/>
            </w:tcBorders>
          </w:tcPr>
          <w:p>
            <w:pPr>
              <w:ind w:left="120"/>
              <w:spacing w:after="0" w:line="125" w:lineRule="exact"/>
              <w:rPr>
                <w:sz w:val="20"/>
                <w:szCs w:val="20"/>
                <w:color w:val="auto"/>
              </w:rPr>
            </w:pPr>
            <w:r>
              <w:rPr>
                <w:rFonts w:ascii="Times New Roman" w:cs="Times New Roman" w:eastAsia="Times New Roman" w:hAnsi="Times New Roman"/>
                <w:sz w:val="12"/>
                <w:szCs w:val="12"/>
                <w:color w:val="auto"/>
              </w:rPr>
              <w:t>Retained earnings</w:t>
            </w:r>
          </w:p>
        </w:tc>
        <w:tc>
          <w:tcPr>
            <w:tcW w:w="110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auto"/>
                <w:w w:val="95"/>
              </w:rPr>
              <w:t>6,183,790</w:t>
            </w:r>
          </w:p>
        </w:tc>
        <w:tc>
          <w:tcPr>
            <w:tcW w:w="112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auto"/>
                <w:w w:val="96"/>
              </w:rPr>
              <w:t>11,986,014</w:t>
            </w:r>
          </w:p>
        </w:tc>
        <w:tc>
          <w:tcPr>
            <w:tcW w:w="1140" w:type="dxa"/>
            <w:vAlign w:val="bottom"/>
            <w:tcBorders>
              <w:right w:val="single" w:sz="8" w:color="auto"/>
            </w:tcBorders>
          </w:tcPr>
          <w:p>
            <w:pPr>
              <w:jc w:val="center"/>
              <w:spacing w:after="0" w:line="125" w:lineRule="exact"/>
              <w:rPr>
                <w:sz w:val="20"/>
                <w:szCs w:val="20"/>
                <w:color w:val="auto"/>
              </w:rPr>
            </w:pPr>
            <w:r>
              <w:rPr>
                <w:rFonts w:ascii="Times New Roman" w:cs="Times New Roman" w:eastAsia="Times New Roman" w:hAnsi="Times New Roman"/>
                <w:sz w:val="12"/>
                <w:szCs w:val="12"/>
                <w:color w:val="auto"/>
                <w:w w:val="99"/>
              </w:rPr>
              <w:t>7,181,398</w:t>
            </w:r>
          </w:p>
        </w:tc>
        <w:tc>
          <w:tcPr>
            <w:tcW w:w="780" w:type="dxa"/>
            <w:vAlign w:val="bottom"/>
          </w:tcPr>
          <w:p>
            <w:pPr>
              <w:jc w:val="center"/>
              <w:ind w:left="261"/>
              <w:spacing w:after="0" w:line="125" w:lineRule="exact"/>
              <w:rPr>
                <w:sz w:val="20"/>
                <w:szCs w:val="20"/>
                <w:color w:val="auto"/>
              </w:rPr>
            </w:pPr>
            <w:r>
              <w:rPr>
                <w:rFonts w:ascii="Times New Roman" w:cs="Times New Roman" w:eastAsia="Times New Roman" w:hAnsi="Times New Roman"/>
                <w:sz w:val="12"/>
                <w:szCs w:val="12"/>
                <w:color w:val="auto"/>
                <w:w w:val="97"/>
              </w:rPr>
              <w:t>-40.1%</w:t>
            </w:r>
          </w:p>
        </w:tc>
        <w:tc>
          <w:tcPr>
            <w:tcW w:w="1460" w:type="dxa"/>
            <w:vAlign w:val="bottom"/>
            <w:tcBorders>
              <w:right w:val="single" w:sz="8" w:color="auto"/>
            </w:tcBorders>
          </w:tcPr>
          <w:p>
            <w:pPr>
              <w:jc w:val="center"/>
              <w:ind w:left="241"/>
              <w:spacing w:after="0" w:line="125" w:lineRule="exact"/>
              <w:rPr>
                <w:sz w:val="20"/>
                <w:szCs w:val="20"/>
                <w:color w:val="auto"/>
              </w:rPr>
            </w:pPr>
            <w:r>
              <w:rPr>
                <w:rFonts w:ascii="Times New Roman" w:cs="Times New Roman" w:eastAsia="Times New Roman" w:hAnsi="Times New Roman"/>
                <w:sz w:val="12"/>
                <w:szCs w:val="12"/>
                <w:color w:val="auto"/>
              </w:rPr>
              <w:t>16.1%</w:t>
            </w:r>
          </w:p>
        </w:tc>
      </w:tr>
      <w:tr>
        <w:trPr>
          <w:trHeight w:val="156"/>
        </w:trPr>
        <w:tc>
          <w:tcPr>
            <w:tcW w:w="5200" w:type="dxa"/>
            <w:vAlign w:val="bottom"/>
            <w:tcBorders>
              <w:left w:val="single" w:sz="8" w:color="auto"/>
              <w:right w:val="single" w:sz="8" w:color="auto"/>
            </w:tcBorders>
          </w:tcPr>
          <w:p>
            <w:pPr>
              <w:ind w:left="2200"/>
              <w:spacing w:after="0"/>
              <w:rPr>
                <w:sz w:val="20"/>
                <w:szCs w:val="20"/>
                <w:color w:val="auto"/>
              </w:rPr>
            </w:pPr>
            <w:r>
              <w:rPr>
                <w:rFonts w:ascii="Times New Roman" w:cs="Times New Roman" w:eastAsia="Times New Roman" w:hAnsi="Times New Roman"/>
                <w:sz w:val="12"/>
                <w:szCs w:val="12"/>
                <w:b w:val="1"/>
                <w:bCs w:val="1"/>
                <w:color w:val="auto"/>
              </w:rPr>
              <w:t>Total net equity</w:t>
            </w:r>
          </w:p>
        </w:tc>
        <w:tc>
          <w:tcPr>
            <w:tcW w:w="11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39,932,466</w:t>
            </w: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42,403,448</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44,153,780</w:t>
            </w:r>
          </w:p>
        </w:tc>
        <w:tc>
          <w:tcPr>
            <w:tcW w:w="780" w:type="dxa"/>
            <w:vAlign w:val="bottom"/>
          </w:tcPr>
          <w:p>
            <w:pPr>
              <w:jc w:val="center"/>
              <w:ind w:left="261"/>
              <w:spacing w:after="0"/>
              <w:rPr>
                <w:sz w:val="20"/>
                <w:szCs w:val="20"/>
                <w:color w:val="auto"/>
              </w:rPr>
            </w:pPr>
            <w:r>
              <w:rPr>
                <w:rFonts w:ascii="Times New Roman" w:cs="Times New Roman" w:eastAsia="Times New Roman" w:hAnsi="Times New Roman"/>
                <w:sz w:val="12"/>
                <w:szCs w:val="12"/>
                <w:b w:val="1"/>
                <w:bCs w:val="1"/>
                <w:color w:val="auto"/>
                <w:w w:val="96"/>
              </w:rPr>
              <w:t>4.1%</w:t>
            </w:r>
          </w:p>
        </w:tc>
        <w:tc>
          <w:tcPr>
            <w:tcW w:w="1460" w:type="dxa"/>
            <w:vAlign w:val="bottom"/>
            <w:tcBorders>
              <w:right w:val="single" w:sz="8" w:color="auto"/>
            </w:tcBorders>
          </w:tcPr>
          <w:p>
            <w:pPr>
              <w:jc w:val="center"/>
              <w:ind w:left="241"/>
              <w:spacing w:after="0"/>
              <w:rPr>
                <w:sz w:val="20"/>
                <w:szCs w:val="20"/>
                <w:color w:val="auto"/>
              </w:rPr>
            </w:pPr>
            <w:r>
              <w:rPr>
                <w:rFonts w:ascii="Times New Roman" w:cs="Times New Roman" w:eastAsia="Times New Roman" w:hAnsi="Times New Roman"/>
                <w:sz w:val="12"/>
                <w:szCs w:val="12"/>
                <w:b w:val="1"/>
                <w:bCs w:val="1"/>
                <w:color w:val="auto"/>
                <w:w w:val="96"/>
              </w:rPr>
              <w:t>10.6%</w:t>
            </w:r>
          </w:p>
        </w:tc>
      </w:tr>
      <w:tr>
        <w:trPr>
          <w:trHeight w:val="24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2"/>
                <w:szCs w:val="12"/>
                <w:b w:val="1"/>
                <w:bCs w:val="1"/>
                <w:color w:val="auto"/>
              </w:rPr>
              <w:t>Total Liabilities And Equity</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42,004,803</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42,678,054</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44,496,451</w:t>
            </w:r>
          </w:p>
        </w:tc>
        <w:tc>
          <w:tcPr>
            <w:tcW w:w="780" w:type="dxa"/>
            <w:vAlign w:val="bottom"/>
            <w:tcBorders>
              <w:bottom w:val="single" w:sz="8" w:color="auto"/>
            </w:tcBorders>
          </w:tcPr>
          <w:p>
            <w:pPr>
              <w:jc w:val="center"/>
              <w:ind w:left="261"/>
              <w:spacing w:after="0"/>
              <w:rPr>
                <w:sz w:val="20"/>
                <w:szCs w:val="20"/>
                <w:color w:val="auto"/>
              </w:rPr>
            </w:pPr>
            <w:r>
              <w:rPr>
                <w:rFonts w:ascii="Times New Roman" w:cs="Times New Roman" w:eastAsia="Times New Roman" w:hAnsi="Times New Roman"/>
                <w:sz w:val="12"/>
                <w:szCs w:val="12"/>
                <w:b w:val="1"/>
                <w:bCs w:val="1"/>
                <w:color w:val="auto"/>
                <w:w w:val="96"/>
              </w:rPr>
              <w:t>4.3%</w:t>
            </w:r>
          </w:p>
        </w:tc>
        <w:tc>
          <w:tcPr>
            <w:tcW w:w="1460" w:type="dxa"/>
            <w:vAlign w:val="bottom"/>
            <w:tcBorders>
              <w:bottom w:val="single" w:sz="8" w:color="auto"/>
              <w:right w:val="single" w:sz="8" w:color="auto"/>
            </w:tcBorders>
          </w:tcPr>
          <w:p>
            <w:pPr>
              <w:jc w:val="center"/>
              <w:ind w:left="241"/>
              <w:spacing w:after="0"/>
              <w:rPr>
                <w:sz w:val="20"/>
                <w:szCs w:val="20"/>
                <w:color w:val="auto"/>
              </w:rPr>
            </w:pPr>
            <w:r>
              <w:rPr>
                <w:rFonts w:ascii="Times New Roman" w:cs="Times New Roman" w:eastAsia="Times New Roman" w:hAnsi="Times New Roman"/>
                <w:sz w:val="12"/>
                <w:szCs w:val="12"/>
                <w:b w:val="1"/>
                <w:bCs w:val="1"/>
                <w:color w:val="auto"/>
              </w:rPr>
              <w:t>5.9%</w:t>
            </w:r>
          </w:p>
        </w:tc>
      </w:tr>
    </w:tbl>
    <w:p>
      <w:pPr>
        <w:spacing w:after="0" w:line="18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5"/>
          <w:szCs w:val="15"/>
          <w:b w:val="1"/>
          <w:bCs w:val="1"/>
          <w:color w:val="auto"/>
        </w:rPr>
        <w:t>Statement of Income</w:t>
      </w:r>
    </w:p>
    <w:p>
      <w:pPr>
        <w:spacing w:after="0" w:line="2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5"/>
          <w:szCs w:val="15"/>
          <w:b w:val="1"/>
          <w:bCs w:val="1"/>
          <w:color w:val="auto"/>
        </w:rPr>
        <w:t>(S/ Thousands, IFRS)</w:t>
      </w:r>
    </w:p>
    <w:p>
      <w:pPr>
        <w:spacing w:after="0" w:line="193" w:lineRule="exact"/>
        <w:rPr>
          <w:sz w:val="20"/>
          <w:szCs w:val="20"/>
          <w:color w:val="auto"/>
        </w:rPr>
      </w:pPr>
    </w:p>
    <w:tbl>
      <w:tblPr>
        <w:tblLayout w:type="fixed"/>
        <w:tblInd w:w="10" w:type="dxa"/>
        <w:tblCellMar>
          <w:top w:w="0" w:type="dxa"/>
          <w:left w:w="0" w:type="dxa"/>
          <w:bottom w:w="0" w:type="dxa"/>
          <w:right w:w="0" w:type="dxa"/>
        </w:tblCellMar>
      </w:tblPr>
      <w:tr>
        <w:trPr>
          <w:trHeight w:val="128"/>
        </w:trPr>
        <w:tc>
          <w:tcPr>
            <w:tcW w:w="5640" w:type="dxa"/>
            <w:vAlign w:val="bottom"/>
            <w:tcBorders>
              <w:top w:val="single" w:sz="8" w:color="auto"/>
              <w:left w:val="single" w:sz="8" w:color="auto"/>
              <w:right w:val="single" w:sz="8" w:color="auto"/>
            </w:tcBorders>
            <w:shd w:val="clear" w:color="auto" w:fill="2AD2C9"/>
          </w:tcPr>
          <w:p>
            <w:pPr>
              <w:spacing w:after="0"/>
              <w:rPr>
                <w:sz w:val="11"/>
                <w:szCs w:val="11"/>
                <w:color w:val="auto"/>
              </w:rPr>
            </w:pPr>
          </w:p>
        </w:tc>
        <w:tc>
          <w:tcPr>
            <w:tcW w:w="1340" w:type="dxa"/>
            <w:vAlign w:val="bottom"/>
            <w:tcBorders>
              <w:top w:val="single" w:sz="8" w:color="auto"/>
            </w:tcBorders>
            <w:shd w:val="clear" w:color="auto" w:fill="2AD2C9"/>
          </w:tcPr>
          <w:p>
            <w:pPr>
              <w:spacing w:after="0"/>
              <w:rPr>
                <w:sz w:val="11"/>
                <w:szCs w:val="11"/>
                <w:color w:val="auto"/>
              </w:rPr>
            </w:pPr>
          </w:p>
        </w:tc>
        <w:tc>
          <w:tcPr>
            <w:tcW w:w="1360" w:type="dxa"/>
            <w:vAlign w:val="bottom"/>
            <w:tcBorders>
              <w:top w:val="single" w:sz="8" w:color="auto"/>
            </w:tcBorders>
            <w:shd w:val="clear" w:color="auto" w:fill="2AD2C9"/>
          </w:tcPr>
          <w:p>
            <w:pPr>
              <w:jc w:val="right"/>
              <w:ind w:right="372"/>
              <w:spacing w:after="0" w:line="128" w:lineRule="exact"/>
              <w:rPr>
                <w:sz w:val="20"/>
                <w:szCs w:val="20"/>
                <w:color w:val="auto"/>
              </w:rPr>
            </w:pPr>
            <w:r>
              <w:rPr>
                <w:rFonts w:ascii="Times New Roman" w:cs="Times New Roman" w:eastAsia="Times New Roman" w:hAnsi="Times New Roman"/>
                <w:sz w:val="14"/>
                <w:szCs w:val="14"/>
                <w:b w:val="1"/>
                <w:bCs w:val="1"/>
                <w:color w:val="FFFFFF"/>
              </w:rPr>
              <w:t>Quarter</w:t>
            </w:r>
          </w:p>
        </w:tc>
        <w:tc>
          <w:tcPr>
            <w:tcW w:w="1360" w:type="dxa"/>
            <w:vAlign w:val="bottom"/>
            <w:tcBorders>
              <w:top w:val="single" w:sz="8" w:color="auto"/>
              <w:right w:val="single" w:sz="8" w:color="auto"/>
            </w:tcBorders>
            <w:shd w:val="clear" w:color="auto" w:fill="2AD2C9"/>
          </w:tcPr>
          <w:p>
            <w:pPr>
              <w:spacing w:after="0"/>
              <w:rPr>
                <w:sz w:val="11"/>
                <w:szCs w:val="11"/>
                <w:color w:val="auto"/>
              </w:rPr>
            </w:pPr>
          </w:p>
        </w:tc>
        <w:tc>
          <w:tcPr>
            <w:tcW w:w="1560" w:type="dxa"/>
            <w:vAlign w:val="bottom"/>
            <w:tcBorders>
              <w:top w:val="single" w:sz="8" w:color="auto"/>
              <w:right w:val="single" w:sz="8" w:color="auto"/>
            </w:tcBorders>
            <w:gridSpan w:val="2"/>
            <w:shd w:val="clear" w:color="auto" w:fill="2AD2C9"/>
          </w:tcPr>
          <w:p>
            <w:pPr>
              <w:ind w:left="460"/>
              <w:spacing w:after="0" w:line="128" w:lineRule="exact"/>
              <w:rPr>
                <w:sz w:val="20"/>
                <w:szCs w:val="20"/>
                <w:color w:val="auto"/>
              </w:rPr>
            </w:pPr>
            <w:r>
              <w:rPr>
                <w:rFonts w:ascii="Times New Roman" w:cs="Times New Roman" w:eastAsia="Times New Roman" w:hAnsi="Times New Roman"/>
                <w:sz w:val="14"/>
                <w:szCs w:val="14"/>
                <w:b w:val="1"/>
                <w:bCs w:val="1"/>
                <w:color w:val="FFFFFF"/>
              </w:rPr>
              <w:t>% Change</w:t>
            </w:r>
          </w:p>
        </w:tc>
        <w:tc>
          <w:tcPr>
            <w:tcW w:w="0" w:type="dxa"/>
            <w:vAlign w:val="bottom"/>
          </w:tcPr>
          <w:p>
            <w:pPr>
              <w:spacing w:after="0"/>
              <w:rPr>
                <w:sz w:val="1"/>
                <w:szCs w:val="1"/>
                <w:color w:val="auto"/>
              </w:rPr>
            </w:pPr>
          </w:p>
        </w:tc>
      </w:tr>
      <w:tr>
        <w:trPr>
          <w:trHeight w:val="164"/>
        </w:trPr>
        <w:tc>
          <w:tcPr>
            <w:tcW w:w="5640" w:type="dxa"/>
            <w:vAlign w:val="bottom"/>
            <w:tcBorders>
              <w:left w:val="single" w:sz="8" w:color="auto"/>
              <w:bottom w:val="single" w:sz="8" w:color="auto"/>
              <w:right w:val="single" w:sz="8" w:color="auto"/>
            </w:tcBorders>
            <w:shd w:val="clear" w:color="auto" w:fill="2AD2C9"/>
          </w:tcPr>
          <w:p>
            <w:pPr>
              <w:spacing w:after="0"/>
              <w:rPr>
                <w:sz w:val="14"/>
                <w:szCs w:val="14"/>
                <w:color w:val="auto"/>
              </w:rPr>
            </w:pPr>
          </w:p>
        </w:tc>
        <w:tc>
          <w:tcPr>
            <w:tcW w:w="1340" w:type="dxa"/>
            <w:vAlign w:val="bottom"/>
            <w:tcBorders>
              <w:bottom w:val="single" w:sz="8" w:color="auto"/>
            </w:tcBorders>
            <w:shd w:val="clear" w:color="auto" w:fill="2AD2C9"/>
          </w:tcPr>
          <w:p>
            <w:pPr>
              <w:jc w:val="center"/>
              <w:spacing w:after="0"/>
              <w:rPr>
                <w:sz w:val="20"/>
                <w:szCs w:val="20"/>
                <w:color w:val="auto"/>
              </w:rPr>
            </w:pPr>
            <w:r>
              <w:rPr>
                <w:rFonts w:ascii="Times New Roman" w:cs="Times New Roman" w:eastAsia="Times New Roman" w:hAnsi="Times New Roman"/>
                <w:sz w:val="14"/>
                <w:szCs w:val="14"/>
                <w:b w:val="1"/>
                <w:bCs w:val="1"/>
                <w:color w:val="FFFFFF"/>
                <w:w w:val="93"/>
              </w:rPr>
              <w:t>1Q25</w:t>
            </w:r>
          </w:p>
        </w:tc>
        <w:tc>
          <w:tcPr>
            <w:tcW w:w="1360" w:type="dxa"/>
            <w:vAlign w:val="bottom"/>
            <w:tcBorders>
              <w:bottom w:val="single" w:sz="8" w:color="auto"/>
            </w:tcBorders>
            <w:shd w:val="clear" w:color="auto" w:fill="2AD2C9"/>
          </w:tcPr>
          <w:p>
            <w:pPr>
              <w:jc w:val="center"/>
              <w:spacing w:after="0"/>
              <w:rPr>
                <w:sz w:val="20"/>
                <w:szCs w:val="20"/>
                <w:color w:val="auto"/>
              </w:rPr>
            </w:pPr>
            <w:r>
              <w:rPr>
                <w:rFonts w:ascii="Times New Roman" w:cs="Times New Roman" w:eastAsia="Times New Roman" w:hAnsi="Times New Roman"/>
                <w:sz w:val="14"/>
                <w:szCs w:val="14"/>
                <w:b w:val="1"/>
                <w:bCs w:val="1"/>
                <w:color w:val="FFFFFF"/>
              </w:rPr>
              <w:t>4Q25</w:t>
            </w:r>
          </w:p>
        </w:tc>
        <w:tc>
          <w:tcPr>
            <w:tcW w:w="136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Times New Roman" w:cs="Times New Roman" w:eastAsia="Times New Roman" w:hAnsi="Times New Roman"/>
                <w:sz w:val="14"/>
                <w:szCs w:val="14"/>
                <w:b w:val="1"/>
                <w:bCs w:val="1"/>
                <w:color w:val="FFFFFF"/>
                <w:w w:val="93"/>
              </w:rPr>
              <w:t>1Q26</w:t>
            </w:r>
          </w:p>
        </w:tc>
        <w:tc>
          <w:tcPr>
            <w:tcW w:w="760" w:type="dxa"/>
            <w:vAlign w:val="bottom"/>
            <w:tcBorders>
              <w:bottom w:val="single" w:sz="8" w:color="auto"/>
            </w:tcBorders>
            <w:shd w:val="clear" w:color="auto" w:fill="2AD2C9"/>
          </w:tcPr>
          <w:p>
            <w:pPr>
              <w:jc w:val="center"/>
              <w:spacing w:after="0"/>
              <w:rPr>
                <w:sz w:val="20"/>
                <w:szCs w:val="20"/>
                <w:color w:val="auto"/>
              </w:rPr>
            </w:pPr>
            <w:r>
              <w:rPr>
                <w:rFonts w:ascii="Times New Roman" w:cs="Times New Roman" w:eastAsia="Times New Roman" w:hAnsi="Times New Roman"/>
                <w:sz w:val="14"/>
                <w:szCs w:val="14"/>
                <w:b w:val="1"/>
                <w:bCs w:val="1"/>
                <w:color w:val="FFFFFF"/>
                <w:w w:val="97"/>
              </w:rPr>
              <w:t>QoQ</w:t>
            </w:r>
          </w:p>
        </w:tc>
        <w:tc>
          <w:tcPr>
            <w:tcW w:w="80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Times New Roman" w:cs="Times New Roman" w:eastAsia="Times New Roman" w:hAnsi="Times New Roman"/>
                <w:sz w:val="14"/>
                <w:szCs w:val="14"/>
                <w:b w:val="1"/>
                <w:bCs w:val="1"/>
                <w:color w:val="FFFFFF"/>
                <w:w w:val="95"/>
              </w:rPr>
              <w:t>YoY</w:t>
            </w:r>
          </w:p>
        </w:tc>
        <w:tc>
          <w:tcPr>
            <w:tcW w:w="0" w:type="dxa"/>
            <w:vAlign w:val="bottom"/>
          </w:tcPr>
          <w:p>
            <w:pPr>
              <w:spacing w:after="0"/>
              <w:rPr>
                <w:sz w:val="1"/>
                <w:szCs w:val="1"/>
                <w:color w:val="auto"/>
              </w:rPr>
            </w:pPr>
          </w:p>
        </w:tc>
      </w:tr>
      <w:tr>
        <w:trPr>
          <w:trHeight w:val="112"/>
        </w:trPr>
        <w:tc>
          <w:tcPr>
            <w:tcW w:w="5640" w:type="dxa"/>
            <w:vAlign w:val="bottom"/>
            <w:tcBorders>
              <w:left w:val="single" w:sz="8" w:color="auto"/>
              <w:right w:val="single" w:sz="8" w:color="auto"/>
            </w:tcBorders>
          </w:tcPr>
          <w:p>
            <w:pPr>
              <w:ind w:left="100"/>
              <w:spacing w:after="0" w:line="112" w:lineRule="exact"/>
              <w:rPr>
                <w:sz w:val="20"/>
                <w:szCs w:val="20"/>
                <w:color w:val="auto"/>
              </w:rPr>
            </w:pPr>
            <w:r>
              <w:rPr>
                <w:rFonts w:ascii="Times New Roman" w:cs="Times New Roman" w:eastAsia="Times New Roman" w:hAnsi="Times New Roman"/>
                <w:sz w:val="12"/>
                <w:szCs w:val="12"/>
                <w:b w:val="1"/>
                <w:bCs w:val="1"/>
                <w:color w:val="auto"/>
              </w:rPr>
              <w:t>Interest income</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6"/>
              </w:rPr>
              <w:t>1,660,468</w:t>
            </w: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6"/>
              </w:rPr>
              <w:t>1,700,043</w:t>
            </w:r>
          </w:p>
        </w:tc>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6"/>
              </w:rPr>
              <w:t>2,158,931</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27.0%</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3"/>
              </w:rPr>
              <w:t>30.0%</w:t>
            </w:r>
          </w:p>
        </w:tc>
        <w:tc>
          <w:tcPr>
            <w:tcW w:w="0" w:type="dxa"/>
            <w:vAlign w:val="bottom"/>
          </w:tcPr>
          <w:p>
            <w:pPr>
              <w:spacing w:after="0"/>
              <w:rPr>
                <w:sz w:val="1"/>
                <w:szCs w:val="1"/>
                <w:color w:val="auto"/>
              </w:rPr>
            </w:pPr>
          </w:p>
        </w:tc>
      </w:tr>
      <w:tr>
        <w:trPr>
          <w:trHeight w:val="140"/>
        </w:trPr>
        <w:tc>
          <w:tcPr>
            <w:tcW w:w="5640" w:type="dxa"/>
            <w:vAlign w:val="bottom"/>
            <w:tcBorders>
              <w:left w:val="single" w:sz="8" w:color="auto"/>
              <w:right w:val="single" w:sz="8" w:color="auto"/>
            </w:tcBorders>
          </w:tcPr>
          <w:p>
            <w:pPr>
              <w:ind w:left="100"/>
              <w:spacing w:after="0" w:line="140" w:lineRule="exact"/>
              <w:rPr>
                <w:sz w:val="20"/>
                <w:szCs w:val="20"/>
                <w:color w:val="auto"/>
              </w:rPr>
            </w:pPr>
            <w:r>
              <w:rPr>
                <w:rFonts w:ascii="Times New Roman" w:cs="Times New Roman" w:eastAsia="Times New Roman" w:hAnsi="Times New Roman"/>
                <w:sz w:val="14"/>
                <w:szCs w:val="14"/>
                <w:color w:val="auto"/>
              </w:rPr>
              <w:t>Net share of the income from investments in subsidiaries and associates</w:t>
            </w:r>
          </w:p>
        </w:tc>
        <w:tc>
          <w:tcPr>
            <w:tcW w:w="1340" w:type="dxa"/>
            <w:vAlign w:val="bottom"/>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1360" w:type="dxa"/>
            <w:vAlign w:val="bottom"/>
            <w:tcBorders>
              <w:right w:val="single" w:sz="8" w:color="auto"/>
            </w:tcBorders>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8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640" w:type="dxa"/>
            <w:vAlign w:val="bottom"/>
            <w:tcBorders>
              <w:left w:val="single" w:sz="8" w:color="auto"/>
              <w:right w:val="single" w:sz="8" w:color="auto"/>
            </w:tcBorders>
          </w:tcPr>
          <w:p>
            <w:pPr>
              <w:ind w:left="100"/>
              <w:spacing w:after="0" w:line="140" w:lineRule="exact"/>
              <w:rPr>
                <w:sz w:val="20"/>
                <w:szCs w:val="20"/>
                <w:color w:val="auto"/>
              </w:rPr>
            </w:pPr>
            <w:r>
              <w:rPr>
                <w:rFonts w:ascii="Times New Roman" w:cs="Times New Roman" w:eastAsia="Times New Roman" w:hAnsi="Times New Roman"/>
                <w:sz w:val="14"/>
                <w:szCs w:val="14"/>
                <w:color w:val="auto"/>
              </w:rPr>
              <w:t>Interest and similar income</w:t>
            </w:r>
          </w:p>
        </w:tc>
        <w:tc>
          <w:tcPr>
            <w:tcW w:w="134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8"/>
              </w:rPr>
              <w:t>21,312</w:t>
            </w:r>
          </w:p>
        </w:tc>
        <w:tc>
          <w:tcPr>
            <w:tcW w:w="13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5"/>
              </w:rPr>
              <w:t>298</w:t>
            </w:r>
          </w:p>
        </w:tc>
        <w:tc>
          <w:tcPr>
            <w:tcW w:w="136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5"/>
              </w:rPr>
              <w:t>787</w:t>
            </w:r>
          </w:p>
        </w:tc>
        <w:tc>
          <w:tcPr>
            <w:tcW w:w="7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2"/>
              </w:rPr>
              <w:t>164.1%</w:t>
            </w:r>
          </w:p>
        </w:tc>
        <w:tc>
          <w:tcPr>
            <w:tcW w:w="80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7"/>
              </w:rPr>
              <w:t>-96.3%</w:t>
            </w:r>
          </w:p>
        </w:tc>
        <w:tc>
          <w:tcPr>
            <w:tcW w:w="0" w:type="dxa"/>
            <w:vAlign w:val="bottom"/>
          </w:tcPr>
          <w:p>
            <w:pPr>
              <w:spacing w:after="0"/>
              <w:rPr>
                <w:sz w:val="1"/>
                <w:szCs w:val="1"/>
                <w:color w:val="auto"/>
              </w:rPr>
            </w:pPr>
          </w:p>
        </w:tc>
      </w:tr>
      <w:tr>
        <w:trPr>
          <w:trHeight w:val="136"/>
        </w:trPr>
        <w:tc>
          <w:tcPr>
            <w:tcW w:w="5640" w:type="dxa"/>
            <w:vAlign w:val="bottom"/>
            <w:tcBorders>
              <w:left w:val="single" w:sz="8" w:color="auto"/>
              <w:right w:val="single" w:sz="8" w:color="auto"/>
            </w:tcBorders>
          </w:tcPr>
          <w:p>
            <w:pPr>
              <w:ind w:left="100"/>
              <w:spacing w:after="0" w:line="136" w:lineRule="exact"/>
              <w:rPr>
                <w:sz w:val="20"/>
                <w:szCs w:val="20"/>
                <w:color w:val="auto"/>
              </w:rPr>
            </w:pPr>
            <w:r>
              <w:rPr>
                <w:rFonts w:ascii="Times New Roman" w:cs="Times New Roman" w:eastAsia="Times New Roman" w:hAnsi="Times New Roman"/>
                <w:sz w:val="14"/>
                <w:szCs w:val="14"/>
                <w:color w:val="auto"/>
              </w:rPr>
              <w:t>Net gain on financial assets at fair value through profit or loss</w:t>
            </w:r>
          </w:p>
        </w:tc>
        <w:tc>
          <w:tcPr>
            <w:tcW w:w="1340" w:type="dxa"/>
            <w:vAlign w:val="bottom"/>
          </w:tcPr>
          <w:p>
            <w:pPr>
              <w:jc w:val="right"/>
              <w:ind w:right="632"/>
              <w:spacing w:after="0" w:line="136"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ind w:right="632"/>
              <w:spacing w:after="0" w:line="136"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right w:val="single" w:sz="8" w:color="auto"/>
            </w:tcBorders>
          </w:tcPr>
          <w:p>
            <w:pPr>
              <w:jc w:val="right"/>
              <w:ind w:right="652"/>
              <w:spacing w:after="0" w:line="136"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w w:val="98"/>
              </w:rPr>
              <w:t>n.a.</w:t>
            </w:r>
          </w:p>
        </w:tc>
        <w:tc>
          <w:tcPr>
            <w:tcW w:w="80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4"/>
                <w:szCs w:val="14"/>
                <w:color w:val="auto"/>
                <w:w w:val="98"/>
              </w:rPr>
              <w:t>n.a.</w:t>
            </w:r>
          </w:p>
        </w:tc>
        <w:tc>
          <w:tcPr>
            <w:tcW w:w="0" w:type="dxa"/>
            <w:vAlign w:val="bottom"/>
          </w:tcPr>
          <w:p>
            <w:pPr>
              <w:spacing w:after="0"/>
              <w:rPr>
                <w:sz w:val="1"/>
                <w:szCs w:val="1"/>
                <w:color w:val="auto"/>
              </w:rPr>
            </w:pPr>
          </w:p>
        </w:tc>
      </w:tr>
      <w:tr>
        <w:trPr>
          <w:trHeight w:val="179"/>
        </w:trPr>
        <w:tc>
          <w:tcPr>
            <w:tcW w:w="56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Total income</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1,681,780</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1,700,341</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2,159,718</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27.0%</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28.4%</w:t>
            </w:r>
          </w:p>
        </w:tc>
        <w:tc>
          <w:tcPr>
            <w:tcW w:w="0" w:type="dxa"/>
            <w:vAlign w:val="bottom"/>
          </w:tcPr>
          <w:p>
            <w:pPr>
              <w:spacing w:after="0"/>
              <w:rPr>
                <w:sz w:val="1"/>
                <w:szCs w:val="1"/>
                <w:color w:val="auto"/>
              </w:rPr>
            </w:pPr>
          </w:p>
        </w:tc>
      </w:tr>
      <w:tr>
        <w:trPr>
          <w:trHeight w:val="244"/>
        </w:trPr>
        <w:tc>
          <w:tcPr>
            <w:tcW w:w="56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Interest and similar expense</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(13,129)</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15</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n.a.</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n.a.</w:t>
            </w:r>
          </w:p>
        </w:tc>
        <w:tc>
          <w:tcPr>
            <w:tcW w:w="0" w:type="dxa"/>
            <w:vAlign w:val="bottom"/>
          </w:tcPr>
          <w:p>
            <w:pPr>
              <w:spacing w:after="0"/>
              <w:rPr>
                <w:sz w:val="1"/>
                <w:szCs w:val="1"/>
                <w:color w:val="auto"/>
              </w:rPr>
            </w:pPr>
          </w:p>
        </w:tc>
      </w:tr>
      <w:tr>
        <w:trPr>
          <w:trHeight w:val="136"/>
        </w:trPr>
        <w:tc>
          <w:tcPr>
            <w:tcW w:w="5640" w:type="dxa"/>
            <w:vAlign w:val="bottom"/>
            <w:tcBorders>
              <w:left w:val="single" w:sz="8" w:color="auto"/>
              <w:right w:val="single" w:sz="8" w:color="auto"/>
            </w:tcBorders>
          </w:tcPr>
          <w:p>
            <w:pPr>
              <w:ind w:left="100"/>
              <w:spacing w:after="0" w:line="136" w:lineRule="exact"/>
              <w:rPr>
                <w:sz w:val="20"/>
                <w:szCs w:val="20"/>
                <w:color w:val="auto"/>
              </w:rPr>
            </w:pPr>
            <w:r>
              <w:rPr>
                <w:rFonts w:ascii="Times New Roman" w:cs="Times New Roman" w:eastAsia="Times New Roman" w:hAnsi="Times New Roman"/>
                <w:sz w:val="14"/>
                <w:szCs w:val="14"/>
                <w:color w:val="auto"/>
              </w:rPr>
              <w:t>Administrative and general expenses</w:t>
            </w:r>
          </w:p>
        </w:tc>
        <w:tc>
          <w:tcPr>
            <w:tcW w:w="134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w w:val="92"/>
              </w:rPr>
              <w:t>(4,958)</w:t>
            </w:r>
          </w:p>
        </w:tc>
        <w:tc>
          <w:tcPr>
            <w:tcW w:w="136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w w:val="96"/>
              </w:rPr>
              <w:t>(10,992)</w:t>
            </w:r>
          </w:p>
        </w:tc>
        <w:tc>
          <w:tcPr>
            <w:tcW w:w="136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4"/>
                <w:szCs w:val="14"/>
                <w:color w:val="auto"/>
                <w:w w:val="97"/>
              </w:rPr>
              <w:t>(3,842)</w:t>
            </w:r>
          </w:p>
        </w:tc>
        <w:tc>
          <w:tcPr>
            <w:tcW w:w="76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w w:val="97"/>
              </w:rPr>
              <w:t>-65.0%</w:t>
            </w:r>
          </w:p>
        </w:tc>
        <w:tc>
          <w:tcPr>
            <w:tcW w:w="80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4"/>
                <w:szCs w:val="14"/>
                <w:color w:val="auto"/>
                <w:w w:val="97"/>
              </w:rPr>
              <w:t>-22.5%</w:t>
            </w:r>
          </w:p>
        </w:tc>
        <w:tc>
          <w:tcPr>
            <w:tcW w:w="0" w:type="dxa"/>
            <w:vAlign w:val="bottom"/>
          </w:tcPr>
          <w:p>
            <w:pPr>
              <w:spacing w:after="0"/>
              <w:rPr>
                <w:sz w:val="1"/>
                <w:szCs w:val="1"/>
                <w:color w:val="auto"/>
              </w:rPr>
            </w:pPr>
          </w:p>
        </w:tc>
      </w:tr>
      <w:tr>
        <w:trPr>
          <w:trHeight w:val="179"/>
        </w:trPr>
        <w:tc>
          <w:tcPr>
            <w:tcW w:w="56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Total expenses</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(18,087)</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(10,977)</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(3,842)</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-65.0%</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-78.8%</w:t>
            </w:r>
          </w:p>
        </w:tc>
        <w:tc>
          <w:tcPr>
            <w:tcW w:w="0" w:type="dxa"/>
            <w:vAlign w:val="bottom"/>
          </w:tcPr>
          <w:p>
            <w:pPr>
              <w:spacing w:after="0"/>
              <w:rPr>
                <w:sz w:val="1"/>
                <w:szCs w:val="1"/>
                <w:color w:val="auto"/>
              </w:rPr>
            </w:pPr>
          </w:p>
        </w:tc>
      </w:tr>
      <w:tr>
        <w:trPr>
          <w:trHeight w:val="279"/>
        </w:trPr>
        <w:tc>
          <w:tcPr>
            <w:tcW w:w="56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Operating income</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1,663,693</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1,689,364</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2,155,876</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27.6%</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29.6%</w:t>
            </w:r>
          </w:p>
        </w:tc>
        <w:tc>
          <w:tcPr>
            <w:tcW w:w="0" w:type="dxa"/>
            <w:vAlign w:val="bottom"/>
          </w:tcPr>
          <w:p>
            <w:pPr>
              <w:spacing w:after="0"/>
              <w:rPr>
                <w:sz w:val="1"/>
                <w:szCs w:val="1"/>
                <w:color w:val="auto"/>
              </w:rPr>
            </w:pPr>
          </w:p>
        </w:tc>
      </w:tr>
      <w:tr>
        <w:trPr>
          <w:trHeight w:val="244"/>
        </w:trPr>
        <w:tc>
          <w:tcPr>
            <w:tcW w:w="56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Results from exchange differences</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65</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352</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5"/>
              </w:rPr>
              <w:t>368</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4.5%</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n.a.</w:t>
            </w:r>
          </w:p>
        </w:tc>
        <w:tc>
          <w:tcPr>
            <w:tcW w:w="0" w:type="dxa"/>
            <w:vAlign w:val="bottom"/>
          </w:tcPr>
          <w:p>
            <w:pPr>
              <w:spacing w:after="0"/>
              <w:rPr>
                <w:sz w:val="1"/>
                <w:szCs w:val="1"/>
                <w:color w:val="auto"/>
              </w:rPr>
            </w:pPr>
          </w:p>
        </w:tc>
      </w:tr>
      <w:tr>
        <w:trPr>
          <w:trHeight w:val="175"/>
        </w:trPr>
        <w:tc>
          <w:tcPr>
            <w:tcW w:w="56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Other, net</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(295)</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103</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(458)</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n.a.</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3"/>
              </w:rPr>
              <w:t>55.3%</w:t>
            </w:r>
          </w:p>
        </w:tc>
        <w:tc>
          <w:tcPr>
            <w:tcW w:w="0" w:type="dxa"/>
            <w:vAlign w:val="bottom"/>
          </w:tcPr>
          <w:p>
            <w:pPr>
              <w:spacing w:after="0"/>
              <w:rPr>
                <w:sz w:val="1"/>
                <w:szCs w:val="1"/>
                <w:color w:val="auto"/>
              </w:rPr>
            </w:pPr>
          </w:p>
        </w:tc>
      </w:tr>
      <w:tr>
        <w:trPr>
          <w:trHeight w:val="244"/>
        </w:trPr>
        <w:tc>
          <w:tcPr>
            <w:tcW w:w="56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Profit before income tax</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1,663,463</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1,689,819</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2,155,786</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27.6%</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29.6%</w:t>
            </w:r>
          </w:p>
        </w:tc>
        <w:tc>
          <w:tcPr>
            <w:tcW w:w="0" w:type="dxa"/>
            <w:vAlign w:val="bottom"/>
          </w:tcPr>
          <w:p>
            <w:pPr>
              <w:spacing w:after="0"/>
              <w:rPr>
                <w:sz w:val="1"/>
                <w:szCs w:val="1"/>
                <w:color w:val="auto"/>
              </w:rPr>
            </w:pPr>
          </w:p>
        </w:tc>
      </w:tr>
      <w:tr>
        <w:trPr>
          <w:trHeight w:val="136"/>
        </w:trPr>
        <w:tc>
          <w:tcPr>
            <w:tcW w:w="5640" w:type="dxa"/>
            <w:vAlign w:val="bottom"/>
            <w:tcBorders>
              <w:left w:val="single" w:sz="8" w:color="auto"/>
              <w:right w:val="single" w:sz="8" w:color="auto"/>
            </w:tcBorders>
          </w:tcPr>
          <w:p>
            <w:pPr>
              <w:ind w:left="100"/>
              <w:spacing w:after="0" w:line="136" w:lineRule="exact"/>
              <w:rPr>
                <w:sz w:val="20"/>
                <w:szCs w:val="20"/>
                <w:color w:val="auto"/>
              </w:rPr>
            </w:pPr>
            <w:r>
              <w:rPr>
                <w:rFonts w:ascii="Times New Roman" w:cs="Times New Roman" w:eastAsia="Times New Roman" w:hAnsi="Times New Roman"/>
                <w:sz w:val="14"/>
                <w:szCs w:val="14"/>
                <w:color w:val="auto"/>
              </w:rPr>
              <w:t>Income tax</w:t>
            </w:r>
          </w:p>
        </w:tc>
        <w:tc>
          <w:tcPr>
            <w:tcW w:w="134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w w:val="96"/>
              </w:rPr>
              <w:t>(45,071)</w:t>
            </w:r>
          </w:p>
        </w:tc>
        <w:tc>
          <w:tcPr>
            <w:tcW w:w="136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w w:val="96"/>
              </w:rPr>
              <w:t>(57,526)</w:t>
            </w:r>
          </w:p>
        </w:tc>
        <w:tc>
          <w:tcPr>
            <w:tcW w:w="136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4"/>
                <w:szCs w:val="14"/>
                <w:color w:val="auto"/>
                <w:w w:val="96"/>
              </w:rPr>
              <w:t>(66,365)</w:t>
            </w:r>
          </w:p>
        </w:tc>
        <w:tc>
          <w:tcPr>
            <w:tcW w:w="76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w w:val="99"/>
              </w:rPr>
              <w:t>15.4%</w:t>
            </w:r>
          </w:p>
        </w:tc>
        <w:tc>
          <w:tcPr>
            <w:tcW w:w="80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4"/>
                <w:szCs w:val="14"/>
                <w:color w:val="auto"/>
                <w:w w:val="93"/>
              </w:rPr>
              <w:t>47.2%</w:t>
            </w:r>
          </w:p>
        </w:tc>
        <w:tc>
          <w:tcPr>
            <w:tcW w:w="0" w:type="dxa"/>
            <w:vAlign w:val="bottom"/>
          </w:tcPr>
          <w:p>
            <w:pPr>
              <w:spacing w:after="0"/>
              <w:rPr>
                <w:sz w:val="1"/>
                <w:szCs w:val="1"/>
                <w:color w:val="auto"/>
              </w:rPr>
            </w:pPr>
          </w:p>
        </w:tc>
      </w:tr>
      <w:tr>
        <w:trPr>
          <w:trHeight w:val="164"/>
        </w:trPr>
        <w:tc>
          <w:tcPr>
            <w:tcW w:w="56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1,618,392</w:t>
            </w: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1,632,293</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2,089,421</w:t>
            </w: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28.0%</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29.1%</w:t>
            </w:r>
          </w:p>
        </w:tc>
        <w:tc>
          <w:tcPr>
            <w:tcW w:w="0" w:type="dxa"/>
            <w:vAlign w:val="bottom"/>
          </w:tcPr>
          <w:p>
            <w:pPr>
              <w:spacing w:after="0"/>
              <w:rPr>
                <w:sz w:val="1"/>
                <w:szCs w:val="1"/>
                <w:color w:val="auto"/>
              </w:rPr>
            </w:pPr>
          </w:p>
        </w:tc>
      </w:tr>
      <w:tr>
        <w:trPr>
          <w:trHeight w:val="132"/>
        </w:trPr>
        <w:tc>
          <w:tcPr>
            <w:tcW w:w="564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8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640" w:type="dxa"/>
            <w:vAlign w:val="bottom"/>
            <w:tcBorders>
              <w:left w:val="single" w:sz="8" w:color="auto"/>
              <w:bottom w:val="single" w:sz="8" w:color="auto"/>
              <w:right w:val="single" w:sz="8" w:color="auto"/>
            </w:tcBorders>
          </w:tcPr>
          <w:p>
            <w:pPr>
              <w:ind w:left="100"/>
              <w:spacing w:after="0" w:line="133" w:lineRule="exact"/>
              <w:rPr>
                <w:sz w:val="20"/>
                <w:szCs w:val="20"/>
                <w:color w:val="auto"/>
              </w:rPr>
            </w:pPr>
            <w:r>
              <w:rPr>
                <w:rFonts w:ascii="Times New Roman" w:cs="Times New Roman" w:eastAsia="Times New Roman" w:hAnsi="Times New Roman"/>
                <w:sz w:val="14"/>
                <w:szCs w:val="14"/>
                <w:b w:val="1"/>
                <w:bCs w:val="1"/>
                <w:color w:val="auto"/>
              </w:rPr>
              <w:t>Double Leverage Ratio</w:t>
            </w:r>
          </w:p>
        </w:tc>
        <w:tc>
          <w:tcPr>
            <w:tcW w:w="1340" w:type="dxa"/>
            <w:vAlign w:val="bottom"/>
            <w:tcBorders>
              <w:bottom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8"/>
              </w:rPr>
              <w:t>98.8%</w:t>
            </w:r>
          </w:p>
        </w:tc>
        <w:tc>
          <w:tcPr>
            <w:tcW w:w="1360" w:type="dxa"/>
            <w:vAlign w:val="bottom"/>
            <w:tcBorders>
              <w:bottom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3"/>
              </w:rPr>
              <w:t>99.6%</w:t>
            </w:r>
          </w:p>
        </w:tc>
        <w:tc>
          <w:tcPr>
            <w:tcW w:w="136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8"/>
              </w:rPr>
              <w:t>99.2%</w:t>
            </w:r>
          </w:p>
        </w:tc>
        <w:tc>
          <w:tcPr>
            <w:tcW w:w="760" w:type="dxa"/>
            <w:vAlign w:val="bottom"/>
            <w:tcBorders>
              <w:bottom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2"/>
              </w:rPr>
              <w:t>-42 bps</w:t>
            </w:r>
          </w:p>
        </w:tc>
        <w:tc>
          <w:tcPr>
            <w:tcW w:w="80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8"/>
              </w:rPr>
              <w:t>45 bps</w:t>
            </w:r>
          </w:p>
        </w:tc>
        <w:tc>
          <w:tcPr>
            <w:tcW w:w="0" w:type="dxa"/>
            <w:vAlign w:val="bottom"/>
          </w:tcPr>
          <w:p>
            <w:pPr>
              <w:spacing w:after="0"/>
              <w:rPr>
                <w:sz w:val="1"/>
                <w:szCs w:val="1"/>
                <w:color w:val="auto"/>
              </w:rPr>
            </w:pPr>
          </w:p>
        </w:tc>
      </w:tr>
      <w:tr>
        <w:trPr>
          <w:trHeight w:val="1521"/>
        </w:trPr>
        <w:tc>
          <w:tcPr>
            <w:tcW w:w="56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460375</wp:posOffset>
            </wp:positionH>
            <wp:positionV relativeFrom="paragraph">
              <wp:posOffset>-853440</wp:posOffset>
            </wp:positionV>
            <wp:extent cx="6447155" cy="5721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447155" cy="572135"/>
                    </a:xfrm>
                    <a:prstGeom prst="rect">
                      <a:avLst/>
                    </a:prstGeom>
                    <a:noFill/>
                  </pic:spPr>
                </pic:pic>
              </a:graphicData>
            </a:graphic>
          </wp:anchor>
        </w:drawing>
      </w:r>
    </w:p>
    <w:p>
      <w:pPr>
        <w:sectPr>
          <w:pgSz w:w="11900" w:h="16838" w:orient="portrait"/>
          <w:cols w:equalWidth="0" w:num="1">
            <w:col w:w="11240"/>
          </w:cols>
          <w:pgMar w:left="320" w:top="745" w:right="339" w:bottom="1440" w:gutter="0" w:footer="0" w:header="0"/>
        </w:sectPr>
      </w:pPr>
    </w:p>
    <w:bookmarkStart w:id="58" w:name="page59"/>
    <w:bookmarkEnd w:id="58"/>
    <w:p>
      <w:pPr>
        <w:ind w:left="3180"/>
        <w:spacing w:after="0"/>
        <w:tabs>
          <w:tab w:leader="none" w:pos="3380" w:val="left"/>
          <w:tab w:leader="none" w:pos="9060" w:val="left"/>
        </w:tabs>
        <w:rPr>
          <w:sz w:val="20"/>
          <w:szCs w:val="20"/>
          <w:color w:val="auto"/>
        </w:rPr>
      </w:pPr>
      <w:r>
        <w:rPr>
          <w:rFonts w:ascii="Times New Roman" w:cs="Times New Roman" w:eastAsia="Times New Roman" w:hAnsi="Times New Roman"/>
          <w:sz w:val="17"/>
          <w:szCs w:val="17"/>
          <w:b w:val="1"/>
          <w:bCs w:val="1"/>
          <w:color w:val="A6A6A6"/>
        </w:rPr>
        <w:drawing>
          <wp:anchor simplePos="0" relativeHeight="251657728" behindDoc="1" locked="0" layoutInCell="0" allowOverlap="1">
            <wp:simplePos x="0" y="0"/>
            <wp:positionH relativeFrom="page">
              <wp:posOffset>204470</wp:posOffset>
            </wp:positionH>
            <wp:positionV relativeFrom="page">
              <wp:posOffset>217805</wp:posOffset>
            </wp:positionV>
            <wp:extent cx="7140575" cy="69278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40575" cy="692785"/>
                    </a:xfrm>
                    <a:prstGeom prst="rect">
                      <a:avLst/>
                    </a:prstGeom>
                    <a:noFill/>
                  </pic:spPr>
                </pic:pic>
              </a:graphicData>
            </a:graphic>
          </wp:anchor>
        </w:drawing>
        <w:t>|</w:t>
      </w:r>
      <w:r>
        <w:rPr>
          <w:sz w:val="20"/>
          <w:szCs w:val="20"/>
          <w:color w:val="auto"/>
        </w:rPr>
        <w:tab/>
      </w:r>
      <w:r>
        <w:rPr>
          <w:rFonts w:ascii="Times New Roman" w:cs="Times New Roman" w:eastAsia="Times New Roman" w:hAnsi="Times New Roman"/>
          <w:sz w:val="14"/>
          <w:szCs w:val="14"/>
          <w:color w:val="FFFFFF"/>
        </w:rPr>
        <w:t>Earnings Release 1Q / 2026</w:t>
      </w:r>
      <w:r>
        <w:rPr>
          <w:sz w:val="20"/>
          <w:szCs w:val="20"/>
          <w:color w:val="auto"/>
        </w:rPr>
        <w:tab/>
      </w:r>
      <w:r>
        <w:rPr>
          <w:rFonts w:ascii="Times New Roman" w:cs="Times New Roman" w:eastAsia="Times New Roman" w:hAnsi="Times New Roman"/>
          <w:sz w:val="12"/>
          <w:szCs w:val="12"/>
          <w:color w:val="FF00FF"/>
        </w:rPr>
        <w:t>Analysis of 1Q26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313055</wp:posOffset>
            </wp:positionV>
            <wp:extent cx="7140575" cy="25781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0575" cy="25781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FFFFFF"/>
        </w:rPr>
        <w:t>12. Appendix</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12.7.3 BCP Consolidated</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 of Financial Position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 Thousands, IFRS)</w:t>
      </w:r>
    </w:p>
    <w:p>
      <w:pPr>
        <w:spacing w:after="0" w:line="191" w:lineRule="exact"/>
        <w:rPr>
          <w:sz w:val="20"/>
          <w:szCs w:val="20"/>
          <w:color w:val="auto"/>
        </w:rPr>
      </w:pPr>
    </w:p>
    <w:tbl>
      <w:tblPr>
        <w:tblLayout w:type="fixed"/>
        <w:tblInd w:w="10" w:type="dxa"/>
        <w:tblCellMar>
          <w:top w:w="0" w:type="dxa"/>
          <w:left w:w="0" w:type="dxa"/>
          <w:bottom w:w="0" w:type="dxa"/>
          <w:right w:w="0" w:type="dxa"/>
        </w:tblCellMar>
      </w:tblPr>
      <w:tr>
        <w:trPr>
          <w:trHeight w:val="140"/>
        </w:trPr>
        <w:tc>
          <w:tcPr>
            <w:tcW w:w="5640" w:type="dxa"/>
            <w:vAlign w:val="bottom"/>
            <w:tcBorders>
              <w:top w:val="single" w:sz="8" w:color="auto"/>
              <w:left w:val="single" w:sz="8" w:color="auto"/>
              <w:right w:val="single" w:sz="8" w:color="auto"/>
            </w:tcBorders>
            <w:shd w:val="clear" w:color="auto" w:fill="2AD2C8"/>
          </w:tcPr>
          <w:p>
            <w:pPr>
              <w:spacing w:after="0"/>
              <w:rPr>
                <w:sz w:val="12"/>
                <w:szCs w:val="12"/>
                <w:color w:val="auto"/>
              </w:rPr>
            </w:pPr>
          </w:p>
        </w:tc>
        <w:tc>
          <w:tcPr>
            <w:tcW w:w="1120" w:type="dxa"/>
            <w:vAlign w:val="bottom"/>
            <w:tcBorders>
              <w:top w:val="single" w:sz="8" w:color="auto"/>
            </w:tcBorders>
            <w:shd w:val="clear" w:color="auto" w:fill="2AD2C8"/>
          </w:tcPr>
          <w:p>
            <w:pPr>
              <w:spacing w:after="0"/>
              <w:rPr>
                <w:sz w:val="12"/>
                <w:szCs w:val="12"/>
                <w:color w:val="auto"/>
              </w:rPr>
            </w:pPr>
          </w:p>
        </w:tc>
        <w:tc>
          <w:tcPr>
            <w:tcW w:w="1120" w:type="dxa"/>
            <w:vAlign w:val="bottom"/>
            <w:tcBorders>
              <w:top w:val="single" w:sz="8" w:color="auto"/>
            </w:tcBorders>
            <w:shd w:val="clear" w:color="auto" w:fill="2AD2C8"/>
          </w:tcPr>
          <w:p>
            <w:pPr>
              <w:jc w:val="center"/>
              <w:spacing w:after="0"/>
              <w:rPr>
                <w:sz w:val="20"/>
                <w:szCs w:val="20"/>
                <w:color w:val="auto"/>
              </w:rPr>
            </w:pPr>
            <w:r>
              <w:rPr>
                <w:rFonts w:ascii="Times New Roman" w:cs="Times New Roman" w:eastAsia="Times New Roman" w:hAnsi="Times New Roman"/>
                <w:sz w:val="12"/>
                <w:szCs w:val="12"/>
                <w:b w:val="1"/>
                <w:bCs w:val="1"/>
                <w:color w:val="FFFFFF"/>
                <w:w w:val="98"/>
              </w:rPr>
              <w:t>As of</w:t>
            </w:r>
          </w:p>
        </w:tc>
        <w:tc>
          <w:tcPr>
            <w:tcW w:w="1140" w:type="dxa"/>
            <w:vAlign w:val="bottom"/>
            <w:tcBorders>
              <w:top w:val="single" w:sz="8" w:color="auto"/>
              <w:right w:val="single" w:sz="8" w:color="auto"/>
            </w:tcBorders>
            <w:shd w:val="clear" w:color="auto" w:fill="2AD2C8"/>
          </w:tcPr>
          <w:p>
            <w:pPr>
              <w:spacing w:after="0"/>
              <w:rPr>
                <w:sz w:val="12"/>
                <w:szCs w:val="12"/>
                <w:color w:val="auto"/>
              </w:rPr>
            </w:pPr>
          </w:p>
        </w:tc>
        <w:tc>
          <w:tcPr>
            <w:tcW w:w="780" w:type="dxa"/>
            <w:vAlign w:val="bottom"/>
            <w:tcBorders>
              <w:top w:val="single" w:sz="8" w:color="auto"/>
            </w:tcBorders>
            <w:shd w:val="clear" w:color="auto" w:fill="2AD2C8"/>
          </w:tcPr>
          <w:p>
            <w:pPr>
              <w:spacing w:after="0"/>
              <w:rPr>
                <w:sz w:val="12"/>
                <w:szCs w:val="12"/>
                <w:color w:val="auto"/>
              </w:rPr>
            </w:pPr>
          </w:p>
        </w:tc>
        <w:tc>
          <w:tcPr>
            <w:tcW w:w="1460" w:type="dxa"/>
            <w:vAlign w:val="bottom"/>
            <w:tcBorders>
              <w:top w:val="single" w:sz="8" w:color="auto"/>
              <w:right w:val="single" w:sz="8" w:color="auto"/>
            </w:tcBorders>
            <w:shd w:val="clear" w:color="auto" w:fill="2AD2C8"/>
          </w:tcPr>
          <w:p>
            <w:pPr>
              <w:ind w:left="60"/>
              <w:spacing w:after="0"/>
              <w:rPr>
                <w:sz w:val="20"/>
                <w:szCs w:val="20"/>
                <w:color w:val="auto"/>
              </w:rPr>
            </w:pPr>
            <w:r>
              <w:rPr>
                <w:rFonts w:ascii="Times New Roman" w:cs="Times New Roman" w:eastAsia="Times New Roman" w:hAnsi="Times New Roman"/>
                <w:sz w:val="12"/>
                <w:szCs w:val="12"/>
                <w:b w:val="1"/>
                <w:bCs w:val="1"/>
                <w:color w:val="FFFFFF"/>
              </w:rPr>
              <w:t>% change</w:t>
            </w:r>
          </w:p>
        </w:tc>
      </w:tr>
      <w:tr>
        <w:trPr>
          <w:trHeight w:val="127"/>
        </w:trPr>
        <w:tc>
          <w:tcPr>
            <w:tcW w:w="5640" w:type="dxa"/>
            <w:vAlign w:val="bottom"/>
            <w:tcBorders>
              <w:left w:val="single" w:sz="8" w:color="auto"/>
              <w:bottom w:val="single" w:sz="8" w:color="auto"/>
              <w:right w:val="single" w:sz="8" w:color="auto"/>
            </w:tcBorders>
            <w:shd w:val="clear" w:color="auto" w:fill="29D2C8"/>
          </w:tcPr>
          <w:p>
            <w:pPr>
              <w:spacing w:after="0"/>
              <w:rPr>
                <w:sz w:val="11"/>
                <w:szCs w:val="11"/>
                <w:color w:val="auto"/>
              </w:rPr>
            </w:pPr>
          </w:p>
        </w:tc>
        <w:tc>
          <w:tcPr>
            <w:tcW w:w="1120" w:type="dxa"/>
            <w:vAlign w:val="bottom"/>
            <w:tcBorders>
              <w:bottom w:val="single" w:sz="8" w:color="auto"/>
            </w:tcBorders>
            <w:shd w:val="clear" w:color="auto" w:fill="29D2C8"/>
          </w:tcPr>
          <w:p>
            <w:pPr>
              <w:ind w:left="380"/>
              <w:spacing w:after="0" w:line="127" w:lineRule="exact"/>
              <w:rPr>
                <w:sz w:val="20"/>
                <w:szCs w:val="20"/>
                <w:color w:val="auto"/>
              </w:rPr>
            </w:pPr>
            <w:r>
              <w:rPr>
                <w:rFonts w:ascii="Times New Roman" w:cs="Times New Roman" w:eastAsia="Times New Roman" w:hAnsi="Times New Roman"/>
                <w:sz w:val="12"/>
                <w:szCs w:val="12"/>
                <w:color w:val="FFFFFF"/>
              </w:rPr>
              <w:t>Mar 25</w:t>
            </w:r>
          </w:p>
        </w:tc>
        <w:tc>
          <w:tcPr>
            <w:tcW w:w="1120" w:type="dxa"/>
            <w:vAlign w:val="bottom"/>
            <w:tcBorders>
              <w:bottom w:val="single" w:sz="8" w:color="auto"/>
            </w:tcBorders>
            <w:shd w:val="clear" w:color="auto" w:fill="29D2C8"/>
          </w:tcPr>
          <w:p>
            <w:pPr>
              <w:jc w:val="center"/>
              <w:spacing w:after="0" w:line="127" w:lineRule="exact"/>
              <w:rPr>
                <w:sz w:val="20"/>
                <w:szCs w:val="20"/>
                <w:color w:val="auto"/>
              </w:rPr>
            </w:pPr>
            <w:r>
              <w:rPr>
                <w:rFonts w:ascii="Times New Roman" w:cs="Times New Roman" w:eastAsia="Times New Roman" w:hAnsi="Times New Roman"/>
                <w:sz w:val="12"/>
                <w:szCs w:val="12"/>
                <w:color w:val="FFFFFF"/>
                <w:w w:val="98"/>
              </w:rPr>
              <w:t>Dec 25</w:t>
            </w:r>
          </w:p>
        </w:tc>
        <w:tc>
          <w:tcPr>
            <w:tcW w:w="1140" w:type="dxa"/>
            <w:vAlign w:val="bottom"/>
            <w:tcBorders>
              <w:bottom w:val="single" w:sz="8" w:color="auto"/>
              <w:right w:val="single" w:sz="8" w:color="auto"/>
            </w:tcBorders>
            <w:shd w:val="clear" w:color="auto" w:fill="29D2C8"/>
          </w:tcPr>
          <w:p>
            <w:pPr>
              <w:ind w:left="380"/>
              <w:spacing w:after="0" w:line="127" w:lineRule="exact"/>
              <w:rPr>
                <w:sz w:val="20"/>
                <w:szCs w:val="20"/>
                <w:color w:val="auto"/>
              </w:rPr>
            </w:pPr>
            <w:r>
              <w:rPr>
                <w:rFonts w:ascii="Times New Roman" w:cs="Times New Roman" w:eastAsia="Times New Roman" w:hAnsi="Times New Roman"/>
                <w:sz w:val="12"/>
                <w:szCs w:val="12"/>
                <w:color w:val="FFFFFF"/>
              </w:rPr>
              <w:t>Mar 26</w:t>
            </w:r>
          </w:p>
        </w:tc>
        <w:tc>
          <w:tcPr>
            <w:tcW w:w="780" w:type="dxa"/>
            <w:vAlign w:val="bottom"/>
            <w:tcBorders>
              <w:bottom w:val="single" w:sz="8" w:color="auto"/>
            </w:tcBorders>
            <w:shd w:val="clear" w:color="auto" w:fill="29D2C8"/>
          </w:tcPr>
          <w:p>
            <w:pPr>
              <w:ind w:left="420"/>
              <w:spacing w:after="0" w:line="127" w:lineRule="exact"/>
              <w:rPr>
                <w:sz w:val="20"/>
                <w:szCs w:val="20"/>
                <w:color w:val="auto"/>
              </w:rPr>
            </w:pPr>
            <w:r>
              <w:rPr>
                <w:rFonts w:ascii="Times New Roman" w:cs="Times New Roman" w:eastAsia="Times New Roman" w:hAnsi="Times New Roman"/>
                <w:sz w:val="12"/>
                <w:szCs w:val="12"/>
                <w:color w:val="FFFFFF"/>
              </w:rPr>
              <w:t>QoQ</w:t>
            </w:r>
          </w:p>
        </w:tc>
        <w:tc>
          <w:tcPr>
            <w:tcW w:w="1460" w:type="dxa"/>
            <w:vAlign w:val="bottom"/>
            <w:tcBorders>
              <w:bottom w:val="single" w:sz="8" w:color="auto"/>
              <w:right w:val="single" w:sz="8" w:color="auto"/>
            </w:tcBorders>
            <w:shd w:val="clear" w:color="auto" w:fill="29D2C8"/>
          </w:tcPr>
          <w:p>
            <w:pPr>
              <w:ind w:left="760"/>
              <w:spacing w:after="0" w:line="127" w:lineRule="exact"/>
              <w:rPr>
                <w:sz w:val="20"/>
                <w:szCs w:val="20"/>
                <w:color w:val="auto"/>
              </w:rPr>
            </w:pPr>
            <w:r>
              <w:rPr>
                <w:rFonts w:ascii="Times New Roman" w:cs="Times New Roman" w:eastAsia="Times New Roman" w:hAnsi="Times New Roman"/>
                <w:sz w:val="12"/>
                <w:szCs w:val="12"/>
                <w:color w:val="FFFFFF"/>
              </w:rPr>
              <w:t>YoY</w:t>
            </w:r>
          </w:p>
        </w:tc>
      </w:tr>
      <w:tr>
        <w:trPr>
          <w:trHeight w:val="104"/>
        </w:trPr>
        <w:tc>
          <w:tcPr>
            <w:tcW w:w="5640" w:type="dxa"/>
            <w:vAlign w:val="bottom"/>
            <w:tcBorders>
              <w:left w:val="single" w:sz="8" w:color="auto"/>
              <w:right w:val="single" w:sz="8" w:color="auto"/>
            </w:tcBorders>
          </w:tcPr>
          <w:p>
            <w:pPr>
              <w:ind w:left="100"/>
              <w:spacing w:after="0" w:line="104" w:lineRule="exact"/>
              <w:rPr>
                <w:sz w:val="20"/>
                <w:szCs w:val="20"/>
                <w:color w:val="auto"/>
              </w:rPr>
            </w:pPr>
            <w:r>
              <w:rPr>
                <w:rFonts w:ascii="Times New Roman" w:cs="Times New Roman" w:eastAsia="Times New Roman" w:hAnsi="Times New Roman"/>
                <w:sz w:val="12"/>
                <w:szCs w:val="12"/>
                <w:b w:val="1"/>
                <w:bCs w:val="1"/>
                <w:color w:val="auto"/>
              </w:rPr>
              <w:t>ASSETS</w:t>
            </w: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1460" w:type="dxa"/>
            <w:vAlign w:val="bottom"/>
            <w:tcBorders>
              <w:right w:val="single" w:sz="8" w:color="auto"/>
            </w:tcBorders>
          </w:tcPr>
          <w:p>
            <w:pPr>
              <w:spacing w:after="0"/>
              <w:rPr>
                <w:sz w:val="9"/>
                <w:szCs w:val="9"/>
                <w:color w:val="auto"/>
              </w:rPr>
            </w:pPr>
          </w:p>
        </w:tc>
      </w:tr>
      <w:tr>
        <w:trPr>
          <w:trHeight w:val="127"/>
        </w:trPr>
        <w:tc>
          <w:tcPr>
            <w:tcW w:w="5640" w:type="dxa"/>
            <w:vAlign w:val="bottom"/>
            <w:tcBorders>
              <w:left w:val="single" w:sz="8" w:color="auto"/>
              <w:right w:val="single" w:sz="8" w:color="auto"/>
            </w:tcBorders>
          </w:tcPr>
          <w:p>
            <w:pPr>
              <w:ind w:left="100"/>
              <w:spacing w:after="0" w:line="127" w:lineRule="exact"/>
              <w:rPr>
                <w:sz w:val="20"/>
                <w:szCs w:val="20"/>
                <w:color w:val="auto"/>
              </w:rPr>
            </w:pPr>
            <w:r>
              <w:rPr>
                <w:rFonts w:ascii="Times New Roman" w:cs="Times New Roman" w:eastAsia="Times New Roman" w:hAnsi="Times New Roman"/>
                <w:sz w:val="12"/>
                <w:szCs w:val="12"/>
                <w:color w:val="auto"/>
              </w:rPr>
              <w:t>Cash and due from banks</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1460" w:type="dxa"/>
            <w:vAlign w:val="bottom"/>
            <w:tcBorders>
              <w:right w:val="single" w:sz="8" w:color="auto"/>
            </w:tcBorders>
          </w:tcPr>
          <w:p>
            <w:pPr>
              <w:spacing w:after="0"/>
              <w:rPr>
                <w:sz w:val="11"/>
                <w:szCs w:val="11"/>
                <w:color w:val="auto"/>
              </w:rPr>
            </w:pPr>
          </w:p>
        </w:tc>
      </w:tr>
      <w:tr>
        <w:trPr>
          <w:trHeight w:val="127"/>
        </w:trPr>
        <w:tc>
          <w:tcPr>
            <w:tcW w:w="5640" w:type="dxa"/>
            <w:vAlign w:val="bottom"/>
            <w:tcBorders>
              <w:left w:val="single" w:sz="8" w:color="auto"/>
              <w:right w:val="single" w:sz="8" w:color="auto"/>
            </w:tcBorders>
          </w:tcPr>
          <w:p>
            <w:pPr>
              <w:ind w:left="100"/>
              <w:spacing w:after="0" w:line="127" w:lineRule="exact"/>
              <w:rPr>
                <w:sz w:val="20"/>
                <w:szCs w:val="20"/>
                <w:color w:val="auto"/>
              </w:rPr>
            </w:pPr>
            <w:r>
              <w:rPr>
                <w:rFonts w:ascii="Times New Roman" w:cs="Times New Roman" w:eastAsia="Times New Roman" w:hAnsi="Times New Roman"/>
                <w:sz w:val="12"/>
                <w:szCs w:val="12"/>
                <w:color w:val="auto"/>
              </w:rPr>
              <w:t>Non-interest bearing</w:t>
            </w:r>
          </w:p>
        </w:tc>
        <w:tc>
          <w:tcPr>
            <w:tcW w:w="112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9"/>
              </w:rPr>
              <w:t>5,330,664</w:t>
            </w:r>
          </w:p>
        </w:tc>
        <w:tc>
          <w:tcPr>
            <w:tcW w:w="112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9"/>
              </w:rPr>
              <w:t>5,215,104</w:t>
            </w:r>
          </w:p>
        </w:tc>
        <w:tc>
          <w:tcPr>
            <w:tcW w:w="1140" w:type="dxa"/>
            <w:vAlign w:val="bottom"/>
            <w:tcBorders>
              <w:right w:val="single" w:sz="8" w:color="auto"/>
            </w:tcBorders>
          </w:tcPr>
          <w:p>
            <w:pPr>
              <w:jc w:val="center"/>
              <w:spacing w:after="0" w:line="127" w:lineRule="exact"/>
              <w:rPr>
                <w:sz w:val="20"/>
                <w:szCs w:val="20"/>
                <w:color w:val="auto"/>
              </w:rPr>
            </w:pPr>
            <w:r>
              <w:rPr>
                <w:rFonts w:ascii="Times New Roman" w:cs="Times New Roman" w:eastAsia="Times New Roman" w:hAnsi="Times New Roman"/>
                <w:sz w:val="12"/>
                <w:szCs w:val="12"/>
                <w:color w:val="auto"/>
                <w:w w:val="99"/>
              </w:rPr>
              <w:t>5,716,550</w:t>
            </w:r>
          </w:p>
        </w:tc>
        <w:tc>
          <w:tcPr>
            <w:tcW w:w="780" w:type="dxa"/>
            <w:vAlign w:val="bottom"/>
          </w:tcPr>
          <w:p>
            <w:pPr>
              <w:jc w:val="center"/>
              <w:ind w:left="241"/>
              <w:spacing w:after="0" w:line="127" w:lineRule="exact"/>
              <w:rPr>
                <w:sz w:val="20"/>
                <w:szCs w:val="20"/>
                <w:color w:val="auto"/>
              </w:rPr>
            </w:pPr>
            <w:r>
              <w:rPr>
                <w:rFonts w:ascii="Times New Roman" w:cs="Times New Roman" w:eastAsia="Times New Roman" w:hAnsi="Times New Roman"/>
                <w:sz w:val="12"/>
                <w:szCs w:val="12"/>
                <w:color w:val="auto"/>
                <w:w w:val="95"/>
              </w:rPr>
              <w:t>9.6%</w:t>
            </w:r>
          </w:p>
        </w:tc>
        <w:tc>
          <w:tcPr>
            <w:tcW w:w="1460" w:type="dxa"/>
            <w:vAlign w:val="bottom"/>
            <w:tcBorders>
              <w:right w:val="single" w:sz="8" w:color="auto"/>
            </w:tcBorders>
          </w:tcPr>
          <w:p>
            <w:pPr>
              <w:jc w:val="center"/>
              <w:ind w:left="241"/>
              <w:spacing w:after="0" w:line="127" w:lineRule="exact"/>
              <w:rPr>
                <w:sz w:val="20"/>
                <w:szCs w:val="20"/>
                <w:color w:val="auto"/>
              </w:rPr>
            </w:pPr>
            <w:r>
              <w:rPr>
                <w:rFonts w:ascii="Times New Roman" w:cs="Times New Roman" w:eastAsia="Times New Roman" w:hAnsi="Times New Roman"/>
                <w:sz w:val="12"/>
                <w:szCs w:val="12"/>
                <w:color w:val="auto"/>
                <w:w w:val="95"/>
              </w:rPr>
              <w:t>7.2%</w:t>
            </w:r>
          </w:p>
        </w:tc>
      </w:tr>
      <w:tr>
        <w:trPr>
          <w:trHeight w:val="125"/>
        </w:trPr>
        <w:tc>
          <w:tcPr>
            <w:tcW w:w="5640" w:type="dxa"/>
            <w:vAlign w:val="bottom"/>
            <w:tcBorders>
              <w:left w:val="single" w:sz="8" w:color="auto"/>
              <w:right w:val="single" w:sz="8" w:color="auto"/>
            </w:tcBorders>
          </w:tcPr>
          <w:p>
            <w:pPr>
              <w:ind w:left="100"/>
              <w:spacing w:after="0" w:line="125" w:lineRule="exact"/>
              <w:rPr>
                <w:sz w:val="20"/>
                <w:szCs w:val="20"/>
                <w:color w:val="auto"/>
              </w:rPr>
            </w:pPr>
            <w:r>
              <w:rPr>
                <w:rFonts w:ascii="Times New Roman" w:cs="Times New Roman" w:eastAsia="Times New Roman" w:hAnsi="Times New Roman"/>
                <w:sz w:val="12"/>
                <w:szCs w:val="12"/>
                <w:color w:val="auto"/>
              </w:rPr>
              <w:t>Interest bearing</w:t>
            </w:r>
          </w:p>
        </w:tc>
        <w:tc>
          <w:tcPr>
            <w:tcW w:w="112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auto"/>
                <w:w w:val="99"/>
              </w:rPr>
              <w:t>35,977,823</w:t>
            </w:r>
          </w:p>
        </w:tc>
        <w:tc>
          <w:tcPr>
            <w:tcW w:w="112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auto"/>
                <w:w w:val="96"/>
              </w:rPr>
              <w:t>39,683,584</w:t>
            </w:r>
          </w:p>
        </w:tc>
        <w:tc>
          <w:tcPr>
            <w:tcW w:w="1140" w:type="dxa"/>
            <w:vAlign w:val="bottom"/>
            <w:tcBorders>
              <w:right w:val="single" w:sz="8" w:color="auto"/>
            </w:tcBorders>
          </w:tcPr>
          <w:p>
            <w:pPr>
              <w:jc w:val="center"/>
              <w:spacing w:after="0" w:line="125" w:lineRule="exact"/>
              <w:rPr>
                <w:sz w:val="20"/>
                <w:szCs w:val="20"/>
                <w:color w:val="auto"/>
              </w:rPr>
            </w:pPr>
            <w:r>
              <w:rPr>
                <w:rFonts w:ascii="Times New Roman" w:cs="Times New Roman" w:eastAsia="Times New Roman" w:hAnsi="Times New Roman"/>
                <w:sz w:val="12"/>
                <w:szCs w:val="12"/>
                <w:color w:val="auto"/>
                <w:w w:val="96"/>
              </w:rPr>
              <w:t>40,573,684</w:t>
            </w:r>
          </w:p>
        </w:tc>
        <w:tc>
          <w:tcPr>
            <w:tcW w:w="780" w:type="dxa"/>
            <w:vAlign w:val="bottom"/>
          </w:tcPr>
          <w:p>
            <w:pPr>
              <w:jc w:val="center"/>
              <w:ind w:left="241"/>
              <w:spacing w:after="0" w:line="125" w:lineRule="exact"/>
              <w:rPr>
                <w:sz w:val="20"/>
                <w:szCs w:val="20"/>
                <w:color w:val="auto"/>
              </w:rPr>
            </w:pPr>
            <w:r>
              <w:rPr>
                <w:rFonts w:ascii="Times New Roman" w:cs="Times New Roman" w:eastAsia="Times New Roman" w:hAnsi="Times New Roman"/>
                <w:sz w:val="12"/>
                <w:szCs w:val="12"/>
                <w:color w:val="auto"/>
                <w:w w:val="95"/>
              </w:rPr>
              <w:t>2.2%</w:t>
            </w:r>
          </w:p>
        </w:tc>
        <w:tc>
          <w:tcPr>
            <w:tcW w:w="1460" w:type="dxa"/>
            <w:vAlign w:val="bottom"/>
            <w:tcBorders>
              <w:right w:val="single" w:sz="8" w:color="auto"/>
            </w:tcBorders>
          </w:tcPr>
          <w:p>
            <w:pPr>
              <w:jc w:val="center"/>
              <w:ind w:left="221"/>
              <w:spacing w:after="0" w:line="125" w:lineRule="exact"/>
              <w:rPr>
                <w:sz w:val="20"/>
                <w:szCs w:val="20"/>
                <w:color w:val="auto"/>
              </w:rPr>
            </w:pPr>
            <w:r>
              <w:rPr>
                <w:rFonts w:ascii="Times New Roman" w:cs="Times New Roman" w:eastAsia="Times New Roman" w:hAnsi="Times New Roman"/>
                <w:sz w:val="12"/>
                <w:szCs w:val="12"/>
                <w:color w:val="auto"/>
                <w:w w:val="96"/>
              </w:rPr>
              <w:t>12.8%</w:t>
            </w:r>
          </w:p>
        </w:tc>
      </w:tr>
      <w:tr>
        <w:trPr>
          <w:trHeight w:val="156"/>
        </w:trPr>
        <w:tc>
          <w:tcPr>
            <w:tcW w:w="56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2"/>
                <w:szCs w:val="12"/>
                <w:b w:val="1"/>
                <w:bCs w:val="1"/>
                <w:color w:val="auto"/>
              </w:rPr>
              <w:t>Total cash and due from banks</w:t>
            </w: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41,308,487</w:t>
            </w: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44,898,688</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46,290,234</w:t>
            </w:r>
          </w:p>
        </w:tc>
        <w:tc>
          <w:tcPr>
            <w:tcW w:w="780" w:type="dxa"/>
            <w:vAlign w:val="bottom"/>
          </w:tcPr>
          <w:p>
            <w:pPr>
              <w:jc w:val="center"/>
              <w:ind w:left="261"/>
              <w:spacing w:after="0"/>
              <w:rPr>
                <w:sz w:val="20"/>
                <w:szCs w:val="20"/>
                <w:color w:val="auto"/>
              </w:rPr>
            </w:pPr>
            <w:r>
              <w:rPr>
                <w:rFonts w:ascii="Times New Roman" w:cs="Times New Roman" w:eastAsia="Times New Roman" w:hAnsi="Times New Roman"/>
                <w:sz w:val="12"/>
                <w:szCs w:val="12"/>
                <w:b w:val="1"/>
                <w:bCs w:val="1"/>
                <w:color w:val="auto"/>
                <w:w w:val="96"/>
              </w:rPr>
              <w:t>3.1%</w:t>
            </w:r>
          </w:p>
        </w:tc>
        <w:tc>
          <w:tcPr>
            <w:tcW w:w="1460" w:type="dxa"/>
            <w:vAlign w:val="bottom"/>
            <w:tcBorders>
              <w:right w:val="single" w:sz="8" w:color="auto"/>
            </w:tcBorders>
          </w:tcPr>
          <w:p>
            <w:pPr>
              <w:jc w:val="center"/>
              <w:ind w:left="241"/>
              <w:spacing w:after="0"/>
              <w:rPr>
                <w:sz w:val="20"/>
                <w:szCs w:val="20"/>
                <w:color w:val="auto"/>
              </w:rPr>
            </w:pPr>
            <w:r>
              <w:rPr>
                <w:rFonts w:ascii="Times New Roman" w:cs="Times New Roman" w:eastAsia="Times New Roman" w:hAnsi="Times New Roman"/>
                <w:sz w:val="12"/>
                <w:szCs w:val="12"/>
                <w:b w:val="1"/>
                <w:bCs w:val="1"/>
                <w:color w:val="auto"/>
                <w:w w:val="96"/>
              </w:rPr>
              <w:t>12.1%</w:t>
            </w:r>
          </w:p>
        </w:tc>
      </w:tr>
      <w:tr>
        <w:trPr>
          <w:trHeight w:val="254"/>
        </w:trPr>
        <w:tc>
          <w:tcPr>
            <w:tcW w:w="56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2"/>
                <w:szCs w:val="12"/>
                <w:b w:val="1"/>
                <w:bCs w:val="1"/>
                <w:color w:val="auto"/>
              </w:rPr>
              <w:t>Cash collateral, reverse repurchase agreements and securities borrowing</w:t>
            </w: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776,081</w:t>
            </w: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852,396</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877,929</w:t>
            </w:r>
          </w:p>
        </w:tc>
        <w:tc>
          <w:tcPr>
            <w:tcW w:w="780" w:type="dxa"/>
            <w:vAlign w:val="bottom"/>
          </w:tcPr>
          <w:p>
            <w:pPr>
              <w:jc w:val="center"/>
              <w:ind w:left="261"/>
              <w:spacing w:after="0"/>
              <w:rPr>
                <w:sz w:val="20"/>
                <w:szCs w:val="20"/>
                <w:color w:val="auto"/>
              </w:rPr>
            </w:pPr>
            <w:r>
              <w:rPr>
                <w:rFonts w:ascii="Times New Roman" w:cs="Times New Roman" w:eastAsia="Times New Roman" w:hAnsi="Times New Roman"/>
                <w:sz w:val="12"/>
                <w:szCs w:val="12"/>
                <w:b w:val="1"/>
                <w:bCs w:val="1"/>
                <w:color w:val="auto"/>
                <w:w w:val="96"/>
              </w:rPr>
              <w:t>3.0%</w:t>
            </w:r>
          </w:p>
        </w:tc>
        <w:tc>
          <w:tcPr>
            <w:tcW w:w="1460" w:type="dxa"/>
            <w:vAlign w:val="bottom"/>
            <w:tcBorders>
              <w:right w:val="single" w:sz="8" w:color="auto"/>
            </w:tcBorders>
          </w:tcPr>
          <w:p>
            <w:pPr>
              <w:jc w:val="center"/>
              <w:ind w:left="241"/>
              <w:spacing w:after="0"/>
              <w:rPr>
                <w:sz w:val="20"/>
                <w:szCs w:val="20"/>
                <w:color w:val="auto"/>
              </w:rPr>
            </w:pPr>
            <w:r>
              <w:rPr>
                <w:rFonts w:ascii="Times New Roman" w:cs="Times New Roman" w:eastAsia="Times New Roman" w:hAnsi="Times New Roman"/>
                <w:sz w:val="12"/>
                <w:szCs w:val="12"/>
                <w:b w:val="1"/>
                <w:bCs w:val="1"/>
                <w:color w:val="auto"/>
                <w:w w:val="96"/>
              </w:rPr>
              <w:t>13.1%</w:t>
            </w:r>
          </w:p>
        </w:tc>
      </w:tr>
      <w:tr>
        <w:trPr>
          <w:trHeight w:val="225"/>
        </w:trPr>
        <w:tc>
          <w:tcPr>
            <w:tcW w:w="56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2"/>
                <w:szCs w:val="12"/>
                <w:b w:val="1"/>
                <w:bCs w:val="1"/>
                <w:color w:val="auto"/>
              </w:rPr>
              <w:t>Fair value through profit or loss investments</w:t>
            </w: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537,503</w:t>
            </w: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641,157</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551,864</w:t>
            </w:r>
          </w:p>
        </w:tc>
        <w:tc>
          <w:tcPr>
            <w:tcW w:w="780" w:type="dxa"/>
            <w:vAlign w:val="bottom"/>
          </w:tcPr>
          <w:p>
            <w:pPr>
              <w:jc w:val="center"/>
              <w:ind w:left="241"/>
              <w:spacing w:after="0"/>
              <w:rPr>
                <w:sz w:val="20"/>
                <w:szCs w:val="20"/>
                <w:color w:val="auto"/>
              </w:rPr>
            </w:pPr>
            <w:r>
              <w:rPr>
                <w:rFonts w:ascii="Times New Roman" w:cs="Times New Roman" w:eastAsia="Times New Roman" w:hAnsi="Times New Roman"/>
                <w:sz w:val="12"/>
                <w:szCs w:val="12"/>
                <w:b w:val="1"/>
                <w:bCs w:val="1"/>
                <w:color w:val="auto"/>
                <w:w w:val="97"/>
              </w:rPr>
              <w:t>-13.9%</w:t>
            </w:r>
          </w:p>
        </w:tc>
        <w:tc>
          <w:tcPr>
            <w:tcW w:w="1460" w:type="dxa"/>
            <w:vAlign w:val="bottom"/>
            <w:tcBorders>
              <w:right w:val="single" w:sz="8" w:color="auto"/>
            </w:tcBorders>
          </w:tcPr>
          <w:p>
            <w:pPr>
              <w:jc w:val="center"/>
              <w:ind w:left="221"/>
              <w:spacing w:after="0"/>
              <w:rPr>
                <w:sz w:val="20"/>
                <w:szCs w:val="20"/>
                <w:color w:val="auto"/>
              </w:rPr>
            </w:pPr>
            <w:r>
              <w:rPr>
                <w:rFonts w:ascii="Times New Roman" w:cs="Times New Roman" w:eastAsia="Times New Roman" w:hAnsi="Times New Roman"/>
                <w:sz w:val="12"/>
                <w:szCs w:val="12"/>
                <w:b w:val="1"/>
                <w:bCs w:val="1"/>
                <w:color w:val="auto"/>
                <w:w w:val="96"/>
              </w:rPr>
              <w:t>2.7%</w:t>
            </w:r>
          </w:p>
        </w:tc>
      </w:tr>
      <w:tr>
        <w:trPr>
          <w:trHeight w:val="127"/>
        </w:trPr>
        <w:tc>
          <w:tcPr>
            <w:tcW w:w="5640" w:type="dxa"/>
            <w:vAlign w:val="bottom"/>
            <w:tcBorders>
              <w:left w:val="single" w:sz="8" w:color="auto"/>
              <w:right w:val="single" w:sz="8" w:color="auto"/>
            </w:tcBorders>
          </w:tcPr>
          <w:p>
            <w:pPr>
              <w:ind w:left="100"/>
              <w:spacing w:after="0" w:line="127" w:lineRule="exact"/>
              <w:rPr>
                <w:sz w:val="20"/>
                <w:szCs w:val="20"/>
                <w:color w:val="auto"/>
              </w:rPr>
            </w:pPr>
            <w:r>
              <w:rPr>
                <w:rFonts w:ascii="Times New Roman" w:cs="Times New Roman" w:eastAsia="Times New Roman" w:hAnsi="Times New Roman"/>
                <w:sz w:val="12"/>
                <w:szCs w:val="12"/>
                <w:b w:val="1"/>
                <w:bCs w:val="1"/>
                <w:color w:val="auto"/>
              </w:rPr>
              <w:t>Fair value through other comprehensive income investments</w:t>
            </w:r>
          </w:p>
        </w:tc>
        <w:tc>
          <w:tcPr>
            <w:tcW w:w="112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b w:val="1"/>
                <w:bCs w:val="1"/>
                <w:color w:val="auto"/>
                <w:w w:val="99"/>
              </w:rPr>
              <w:t>24,940,660</w:t>
            </w:r>
          </w:p>
        </w:tc>
        <w:tc>
          <w:tcPr>
            <w:tcW w:w="112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b w:val="1"/>
                <w:bCs w:val="1"/>
                <w:color w:val="auto"/>
                <w:w w:val="96"/>
              </w:rPr>
              <w:t>22,839,625</w:t>
            </w:r>
          </w:p>
        </w:tc>
        <w:tc>
          <w:tcPr>
            <w:tcW w:w="1140" w:type="dxa"/>
            <w:vAlign w:val="bottom"/>
            <w:tcBorders>
              <w:right w:val="single" w:sz="8" w:color="auto"/>
            </w:tcBorders>
          </w:tcPr>
          <w:p>
            <w:pPr>
              <w:jc w:val="center"/>
              <w:spacing w:after="0" w:line="127" w:lineRule="exact"/>
              <w:rPr>
                <w:sz w:val="20"/>
                <w:szCs w:val="20"/>
                <w:color w:val="auto"/>
              </w:rPr>
            </w:pPr>
            <w:r>
              <w:rPr>
                <w:rFonts w:ascii="Times New Roman" w:cs="Times New Roman" w:eastAsia="Times New Roman" w:hAnsi="Times New Roman"/>
                <w:sz w:val="12"/>
                <w:szCs w:val="12"/>
                <w:b w:val="1"/>
                <w:bCs w:val="1"/>
                <w:color w:val="auto"/>
                <w:w w:val="96"/>
              </w:rPr>
              <w:t>27,197,340</w:t>
            </w:r>
          </w:p>
        </w:tc>
        <w:tc>
          <w:tcPr>
            <w:tcW w:w="780" w:type="dxa"/>
            <w:vAlign w:val="bottom"/>
          </w:tcPr>
          <w:p>
            <w:pPr>
              <w:jc w:val="center"/>
              <w:ind w:left="241"/>
              <w:spacing w:after="0" w:line="127" w:lineRule="exact"/>
              <w:rPr>
                <w:sz w:val="20"/>
                <w:szCs w:val="20"/>
                <w:color w:val="auto"/>
              </w:rPr>
            </w:pPr>
            <w:r>
              <w:rPr>
                <w:rFonts w:ascii="Times New Roman" w:cs="Times New Roman" w:eastAsia="Times New Roman" w:hAnsi="Times New Roman"/>
                <w:sz w:val="12"/>
                <w:szCs w:val="12"/>
                <w:b w:val="1"/>
                <w:bCs w:val="1"/>
                <w:color w:val="auto"/>
                <w:w w:val="96"/>
              </w:rPr>
              <w:t>19.1%</w:t>
            </w:r>
          </w:p>
        </w:tc>
        <w:tc>
          <w:tcPr>
            <w:tcW w:w="1460" w:type="dxa"/>
            <w:vAlign w:val="bottom"/>
            <w:tcBorders>
              <w:right w:val="single" w:sz="8" w:color="auto"/>
            </w:tcBorders>
          </w:tcPr>
          <w:p>
            <w:pPr>
              <w:jc w:val="center"/>
              <w:ind w:left="221"/>
              <w:spacing w:after="0" w:line="127" w:lineRule="exact"/>
              <w:rPr>
                <w:sz w:val="20"/>
                <w:szCs w:val="20"/>
                <w:color w:val="auto"/>
              </w:rPr>
            </w:pPr>
            <w:r>
              <w:rPr>
                <w:rFonts w:ascii="Times New Roman" w:cs="Times New Roman" w:eastAsia="Times New Roman" w:hAnsi="Times New Roman"/>
                <w:sz w:val="12"/>
                <w:szCs w:val="12"/>
                <w:b w:val="1"/>
                <w:bCs w:val="1"/>
                <w:color w:val="auto"/>
                <w:w w:val="96"/>
              </w:rPr>
              <w:t>9.0%</w:t>
            </w:r>
          </w:p>
        </w:tc>
      </w:tr>
      <w:tr>
        <w:trPr>
          <w:trHeight w:val="156"/>
        </w:trPr>
        <w:tc>
          <w:tcPr>
            <w:tcW w:w="56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2"/>
                <w:szCs w:val="12"/>
                <w:b w:val="1"/>
                <w:bCs w:val="1"/>
                <w:color w:val="auto"/>
              </w:rPr>
              <w:t>Amortized cost investments</w:t>
            </w: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8,134,166</w:t>
            </w: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8,227,850</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8,090,030</w:t>
            </w:r>
          </w:p>
        </w:tc>
        <w:tc>
          <w:tcPr>
            <w:tcW w:w="780" w:type="dxa"/>
            <w:vAlign w:val="bottom"/>
          </w:tcPr>
          <w:p>
            <w:pPr>
              <w:jc w:val="center"/>
              <w:ind w:left="261"/>
              <w:spacing w:after="0"/>
              <w:rPr>
                <w:sz w:val="20"/>
                <w:szCs w:val="20"/>
                <w:color w:val="auto"/>
              </w:rPr>
            </w:pPr>
            <w:r>
              <w:rPr>
                <w:rFonts w:ascii="Times New Roman" w:cs="Times New Roman" w:eastAsia="Times New Roman" w:hAnsi="Times New Roman"/>
                <w:sz w:val="12"/>
                <w:szCs w:val="12"/>
                <w:b w:val="1"/>
                <w:bCs w:val="1"/>
                <w:color w:val="auto"/>
                <w:w w:val="96"/>
              </w:rPr>
              <w:t>-1.7%</w:t>
            </w:r>
          </w:p>
        </w:tc>
        <w:tc>
          <w:tcPr>
            <w:tcW w:w="1460" w:type="dxa"/>
            <w:vAlign w:val="bottom"/>
            <w:tcBorders>
              <w:right w:val="single" w:sz="8" w:color="auto"/>
            </w:tcBorders>
          </w:tcPr>
          <w:p>
            <w:pPr>
              <w:jc w:val="center"/>
              <w:ind w:left="221"/>
              <w:spacing w:after="0"/>
              <w:rPr>
                <w:sz w:val="20"/>
                <w:szCs w:val="20"/>
                <w:color w:val="auto"/>
              </w:rPr>
            </w:pPr>
            <w:r>
              <w:rPr>
                <w:rFonts w:ascii="Times New Roman" w:cs="Times New Roman" w:eastAsia="Times New Roman" w:hAnsi="Times New Roman"/>
                <w:sz w:val="12"/>
                <w:szCs w:val="12"/>
                <w:b w:val="1"/>
                <w:bCs w:val="1"/>
                <w:color w:val="auto"/>
                <w:w w:val="96"/>
              </w:rPr>
              <w:t>-0.5%</w:t>
            </w:r>
          </w:p>
        </w:tc>
      </w:tr>
      <w:tr>
        <w:trPr>
          <w:trHeight w:val="227"/>
        </w:trPr>
        <w:tc>
          <w:tcPr>
            <w:tcW w:w="56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2"/>
                <w:szCs w:val="12"/>
                <w:b w:val="1"/>
                <w:bCs w:val="1"/>
                <w:color w:val="auto"/>
              </w:rPr>
              <w:t>Loans</w:t>
            </w: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131,470,639</w:t>
            </w: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138,303,962</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141,129,333</w:t>
            </w:r>
          </w:p>
        </w:tc>
        <w:tc>
          <w:tcPr>
            <w:tcW w:w="780" w:type="dxa"/>
            <w:vAlign w:val="bottom"/>
          </w:tcPr>
          <w:p>
            <w:pPr>
              <w:jc w:val="center"/>
              <w:ind w:left="261"/>
              <w:spacing w:after="0"/>
              <w:rPr>
                <w:sz w:val="20"/>
                <w:szCs w:val="20"/>
                <w:color w:val="auto"/>
              </w:rPr>
            </w:pPr>
            <w:r>
              <w:rPr>
                <w:rFonts w:ascii="Times New Roman" w:cs="Times New Roman" w:eastAsia="Times New Roman" w:hAnsi="Times New Roman"/>
                <w:sz w:val="12"/>
                <w:szCs w:val="12"/>
                <w:b w:val="1"/>
                <w:bCs w:val="1"/>
                <w:color w:val="auto"/>
                <w:w w:val="96"/>
              </w:rPr>
              <w:t>2.0%</w:t>
            </w:r>
          </w:p>
        </w:tc>
        <w:tc>
          <w:tcPr>
            <w:tcW w:w="1460" w:type="dxa"/>
            <w:vAlign w:val="bottom"/>
            <w:tcBorders>
              <w:right w:val="single" w:sz="8" w:color="auto"/>
            </w:tcBorders>
          </w:tcPr>
          <w:p>
            <w:pPr>
              <w:jc w:val="center"/>
              <w:ind w:left="221"/>
              <w:spacing w:after="0"/>
              <w:rPr>
                <w:sz w:val="20"/>
                <w:szCs w:val="20"/>
                <w:color w:val="auto"/>
              </w:rPr>
            </w:pPr>
            <w:r>
              <w:rPr>
                <w:rFonts w:ascii="Times New Roman" w:cs="Times New Roman" w:eastAsia="Times New Roman" w:hAnsi="Times New Roman"/>
                <w:sz w:val="12"/>
                <w:szCs w:val="12"/>
                <w:b w:val="1"/>
                <w:bCs w:val="1"/>
                <w:color w:val="auto"/>
                <w:w w:val="96"/>
              </w:rPr>
              <w:t>7.3%</w:t>
            </w:r>
          </w:p>
        </w:tc>
      </w:tr>
      <w:tr>
        <w:trPr>
          <w:trHeight w:val="127"/>
        </w:trPr>
        <w:tc>
          <w:tcPr>
            <w:tcW w:w="5640" w:type="dxa"/>
            <w:vAlign w:val="bottom"/>
            <w:tcBorders>
              <w:left w:val="single" w:sz="8" w:color="auto"/>
              <w:right w:val="single" w:sz="8" w:color="auto"/>
            </w:tcBorders>
          </w:tcPr>
          <w:p>
            <w:pPr>
              <w:ind w:left="100"/>
              <w:spacing w:after="0" w:line="127" w:lineRule="exact"/>
              <w:rPr>
                <w:sz w:val="20"/>
                <w:szCs w:val="20"/>
                <w:color w:val="auto"/>
              </w:rPr>
            </w:pPr>
            <w:r>
              <w:rPr>
                <w:rFonts w:ascii="Times New Roman" w:cs="Times New Roman" w:eastAsia="Times New Roman" w:hAnsi="Times New Roman"/>
                <w:sz w:val="12"/>
                <w:szCs w:val="12"/>
                <w:color w:val="auto"/>
              </w:rPr>
              <w:t>Current</w:t>
            </w:r>
          </w:p>
        </w:tc>
        <w:tc>
          <w:tcPr>
            <w:tcW w:w="112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9"/>
              </w:rPr>
              <w:t>126,570,181</w:t>
            </w:r>
          </w:p>
        </w:tc>
        <w:tc>
          <w:tcPr>
            <w:tcW w:w="112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9"/>
              </w:rPr>
              <w:t>133,820,771</w:t>
            </w:r>
          </w:p>
        </w:tc>
        <w:tc>
          <w:tcPr>
            <w:tcW w:w="1140" w:type="dxa"/>
            <w:vAlign w:val="bottom"/>
            <w:tcBorders>
              <w:right w:val="single" w:sz="8" w:color="auto"/>
            </w:tcBorders>
          </w:tcPr>
          <w:p>
            <w:pPr>
              <w:jc w:val="center"/>
              <w:spacing w:after="0" w:line="127" w:lineRule="exact"/>
              <w:rPr>
                <w:sz w:val="20"/>
                <w:szCs w:val="20"/>
                <w:color w:val="auto"/>
              </w:rPr>
            </w:pPr>
            <w:r>
              <w:rPr>
                <w:rFonts w:ascii="Times New Roman" w:cs="Times New Roman" w:eastAsia="Times New Roman" w:hAnsi="Times New Roman"/>
                <w:sz w:val="12"/>
                <w:szCs w:val="12"/>
                <w:color w:val="auto"/>
                <w:w w:val="99"/>
              </w:rPr>
              <w:t>136,977,465</w:t>
            </w:r>
          </w:p>
        </w:tc>
        <w:tc>
          <w:tcPr>
            <w:tcW w:w="780" w:type="dxa"/>
            <w:vAlign w:val="bottom"/>
          </w:tcPr>
          <w:p>
            <w:pPr>
              <w:jc w:val="center"/>
              <w:ind w:left="241"/>
              <w:spacing w:after="0" w:line="127" w:lineRule="exact"/>
              <w:rPr>
                <w:sz w:val="20"/>
                <w:szCs w:val="20"/>
                <w:color w:val="auto"/>
              </w:rPr>
            </w:pPr>
            <w:r>
              <w:rPr>
                <w:rFonts w:ascii="Times New Roman" w:cs="Times New Roman" w:eastAsia="Times New Roman" w:hAnsi="Times New Roman"/>
                <w:sz w:val="12"/>
                <w:szCs w:val="12"/>
                <w:color w:val="auto"/>
                <w:w w:val="95"/>
              </w:rPr>
              <w:t>2.4%</w:t>
            </w:r>
          </w:p>
        </w:tc>
        <w:tc>
          <w:tcPr>
            <w:tcW w:w="1460" w:type="dxa"/>
            <w:vAlign w:val="bottom"/>
            <w:tcBorders>
              <w:right w:val="single" w:sz="8" w:color="auto"/>
            </w:tcBorders>
          </w:tcPr>
          <w:p>
            <w:pPr>
              <w:jc w:val="center"/>
              <w:ind w:left="241"/>
              <w:spacing w:after="0" w:line="127" w:lineRule="exact"/>
              <w:rPr>
                <w:sz w:val="20"/>
                <w:szCs w:val="20"/>
                <w:color w:val="auto"/>
              </w:rPr>
            </w:pPr>
            <w:r>
              <w:rPr>
                <w:rFonts w:ascii="Times New Roman" w:cs="Times New Roman" w:eastAsia="Times New Roman" w:hAnsi="Times New Roman"/>
                <w:sz w:val="12"/>
                <w:szCs w:val="12"/>
                <w:color w:val="auto"/>
                <w:w w:val="95"/>
              </w:rPr>
              <w:t>8.2%</w:t>
            </w:r>
          </w:p>
        </w:tc>
      </w:tr>
      <w:tr>
        <w:trPr>
          <w:trHeight w:val="127"/>
        </w:trPr>
        <w:tc>
          <w:tcPr>
            <w:tcW w:w="5640" w:type="dxa"/>
            <w:vAlign w:val="bottom"/>
            <w:tcBorders>
              <w:left w:val="single" w:sz="8" w:color="auto"/>
              <w:right w:val="single" w:sz="8" w:color="auto"/>
            </w:tcBorders>
          </w:tcPr>
          <w:p>
            <w:pPr>
              <w:ind w:left="100"/>
              <w:spacing w:after="0" w:line="127" w:lineRule="exact"/>
              <w:rPr>
                <w:sz w:val="20"/>
                <w:szCs w:val="20"/>
                <w:color w:val="auto"/>
              </w:rPr>
            </w:pPr>
            <w:r>
              <w:rPr>
                <w:rFonts w:ascii="Times New Roman" w:cs="Times New Roman" w:eastAsia="Times New Roman" w:hAnsi="Times New Roman"/>
                <w:sz w:val="12"/>
                <w:szCs w:val="12"/>
                <w:color w:val="auto"/>
              </w:rPr>
              <w:t>Internal overdue loans</w:t>
            </w:r>
          </w:p>
        </w:tc>
        <w:tc>
          <w:tcPr>
            <w:tcW w:w="112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9"/>
              </w:rPr>
              <w:t>4,900,458</w:t>
            </w:r>
          </w:p>
        </w:tc>
        <w:tc>
          <w:tcPr>
            <w:tcW w:w="112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9"/>
              </w:rPr>
              <w:t>4,483,191</w:t>
            </w:r>
          </w:p>
        </w:tc>
        <w:tc>
          <w:tcPr>
            <w:tcW w:w="1140" w:type="dxa"/>
            <w:vAlign w:val="bottom"/>
            <w:tcBorders>
              <w:right w:val="single" w:sz="8" w:color="auto"/>
            </w:tcBorders>
          </w:tcPr>
          <w:p>
            <w:pPr>
              <w:jc w:val="center"/>
              <w:spacing w:after="0" w:line="127" w:lineRule="exact"/>
              <w:rPr>
                <w:sz w:val="20"/>
                <w:szCs w:val="20"/>
                <w:color w:val="auto"/>
              </w:rPr>
            </w:pPr>
            <w:r>
              <w:rPr>
                <w:rFonts w:ascii="Times New Roman" w:cs="Times New Roman" w:eastAsia="Times New Roman" w:hAnsi="Times New Roman"/>
                <w:sz w:val="12"/>
                <w:szCs w:val="12"/>
                <w:color w:val="auto"/>
                <w:w w:val="99"/>
              </w:rPr>
              <w:t>4,151,868</w:t>
            </w:r>
          </w:p>
        </w:tc>
        <w:tc>
          <w:tcPr>
            <w:tcW w:w="780" w:type="dxa"/>
            <w:vAlign w:val="bottom"/>
          </w:tcPr>
          <w:p>
            <w:pPr>
              <w:jc w:val="center"/>
              <w:ind w:left="241"/>
              <w:spacing w:after="0" w:line="127" w:lineRule="exact"/>
              <w:rPr>
                <w:sz w:val="20"/>
                <w:szCs w:val="20"/>
                <w:color w:val="auto"/>
              </w:rPr>
            </w:pPr>
            <w:r>
              <w:rPr>
                <w:rFonts w:ascii="Times New Roman" w:cs="Times New Roman" w:eastAsia="Times New Roman" w:hAnsi="Times New Roman"/>
                <w:sz w:val="12"/>
                <w:szCs w:val="12"/>
                <w:color w:val="auto"/>
                <w:w w:val="96"/>
              </w:rPr>
              <w:t>-7.4%</w:t>
            </w:r>
          </w:p>
        </w:tc>
        <w:tc>
          <w:tcPr>
            <w:tcW w:w="1460" w:type="dxa"/>
            <w:vAlign w:val="bottom"/>
            <w:tcBorders>
              <w:right w:val="single" w:sz="8" w:color="auto"/>
            </w:tcBorders>
          </w:tcPr>
          <w:p>
            <w:pPr>
              <w:jc w:val="center"/>
              <w:ind w:left="221"/>
              <w:spacing w:after="0" w:line="127" w:lineRule="exact"/>
              <w:rPr>
                <w:sz w:val="20"/>
                <w:szCs w:val="20"/>
                <w:color w:val="auto"/>
              </w:rPr>
            </w:pPr>
            <w:r>
              <w:rPr>
                <w:rFonts w:ascii="Times New Roman" w:cs="Times New Roman" w:eastAsia="Times New Roman" w:hAnsi="Times New Roman"/>
                <w:sz w:val="12"/>
                <w:szCs w:val="12"/>
                <w:color w:val="auto"/>
                <w:w w:val="97"/>
              </w:rPr>
              <w:t>-15.3%</w:t>
            </w:r>
          </w:p>
        </w:tc>
      </w:tr>
      <w:tr>
        <w:trPr>
          <w:trHeight w:val="127"/>
        </w:trPr>
        <w:tc>
          <w:tcPr>
            <w:tcW w:w="5640" w:type="dxa"/>
            <w:vAlign w:val="bottom"/>
            <w:tcBorders>
              <w:left w:val="single" w:sz="8" w:color="auto"/>
              <w:right w:val="single" w:sz="8" w:color="auto"/>
            </w:tcBorders>
          </w:tcPr>
          <w:p>
            <w:pPr>
              <w:ind w:left="100"/>
              <w:spacing w:after="0" w:line="127" w:lineRule="exact"/>
              <w:rPr>
                <w:sz w:val="20"/>
                <w:szCs w:val="20"/>
                <w:color w:val="auto"/>
              </w:rPr>
            </w:pPr>
            <w:r>
              <w:rPr>
                <w:rFonts w:ascii="Times New Roman" w:cs="Times New Roman" w:eastAsia="Times New Roman" w:hAnsi="Times New Roman"/>
                <w:sz w:val="12"/>
                <w:szCs w:val="12"/>
                <w:color w:val="auto"/>
              </w:rPr>
              <w:t>Less - allowance for loan losses</w:t>
            </w:r>
          </w:p>
        </w:tc>
        <w:tc>
          <w:tcPr>
            <w:tcW w:w="112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9"/>
              </w:rPr>
              <w:t>(7,323,541)</w:t>
            </w:r>
          </w:p>
        </w:tc>
        <w:tc>
          <w:tcPr>
            <w:tcW w:w="112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9"/>
              </w:rPr>
              <w:t>(7,209,280)</w:t>
            </w:r>
          </w:p>
        </w:tc>
        <w:tc>
          <w:tcPr>
            <w:tcW w:w="1140" w:type="dxa"/>
            <w:vAlign w:val="bottom"/>
            <w:tcBorders>
              <w:right w:val="single" w:sz="8" w:color="auto"/>
            </w:tcBorders>
          </w:tcPr>
          <w:p>
            <w:pPr>
              <w:jc w:val="center"/>
              <w:spacing w:after="0" w:line="127" w:lineRule="exact"/>
              <w:rPr>
                <w:sz w:val="20"/>
                <w:szCs w:val="20"/>
                <w:color w:val="auto"/>
              </w:rPr>
            </w:pPr>
            <w:r>
              <w:rPr>
                <w:rFonts w:ascii="Times New Roman" w:cs="Times New Roman" w:eastAsia="Times New Roman" w:hAnsi="Times New Roman"/>
                <w:sz w:val="12"/>
                <w:szCs w:val="12"/>
                <w:color w:val="auto"/>
                <w:w w:val="99"/>
              </w:rPr>
              <w:t>(6,944,235)</w:t>
            </w:r>
          </w:p>
        </w:tc>
        <w:tc>
          <w:tcPr>
            <w:tcW w:w="780" w:type="dxa"/>
            <w:vAlign w:val="bottom"/>
          </w:tcPr>
          <w:p>
            <w:pPr>
              <w:jc w:val="center"/>
              <w:ind w:left="241"/>
              <w:spacing w:after="0" w:line="127" w:lineRule="exact"/>
              <w:rPr>
                <w:sz w:val="20"/>
                <w:szCs w:val="20"/>
                <w:color w:val="auto"/>
              </w:rPr>
            </w:pPr>
            <w:r>
              <w:rPr>
                <w:rFonts w:ascii="Times New Roman" w:cs="Times New Roman" w:eastAsia="Times New Roman" w:hAnsi="Times New Roman"/>
                <w:sz w:val="12"/>
                <w:szCs w:val="12"/>
                <w:color w:val="auto"/>
                <w:w w:val="96"/>
              </w:rPr>
              <w:t>-3.7%</w:t>
            </w:r>
          </w:p>
        </w:tc>
        <w:tc>
          <w:tcPr>
            <w:tcW w:w="1460" w:type="dxa"/>
            <w:vAlign w:val="bottom"/>
            <w:tcBorders>
              <w:right w:val="single" w:sz="8" w:color="auto"/>
            </w:tcBorders>
          </w:tcPr>
          <w:p>
            <w:pPr>
              <w:jc w:val="center"/>
              <w:ind w:left="241"/>
              <w:spacing w:after="0" w:line="127" w:lineRule="exact"/>
              <w:rPr>
                <w:sz w:val="20"/>
                <w:szCs w:val="20"/>
                <w:color w:val="auto"/>
              </w:rPr>
            </w:pPr>
            <w:r>
              <w:rPr>
                <w:rFonts w:ascii="Times New Roman" w:cs="Times New Roman" w:eastAsia="Times New Roman" w:hAnsi="Times New Roman"/>
                <w:sz w:val="12"/>
                <w:szCs w:val="12"/>
                <w:color w:val="auto"/>
                <w:w w:val="96"/>
              </w:rPr>
              <w:t>-5.2%</w:t>
            </w:r>
          </w:p>
        </w:tc>
      </w:tr>
      <w:tr>
        <w:trPr>
          <w:trHeight w:val="154"/>
        </w:trPr>
        <w:tc>
          <w:tcPr>
            <w:tcW w:w="56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2"/>
                <w:szCs w:val="12"/>
                <w:color w:val="auto"/>
              </w:rPr>
              <w:t>Loans, net</w:t>
            </w: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124,147,098</w:t>
            </w: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131,094,682</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134,185,098</w:t>
            </w:r>
          </w:p>
        </w:tc>
        <w:tc>
          <w:tcPr>
            <w:tcW w:w="780" w:type="dxa"/>
            <w:vAlign w:val="bottom"/>
          </w:tcPr>
          <w:p>
            <w:pPr>
              <w:jc w:val="center"/>
              <w:ind w:left="241"/>
              <w:spacing w:after="0"/>
              <w:rPr>
                <w:sz w:val="20"/>
                <w:szCs w:val="20"/>
                <w:color w:val="auto"/>
              </w:rPr>
            </w:pPr>
            <w:r>
              <w:rPr>
                <w:rFonts w:ascii="Times New Roman" w:cs="Times New Roman" w:eastAsia="Times New Roman" w:hAnsi="Times New Roman"/>
                <w:sz w:val="12"/>
                <w:szCs w:val="12"/>
                <w:color w:val="auto"/>
                <w:w w:val="95"/>
              </w:rPr>
              <w:t>2.4%</w:t>
            </w:r>
          </w:p>
        </w:tc>
        <w:tc>
          <w:tcPr>
            <w:tcW w:w="1460" w:type="dxa"/>
            <w:vAlign w:val="bottom"/>
            <w:tcBorders>
              <w:right w:val="single" w:sz="8" w:color="auto"/>
            </w:tcBorders>
          </w:tcPr>
          <w:p>
            <w:pPr>
              <w:jc w:val="center"/>
              <w:ind w:left="241"/>
              <w:spacing w:after="0"/>
              <w:rPr>
                <w:sz w:val="20"/>
                <w:szCs w:val="20"/>
                <w:color w:val="auto"/>
              </w:rPr>
            </w:pPr>
            <w:r>
              <w:rPr>
                <w:rFonts w:ascii="Times New Roman" w:cs="Times New Roman" w:eastAsia="Times New Roman" w:hAnsi="Times New Roman"/>
                <w:sz w:val="12"/>
                <w:szCs w:val="12"/>
                <w:color w:val="auto"/>
                <w:w w:val="95"/>
              </w:rPr>
              <w:t>8.1%</w:t>
            </w:r>
          </w:p>
        </w:tc>
      </w:tr>
      <w:tr>
        <w:trPr>
          <w:trHeight w:val="225"/>
        </w:trPr>
        <w:tc>
          <w:tcPr>
            <w:tcW w:w="56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2"/>
                <w:szCs w:val="12"/>
                <w:b w:val="1"/>
                <w:bCs w:val="1"/>
                <w:color w:val="auto"/>
              </w:rPr>
              <w:t xml:space="preserve">Property, furniture and equipment, net </w:t>
            </w:r>
            <w:r>
              <w:rPr>
                <w:rFonts w:ascii="Times New Roman" w:cs="Times New Roman" w:eastAsia="Times New Roman" w:hAnsi="Times New Roman"/>
                <w:sz w:val="19"/>
                <w:szCs w:val="19"/>
                <w:b w:val="1"/>
                <w:bCs w:val="1"/>
                <w:color w:val="auto"/>
                <w:vertAlign w:val="superscript"/>
              </w:rPr>
              <w:t>(1)</w:t>
            </w: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1,643,626</w:t>
            </w: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1,567,598</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1,516,211</w:t>
            </w:r>
          </w:p>
        </w:tc>
        <w:tc>
          <w:tcPr>
            <w:tcW w:w="780" w:type="dxa"/>
            <w:vAlign w:val="bottom"/>
          </w:tcPr>
          <w:p>
            <w:pPr>
              <w:jc w:val="center"/>
              <w:ind w:left="261"/>
              <w:spacing w:after="0"/>
              <w:rPr>
                <w:sz w:val="20"/>
                <w:szCs w:val="20"/>
                <w:color w:val="auto"/>
              </w:rPr>
            </w:pPr>
            <w:r>
              <w:rPr>
                <w:rFonts w:ascii="Times New Roman" w:cs="Times New Roman" w:eastAsia="Times New Roman" w:hAnsi="Times New Roman"/>
                <w:sz w:val="12"/>
                <w:szCs w:val="12"/>
                <w:b w:val="1"/>
                <w:bCs w:val="1"/>
                <w:color w:val="auto"/>
                <w:w w:val="96"/>
              </w:rPr>
              <w:t>-3.3%</w:t>
            </w:r>
          </w:p>
        </w:tc>
        <w:tc>
          <w:tcPr>
            <w:tcW w:w="1460" w:type="dxa"/>
            <w:vAlign w:val="bottom"/>
            <w:tcBorders>
              <w:right w:val="single" w:sz="8" w:color="auto"/>
            </w:tcBorders>
          </w:tcPr>
          <w:p>
            <w:pPr>
              <w:jc w:val="center"/>
              <w:ind w:left="221"/>
              <w:spacing w:after="0"/>
              <w:rPr>
                <w:sz w:val="20"/>
                <w:szCs w:val="20"/>
                <w:color w:val="auto"/>
              </w:rPr>
            </w:pPr>
            <w:r>
              <w:rPr>
                <w:rFonts w:ascii="Times New Roman" w:cs="Times New Roman" w:eastAsia="Times New Roman" w:hAnsi="Times New Roman"/>
                <w:sz w:val="12"/>
                <w:szCs w:val="12"/>
                <w:b w:val="1"/>
                <w:bCs w:val="1"/>
                <w:color w:val="auto"/>
                <w:w w:val="96"/>
              </w:rPr>
              <w:t>-7.8%</w:t>
            </w:r>
          </w:p>
        </w:tc>
      </w:tr>
      <w:tr>
        <w:trPr>
          <w:trHeight w:val="127"/>
        </w:trPr>
        <w:tc>
          <w:tcPr>
            <w:tcW w:w="5640" w:type="dxa"/>
            <w:vAlign w:val="bottom"/>
            <w:tcBorders>
              <w:left w:val="single" w:sz="8" w:color="auto"/>
              <w:right w:val="single" w:sz="8" w:color="auto"/>
            </w:tcBorders>
          </w:tcPr>
          <w:p>
            <w:pPr>
              <w:ind w:left="100"/>
              <w:spacing w:after="0" w:line="127" w:lineRule="exact"/>
              <w:rPr>
                <w:sz w:val="20"/>
                <w:szCs w:val="20"/>
                <w:color w:val="auto"/>
              </w:rPr>
            </w:pPr>
            <w:r>
              <w:rPr>
                <w:rFonts w:ascii="Times New Roman" w:cs="Times New Roman" w:eastAsia="Times New Roman" w:hAnsi="Times New Roman"/>
                <w:sz w:val="12"/>
                <w:szCs w:val="12"/>
                <w:b w:val="1"/>
                <w:bCs w:val="1"/>
                <w:color w:val="auto"/>
              </w:rPr>
              <w:t>Due from customers on acceptances</w:t>
            </w:r>
          </w:p>
        </w:tc>
        <w:tc>
          <w:tcPr>
            <w:tcW w:w="112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b w:val="1"/>
                <w:bCs w:val="1"/>
                <w:color w:val="auto"/>
                <w:w w:val="97"/>
              </w:rPr>
              <w:t>639,749</w:t>
            </w:r>
          </w:p>
        </w:tc>
        <w:tc>
          <w:tcPr>
            <w:tcW w:w="112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b w:val="1"/>
                <w:bCs w:val="1"/>
                <w:color w:val="auto"/>
              </w:rPr>
              <w:t>346,540</w:t>
            </w:r>
          </w:p>
        </w:tc>
        <w:tc>
          <w:tcPr>
            <w:tcW w:w="1140" w:type="dxa"/>
            <w:vAlign w:val="bottom"/>
            <w:tcBorders>
              <w:right w:val="single" w:sz="8" w:color="auto"/>
            </w:tcBorders>
          </w:tcPr>
          <w:p>
            <w:pPr>
              <w:jc w:val="center"/>
              <w:spacing w:after="0" w:line="127" w:lineRule="exact"/>
              <w:rPr>
                <w:sz w:val="20"/>
                <w:szCs w:val="20"/>
                <w:color w:val="auto"/>
              </w:rPr>
            </w:pPr>
            <w:r>
              <w:rPr>
                <w:rFonts w:ascii="Times New Roman" w:cs="Times New Roman" w:eastAsia="Times New Roman" w:hAnsi="Times New Roman"/>
                <w:sz w:val="12"/>
                <w:szCs w:val="12"/>
                <w:b w:val="1"/>
                <w:bCs w:val="1"/>
                <w:color w:val="auto"/>
              </w:rPr>
              <w:t>608,592</w:t>
            </w:r>
          </w:p>
        </w:tc>
        <w:tc>
          <w:tcPr>
            <w:tcW w:w="780" w:type="dxa"/>
            <w:vAlign w:val="bottom"/>
          </w:tcPr>
          <w:p>
            <w:pPr>
              <w:jc w:val="center"/>
              <w:ind w:left="241"/>
              <w:spacing w:after="0" w:line="127" w:lineRule="exact"/>
              <w:rPr>
                <w:sz w:val="20"/>
                <w:szCs w:val="20"/>
                <w:color w:val="auto"/>
              </w:rPr>
            </w:pPr>
            <w:r>
              <w:rPr>
                <w:rFonts w:ascii="Times New Roman" w:cs="Times New Roman" w:eastAsia="Times New Roman" w:hAnsi="Times New Roman"/>
                <w:sz w:val="12"/>
                <w:szCs w:val="12"/>
                <w:b w:val="1"/>
                <w:bCs w:val="1"/>
                <w:color w:val="auto"/>
                <w:w w:val="96"/>
              </w:rPr>
              <w:t>75.6%</w:t>
            </w:r>
          </w:p>
        </w:tc>
        <w:tc>
          <w:tcPr>
            <w:tcW w:w="1460" w:type="dxa"/>
            <w:vAlign w:val="bottom"/>
            <w:tcBorders>
              <w:right w:val="single" w:sz="8" w:color="auto"/>
            </w:tcBorders>
          </w:tcPr>
          <w:p>
            <w:pPr>
              <w:jc w:val="center"/>
              <w:ind w:left="221"/>
              <w:spacing w:after="0" w:line="127" w:lineRule="exact"/>
              <w:rPr>
                <w:sz w:val="20"/>
                <w:szCs w:val="20"/>
                <w:color w:val="auto"/>
              </w:rPr>
            </w:pPr>
            <w:r>
              <w:rPr>
                <w:rFonts w:ascii="Times New Roman" w:cs="Times New Roman" w:eastAsia="Times New Roman" w:hAnsi="Times New Roman"/>
                <w:sz w:val="12"/>
                <w:szCs w:val="12"/>
                <w:b w:val="1"/>
                <w:bCs w:val="1"/>
                <w:color w:val="auto"/>
                <w:w w:val="96"/>
              </w:rPr>
              <w:t>-4.9%</w:t>
            </w:r>
          </w:p>
        </w:tc>
      </w:tr>
      <w:tr>
        <w:trPr>
          <w:trHeight w:val="121"/>
        </w:trPr>
        <w:tc>
          <w:tcPr>
            <w:tcW w:w="5640" w:type="dxa"/>
            <w:vAlign w:val="bottom"/>
            <w:tcBorders>
              <w:left w:val="single" w:sz="8" w:color="auto"/>
              <w:right w:val="single" w:sz="8" w:color="auto"/>
            </w:tcBorders>
          </w:tcPr>
          <w:p>
            <w:pPr>
              <w:ind w:left="100"/>
              <w:spacing w:after="0" w:line="121" w:lineRule="exact"/>
              <w:rPr>
                <w:sz w:val="20"/>
                <w:szCs w:val="20"/>
                <w:color w:val="auto"/>
              </w:rPr>
            </w:pPr>
            <w:r>
              <w:rPr>
                <w:rFonts w:ascii="Times New Roman" w:cs="Times New Roman" w:eastAsia="Times New Roman" w:hAnsi="Times New Roman"/>
                <w:sz w:val="12"/>
                <w:szCs w:val="12"/>
                <w:b w:val="1"/>
                <w:bCs w:val="1"/>
                <w:color w:val="auto"/>
              </w:rPr>
              <w:t>Investments in associates</w:t>
            </w:r>
          </w:p>
        </w:tc>
        <w:tc>
          <w:tcPr>
            <w:tcW w:w="1120" w:type="dxa"/>
            <w:vAlign w:val="bottom"/>
          </w:tcPr>
          <w:p>
            <w:pPr>
              <w:jc w:val="center"/>
              <w:spacing w:after="0" w:line="121" w:lineRule="exact"/>
              <w:rPr>
                <w:sz w:val="20"/>
                <w:szCs w:val="20"/>
                <w:color w:val="auto"/>
              </w:rPr>
            </w:pPr>
            <w:r>
              <w:rPr>
                <w:rFonts w:ascii="Times New Roman" w:cs="Times New Roman" w:eastAsia="Times New Roman" w:hAnsi="Times New Roman"/>
                <w:sz w:val="12"/>
                <w:szCs w:val="12"/>
                <w:b w:val="1"/>
                <w:bCs w:val="1"/>
                <w:color w:val="auto"/>
                <w:w w:val="96"/>
              </w:rPr>
              <w:t>24,738</w:t>
            </w:r>
          </w:p>
        </w:tc>
        <w:tc>
          <w:tcPr>
            <w:tcW w:w="1120" w:type="dxa"/>
            <w:vAlign w:val="bottom"/>
          </w:tcPr>
          <w:p>
            <w:pPr>
              <w:jc w:val="center"/>
              <w:spacing w:after="0" w:line="121" w:lineRule="exact"/>
              <w:rPr>
                <w:sz w:val="20"/>
                <w:szCs w:val="20"/>
                <w:color w:val="auto"/>
              </w:rPr>
            </w:pPr>
            <w:r>
              <w:rPr>
                <w:rFonts w:ascii="Times New Roman" w:cs="Times New Roman" w:eastAsia="Times New Roman" w:hAnsi="Times New Roman"/>
                <w:sz w:val="12"/>
                <w:szCs w:val="12"/>
                <w:b w:val="1"/>
                <w:bCs w:val="1"/>
                <w:color w:val="auto"/>
                <w:w w:val="96"/>
              </w:rPr>
              <w:t>30,556</w:t>
            </w:r>
          </w:p>
        </w:tc>
        <w:tc>
          <w:tcPr>
            <w:tcW w:w="1140" w:type="dxa"/>
            <w:vAlign w:val="bottom"/>
            <w:tcBorders>
              <w:right w:val="single" w:sz="8" w:color="auto"/>
            </w:tcBorders>
          </w:tcPr>
          <w:p>
            <w:pPr>
              <w:jc w:val="center"/>
              <w:spacing w:after="0" w:line="121" w:lineRule="exact"/>
              <w:rPr>
                <w:sz w:val="20"/>
                <w:szCs w:val="20"/>
                <w:color w:val="auto"/>
              </w:rPr>
            </w:pPr>
            <w:r>
              <w:rPr>
                <w:rFonts w:ascii="Times New Roman" w:cs="Times New Roman" w:eastAsia="Times New Roman" w:hAnsi="Times New Roman"/>
                <w:sz w:val="12"/>
                <w:szCs w:val="12"/>
                <w:b w:val="1"/>
                <w:bCs w:val="1"/>
                <w:color w:val="auto"/>
                <w:w w:val="96"/>
              </w:rPr>
              <w:t>33,218</w:t>
            </w:r>
          </w:p>
        </w:tc>
        <w:tc>
          <w:tcPr>
            <w:tcW w:w="780" w:type="dxa"/>
            <w:vAlign w:val="bottom"/>
          </w:tcPr>
          <w:p>
            <w:pPr>
              <w:jc w:val="center"/>
              <w:ind w:left="261"/>
              <w:spacing w:after="0" w:line="121" w:lineRule="exact"/>
              <w:rPr>
                <w:sz w:val="20"/>
                <w:szCs w:val="20"/>
                <w:color w:val="auto"/>
              </w:rPr>
            </w:pPr>
            <w:r>
              <w:rPr>
                <w:rFonts w:ascii="Times New Roman" w:cs="Times New Roman" w:eastAsia="Times New Roman" w:hAnsi="Times New Roman"/>
                <w:sz w:val="12"/>
                <w:szCs w:val="12"/>
                <w:b w:val="1"/>
                <w:bCs w:val="1"/>
                <w:color w:val="auto"/>
                <w:w w:val="96"/>
              </w:rPr>
              <w:t>8.7%</w:t>
            </w:r>
          </w:p>
        </w:tc>
        <w:tc>
          <w:tcPr>
            <w:tcW w:w="1460" w:type="dxa"/>
            <w:vAlign w:val="bottom"/>
            <w:tcBorders>
              <w:right w:val="single" w:sz="8" w:color="auto"/>
            </w:tcBorders>
          </w:tcPr>
          <w:p>
            <w:pPr>
              <w:jc w:val="center"/>
              <w:ind w:left="241"/>
              <w:spacing w:after="0" w:line="121" w:lineRule="exact"/>
              <w:rPr>
                <w:sz w:val="20"/>
                <w:szCs w:val="20"/>
                <w:color w:val="auto"/>
              </w:rPr>
            </w:pPr>
            <w:r>
              <w:rPr>
                <w:rFonts w:ascii="Times New Roman" w:cs="Times New Roman" w:eastAsia="Times New Roman" w:hAnsi="Times New Roman"/>
                <w:sz w:val="12"/>
                <w:szCs w:val="12"/>
                <w:b w:val="1"/>
                <w:bCs w:val="1"/>
                <w:color w:val="auto"/>
                <w:w w:val="96"/>
              </w:rPr>
              <w:t>34.3%</w:t>
            </w:r>
          </w:p>
        </w:tc>
      </w:tr>
      <w:tr>
        <w:trPr>
          <w:trHeight w:val="260"/>
        </w:trPr>
        <w:tc>
          <w:tcPr>
            <w:tcW w:w="56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2"/>
                <w:szCs w:val="12"/>
                <w:b w:val="1"/>
                <w:bCs w:val="1"/>
                <w:color w:val="auto"/>
              </w:rPr>
              <w:t xml:space="preserve">Other assets </w:t>
            </w:r>
            <w:r>
              <w:rPr>
                <w:rFonts w:ascii="Times New Roman" w:cs="Times New Roman" w:eastAsia="Times New Roman" w:hAnsi="Times New Roman"/>
                <w:sz w:val="19"/>
                <w:szCs w:val="19"/>
                <w:b w:val="1"/>
                <w:bCs w:val="1"/>
                <w:color w:val="auto"/>
                <w:vertAlign w:val="superscript"/>
              </w:rPr>
              <w:t>(2)</w:t>
            </w: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8,045,520</w:t>
            </w: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9,423,377</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9,857,231</w:t>
            </w:r>
          </w:p>
        </w:tc>
        <w:tc>
          <w:tcPr>
            <w:tcW w:w="780" w:type="dxa"/>
            <w:vAlign w:val="bottom"/>
          </w:tcPr>
          <w:p>
            <w:pPr>
              <w:jc w:val="center"/>
              <w:ind w:left="261"/>
              <w:spacing w:after="0"/>
              <w:rPr>
                <w:sz w:val="20"/>
                <w:szCs w:val="20"/>
                <w:color w:val="auto"/>
              </w:rPr>
            </w:pPr>
            <w:r>
              <w:rPr>
                <w:rFonts w:ascii="Times New Roman" w:cs="Times New Roman" w:eastAsia="Times New Roman" w:hAnsi="Times New Roman"/>
                <w:sz w:val="12"/>
                <w:szCs w:val="12"/>
                <w:b w:val="1"/>
                <w:bCs w:val="1"/>
                <w:color w:val="auto"/>
                <w:w w:val="96"/>
              </w:rPr>
              <w:t>4.6%</w:t>
            </w:r>
          </w:p>
        </w:tc>
        <w:tc>
          <w:tcPr>
            <w:tcW w:w="1460" w:type="dxa"/>
            <w:vAlign w:val="bottom"/>
            <w:tcBorders>
              <w:right w:val="single" w:sz="8" w:color="auto"/>
            </w:tcBorders>
          </w:tcPr>
          <w:p>
            <w:pPr>
              <w:jc w:val="center"/>
              <w:ind w:left="241"/>
              <w:spacing w:after="0"/>
              <w:rPr>
                <w:sz w:val="20"/>
                <w:szCs w:val="20"/>
                <w:color w:val="auto"/>
              </w:rPr>
            </w:pPr>
            <w:r>
              <w:rPr>
                <w:rFonts w:ascii="Times New Roman" w:cs="Times New Roman" w:eastAsia="Times New Roman" w:hAnsi="Times New Roman"/>
                <w:sz w:val="12"/>
                <w:szCs w:val="12"/>
                <w:b w:val="1"/>
                <w:bCs w:val="1"/>
                <w:color w:val="auto"/>
                <w:w w:val="96"/>
              </w:rPr>
              <w:t>22.5%</w:t>
            </w:r>
          </w:p>
        </w:tc>
      </w:tr>
      <w:tr>
        <w:trPr>
          <w:trHeight w:val="156"/>
        </w:trPr>
        <w:tc>
          <w:tcPr>
            <w:tcW w:w="56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Total Assets</w:t>
            </w: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210,197,628</w:t>
            </w: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219,922,469</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229,207,747</w:t>
            </w:r>
          </w:p>
        </w:tc>
        <w:tc>
          <w:tcPr>
            <w:tcW w:w="780" w:type="dxa"/>
            <w:vAlign w:val="bottom"/>
          </w:tcPr>
          <w:p>
            <w:pPr>
              <w:jc w:val="center"/>
              <w:ind w:left="261"/>
              <w:spacing w:after="0"/>
              <w:rPr>
                <w:sz w:val="20"/>
                <w:szCs w:val="20"/>
                <w:color w:val="auto"/>
              </w:rPr>
            </w:pPr>
            <w:r>
              <w:rPr>
                <w:rFonts w:ascii="Times New Roman" w:cs="Times New Roman" w:eastAsia="Times New Roman" w:hAnsi="Times New Roman"/>
                <w:sz w:val="12"/>
                <w:szCs w:val="12"/>
                <w:b w:val="1"/>
                <w:bCs w:val="1"/>
                <w:color w:val="auto"/>
                <w:w w:val="96"/>
              </w:rPr>
              <w:t>4.2%</w:t>
            </w:r>
          </w:p>
        </w:tc>
        <w:tc>
          <w:tcPr>
            <w:tcW w:w="1460" w:type="dxa"/>
            <w:vAlign w:val="bottom"/>
            <w:tcBorders>
              <w:right w:val="single" w:sz="8" w:color="auto"/>
            </w:tcBorders>
          </w:tcPr>
          <w:p>
            <w:pPr>
              <w:jc w:val="center"/>
              <w:ind w:left="221"/>
              <w:spacing w:after="0"/>
              <w:rPr>
                <w:sz w:val="20"/>
                <w:szCs w:val="20"/>
                <w:color w:val="auto"/>
              </w:rPr>
            </w:pPr>
            <w:r>
              <w:rPr>
                <w:rFonts w:ascii="Times New Roman" w:cs="Times New Roman" w:eastAsia="Times New Roman" w:hAnsi="Times New Roman"/>
                <w:sz w:val="12"/>
                <w:szCs w:val="12"/>
                <w:b w:val="1"/>
                <w:bCs w:val="1"/>
                <w:color w:val="auto"/>
                <w:w w:val="96"/>
              </w:rPr>
              <w:t>9.0%</w:t>
            </w:r>
          </w:p>
        </w:tc>
      </w:tr>
      <w:tr>
        <w:trPr>
          <w:trHeight w:val="227"/>
        </w:trPr>
        <w:tc>
          <w:tcPr>
            <w:tcW w:w="56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2"/>
                <w:szCs w:val="12"/>
                <w:b w:val="1"/>
                <w:bCs w:val="1"/>
                <w:color w:val="auto"/>
              </w:rPr>
              <w:t>Liabilities and Equity</w:t>
            </w: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1460" w:type="dxa"/>
            <w:vAlign w:val="bottom"/>
            <w:tcBorders>
              <w:right w:val="single" w:sz="8" w:color="auto"/>
            </w:tcBorders>
          </w:tcPr>
          <w:p>
            <w:pPr>
              <w:spacing w:after="0"/>
              <w:rPr>
                <w:sz w:val="19"/>
                <w:szCs w:val="19"/>
                <w:color w:val="auto"/>
              </w:rPr>
            </w:pPr>
          </w:p>
        </w:tc>
      </w:tr>
      <w:tr>
        <w:trPr>
          <w:trHeight w:val="127"/>
        </w:trPr>
        <w:tc>
          <w:tcPr>
            <w:tcW w:w="5640" w:type="dxa"/>
            <w:vAlign w:val="bottom"/>
            <w:tcBorders>
              <w:left w:val="single" w:sz="8" w:color="auto"/>
              <w:right w:val="single" w:sz="8" w:color="auto"/>
            </w:tcBorders>
          </w:tcPr>
          <w:p>
            <w:pPr>
              <w:ind w:left="100"/>
              <w:spacing w:after="0" w:line="127" w:lineRule="exact"/>
              <w:rPr>
                <w:sz w:val="20"/>
                <w:szCs w:val="20"/>
                <w:color w:val="auto"/>
              </w:rPr>
            </w:pPr>
            <w:r>
              <w:rPr>
                <w:rFonts w:ascii="Times New Roman" w:cs="Times New Roman" w:eastAsia="Times New Roman" w:hAnsi="Times New Roman"/>
                <w:sz w:val="12"/>
                <w:szCs w:val="12"/>
                <w:color w:val="auto"/>
              </w:rPr>
              <w:t>Deposits and obligations</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1460" w:type="dxa"/>
            <w:vAlign w:val="bottom"/>
            <w:tcBorders>
              <w:right w:val="single" w:sz="8" w:color="auto"/>
            </w:tcBorders>
          </w:tcPr>
          <w:p>
            <w:pPr>
              <w:spacing w:after="0"/>
              <w:rPr>
                <w:sz w:val="11"/>
                <w:szCs w:val="11"/>
                <w:color w:val="auto"/>
              </w:rPr>
            </w:pPr>
          </w:p>
        </w:tc>
      </w:tr>
      <w:tr>
        <w:trPr>
          <w:trHeight w:val="127"/>
        </w:trPr>
        <w:tc>
          <w:tcPr>
            <w:tcW w:w="5640" w:type="dxa"/>
            <w:vAlign w:val="bottom"/>
            <w:tcBorders>
              <w:left w:val="single" w:sz="8" w:color="auto"/>
              <w:right w:val="single" w:sz="8" w:color="auto"/>
            </w:tcBorders>
          </w:tcPr>
          <w:p>
            <w:pPr>
              <w:ind w:left="100"/>
              <w:spacing w:after="0" w:line="127" w:lineRule="exact"/>
              <w:rPr>
                <w:sz w:val="20"/>
                <w:szCs w:val="20"/>
                <w:color w:val="auto"/>
              </w:rPr>
            </w:pPr>
            <w:r>
              <w:rPr>
                <w:rFonts w:ascii="Times New Roman" w:cs="Times New Roman" w:eastAsia="Times New Roman" w:hAnsi="Times New Roman"/>
                <w:sz w:val="12"/>
                <w:szCs w:val="12"/>
                <w:color w:val="auto"/>
              </w:rPr>
              <w:t>Non-interest bearing</w:t>
            </w:r>
          </w:p>
        </w:tc>
        <w:tc>
          <w:tcPr>
            <w:tcW w:w="112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9"/>
              </w:rPr>
              <w:t>46,181,912</w:t>
            </w:r>
          </w:p>
        </w:tc>
        <w:tc>
          <w:tcPr>
            <w:tcW w:w="112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6"/>
              </w:rPr>
              <w:t>47,989,475</w:t>
            </w:r>
          </w:p>
        </w:tc>
        <w:tc>
          <w:tcPr>
            <w:tcW w:w="1140" w:type="dxa"/>
            <w:vAlign w:val="bottom"/>
            <w:tcBorders>
              <w:right w:val="single" w:sz="8" w:color="auto"/>
            </w:tcBorders>
          </w:tcPr>
          <w:p>
            <w:pPr>
              <w:jc w:val="center"/>
              <w:spacing w:after="0" w:line="127" w:lineRule="exact"/>
              <w:rPr>
                <w:sz w:val="20"/>
                <w:szCs w:val="20"/>
                <w:color w:val="auto"/>
              </w:rPr>
            </w:pPr>
            <w:r>
              <w:rPr>
                <w:rFonts w:ascii="Times New Roman" w:cs="Times New Roman" w:eastAsia="Times New Roman" w:hAnsi="Times New Roman"/>
                <w:sz w:val="12"/>
                <w:szCs w:val="12"/>
                <w:color w:val="auto"/>
                <w:w w:val="96"/>
              </w:rPr>
              <w:t>53,429,872</w:t>
            </w:r>
          </w:p>
        </w:tc>
        <w:tc>
          <w:tcPr>
            <w:tcW w:w="780" w:type="dxa"/>
            <w:vAlign w:val="bottom"/>
          </w:tcPr>
          <w:p>
            <w:pPr>
              <w:jc w:val="center"/>
              <w:ind w:left="261"/>
              <w:spacing w:after="0" w:line="127" w:lineRule="exact"/>
              <w:rPr>
                <w:sz w:val="20"/>
                <w:szCs w:val="20"/>
                <w:color w:val="auto"/>
              </w:rPr>
            </w:pPr>
            <w:r>
              <w:rPr>
                <w:rFonts w:ascii="Times New Roman" w:cs="Times New Roman" w:eastAsia="Times New Roman" w:hAnsi="Times New Roman"/>
                <w:sz w:val="12"/>
                <w:szCs w:val="12"/>
                <w:color w:val="auto"/>
                <w:w w:val="96"/>
              </w:rPr>
              <w:t>11.3%</w:t>
            </w:r>
          </w:p>
        </w:tc>
        <w:tc>
          <w:tcPr>
            <w:tcW w:w="1460" w:type="dxa"/>
            <w:vAlign w:val="bottom"/>
            <w:tcBorders>
              <w:right w:val="single" w:sz="8" w:color="auto"/>
            </w:tcBorders>
          </w:tcPr>
          <w:p>
            <w:pPr>
              <w:jc w:val="center"/>
              <w:ind w:left="221"/>
              <w:spacing w:after="0" w:line="127" w:lineRule="exact"/>
              <w:rPr>
                <w:sz w:val="20"/>
                <w:szCs w:val="20"/>
                <w:color w:val="auto"/>
              </w:rPr>
            </w:pPr>
            <w:r>
              <w:rPr>
                <w:rFonts w:ascii="Times New Roman" w:cs="Times New Roman" w:eastAsia="Times New Roman" w:hAnsi="Times New Roman"/>
                <w:sz w:val="12"/>
                <w:szCs w:val="12"/>
                <w:color w:val="auto"/>
                <w:w w:val="96"/>
              </w:rPr>
              <w:t>15.7%</w:t>
            </w:r>
          </w:p>
        </w:tc>
      </w:tr>
      <w:tr>
        <w:trPr>
          <w:trHeight w:val="125"/>
        </w:trPr>
        <w:tc>
          <w:tcPr>
            <w:tcW w:w="5640" w:type="dxa"/>
            <w:vAlign w:val="bottom"/>
            <w:tcBorders>
              <w:left w:val="single" w:sz="8" w:color="auto"/>
              <w:right w:val="single" w:sz="8" w:color="auto"/>
            </w:tcBorders>
          </w:tcPr>
          <w:p>
            <w:pPr>
              <w:ind w:left="100"/>
              <w:spacing w:after="0" w:line="125" w:lineRule="exact"/>
              <w:rPr>
                <w:sz w:val="20"/>
                <w:szCs w:val="20"/>
                <w:color w:val="auto"/>
              </w:rPr>
            </w:pPr>
            <w:r>
              <w:rPr>
                <w:rFonts w:ascii="Times New Roman" w:cs="Times New Roman" w:eastAsia="Times New Roman" w:hAnsi="Times New Roman"/>
                <w:sz w:val="12"/>
                <w:szCs w:val="12"/>
                <w:color w:val="auto"/>
              </w:rPr>
              <w:t>Interest bearing</w:t>
            </w:r>
          </w:p>
        </w:tc>
        <w:tc>
          <w:tcPr>
            <w:tcW w:w="112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auto"/>
                <w:w w:val="99"/>
              </w:rPr>
              <w:t>100,410,686</w:t>
            </w:r>
          </w:p>
        </w:tc>
        <w:tc>
          <w:tcPr>
            <w:tcW w:w="112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auto"/>
                <w:w w:val="99"/>
              </w:rPr>
              <w:t>109,090,077</w:t>
            </w:r>
          </w:p>
        </w:tc>
        <w:tc>
          <w:tcPr>
            <w:tcW w:w="1140" w:type="dxa"/>
            <w:vAlign w:val="bottom"/>
            <w:tcBorders>
              <w:right w:val="single" w:sz="8" w:color="auto"/>
            </w:tcBorders>
          </w:tcPr>
          <w:p>
            <w:pPr>
              <w:jc w:val="center"/>
              <w:spacing w:after="0" w:line="125" w:lineRule="exact"/>
              <w:rPr>
                <w:sz w:val="20"/>
                <w:szCs w:val="20"/>
                <w:color w:val="auto"/>
              </w:rPr>
            </w:pPr>
            <w:r>
              <w:rPr>
                <w:rFonts w:ascii="Times New Roman" w:cs="Times New Roman" w:eastAsia="Times New Roman" w:hAnsi="Times New Roman"/>
                <w:sz w:val="12"/>
                <w:szCs w:val="12"/>
                <w:color w:val="auto"/>
                <w:w w:val="99"/>
              </w:rPr>
              <w:t>112,129,605</w:t>
            </w:r>
          </w:p>
        </w:tc>
        <w:tc>
          <w:tcPr>
            <w:tcW w:w="780" w:type="dxa"/>
            <w:vAlign w:val="bottom"/>
          </w:tcPr>
          <w:p>
            <w:pPr>
              <w:jc w:val="center"/>
              <w:ind w:left="241"/>
              <w:spacing w:after="0" w:line="125" w:lineRule="exact"/>
              <w:rPr>
                <w:sz w:val="20"/>
                <w:szCs w:val="20"/>
                <w:color w:val="auto"/>
              </w:rPr>
            </w:pPr>
            <w:r>
              <w:rPr>
                <w:rFonts w:ascii="Times New Roman" w:cs="Times New Roman" w:eastAsia="Times New Roman" w:hAnsi="Times New Roman"/>
                <w:sz w:val="12"/>
                <w:szCs w:val="12"/>
                <w:color w:val="auto"/>
                <w:w w:val="95"/>
              </w:rPr>
              <w:t>2.8%</w:t>
            </w:r>
          </w:p>
        </w:tc>
        <w:tc>
          <w:tcPr>
            <w:tcW w:w="1460" w:type="dxa"/>
            <w:vAlign w:val="bottom"/>
            <w:tcBorders>
              <w:right w:val="single" w:sz="8" w:color="auto"/>
            </w:tcBorders>
          </w:tcPr>
          <w:p>
            <w:pPr>
              <w:jc w:val="center"/>
              <w:ind w:left="221"/>
              <w:spacing w:after="0" w:line="125" w:lineRule="exact"/>
              <w:rPr>
                <w:sz w:val="20"/>
                <w:szCs w:val="20"/>
                <w:color w:val="auto"/>
              </w:rPr>
            </w:pPr>
            <w:r>
              <w:rPr>
                <w:rFonts w:ascii="Times New Roman" w:cs="Times New Roman" w:eastAsia="Times New Roman" w:hAnsi="Times New Roman"/>
                <w:sz w:val="12"/>
                <w:szCs w:val="12"/>
                <w:color w:val="auto"/>
                <w:w w:val="96"/>
              </w:rPr>
              <w:t>11.7%</w:t>
            </w:r>
          </w:p>
        </w:tc>
      </w:tr>
      <w:tr>
        <w:trPr>
          <w:trHeight w:val="156"/>
        </w:trPr>
        <w:tc>
          <w:tcPr>
            <w:tcW w:w="56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2"/>
                <w:szCs w:val="12"/>
                <w:b w:val="1"/>
                <w:bCs w:val="1"/>
                <w:color w:val="auto"/>
              </w:rPr>
              <w:t>Total deposits and obligations</w:t>
            </w: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146,592,598</w:t>
            </w: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157,079,552</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165,559,477</w:t>
            </w:r>
          </w:p>
        </w:tc>
        <w:tc>
          <w:tcPr>
            <w:tcW w:w="780" w:type="dxa"/>
            <w:vAlign w:val="bottom"/>
          </w:tcPr>
          <w:p>
            <w:pPr>
              <w:jc w:val="center"/>
              <w:ind w:left="261"/>
              <w:spacing w:after="0"/>
              <w:rPr>
                <w:sz w:val="20"/>
                <w:szCs w:val="20"/>
                <w:color w:val="auto"/>
              </w:rPr>
            </w:pPr>
            <w:r>
              <w:rPr>
                <w:rFonts w:ascii="Times New Roman" w:cs="Times New Roman" w:eastAsia="Times New Roman" w:hAnsi="Times New Roman"/>
                <w:sz w:val="12"/>
                <w:szCs w:val="12"/>
                <w:b w:val="1"/>
                <w:bCs w:val="1"/>
                <w:color w:val="auto"/>
                <w:w w:val="96"/>
              </w:rPr>
              <w:t>5.4%</w:t>
            </w:r>
          </w:p>
        </w:tc>
        <w:tc>
          <w:tcPr>
            <w:tcW w:w="1460" w:type="dxa"/>
            <w:vAlign w:val="bottom"/>
            <w:tcBorders>
              <w:right w:val="single" w:sz="8" w:color="auto"/>
            </w:tcBorders>
          </w:tcPr>
          <w:p>
            <w:pPr>
              <w:jc w:val="center"/>
              <w:ind w:left="241"/>
              <w:spacing w:after="0"/>
              <w:rPr>
                <w:sz w:val="20"/>
                <w:szCs w:val="20"/>
                <w:color w:val="auto"/>
              </w:rPr>
            </w:pPr>
            <w:r>
              <w:rPr>
                <w:rFonts w:ascii="Times New Roman" w:cs="Times New Roman" w:eastAsia="Times New Roman" w:hAnsi="Times New Roman"/>
                <w:sz w:val="12"/>
                <w:szCs w:val="12"/>
                <w:b w:val="1"/>
                <w:bCs w:val="1"/>
                <w:color w:val="auto"/>
                <w:w w:val="96"/>
              </w:rPr>
              <w:t>12.9%</w:t>
            </w:r>
          </w:p>
        </w:tc>
      </w:tr>
      <w:tr>
        <w:trPr>
          <w:trHeight w:val="227"/>
        </w:trPr>
        <w:tc>
          <w:tcPr>
            <w:tcW w:w="56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2"/>
                <w:szCs w:val="12"/>
                <w:b w:val="1"/>
                <w:bCs w:val="1"/>
                <w:color w:val="auto"/>
              </w:rPr>
              <w:t>Payables from repurchase agreements and securities lending</w:t>
            </w: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7,892,912</w:t>
            </w: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6,013,486</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3,495,042</w:t>
            </w:r>
          </w:p>
        </w:tc>
        <w:tc>
          <w:tcPr>
            <w:tcW w:w="780" w:type="dxa"/>
            <w:vAlign w:val="bottom"/>
          </w:tcPr>
          <w:p>
            <w:pPr>
              <w:jc w:val="center"/>
              <w:ind w:left="241"/>
              <w:spacing w:after="0"/>
              <w:rPr>
                <w:sz w:val="20"/>
                <w:szCs w:val="20"/>
                <w:color w:val="auto"/>
              </w:rPr>
            </w:pPr>
            <w:r>
              <w:rPr>
                <w:rFonts w:ascii="Times New Roman" w:cs="Times New Roman" w:eastAsia="Times New Roman" w:hAnsi="Times New Roman"/>
                <w:sz w:val="12"/>
                <w:szCs w:val="12"/>
                <w:b w:val="1"/>
                <w:bCs w:val="1"/>
                <w:color w:val="auto"/>
                <w:w w:val="97"/>
              </w:rPr>
              <w:t>-41.9%</w:t>
            </w:r>
          </w:p>
        </w:tc>
        <w:tc>
          <w:tcPr>
            <w:tcW w:w="1460" w:type="dxa"/>
            <w:vAlign w:val="bottom"/>
            <w:tcBorders>
              <w:right w:val="single" w:sz="8" w:color="auto"/>
            </w:tcBorders>
          </w:tcPr>
          <w:p>
            <w:pPr>
              <w:jc w:val="center"/>
              <w:ind w:left="241"/>
              <w:spacing w:after="0"/>
              <w:rPr>
                <w:sz w:val="20"/>
                <w:szCs w:val="20"/>
                <w:color w:val="auto"/>
              </w:rPr>
            </w:pPr>
            <w:r>
              <w:rPr>
                <w:rFonts w:ascii="Times New Roman" w:cs="Times New Roman" w:eastAsia="Times New Roman" w:hAnsi="Times New Roman"/>
                <w:sz w:val="12"/>
                <w:szCs w:val="12"/>
                <w:b w:val="1"/>
                <w:bCs w:val="1"/>
                <w:color w:val="auto"/>
                <w:w w:val="97"/>
              </w:rPr>
              <w:t>-55.7%</w:t>
            </w:r>
          </w:p>
        </w:tc>
      </w:tr>
      <w:tr>
        <w:trPr>
          <w:trHeight w:val="127"/>
        </w:trPr>
        <w:tc>
          <w:tcPr>
            <w:tcW w:w="5640" w:type="dxa"/>
            <w:vAlign w:val="bottom"/>
            <w:tcBorders>
              <w:left w:val="single" w:sz="8" w:color="auto"/>
              <w:right w:val="single" w:sz="8" w:color="auto"/>
            </w:tcBorders>
          </w:tcPr>
          <w:p>
            <w:pPr>
              <w:ind w:left="100"/>
              <w:spacing w:after="0" w:line="127" w:lineRule="exact"/>
              <w:rPr>
                <w:sz w:val="20"/>
                <w:szCs w:val="20"/>
                <w:color w:val="auto"/>
              </w:rPr>
            </w:pPr>
            <w:r>
              <w:rPr>
                <w:rFonts w:ascii="Times New Roman" w:cs="Times New Roman" w:eastAsia="Times New Roman" w:hAnsi="Times New Roman"/>
                <w:sz w:val="12"/>
                <w:szCs w:val="12"/>
                <w:color w:val="auto"/>
              </w:rPr>
              <w:t>BCRP instruments</w:t>
            </w:r>
          </w:p>
        </w:tc>
        <w:tc>
          <w:tcPr>
            <w:tcW w:w="112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9"/>
              </w:rPr>
              <w:t>7,064,476</w:t>
            </w:r>
          </w:p>
        </w:tc>
        <w:tc>
          <w:tcPr>
            <w:tcW w:w="112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9"/>
              </w:rPr>
              <w:t>4,776,512</w:t>
            </w:r>
          </w:p>
        </w:tc>
        <w:tc>
          <w:tcPr>
            <w:tcW w:w="1140" w:type="dxa"/>
            <w:vAlign w:val="bottom"/>
            <w:tcBorders>
              <w:right w:val="single" w:sz="8" w:color="auto"/>
            </w:tcBorders>
          </w:tcPr>
          <w:p>
            <w:pPr>
              <w:jc w:val="center"/>
              <w:spacing w:after="0" w:line="127" w:lineRule="exact"/>
              <w:rPr>
                <w:sz w:val="20"/>
                <w:szCs w:val="20"/>
                <w:color w:val="auto"/>
              </w:rPr>
            </w:pPr>
            <w:r>
              <w:rPr>
                <w:rFonts w:ascii="Times New Roman" w:cs="Times New Roman" w:eastAsia="Times New Roman" w:hAnsi="Times New Roman"/>
                <w:sz w:val="12"/>
                <w:szCs w:val="12"/>
                <w:color w:val="auto"/>
                <w:w w:val="99"/>
              </w:rPr>
              <w:t>2,338,426</w:t>
            </w:r>
          </w:p>
        </w:tc>
        <w:tc>
          <w:tcPr>
            <w:tcW w:w="780" w:type="dxa"/>
            <w:vAlign w:val="bottom"/>
          </w:tcPr>
          <w:p>
            <w:pPr>
              <w:jc w:val="center"/>
              <w:ind w:left="261"/>
              <w:spacing w:after="0" w:line="127" w:lineRule="exact"/>
              <w:rPr>
                <w:sz w:val="20"/>
                <w:szCs w:val="20"/>
                <w:color w:val="auto"/>
              </w:rPr>
            </w:pPr>
            <w:r>
              <w:rPr>
                <w:rFonts w:ascii="Times New Roman" w:cs="Times New Roman" w:eastAsia="Times New Roman" w:hAnsi="Times New Roman"/>
                <w:sz w:val="12"/>
                <w:szCs w:val="12"/>
                <w:color w:val="auto"/>
                <w:w w:val="97"/>
              </w:rPr>
              <w:t>-51.0%</w:t>
            </w:r>
          </w:p>
        </w:tc>
        <w:tc>
          <w:tcPr>
            <w:tcW w:w="1460" w:type="dxa"/>
            <w:vAlign w:val="bottom"/>
            <w:tcBorders>
              <w:right w:val="single" w:sz="8" w:color="auto"/>
            </w:tcBorders>
          </w:tcPr>
          <w:p>
            <w:pPr>
              <w:jc w:val="center"/>
              <w:ind w:left="221"/>
              <w:spacing w:after="0" w:line="127" w:lineRule="exact"/>
              <w:rPr>
                <w:sz w:val="20"/>
                <w:szCs w:val="20"/>
                <w:color w:val="auto"/>
              </w:rPr>
            </w:pPr>
            <w:r>
              <w:rPr>
                <w:rFonts w:ascii="Times New Roman" w:cs="Times New Roman" w:eastAsia="Times New Roman" w:hAnsi="Times New Roman"/>
                <w:sz w:val="12"/>
                <w:szCs w:val="12"/>
                <w:color w:val="auto"/>
                <w:w w:val="97"/>
              </w:rPr>
              <w:t>-66.9%</w:t>
            </w:r>
          </w:p>
        </w:tc>
      </w:tr>
      <w:tr>
        <w:trPr>
          <w:trHeight w:val="125"/>
        </w:trPr>
        <w:tc>
          <w:tcPr>
            <w:tcW w:w="5640" w:type="dxa"/>
            <w:vAlign w:val="bottom"/>
            <w:tcBorders>
              <w:left w:val="single" w:sz="8" w:color="auto"/>
              <w:right w:val="single" w:sz="8" w:color="auto"/>
            </w:tcBorders>
          </w:tcPr>
          <w:p>
            <w:pPr>
              <w:ind w:left="100"/>
              <w:spacing w:after="0" w:line="125" w:lineRule="exact"/>
              <w:rPr>
                <w:sz w:val="20"/>
                <w:szCs w:val="20"/>
                <w:color w:val="auto"/>
              </w:rPr>
            </w:pPr>
            <w:r>
              <w:rPr>
                <w:rFonts w:ascii="Times New Roman" w:cs="Times New Roman" w:eastAsia="Times New Roman" w:hAnsi="Times New Roman"/>
                <w:sz w:val="12"/>
                <w:szCs w:val="12"/>
                <w:color w:val="auto"/>
              </w:rPr>
              <w:t>Repurchase agreements with third parties</w:t>
            </w:r>
          </w:p>
        </w:tc>
        <w:tc>
          <w:tcPr>
            <w:tcW w:w="112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auto"/>
                <w:w w:val="97"/>
              </w:rPr>
              <w:t>828,436</w:t>
            </w:r>
          </w:p>
        </w:tc>
        <w:tc>
          <w:tcPr>
            <w:tcW w:w="112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auto"/>
                <w:w w:val="99"/>
              </w:rPr>
              <w:t>1,236,974</w:t>
            </w:r>
          </w:p>
        </w:tc>
        <w:tc>
          <w:tcPr>
            <w:tcW w:w="1140" w:type="dxa"/>
            <w:vAlign w:val="bottom"/>
            <w:tcBorders>
              <w:right w:val="single" w:sz="8" w:color="auto"/>
            </w:tcBorders>
          </w:tcPr>
          <w:p>
            <w:pPr>
              <w:jc w:val="center"/>
              <w:spacing w:after="0" w:line="125" w:lineRule="exact"/>
              <w:rPr>
                <w:sz w:val="20"/>
                <w:szCs w:val="20"/>
                <w:color w:val="auto"/>
              </w:rPr>
            </w:pPr>
            <w:r>
              <w:rPr>
                <w:rFonts w:ascii="Times New Roman" w:cs="Times New Roman" w:eastAsia="Times New Roman" w:hAnsi="Times New Roman"/>
                <w:sz w:val="12"/>
                <w:szCs w:val="12"/>
                <w:color w:val="auto"/>
                <w:w w:val="99"/>
              </w:rPr>
              <w:t>1,156,616</w:t>
            </w:r>
          </w:p>
        </w:tc>
        <w:tc>
          <w:tcPr>
            <w:tcW w:w="780" w:type="dxa"/>
            <w:vAlign w:val="bottom"/>
          </w:tcPr>
          <w:p>
            <w:pPr>
              <w:jc w:val="center"/>
              <w:ind w:left="241"/>
              <w:spacing w:after="0" w:line="125" w:lineRule="exact"/>
              <w:rPr>
                <w:sz w:val="20"/>
                <w:szCs w:val="20"/>
                <w:color w:val="auto"/>
              </w:rPr>
            </w:pPr>
            <w:r>
              <w:rPr>
                <w:rFonts w:ascii="Times New Roman" w:cs="Times New Roman" w:eastAsia="Times New Roman" w:hAnsi="Times New Roman"/>
                <w:sz w:val="12"/>
                <w:szCs w:val="12"/>
                <w:color w:val="auto"/>
                <w:w w:val="96"/>
              </w:rPr>
              <w:t>-6.5%</w:t>
            </w:r>
          </w:p>
        </w:tc>
        <w:tc>
          <w:tcPr>
            <w:tcW w:w="1460" w:type="dxa"/>
            <w:vAlign w:val="bottom"/>
            <w:tcBorders>
              <w:right w:val="single" w:sz="8" w:color="auto"/>
            </w:tcBorders>
          </w:tcPr>
          <w:p>
            <w:pPr>
              <w:jc w:val="center"/>
              <w:ind w:left="221"/>
              <w:spacing w:after="0" w:line="125" w:lineRule="exact"/>
              <w:rPr>
                <w:sz w:val="20"/>
                <w:szCs w:val="20"/>
                <w:color w:val="auto"/>
              </w:rPr>
            </w:pPr>
            <w:r>
              <w:rPr>
                <w:rFonts w:ascii="Times New Roman" w:cs="Times New Roman" w:eastAsia="Times New Roman" w:hAnsi="Times New Roman"/>
                <w:sz w:val="12"/>
                <w:szCs w:val="12"/>
                <w:color w:val="auto"/>
                <w:w w:val="96"/>
              </w:rPr>
              <w:t>39.6%</w:t>
            </w:r>
          </w:p>
        </w:tc>
      </w:tr>
      <w:tr>
        <w:trPr>
          <w:trHeight w:val="127"/>
        </w:trPr>
        <w:tc>
          <w:tcPr>
            <w:tcW w:w="5640" w:type="dxa"/>
            <w:vAlign w:val="bottom"/>
            <w:tcBorders>
              <w:left w:val="single" w:sz="8" w:color="auto"/>
              <w:right w:val="single" w:sz="8" w:color="auto"/>
            </w:tcBorders>
          </w:tcPr>
          <w:p>
            <w:pPr>
              <w:ind w:left="100"/>
              <w:spacing w:after="0" w:line="127" w:lineRule="exact"/>
              <w:rPr>
                <w:sz w:val="20"/>
                <w:szCs w:val="20"/>
                <w:color w:val="auto"/>
              </w:rPr>
            </w:pPr>
            <w:r>
              <w:rPr>
                <w:rFonts w:ascii="Times New Roman" w:cs="Times New Roman" w:eastAsia="Times New Roman" w:hAnsi="Times New Roman"/>
                <w:sz w:val="12"/>
                <w:szCs w:val="12"/>
                <w:b w:val="1"/>
                <w:bCs w:val="1"/>
                <w:color w:val="auto"/>
              </w:rPr>
              <w:t>Due to banks and correspondents</w:t>
            </w:r>
          </w:p>
        </w:tc>
        <w:tc>
          <w:tcPr>
            <w:tcW w:w="112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b w:val="1"/>
                <w:bCs w:val="1"/>
                <w:color w:val="auto"/>
                <w:w w:val="99"/>
              </w:rPr>
              <w:t>10,314,235</w:t>
            </w:r>
          </w:p>
        </w:tc>
        <w:tc>
          <w:tcPr>
            <w:tcW w:w="112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b w:val="1"/>
                <w:bCs w:val="1"/>
                <w:color w:val="auto"/>
                <w:w w:val="99"/>
              </w:rPr>
              <w:t>9,768,390</w:t>
            </w:r>
          </w:p>
        </w:tc>
        <w:tc>
          <w:tcPr>
            <w:tcW w:w="1140" w:type="dxa"/>
            <w:vAlign w:val="bottom"/>
            <w:tcBorders>
              <w:right w:val="single" w:sz="8" w:color="auto"/>
            </w:tcBorders>
          </w:tcPr>
          <w:p>
            <w:pPr>
              <w:jc w:val="center"/>
              <w:spacing w:after="0" w:line="127" w:lineRule="exact"/>
              <w:rPr>
                <w:sz w:val="20"/>
                <w:szCs w:val="20"/>
                <w:color w:val="auto"/>
              </w:rPr>
            </w:pPr>
            <w:r>
              <w:rPr>
                <w:rFonts w:ascii="Times New Roman" w:cs="Times New Roman" w:eastAsia="Times New Roman" w:hAnsi="Times New Roman"/>
                <w:sz w:val="12"/>
                <w:szCs w:val="12"/>
                <w:b w:val="1"/>
                <w:bCs w:val="1"/>
                <w:color w:val="auto"/>
                <w:w w:val="99"/>
              </w:rPr>
              <w:t>9,195,995</w:t>
            </w:r>
          </w:p>
        </w:tc>
        <w:tc>
          <w:tcPr>
            <w:tcW w:w="780" w:type="dxa"/>
            <w:vAlign w:val="bottom"/>
          </w:tcPr>
          <w:p>
            <w:pPr>
              <w:jc w:val="center"/>
              <w:ind w:left="261"/>
              <w:spacing w:after="0" w:line="127" w:lineRule="exact"/>
              <w:rPr>
                <w:sz w:val="20"/>
                <w:szCs w:val="20"/>
                <w:color w:val="auto"/>
              </w:rPr>
            </w:pPr>
            <w:r>
              <w:rPr>
                <w:rFonts w:ascii="Times New Roman" w:cs="Times New Roman" w:eastAsia="Times New Roman" w:hAnsi="Times New Roman"/>
                <w:sz w:val="12"/>
                <w:szCs w:val="12"/>
                <w:b w:val="1"/>
                <w:bCs w:val="1"/>
                <w:color w:val="auto"/>
                <w:w w:val="96"/>
              </w:rPr>
              <w:t>-5.9%</w:t>
            </w:r>
          </w:p>
        </w:tc>
        <w:tc>
          <w:tcPr>
            <w:tcW w:w="1460" w:type="dxa"/>
            <w:vAlign w:val="bottom"/>
            <w:tcBorders>
              <w:right w:val="single" w:sz="8" w:color="auto"/>
            </w:tcBorders>
          </w:tcPr>
          <w:p>
            <w:pPr>
              <w:jc w:val="center"/>
              <w:ind w:left="241"/>
              <w:spacing w:after="0" w:line="127" w:lineRule="exact"/>
              <w:rPr>
                <w:sz w:val="20"/>
                <w:szCs w:val="20"/>
                <w:color w:val="auto"/>
              </w:rPr>
            </w:pPr>
            <w:r>
              <w:rPr>
                <w:rFonts w:ascii="Times New Roman" w:cs="Times New Roman" w:eastAsia="Times New Roman" w:hAnsi="Times New Roman"/>
                <w:sz w:val="12"/>
                <w:szCs w:val="12"/>
                <w:b w:val="1"/>
                <w:bCs w:val="1"/>
                <w:color w:val="auto"/>
                <w:w w:val="97"/>
              </w:rPr>
              <w:t>-10.8%</w:t>
            </w:r>
          </w:p>
        </w:tc>
      </w:tr>
      <w:tr>
        <w:trPr>
          <w:trHeight w:val="127"/>
        </w:trPr>
        <w:tc>
          <w:tcPr>
            <w:tcW w:w="5640" w:type="dxa"/>
            <w:vAlign w:val="bottom"/>
            <w:tcBorders>
              <w:left w:val="single" w:sz="8" w:color="auto"/>
              <w:right w:val="single" w:sz="8" w:color="auto"/>
            </w:tcBorders>
          </w:tcPr>
          <w:p>
            <w:pPr>
              <w:ind w:left="100"/>
              <w:spacing w:after="0" w:line="127" w:lineRule="exact"/>
              <w:rPr>
                <w:sz w:val="20"/>
                <w:szCs w:val="20"/>
                <w:color w:val="auto"/>
              </w:rPr>
            </w:pPr>
            <w:r>
              <w:rPr>
                <w:rFonts w:ascii="Times New Roman" w:cs="Times New Roman" w:eastAsia="Times New Roman" w:hAnsi="Times New Roman"/>
                <w:sz w:val="12"/>
                <w:szCs w:val="12"/>
                <w:b w:val="1"/>
                <w:bCs w:val="1"/>
                <w:color w:val="auto"/>
              </w:rPr>
              <w:t>Bonds and notes issued</w:t>
            </w:r>
          </w:p>
        </w:tc>
        <w:tc>
          <w:tcPr>
            <w:tcW w:w="112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b w:val="1"/>
                <w:bCs w:val="1"/>
                <w:color w:val="auto"/>
                <w:w w:val="99"/>
              </w:rPr>
              <w:t>10,759,498</w:t>
            </w:r>
          </w:p>
        </w:tc>
        <w:tc>
          <w:tcPr>
            <w:tcW w:w="112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b w:val="1"/>
                <w:bCs w:val="1"/>
                <w:color w:val="auto"/>
                <w:w w:val="96"/>
              </w:rPr>
              <w:t>11,675,417</w:t>
            </w:r>
          </w:p>
        </w:tc>
        <w:tc>
          <w:tcPr>
            <w:tcW w:w="1140" w:type="dxa"/>
            <w:vAlign w:val="bottom"/>
            <w:tcBorders>
              <w:right w:val="single" w:sz="8" w:color="auto"/>
            </w:tcBorders>
          </w:tcPr>
          <w:p>
            <w:pPr>
              <w:jc w:val="center"/>
              <w:spacing w:after="0" w:line="127" w:lineRule="exact"/>
              <w:rPr>
                <w:sz w:val="20"/>
                <w:szCs w:val="20"/>
                <w:color w:val="auto"/>
              </w:rPr>
            </w:pPr>
            <w:r>
              <w:rPr>
                <w:rFonts w:ascii="Times New Roman" w:cs="Times New Roman" w:eastAsia="Times New Roman" w:hAnsi="Times New Roman"/>
                <w:sz w:val="12"/>
                <w:szCs w:val="12"/>
                <w:b w:val="1"/>
                <w:bCs w:val="1"/>
                <w:color w:val="auto"/>
                <w:w w:val="96"/>
              </w:rPr>
              <w:t>12,162,209</w:t>
            </w:r>
          </w:p>
        </w:tc>
        <w:tc>
          <w:tcPr>
            <w:tcW w:w="780" w:type="dxa"/>
            <w:vAlign w:val="bottom"/>
          </w:tcPr>
          <w:p>
            <w:pPr>
              <w:jc w:val="center"/>
              <w:ind w:left="261"/>
              <w:spacing w:after="0" w:line="127" w:lineRule="exact"/>
              <w:rPr>
                <w:sz w:val="20"/>
                <w:szCs w:val="20"/>
                <w:color w:val="auto"/>
              </w:rPr>
            </w:pPr>
            <w:r>
              <w:rPr>
                <w:rFonts w:ascii="Times New Roman" w:cs="Times New Roman" w:eastAsia="Times New Roman" w:hAnsi="Times New Roman"/>
                <w:sz w:val="12"/>
                <w:szCs w:val="12"/>
                <w:b w:val="1"/>
                <w:bCs w:val="1"/>
                <w:color w:val="auto"/>
                <w:w w:val="96"/>
              </w:rPr>
              <w:t>4.2%</w:t>
            </w:r>
          </w:p>
        </w:tc>
        <w:tc>
          <w:tcPr>
            <w:tcW w:w="1460" w:type="dxa"/>
            <w:vAlign w:val="bottom"/>
            <w:tcBorders>
              <w:right w:val="single" w:sz="8" w:color="auto"/>
            </w:tcBorders>
          </w:tcPr>
          <w:p>
            <w:pPr>
              <w:jc w:val="center"/>
              <w:ind w:left="241"/>
              <w:spacing w:after="0" w:line="127" w:lineRule="exact"/>
              <w:rPr>
                <w:sz w:val="20"/>
                <w:szCs w:val="20"/>
                <w:color w:val="auto"/>
              </w:rPr>
            </w:pPr>
            <w:r>
              <w:rPr>
                <w:rFonts w:ascii="Times New Roman" w:cs="Times New Roman" w:eastAsia="Times New Roman" w:hAnsi="Times New Roman"/>
                <w:sz w:val="12"/>
                <w:szCs w:val="12"/>
                <w:b w:val="1"/>
                <w:bCs w:val="1"/>
                <w:color w:val="auto"/>
                <w:w w:val="96"/>
              </w:rPr>
              <w:t>13.0%</w:t>
            </w:r>
          </w:p>
        </w:tc>
      </w:tr>
      <w:tr>
        <w:trPr>
          <w:trHeight w:val="127"/>
        </w:trPr>
        <w:tc>
          <w:tcPr>
            <w:tcW w:w="5640" w:type="dxa"/>
            <w:vAlign w:val="bottom"/>
            <w:tcBorders>
              <w:left w:val="single" w:sz="8" w:color="auto"/>
              <w:right w:val="single" w:sz="8" w:color="auto"/>
            </w:tcBorders>
          </w:tcPr>
          <w:p>
            <w:pPr>
              <w:ind w:left="100"/>
              <w:spacing w:after="0" w:line="127" w:lineRule="exact"/>
              <w:rPr>
                <w:sz w:val="20"/>
                <w:szCs w:val="20"/>
                <w:color w:val="auto"/>
              </w:rPr>
            </w:pPr>
            <w:r>
              <w:rPr>
                <w:rFonts w:ascii="Times New Roman" w:cs="Times New Roman" w:eastAsia="Times New Roman" w:hAnsi="Times New Roman"/>
                <w:sz w:val="12"/>
                <w:szCs w:val="12"/>
                <w:b w:val="1"/>
                <w:bCs w:val="1"/>
                <w:color w:val="auto"/>
              </w:rPr>
              <w:t>Banker’s acceptances outstanding</w:t>
            </w:r>
          </w:p>
        </w:tc>
        <w:tc>
          <w:tcPr>
            <w:tcW w:w="112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b w:val="1"/>
                <w:bCs w:val="1"/>
                <w:color w:val="auto"/>
                <w:w w:val="97"/>
              </w:rPr>
              <w:t>639,749</w:t>
            </w:r>
          </w:p>
        </w:tc>
        <w:tc>
          <w:tcPr>
            <w:tcW w:w="112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b w:val="1"/>
                <w:bCs w:val="1"/>
                <w:color w:val="auto"/>
              </w:rPr>
              <w:t>346,540</w:t>
            </w:r>
          </w:p>
        </w:tc>
        <w:tc>
          <w:tcPr>
            <w:tcW w:w="1140" w:type="dxa"/>
            <w:vAlign w:val="bottom"/>
            <w:tcBorders>
              <w:right w:val="single" w:sz="8" w:color="auto"/>
            </w:tcBorders>
          </w:tcPr>
          <w:p>
            <w:pPr>
              <w:jc w:val="center"/>
              <w:spacing w:after="0" w:line="127" w:lineRule="exact"/>
              <w:rPr>
                <w:sz w:val="20"/>
                <w:szCs w:val="20"/>
                <w:color w:val="auto"/>
              </w:rPr>
            </w:pPr>
            <w:r>
              <w:rPr>
                <w:rFonts w:ascii="Times New Roman" w:cs="Times New Roman" w:eastAsia="Times New Roman" w:hAnsi="Times New Roman"/>
                <w:sz w:val="12"/>
                <w:szCs w:val="12"/>
                <w:b w:val="1"/>
                <w:bCs w:val="1"/>
                <w:color w:val="auto"/>
              </w:rPr>
              <w:t>608,592</w:t>
            </w:r>
          </w:p>
        </w:tc>
        <w:tc>
          <w:tcPr>
            <w:tcW w:w="780" w:type="dxa"/>
            <w:vAlign w:val="bottom"/>
          </w:tcPr>
          <w:p>
            <w:pPr>
              <w:jc w:val="center"/>
              <w:ind w:left="241"/>
              <w:spacing w:after="0" w:line="127" w:lineRule="exact"/>
              <w:rPr>
                <w:sz w:val="20"/>
                <w:szCs w:val="20"/>
                <w:color w:val="auto"/>
              </w:rPr>
            </w:pPr>
            <w:r>
              <w:rPr>
                <w:rFonts w:ascii="Times New Roman" w:cs="Times New Roman" w:eastAsia="Times New Roman" w:hAnsi="Times New Roman"/>
                <w:sz w:val="12"/>
                <w:szCs w:val="12"/>
                <w:b w:val="1"/>
                <w:bCs w:val="1"/>
                <w:color w:val="auto"/>
                <w:w w:val="96"/>
              </w:rPr>
              <w:t>75.6%</w:t>
            </w:r>
          </w:p>
        </w:tc>
        <w:tc>
          <w:tcPr>
            <w:tcW w:w="1460" w:type="dxa"/>
            <w:vAlign w:val="bottom"/>
            <w:tcBorders>
              <w:right w:val="single" w:sz="8" w:color="auto"/>
            </w:tcBorders>
          </w:tcPr>
          <w:p>
            <w:pPr>
              <w:jc w:val="center"/>
              <w:ind w:left="221"/>
              <w:spacing w:after="0" w:line="127" w:lineRule="exact"/>
              <w:rPr>
                <w:sz w:val="20"/>
                <w:szCs w:val="20"/>
                <w:color w:val="auto"/>
              </w:rPr>
            </w:pPr>
            <w:r>
              <w:rPr>
                <w:rFonts w:ascii="Times New Roman" w:cs="Times New Roman" w:eastAsia="Times New Roman" w:hAnsi="Times New Roman"/>
                <w:sz w:val="12"/>
                <w:szCs w:val="12"/>
                <w:b w:val="1"/>
                <w:bCs w:val="1"/>
                <w:color w:val="auto"/>
                <w:w w:val="96"/>
              </w:rPr>
              <w:t>-4.9%</w:t>
            </w:r>
          </w:p>
        </w:tc>
      </w:tr>
      <w:tr>
        <w:trPr>
          <w:trHeight w:val="121"/>
        </w:trPr>
        <w:tc>
          <w:tcPr>
            <w:tcW w:w="5640" w:type="dxa"/>
            <w:vAlign w:val="bottom"/>
            <w:tcBorders>
              <w:left w:val="single" w:sz="8" w:color="auto"/>
              <w:right w:val="single" w:sz="8" w:color="auto"/>
            </w:tcBorders>
          </w:tcPr>
          <w:p>
            <w:pPr>
              <w:ind w:left="100"/>
              <w:spacing w:after="0" w:line="121" w:lineRule="exact"/>
              <w:rPr>
                <w:sz w:val="20"/>
                <w:szCs w:val="20"/>
                <w:color w:val="auto"/>
              </w:rPr>
            </w:pPr>
            <w:r>
              <w:rPr>
                <w:rFonts w:ascii="Times New Roman" w:cs="Times New Roman" w:eastAsia="Times New Roman" w:hAnsi="Times New Roman"/>
                <w:sz w:val="12"/>
                <w:szCs w:val="12"/>
                <w:b w:val="1"/>
                <w:bCs w:val="1"/>
                <w:color w:val="auto"/>
              </w:rPr>
              <w:t>Financial liabilities at fair value through profit or loss</w:t>
            </w:r>
          </w:p>
        </w:tc>
        <w:tc>
          <w:tcPr>
            <w:tcW w:w="1120" w:type="dxa"/>
            <w:vAlign w:val="bottom"/>
          </w:tcPr>
          <w:p>
            <w:pPr>
              <w:jc w:val="center"/>
              <w:spacing w:after="0" w:line="121" w:lineRule="exact"/>
              <w:rPr>
                <w:sz w:val="20"/>
                <w:szCs w:val="20"/>
                <w:color w:val="auto"/>
              </w:rPr>
            </w:pPr>
            <w:r>
              <w:rPr>
                <w:rFonts w:ascii="Times New Roman" w:cs="Times New Roman" w:eastAsia="Times New Roman" w:hAnsi="Times New Roman"/>
                <w:sz w:val="12"/>
                <w:szCs w:val="12"/>
                <w:b w:val="1"/>
                <w:bCs w:val="1"/>
                <w:color w:val="auto"/>
                <w:w w:val="97"/>
              </w:rPr>
              <w:t>367,988</w:t>
            </w:r>
          </w:p>
        </w:tc>
        <w:tc>
          <w:tcPr>
            <w:tcW w:w="1120" w:type="dxa"/>
            <w:vAlign w:val="bottom"/>
          </w:tcPr>
          <w:p>
            <w:pPr>
              <w:jc w:val="center"/>
              <w:spacing w:after="0" w:line="121" w:lineRule="exact"/>
              <w:rPr>
                <w:sz w:val="20"/>
                <w:szCs w:val="20"/>
                <w:color w:val="auto"/>
              </w:rPr>
            </w:pPr>
            <w:r>
              <w:rPr>
                <w:rFonts w:ascii="Times New Roman" w:cs="Times New Roman" w:eastAsia="Times New Roman" w:hAnsi="Times New Roman"/>
                <w:sz w:val="12"/>
                <w:szCs w:val="12"/>
                <w:b w:val="1"/>
                <w:bCs w:val="1"/>
                <w:color w:val="auto"/>
              </w:rPr>
              <w:t>578,541</w:t>
            </w:r>
          </w:p>
        </w:tc>
        <w:tc>
          <w:tcPr>
            <w:tcW w:w="1140" w:type="dxa"/>
            <w:vAlign w:val="bottom"/>
            <w:tcBorders>
              <w:right w:val="single" w:sz="8" w:color="auto"/>
            </w:tcBorders>
          </w:tcPr>
          <w:p>
            <w:pPr>
              <w:jc w:val="center"/>
              <w:spacing w:after="0" w:line="121" w:lineRule="exact"/>
              <w:rPr>
                <w:sz w:val="20"/>
                <w:szCs w:val="20"/>
                <w:color w:val="auto"/>
              </w:rPr>
            </w:pPr>
            <w:r>
              <w:rPr>
                <w:rFonts w:ascii="Times New Roman" w:cs="Times New Roman" w:eastAsia="Times New Roman" w:hAnsi="Times New Roman"/>
                <w:sz w:val="12"/>
                <w:szCs w:val="12"/>
                <w:b w:val="1"/>
                <w:bCs w:val="1"/>
                <w:color w:val="auto"/>
              </w:rPr>
              <w:t>784,502</w:t>
            </w:r>
          </w:p>
        </w:tc>
        <w:tc>
          <w:tcPr>
            <w:tcW w:w="780" w:type="dxa"/>
            <w:vAlign w:val="bottom"/>
          </w:tcPr>
          <w:p>
            <w:pPr>
              <w:jc w:val="center"/>
              <w:ind w:left="241"/>
              <w:spacing w:after="0" w:line="121" w:lineRule="exact"/>
              <w:rPr>
                <w:sz w:val="20"/>
                <w:szCs w:val="20"/>
                <w:color w:val="auto"/>
              </w:rPr>
            </w:pPr>
            <w:r>
              <w:rPr>
                <w:rFonts w:ascii="Times New Roman" w:cs="Times New Roman" w:eastAsia="Times New Roman" w:hAnsi="Times New Roman"/>
                <w:sz w:val="12"/>
                <w:szCs w:val="12"/>
                <w:b w:val="1"/>
                <w:bCs w:val="1"/>
                <w:color w:val="auto"/>
                <w:w w:val="96"/>
              </w:rPr>
              <w:t>35.6%</w:t>
            </w:r>
          </w:p>
        </w:tc>
        <w:tc>
          <w:tcPr>
            <w:tcW w:w="1460" w:type="dxa"/>
            <w:vAlign w:val="bottom"/>
            <w:tcBorders>
              <w:right w:val="single" w:sz="8" w:color="auto"/>
            </w:tcBorders>
          </w:tcPr>
          <w:p>
            <w:pPr>
              <w:jc w:val="center"/>
              <w:ind w:left="221"/>
              <w:spacing w:after="0" w:line="121" w:lineRule="exact"/>
              <w:rPr>
                <w:sz w:val="20"/>
                <w:szCs w:val="20"/>
                <w:color w:val="auto"/>
              </w:rPr>
            </w:pPr>
            <w:r>
              <w:rPr>
                <w:rFonts w:ascii="Times New Roman" w:cs="Times New Roman" w:eastAsia="Times New Roman" w:hAnsi="Times New Roman"/>
                <w:sz w:val="12"/>
                <w:szCs w:val="12"/>
                <w:b w:val="1"/>
                <w:bCs w:val="1"/>
                <w:color w:val="auto"/>
                <w:w w:val="97"/>
              </w:rPr>
              <w:t>113.2%</w:t>
            </w:r>
          </w:p>
        </w:tc>
      </w:tr>
      <w:tr>
        <w:trPr>
          <w:trHeight w:val="260"/>
        </w:trPr>
        <w:tc>
          <w:tcPr>
            <w:tcW w:w="56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2"/>
                <w:szCs w:val="12"/>
                <w:b w:val="1"/>
                <w:bCs w:val="1"/>
                <w:color w:val="auto"/>
              </w:rPr>
              <w:t xml:space="preserve">Other liabilities </w:t>
            </w:r>
            <w:r>
              <w:rPr>
                <w:rFonts w:ascii="Times New Roman" w:cs="Times New Roman" w:eastAsia="Times New Roman" w:hAnsi="Times New Roman"/>
                <w:sz w:val="19"/>
                <w:szCs w:val="19"/>
                <w:b w:val="1"/>
                <w:bCs w:val="1"/>
                <w:color w:val="auto"/>
                <w:vertAlign w:val="superscript"/>
              </w:rPr>
              <w:t>(3)</w:t>
            </w: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10,599,135</w:t>
            </w: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6,014,541</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12,894,438</w:t>
            </w:r>
          </w:p>
        </w:tc>
        <w:tc>
          <w:tcPr>
            <w:tcW w:w="780" w:type="dxa"/>
            <w:vAlign w:val="bottom"/>
          </w:tcPr>
          <w:p>
            <w:pPr>
              <w:jc w:val="center"/>
              <w:ind w:left="261"/>
              <w:spacing w:after="0"/>
              <w:rPr>
                <w:sz w:val="20"/>
                <w:szCs w:val="20"/>
                <w:color w:val="auto"/>
              </w:rPr>
            </w:pPr>
            <w:r>
              <w:rPr>
                <w:rFonts w:ascii="Times New Roman" w:cs="Times New Roman" w:eastAsia="Times New Roman" w:hAnsi="Times New Roman"/>
                <w:sz w:val="12"/>
                <w:szCs w:val="12"/>
                <w:b w:val="1"/>
                <w:bCs w:val="1"/>
                <w:color w:val="auto"/>
                <w:w w:val="97"/>
              </w:rPr>
              <w:t>114.4%</w:t>
            </w:r>
          </w:p>
        </w:tc>
        <w:tc>
          <w:tcPr>
            <w:tcW w:w="1460" w:type="dxa"/>
            <w:vAlign w:val="bottom"/>
            <w:tcBorders>
              <w:right w:val="single" w:sz="8" w:color="auto"/>
            </w:tcBorders>
          </w:tcPr>
          <w:p>
            <w:pPr>
              <w:jc w:val="center"/>
              <w:ind w:left="241"/>
              <w:spacing w:after="0"/>
              <w:rPr>
                <w:sz w:val="20"/>
                <w:szCs w:val="20"/>
                <w:color w:val="auto"/>
              </w:rPr>
            </w:pPr>
            <w:r>
              <w:rPr>
                <w:rFonts w:ascii="Times New Roman" w:cs="Times New Roman" w:eastAsia="Times New Roman" w:hAnsi="Times New Roman"/>
                <w:sz w:val="12"/>
                <w:szCs w:val="12"/>
                <w:b w:val="1"/>
                <w:bCs w:val="1"/>
                <w:color w:val="auto"/>
                <w:w w:val="96"/>
              </w:rPr>
              <w:t>21.7%</w:t>
            </w:r>
          </w:p>
        </w:tc>
      </w:tr>
      <w:tr>
        <w:trPr>
          <w:trHeight w:val="156"/>
        </w:trPr>
        <w:tc>
          <w:tcPr>
            <w:tcW w:w="56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Total Liabilities</w:t>
            </w: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187,166,115</w:t>
            </w: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191,476,467</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204,700,255</w:t>
            </w:r>
          </w:p>
        </w:tc>
        <w:tc>
          <w:tcPr>
            <w:tcW w:w="780" w:type="dxa"/>
            <w:vAlign w:val="bottom"/>
          </w:tcPr>
          <w:p>
            <w:pPr>
              <w:jc w:val="center"/>
              <w:ind w:left="261"/>
              <w:spacing w:after="0"/>
              <w:rPr>
                <w:sz w:val="20"/>
                <w:szCs w:val="20"/>
                <w:color w:val="auto"/>
              </w:rPr>
            </w:pPr>
            <w:r>
              <w:rPr>
                <w:rFonts w:ascii="Times New Roman" w:cs="Times New Roman" w:eastAsia="Times New Roman" w:hAnsi="Times New Roman"/>
                <w:sz w:val="12"/>
                <w:szCs w:val="12"/>
                <w:b w:val="1"/>
                <w:bCs w:val="1"/>
                <w:color w:val="auto"/>
                <w:w w:val="96"/>
              </w:rPr>
              <w:t>6.9%</w:t>
            </w:r>
          </w:p>
        </w:tc>
        <w:tc>
          <w:tcPr>
            <w:tcW w:w="1460" w:type="dxa"/>
            <w:vAlign w:val="bottom"/>
            <w:tcBorders>
              <w:right w:val="single" w:sz="8" w:color="auto"/>
            </w:tcBorders>
          </w:tcPr>
          <w:p>
            <w:pPr>
              <w:jc w:val="center"/>
              <w:ind w:left="221"/>
              <w:spacing w:after="0"/>
              <w:rPr>
                <w:sz w:val="20"/>
                <w:szCs w:val="20"/>
                <w:color w:val="auto"/>
              </w:rPr>
            </w:pPr>
            <w:r>
              <w:rPr>
                <w:rFonts w:ascii="Times New Roman" w:cs="Times New Roman" w:eastAsia="Times New Roman" w:hAnsi="Times New Roman"/>
                <w:sz w:val="12"/>
                <w:szCs w:val="12"/>
                <w:b w:val="1"/>
                <w:bCs w:val="1"/>
                <w:color w:val="auto"/>
                <w:w w:val="96"/>
              </w:rPr>
              <w:t>9.4%</w:t>
            </w:r>
          </w:p>
        </w:tc>
      </w:tr>
      <w:tr>
        <w:trPr>
          <w:trHeight w:val="227"/>
        </w:trPr>
        <w:tc>
          <w:tcPr>
            <w:tcW w:w="56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2"/>
                <w:szCs w:val="12"/>
                <w:b w:val="1"/>
                <w:bCs w:val="1"/>
                <w:color w:val="auto"/>
              </w:rPr>
              <w:t>Net equity</w:t>
            </w: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22,896,863</w:t>
            </w: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28,295,366</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24,366,155</w:t>
            </w:r>
          </w:p>
        </w:tc>
        <w:tc>
          <w:tcPr>
            <w:tcW w:w="780" w:type="dxa"/>
            <w:vAlign w:val="bottom"/>
          </w:tcPr>
          <w:p>
            <w:pPr>
              <w:jc w:val="center"/>
              <w:ind w:left="241"/>
              <w:spacing w:after="0"/>
              <w:rPr>
                <w:sz w:val="20"/>
                <w:szCs w:val="20"/>
                <w:color w:val="auto"/>
              </w:rPr>
            </w:pPr>
            <w:r>
              <w:rPr>
                <w:rFonts w:ascii="Times New Roman" w:cs="Times New Roman" w:eastAsia="Times New Roman" w:hAnsi="Times New Roman"/>
                <w:sz w:val="12"/>
                <w:szCs w:val="12"/>
                <w:b w:val="1"/>
                <w:bCs w:val="1"/>
                <w:color w:val="auto"/>
                <w:w w:val="97"/>
              </w:rPr>
              <w:t>-13.9%</w:t>
            </w:r>
          </w:p>
        </w:tc>
        <w:tc>
          <w:tcPr>
            <w:tcW w:w="1460" w:type="dxa"/>
            <w:vAlign w:val="bottom"/>
            <w:tcBorders>
              <w:right w:val="single" w:sz="8" w:color="auto"/>
            </w:tcBorders>
          </w:tcPr>
          <w:p>
            <w:pPr>
              <w:jc w:val="center"/>
              <w:ind w:left="221"/>
              <w:spacing w:after="0"/>
              <w:rPr>
                <w:sz w:val="20"/>
                <w:szCs w:val="20"/>
                <w:color w:val="auto"/>
              </w:rPr>
            </w:pPr>
            <w:r>
              <w:rPr>
                <w:rFonts w:ascii="Times New Roman" w:cs="Times New Roman" w:eastAsia="Times New Roman" w:hAnsi="Times New Roman"/>
                <w:sz w:val="12"/>
                <w:szCs w:val="12"/>
                <w:b w:val="1"/>
                <w:bCs w:val="1"/>
                <w:color w:val="auto"/>
                <w:w w:val="96"/>
              </w:rPr>
              <w:t>6.4%</w:t>
            </w:r>
          </w:p>
        </w:tc>
      </w:tr>
      <w:tr>
        <w:trPr>
          <w:trHeight w:val="127"/>
        </w:trPr>
        <w:tc>
          <w:tcPr>
            <w:tcW w:w="5640" w:type="dxa"/>
            <w:vAlign w:val="bottom"/>
            <w:tcBorders>
              <w:left w:val="single" w:sz="8" w:color="auto"/>
              <w:right w:val="single" w:sz="8" w:color="auto"/>
            </w:tcBorders>
          </w:tcPr>
          <w:p>
            <w:pPr>
              <w:ind w:left="160"/>
              <w:spacing w:after="0" w:line="127" w:lineRule="exact"/>
              <w:rPr>
                <w:sz w:val="20"/>
                <w:szCs w:val="20"/>
                <w:color w:val="auto"/>
              </w:rPr>
            </w:pPr>
            <w:r>
              <w:rPr>
                <w:rFonts w:ascii="Times New Roman" w:cs="Times New Roman" w:eastAsia="Times New Roman" w:hAnsi="Times New Roman"/>
                <w:sz w:val="12"/>
                <w:szCs w:val="12"/>
                <w:color w:val="auto"/>
              </w:rPr>
              <w:t>Capital stock</w:t>
            </w:r>
          </w:p>
        </w:tc>
        <w:tc>
          <w:tcPr>
            <w:tcW w:w="112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9"/>
              </w:rPr>
              <w:t>12,679,794</w:t>
            </w:r>
          </w:p>
        </w:tc>
        <w:tc>
          <w:tcPr>
            <w:tcW w:w="112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6"/>
              </w:rPr>
              <w:t>12,679,794</w:t>
            </w:r>
          </w:p>
        </w:tc>
        <w:tc>
          <w:tcPr>
            <w:tcW w:w="1140" w:type="dxa"/>
            <w:vAlign w:val="bottom"/>
            <w:tcBorders>
              <w:right w:val="single" w:sz="8" w:color="auto"/>
            </w:tcBorders>
          </w:tcPr>
          <w:p>
            <w:pPr>
              <w:jc w:val="center"/>
              <w:spacing w:after="0" w:line="127" w:lineRule="exact"/>
              <w:rPr>
                <w:sz w:val="20"/>
                <w:szCs w:val="20"/>
                <w:color w:val="auto"/>
              </w:rPr>
            </w:pPr>
            <w:r>
              <w:rPr>
                <w:rFonts w:ascii="Times New Roman" w:cs="Times New Roman" w:eastAsia="Times New Roman" w:hAnsi="Times New Roman"/>
                <w:sz w:val="12"/>
                <w:szCs w:val="12"/>
                <w:color w:val="auto"/>
                <w:w w:val="96"/>
              </w:rPr>
              <w:t>12,679,794</w:t>
            </w:r>
          </w:p>
        </w:tc>
        <w:tc>
          <w:tcPr>
            <w:tcW w:w="780" w:type="dxa"/>
            <w:vAlign w:val="bottom"/>
          </w:tcPr>
          <w:p>
            <w:pPr>
              <w:jc w:val="center"/>
              <w:ind w:left="241"/>
              <w:spacing w:after="0" w:line="127" w:lineRule="exact"/>
              <w:rPr>
                <w:sz w:val="20"/>
                <w:szCs w:val="20"/>
                <w:color w:val="auto"/>
              </w:rPr>
            </w:pPr>
            <w:r>
              <w:rPr>
                <w:rFonts w:ascii="Times New Roman" w:cs="Times New Roman" w:eastAsia="Times New Roman" w:hAnsi="Times New Roman"/>
                <w:sz w:val="12"/>
                <w:szCs w:val="12"/>
                <w:color w:val="auto"/>
                <w:w w:val="95"/>
              </w:rPr>
              <w:t>0.0%</w:t>
            </w:r>
          </w:p>
        </w:tc>
        <w:tc>
          <w:tcPr>
            <w:tcW w:w="1460" w:type="dxa"/>
            <w:vAlign w:val="bottom"/>
            <w:tcBorders>
              <w:right w:val="single" w:sz="8" w:color="auto"/>
            </w:tcBorders>
          </w:tcPr>
          <w:p>
            <w:pPr>
              <w:jc w:val="center"/>
              <w:ind w:left="241"/>
              <w:spacing w:after="0" w:line="127" w:lineRule="exact"/>
              <w:rPr>
                <w:sz w:val="20"/>
                <w:szCs w:val="20"/>
                <w:color w:val="auto"/>
              </w:rPr>
            </w:pPr>
            <w:r>
              <w:rPr>
                <w:rFonts w:ascii="Times New Roman" w:cs="Times New Roman" w:eastAsia="Times New Roman" w:hAnsi="Times New Roman"/>
                <w:sz w:val="12"/>
                <w:szCs w:val="12"/>
                <w:color w:val="auto"/>
                <w:w w:val="95"/>
              </w:rPr>
              <w:t>0.0%</w:t>
            </w:r>
          </w:p>
        </w:tc>
      </w:tr>
      <w:tr>
        <w:trPr>
          <w:trHeight w:val="127"/>
        </w:trPr>
        <w:tc>
          <w:tcPr>
            <w:tcW w:w="5640" w:type="dxa"/>
            <w:vAlign w:val="bottom"/>
            <w:tcBorders>
              <w:left w:val="single" w:sz="8" w:color="auto"/>
              <w:right w:val="single" w:sz="8" w:color="auto"/>
            </w:tcBorders>
          </w:tcPr>
          <w:p>
            <w:pPr>
              <w:ind w:left="100"/>
              <w:spacing w:after="0" w:line="127" w:lineRule="exact"/>
              <w:rPr>
                <w:sz w:val="20"/>
                <w:szCs w:val="20"/>
                <w:color w:val="auto"/>
              </w:rPr>
            </w:pPr>
            <w:r>
              <w:rPr>
                <w:rFonts w:ascii="Times New Roman" w:cs="Times New Roman" w:eastAsia="Times New Roman" w:hAnsi="Times New Roman"/>
                <w:sz w:val="12"/>
                <w:szCs w:val="12"/>
                <w:color w:val="auto"/>
              </w:rPr>
              <w:t>Reserves</w:t>
            </w:r>
          </w:p>
        </w:tc>
        <w:tc>
          <w:tcPr>
            <w:tcW w:w="112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9"/>
              </w:rPr>
              <w:t>5,905,440</w:t>
            </w:r>
          </w:p>
        </w:tc>
        <w:tc>
          <w:tcPr>
            <w:tcW w:w="112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9"/>
              </w:rPr>
              <w:t>5,906,590</w:t>
            </w:r>
          </w:p>
        </w:tc>
        <w:tc>
          <w:tcPr>
            <w:tcW w:w="1140" w:type="dxa"/>
            <w:vAlign w:val="bottom"/>
            <w:tcBorders>
              <w:right w:val="single" w:sz="8" w:color="auto"/>
            </w:tcBorders>
          </w:tcPr>
          <w:p>
            <w:pPr>
              <w:jc w:val="center"/>
              <w:spacing w:after="0" w:line="127" w:lineRule="exact"/>
              <w:rPr>
                <w:sz w:val="20"/>
                <w:szCs w:val="20"/>
                <w:color w:val="auto"/>
              </w:rPr>
            </w:pPr>
            <w:r>
              <w:rPr>
                <w:rFonts w:ascii="Times New Roman" w:cs="Times New Roman" w:eastAsia="Times New Roman" w:hAnsi="Times New Roman"/>
                <w:sz w:val="12"/>
                <w:szCs w:val="12"/>
                <w:color w:val="auto"/>
                <w:w w:val="99"/>
              </w:rPr>
              <w:t>5,906,590</w:t>
            </w:r>
          </w:p>
        </w:tc>
        <w:tc>
          <w:tcPr>
            <w:tcW w:w="780" w:type="dxa"/>
            <w:vAlign w:val="bottom"/>
          </w:tcPr>
          <w:p>
            <w:pPr>
              <w:jc w:val="center"/>
              <w:ind w:left="241"/>
              <w:spacing w:after="0" w:line="127" w:lineRule="exact"/>
              <w:rPr>
                <w:sz w:val="20"/>
                <w:szCs w:val="20"/>
                <w:color w:val="auto"/>
              </w:rPr>
            </w:pPr>
            <w:r>
              <w:rPr>
                <w:rFonts w:ascii="Times New Roman" w:cs="Times New Roman" w:eastAsia="Times New Roman" w:hAnsi="Times New Roman"/>
                <w:sz w:val="12"/>
                <w:szCs w:val="12"/>
                <w:color w:val="auto"/>
                <w:w w:val="95"/>
              </w:rPr>
              <w:t>0.0%</w:t>
            </w:r>
          </w:p>
        </w:tc>
        <w:tc>
          <w:tcPr>
            <w:tcW w:w="1460" w:type="dxa"/>
            <w:vAlign w:val="bottom"/>
            <w:tcBorders>
              <w:right w:val="single" w:sz="8" w:color="auto"/>
            </w:tcBorders>
          </w:tcPr>
          <w:p>
            <w:pPr>
              <w:jc w:val="center"/>
              <w:ind w:left="241"/>
              <w:spacing w:after="0" w:line="127" w:lineRule="exact"/>
              <w:rPr>
                <w:sz w:val="20"/>
                <w:szCs w:val="20"/>
                <w:color w:val="auto"/>
              </w:rPr>
            </w:pPr>
            <w:r>
              <w:rPr>
                <w:rFonts w:ascii="Times New Roman" w:cs="Times New Roman" w:eastAsia="Times New Roman" w:hAnsi="Times New Roman"/>
                <w:sz w:val="12"/>
                <w:szCs w:val="12"/>
                <w:color w:val="auto"/>
                <w:w w:val="95"/>
              </w:rPr>
              <w:t>0.0%</w:t>
            </w:r>
          </w:p>
        </w:tc>
      </w:tr>
      <w:tr>
        <w:trPr>
          <w:trHeight w:val="127"/>
        </w:trPr>
        <w:tc>
          <w:tcPr>
            <w:tcW w:w="5640" w:type="dxa"/>
            <w:vAlign w:val="bottom"/>
            <w:tcBorders>
              <w:left w:val="single" w:sz="8" w:color="auto"/>
              <w:right w:val="single" w:sz="8" w:color="auto"/>
            </w:tcBorders>
          </w:tcPr>
          <w:p>
            <w:pPr>
              <w:ind w:left="160"/>
              <w:spacing w:after="0" w:line="127" w:lineRule="exact"/>
              <w:rPr>
                <w:sz w:val="20"/>
                <w:szCs w:val="20"/>
                <w:color w:val="auto"/>
              </w:rPr>
            </w:pPr>
            <w:r>
              <w:rPr>
                <w:rFonts w:ascii="Times New Roman" w:cs="Times New Roman" w:eastAsia="Times New Roman" w:hAnsi="Times New Roman"/>
                <w:sz w:val="12"/>
                <w:szCs w:val="12"/>
                <w:color w:val="auto"/>
              </w:rPr>
              <w:t>Unrealized gains and losses</w:t>
            </w:r>
          </w:p>
        </w:tc>
        <w:tc>
          <w:tcPr>
            <w:tcW w:w="112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7"/>
              </w:rPr>
              <w:t>141,193</w:t>
            </w:r>
          </w:p>
        </w:tc>
        <w:tc>
          <w:tcPr>
            <w:tcW w:w="112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rPr>
              <w:t>638,465</w:t>
            </w:r>
          </w:p>
        </w:tc>
        <w:tc>
          <w:tcPr>
            <w:tcW w:w="1140" w:type="dxa"/>
            <w:vAlign w:val="bottom"/>
            <w:tcBorders>
              <w:right w:val="single" w:sz="8" w:color="auto"/>
            </w:tcBorders>
          </w:tcPr>
          <w:p>
            <w:pPr>
              <w:jc w:val="center"/>
              <w:spacing w:after="0" w:line="127" w:lineRule="exact"/>
              <w:rPr>
                <w:sz w:val="20"/>
                <w:szCs w:val="20"/>
                <w:color w:val="auto"/>
              </w:rPr>
            </w:pPr>
            <w:r>
              <w:rPr>
                <w:rFonts w:ascii="Times New Roman" w:cs="Times New Roman" w:eastAsia="Times New Roman" w:hAnsi="Times New Roman"/>
                <w:sz w:val="12"/>
                <w:szCs w:val="12"/>
                <w:color w:val="auto"/>
              </w:rPr>
              <w:t>195,628</w:t>
            </w:r>
          </w:p>
        </w:tc>
        <w:tc>
          <w:tcPr>
            <w:tcW w:w="780" w:type="dxa"/>
            <w:vAlign w:val="bottom"/>
          </w:tcPr>
          <w:p>
            <w:pPr>
              <w:jc w:val="center"/>
              <w:ind w:left="261"/>
              <w:spacing w:after="0" w:line="127" w:lineRule="exact"/>
              <w:rPr>
                <w:sz w:val="20"/>
                <w:szCs w:val="20"/>
                <w:color w:val="auto"/>
              </w:rPr>
            </w:pPr>
            <w:r>
              <w:rPr>
                <w:rFonts w:ascii="Times New Roman" w:cs="Times New Roman" w:eastAsia="Times New Roman" w:hAnsi="Times New Roman"/>
                <w:sz w:val="12"/>
                <w:szCs w:val="12"/>
                <w:color w:val="auto"/>
                <w:w w:val="97"/>
              </w:rPr>
              <w:t>-69.4%</w:t>
            </w:r>
          </w:p>
        </w:tc>
        <w:tc>
          <w:tcPr>
            <w:tcW w:w="1460" w:type="dxa"/>
            <w:vAlign w:val="bottom"/>
            <w:tcBorders>
              <w:right w:val="single" w:sz="8" w:color="auto"/>
            </w:tcBorders>
          </w:tcPr>
          <w:p>
            <w:pPr>
              <w:jc w:val="center"/>
              <w:ind w:left="221"/>
              <w:spacing w:after="0" w:line="127" w:lineRule="exact"/>
              <w:rPr>
                <w:sz w:val="20"/>
                <w:szCs w:val="20"/>
                <w:color w:val="auto"/>
              </w:rPr>
            </w:pPr>
            <w:r>
              <w:rPr>
                <w:rFonts w:ascii="Times New Roman" w:cs="Times New Roman" w:eastAsia="Times New Roman" w:hAnsi="Times New Roman"/>
                <w:sz w:val="12"/>
                <w:szCs w:val="12"/>
                <w:color w:val="auto"/>
                <w:w w:val="96"/>
              </w:rPr>
              <w:t>38.6%</w:t>
            </w:r>
          </w:p>
        </w:tc>
      </w:tr>
      <w:tr>
        <w:trPr>
          <w:trHeight w:val="154"/>
        </w:trPr>
        <w:tc>
          <w:tcPr>
            <w:tcW w:w="564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2"/>
                <w:szCs w:val="12"/>
                <w:color w:val="auto"/>
              </w:rPr>
              <w:t>Retained earnings</w:t>
            </w: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4,170,436</w:t>
            </w: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9,070,517</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5,584,143</w:t>
            </w:r>
          </w:p>
        </w:tc>
        <w:tc>
          <w:tcPr>
            <w:tcW w:w="780" w:type="dxa"/>
            <w:vAlign w:val="bottom"/>
          </w:tcPr>
          <w:p>
            <w:pPr>
              <w:jc w:val="center"/>
              <w:ind w:left="261"/>
              <w:spacing w:after="0"/>
              <w:rPr>
                <w:sz w:val="20"/>
                <w:szCs w:val="20"/>
                <w:color w:val="auto"/>
              </w:rPr>
            </w:pPr>
            <w:r>
              <w:rPr>
                <w:rFonts w:ascii="Times New Roman" w:cs="Times New Roman" w:eastAsia="Times New Roman" w:hAnsi="Times New Roman"/>
                <w:sz w:val="12"/>
                <w:szCs w:val="12"/>
                <w:color w:val="auto"/>
                <w:w w:val="97"/>
              </w:rPr>
              <w:t>-38.4%</w:t>
            </w:r>
          </w:p>
        </w:tc>
        <w:tc>
          <w:tcPr>
            <w:tcW w:w="1460" w:type="dxa"/>
            <w:vAlign w:val="bottom"/>
            <w:tcBorders>
              <w:right w:val="single" w:sz="8" w:color="auto"/>
            </w:tcBorders>
          </w:tcPr>
          <w:p>
            <w:pPr>
              <w:jc w:val="center"/>
              <w:ind w:left="221"/>
              <w:spacing w:after="0"/>
              <w:rPr>
                <w:sz w:val="20"/>
                <w:szCs w:val="20"/>
                <w:color w:val="auto"/>
              </w:rPr>
            </w:pPr>
            <w:r>
              <w:rPr>
                <w:rFonts w:ascii="Times New Roman" w:cs="Times New Roman" w:eastAsia="Times New Roman" w:hAnsi="Times New Roman"/>
                <w:sz w:val="12"/>
                <w:szCs w:val="12"/>
                <w:color w:val="auto"/>
                <w:w w:val="96"/>
              </w:rPr>
              <w:t>33.9%</w:t>
            </w:r>
          </w:p>
        </w:tc>
      </w:tr>
      <w:tr>
        <w:trPr>
          <w:trHeight w:val="254"/>
        </w:trPr>
        <w:tc>
          <w:tcPr>
            <w:tcW w:w="56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2"/>
                <w:szCs w:val="12"/>
                <w:color w:val="auto"/>
              </w:rPr>
              <w:t>Non-controlling interest</w:t>
            </w: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134,650</w:t>
            </w: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150,636</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141,337</w:t>
            </w:r>
          </w:p>
        </w:tc>
        <w:tc>
          <w:tcPr>
            <w:tcW w:w="780" w:type="dxa"/>
            <w:vAlign w:val="bottom"/>
          </w:tcPr>
          <w:p>
            <w:pPr>
              <w:jc w:val="center"/>
              <w:ind w:left="241"/>
              <w:spacing w:after="0"/>
              <w:rPr>
                <w:sz w:val="20"/>
                <w:szCs w:val="20"/>
                <w:color w:val="auto"/>
              </w:rPr>
            </w:pPr>
            <w:r>
              <w:rPr>
                <w:rFonts w:ascii="Times New Roman" w:cs="Times New Roman" w:eastAsia="Times New Roman" w:hAnsi="Times New Roman"/>
                <w:sz w:val="12"/>
                <w:szCs w:val="12"/>
                <w:color w:val="auto"/>
                <w:w w:val="96"/>
              </w:rPr>
              <w:t>-6.2%</w:t>
            </w:r>
          </w:p>
        </w:tc>
        <w:tc>
          <w:tcPr>
            <w:tcW w:w="1460" w:type="dxa"/>
            <w:vAlign w:val="bottom"/>
            <w:tcBorders>
              <w:right w:val="single" w:sz="8" w:color="auto"/>
            </w:tcBorders>
          </w:tcPr>
          <w:p>
            <w:pPr>
              <w:jc w:val="center"/>
              <w:ind w:left="241"/>
              <w:spacing w:after="0"/>
              <w:rPr>
                <w:sz w:val="20"/>
                <w:szCs w:val="20"/>
                <w:color w:val="auto"/>
              </w:rPr>
            </w:pPr>
            <w:r>
              <w:rPr>
                <w:rFonts w:ascii="Times New Roman" w:cs="Times New Roman" w:eastAsia="Times New Roman" w:hAnsi="Times New Roman"/>
                <w:sz w:val="12"/>
                <w:szCs w:val="12"/>
                <w:color w:val="auto"/>
                <w:w w:val="95"/>
              </w:rPr>
              <w:t>5.0%</w:t>
            </w:r>
          </w:p>
        </w:tc>
      </w:tr>
      <w:tr>
        <w:trPr>
          <w:trHeight w:val="254"/>
        </w:trPr>
        <w:tc>
          <w:tcPr>
            <w:tcW w:w="56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Total Net Equity</w:t>
            </w: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23,031,513</w:t>
            </w: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28,446,002</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24,507,492</w:t>
            </w:r>
          </w:p>
        </w:tc>
        <w:tc>
          <w:tcPr>
            <w:tcW w:w="780" w:type="dxa"/>
            <w:vAlign w:val="bottom"/>
          </w:tcPr>
          <w:p>
            <w:pPr>
              <w:jc w:val="center"/>
              <w:ind w:left="241"/>
              <w:spacing w:after="0"/>
              <w:rPr>
                <w:sz w:val="20"/>
                <w:szCs w:val="20"/>
                <w:color w:val="auto"/>
              </w:rPr>
            </w:pPr>
            <w:r>
              <w:rPr>
                <w:rFonts w:ascii="Times New Roman" w:cs="Times New Roman" w:eastAsia="Times New Roman" w:hAnsi="Times New Roman"/>
                <w:sz w:val="12"/>
                <w:szCs w:val="12"/>
                <w:b w:val="1"/>
                <w:bCs w:val="1"/>
                <w:color w:val="auto"/>
                <w:w w:val="97"/>
              </w:rPr>
              <w:t>-13.8%</w:t>
            </w:r>
          </w:p>
        </w:tc>
        <w:tc>
          <w:tcPr>
            <w:tcW w:w="1460" w:type="dxa"/>
            <w:vAlign w:val="bottom"/>
            <w:tcBorders>
              <w:right w:val="single" w:sz="8" w:color="auto"/>
            </w:tcBorders>
          </w:tcPr>
          <w:p>
            <w:pPr>
              <w:jc w:val="center"/>
              <w:ind w:left="221"/>
              <w:spacing w:after="0"/>
              <w:rPr>
                <w:sz w:val="20"/>
                <w:szCs w:val="20"/>
                <w:color w:val="auto"/>
              </w:rPr>
            </w:pPr>
            <w:r>
              <w:rPr>
                <w:rFonts w:ascii="Times New Roman" w:cs="Times New Roman" w:eastAsia="Times New Roman" w:hAnsi="Times New Roman"/>
                <w:sz w:val="12"/>
                <w:szCs w:val="12"/>
                <w:b w:val="1"/>
                <w:bCs w:val="1"/>
                <w:color w:val="auto"/>
                <w:w w:val="96"/>
              </w:rPr>
              <w:t>6.4%</w:t>
            </w:r>
          </w:p>
        </w:tc>
      </w:tr>
      <w:tr>
        <w:trPr>
          <w:trHeight w:val="254"/>
        </w:trPr>
        <w:tc>
          <w:tcPr>
            <w:tcW w:w="56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2"/>
                <w:szCs w:val="12"/>
                <w:b w:val="1"/>
                <w:bCs w:val="1"/>
                <w:color w:val="auto"/>
              </w:rPr>
              <w:t>Total liabilities and equity</w:t>
            </w: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210,197,628</w:t>
            </w: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219,922,469</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229,207,747</w:t>
            </w:r>
          </w:p>
        </w:tc>
        <w:tc>
          <w:tcPr>
            <w:tcW w:w="780" w:type="dxa"/>
            <w:vAlign w:val="bottom"/>
          </w:tcPr>
          <w:p>
            <w:pPr>
              <w:jc w:val="center"/>
              <w:ind w:left="261"/>
              <w:spacing w:after="0"/>
              <w:rPr>
                <w:sz w:val="20"/>
                <w:szCs w:val="20"/>
                <w:color w:val="auto"/>
              </w:rPr>
            </w:pPr>
            <w:r>
              <w:rPr>
                <w:rFonts w:ascii="Times New Roman" w:cs="Times New Roman" w:eastAsia="Times New Roman" w:hAnsi="Times New Roman"/>
                <w:sz w:val="12"/>
                <w:szCs w:val="12"/>
                <w:b w:val="1"/>
                <w:bCs w:val="1"/>
                <w:color w:val="auto"/>
                <w:w w:val="96"/>
              </w:rPr>
              <w:t>4.2%</w:t>
            </w:r>
          </w:p>
        </w:tc>
        <w:tc>
          <w:tcPr>
            <w:tcW w:w="1460" w:type="dxa"/>
            <w:vAlign w:val="bottom"/>
            <w:tcBorders>
              <w:right w:val="single" w:sz="8" w:color="auto"/>
            </w:tcBorders>
          </w:tcPr>
          <w:p>
            <w:pPr>
              <w:jc w:val="center"/>
              <w:ind w:left="221"/>
              <w:spacing w:after="0"/>
              <w:rPr>
                <w:sz w:val="20"/>
                <w:szCs w:val="20"/>
                <w:color w:val="auto"/>
              </w:rPr>
            </w:pPr>
            <w:r>
              <w:rPr>
                <w:rFonts w:ascii="Times New Roman" w:cs="Times New Roman" w:eastAsia="Times New Roman" w:hAnsi="Times New Roman"/>
                <w:sz w:val="12"/>
                <w:szCs w:val="12"/>
                <w:b w:val="1"/>
                <w:bCs w:val="1"/>
                <w:color w:val="auto"/>
                <w:w w:val="96"/>
              </w:rPr>
              <w:t>9.0%</w:t>
            </w:r>
          </w:p>
        </w:tc>
      </w:tr>
      <w:tr>
        <w:trPr>
          <w:trHeight w:val="227"/>
        </w:trPr>
        <w:tc>
          <w:tcPr>
            <w:tcW w:w="56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2"/>
                <w:szCs w:val="12"/>
                <w:b w:val="1"/>
                <w:bCs w:val="1"/>
                <w:color w:val="auto"/>
              </w:rPr>
              <w:t>Off-balance sheet</w:t>
            </w: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136,896,925</w:t>
            </w: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132,887,977</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147,078,826</w:t>
            </w:r>
          </w:p>
        </w:tc>
        <w:tc>
          <w:tcPr>
            <w:tcW w:w="780" w:type="dxa"/>
            <w:vAlign w:val="bottom"/>
          </w:tcPr>
          <w:p>
            <w:pPr>
              <w:jc w:val="center"/>
              <w:ind w:left="241"/>
              <w:spacing w:after="0"/>
              <w:rPr>
                <w:sz w:val="20"/>
                <w:szCs w:val="20"/>
                <w:color w:val="auto"/>
              </w:rPr>
            </w:pPr>
            <w:r>
              <w:rPr>
                <w:rFonts w:ascii="Times New Roman" w:cs="Times New Roman" w:eastAsia="Times New Roman" w:hAnsi="Times New Roman"/>
                <w:sz w:val="12"/>
                <w:szCs w:val="12"/>
                <w:b w:val="1"/>
                <w:bCs w:val="1"/>
                <w:color w:val="auto"/>
                <w:w w:val="96"/>
              </w:rPr>
              <w:t>10.7%</w:t>
            </w:r>
          </w:p>
        </w:tc>
        <w:tc>
          <w:tcPr>
            <w:tcW w:w="1460" w:type="dxa"/>
            <w:vAlign w:val="bottom"/>
            <w:tcBorders>
              <w:right w:val="single" w:sz="8" w:color="auto"/>
            </w:tcBorders>
          </w:tcPr>
          <w:p>
            <w:pPr>
              <w:jc w:val="center"/>
              <w:ind w:left="221"/>
              <w:spacing w:after="0"/>
              <w:rPr>
                <w:sz w:val="20"/>
                <w:szCs w:val="20"/>
                <w:color w:val="auto"/>
              </w:rPr>
            </w:pPr>
            <w:r>
              <w:rPr>
                <w:rFonts w:ascii="Times New Roman" w:cs="Times New Roman" w:eastAsia="Times New Roman" w:hAnsi="Times New Roman"/>
                <w:sz w:val="12"/>
                <w:szCs w:val="12"/>
                <w:b w:val="1"/>
                <w:bCs w:val="1"/>
                <w:color w:val="auto"/>
                <w:w w:val="96"/>
              </w:rPr>
              <w:t>7.4%</w:t>
            </w:r>
          </w:p>
        </w:tc>
      </w:tr>
      <w:tr>
        <w:trPr>
          <w:trHeight w:val="127"/>
        </w:trPr>
        <w:tc>
          <w:tcPr>
            <w:tcW w:w="5640" w:type="dxa"/>
            <w:vAlign w:val="bottom"/>
            <w:tcBorders>
              <w:left w:val="single" w:sz="8" w:color="auto"/>
              <w:right w:val="single" w:sz="8" w:color="auto"/>
            </w:tcBorders>
          </w:tcPr>
          <w:p>
            <w:pPr>
              <w:ind w:left="100"/>
              <w:spacing w:after="0" w:line="127" w:lineRule="exact"/>
              <w:rPr>
                <w:sz w:val="20"/>
                <w:szCs w:val="20"/>
                <w:color w:val="auto"/>
              </w:rPr>
            </w:pPr>
            <w:r>
              <w:rPr>
                <w:rFonts w:ascii="Times New Roman" w:cs="Times New Roman" w:eastAsia="Times New Roman" w:hAnsi="Times New Roman"/>
                <w:sz w:val="12"/>
                <w:szCs w:val="12"/>
                <w:color w:val="auto"/>
              </w:rPr>
              <w:t>Total performance bonds, stand-by and L/Cs.</w:t>
            </w:r>
          </w:p>
        </w:tc>
        <w:tc>
          <w:tcPr>
            <w:tcW w:w="112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9"/>
              </w:rPr>
              <w:t>20,571,287</w:t>
            </w:r>
          </w:p>
        </w:tc>
        <w:tc>
          <w:tcPr>
            <w:tcW w:w="112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6"/>
              </w:rPr>
              <w:t>20,991,000</w:t>
            </w:r>
          </w:p>
        </w:tc>
        <w:tc>
          <w:tcPr>
            <w:tcW w:w="1140" w:type="dxa"/>
            <w:vAlign w:val="bottom"/>
            <w:tcBorders>
              <w:right w:val="single" w:sz="8" w:color="auto"/>
            </w:tcBorders>
          </w:tcPr>
          <w:p>
            <w:pPr>
              <w:jc w:val="center"/>
              <w:spacing w:after="0" w:line="127" w:lineRule="exact"/>
              <w:rPr>
                <w:sz w:val="20"/>
                <w:szCs w:val="20"/>
                <w:color w:val="auto"/>
              </w:rPr>
            </w:pPr>
            <w:r>
              <w:rPr>
                <w:rFonts w:ascii="Times New Roman" w:cs="Times New Roman" w:eastAsia="Times New Roman" w:hAnsi="Times New Roman"/>
                <w:sz w:val="12"/>
                <w:szCs w:val="12"/>
                <w:color w:val="auto"/>
                <w:w w:val="96"/>
              </w:rPr>
              <w:t>21,519,458</w:t>
            </w:r>
          </w:p>
        </w:tc>
        <w:tc>
          <w:tcPr>
            <w:tcW w:w="780" w:type="dxa"/>
            <w:vAlign w:val="bottom"/>
          </w:tcPr>
          <w:p>
            <w:pPr>
              <w:jc w:val="center"/>
              <w:ind w:left="241"/>
              <w:spacing w:after="0" w:line="127" w:lineRule="exact"/>
              <w:rPr>
                <w:sz w:val="20"/>
                <w:szCs w:val="20"/>
                <w:color w:val="auto"/>
              </w:rPr>
            </w:pPr>
            <w:r>
              <w:rPr>
                <w:rFonts w:ascii="Times New Roman" w:cs="Times New Roman" w:eastAsia="Times New Roman" w:hAnsi="Times New Roman"/>
                <w:sz w:val="12"/>
                <w:szCs w:val="12"/>
                <w:color w:val="auto"/>
                <w:w w:val="95"/>
              </w:rPr>
              <w:t>2.5%</w:t>
            </w:r>
          </w:p>
        </w:tc>
        <w:tc>
          <w:tcPr>
            <w:tcW w:w="1460" w:type="dxa"/>
            <w:vAlign w:val="bottom"/>
            <w:tcBorders>
              <w:right w:val="single" w:sz="8" w:color="auto"/>
            </w:tcBorders>
          </w:tcPr>
          <w:p>
            <w:pPr>
              <w:jc w:val="center"/>
              <w:ind w:left="241"/>
              <w:spacing w:after="0" w:line="127" w:lineRule="exact"/>
              <w:rPr>
                <w:sz w:val="20"/>
                <w:szCs w:val="20"/>
                <w:color w:val="auto"/>
              </w:rPr>
            </w:pPr>
            <w:r>
              <w:rPr>
                <w:rFonts w:ascii="Times New Roman" w:cs="Times New Roman" w:eastAsia="Times New Roman" w:hAnsi="Times New Roman"/>
                <w:sz w:val="12"/>
                <w:szCs w:val="12"/>
                <w:color w:val="auto"/>
                <w:w w:val="95"/>
              </w:rPr>
              <w:t>4.6%</w:t>
            </w:r>
          </w:p>
        </w:tc>
      </w:tr>
      <w:tr>
        <w:trPr>
          <w:trHeight w:val="127"/>
        </w:trPr>
        <w:tc>
          <w:tcPr>
            <w:tcW w:w="5640" w:type="dxa"/>
            <w:vAlign w:val="bottom"/>
            <w:tcBorders>
              <w:left w:val="single" w:sz="8" w:color="auto"/>
              <w:right w:val="single" w:sz="8" w:color="auto"/>
            </w:tcBorders>
          </w:tcPr>
          <w:p>
            <w:pPr>
              <w:ind w:left="100"/>
              <w:spacing w:after="0" w:line="127" w:lineRule="exact"/>
              <w:rPr>
                <w:sz w:val="20"/>
                <w:szCs w:val="20"/>
                <w:color w:val="auto"/>
              </w:rPr>
            </w:pPr>
            <w:r>
              <w:rPr>
                <w:rFonts w:ascii="Times New Roman" w:cs="Times New Roman" w:eastAsia="Times New Roman" w:hAnsi="Times New Roman"/>
                <w:sz w:val="12"/>
                <w:szCs w:val="12"/>
                <w:color w:val="auto"/>
              </w:rPr>
              <w:t>Undrawn credit lines, advised but not committed</w:t>
            </w:r>
          </w:p>
        </w:tc>
        <w:tc>
          <w:tcPr>
            <w:tcW w:w="112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9"/>
              </w:rPr>
              <w:t>72,392,139</w:t>
            </w:r>
          </w:p>
        </w:tc>
        <w:tc>
          <w:tcPr>
            <w:tcW w:w="112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6"/>
              </w:rPr>
              <w:t>71,432,289</w:t>
            </w:r>
          </w:p>
        </w:tc>
        <w:tc>
          <w:tcPr>
            <w:tcW w:w="1140" w:type="dxa"/>
            <w:vAlign w:val="bottom"/>
            <w:tcBorders>
              <w:right w:val="single" w:sz="8" w:color="auto"/>
            </w:tcBorders>
          </w:tcPr>
          <w:p>
            <w:pPr>
              <w:jc w:val="center"/>
              <w:spacing w:after="0" w:line="127" w:lineRule="exact"/>
              <w:rPr>
                <w:sz w:val="20"/>
                <w:szCs w:val="20"/>
                <w:color w:val="auto"/>
              </w:rPr>
            </w:pPr>
            <w:r>
              <w:rPr>
                <w:rFonts w:ascii="Times New Roman" w:cs="Times New Roman" w:eastAsia="Times New Roman" w:hAnsi="Times New Roman"/>
                <w:sz w:val="12"/>
                <w:szCs w:val="12"/>
                <w:color w:val="auto"/>
                <w:w w:val="96"/>
              </w:rPr>
              <w:t>77,343,334</w:t>
            </w:r>
          </w:p>
        </w:tc>
        <w:tc>
          <w:tcPr>
            <w:tcW w:w="780" w:type="dxa"/>
            <w:vAlign w:val="bottom"/>
          </w:tcPr>
          <w:p>
            <w:pPr>
              <w:jc w:val="center"/>
              <w:ind w:left="241"/>
              <w:spacing w:after="0" w:line="127" w:lineRule="exact"/>
              <w:rPr>
                <w:sz w:val="20"/>
                <w:szCs w:val="20"/>
                <w:color w:val="auto"/>
              </w:rPr>
            </w:pPr>
            <w:r>
              <w:rPr>
                <w:rFonts w:ascii="Times New Roman" w:cs="Times New Roman" w:eastAsia="Times New Roman" w:hAnsi="Times New Roman"/>
                <w:sz w:val="12"/>
                <w:szCs w:val="12"/>
                <w:color w:val="auto"/>
                <w:w w:val="95"/>
              </w:rPr>
              <w:t>8.3%</w:t>
            </w:r>
          </w:p>
        </w:tc>
        <w:tc>
          <w:tcPr>
            <w:tcW w:w="1460" w:type="dxa"/>
            <w:vAlign w:val="bottom"/>
            <w:tcBorders>
              <w:right w:val="single" w:sz="8" w:color="auto"/>
            </w:tcBorders>
          </w:tcPr>
          <w:p>
            <w:pPr>
              <w:jc w:val="center"/>
              <w:ind w:left="241"/>
              <w:spacing w:after="0" w:line="127" w:lineRule="exact"/>
              <w:rPr>
                <w:sz w:val="20"/>
                <w:szCs w:val="20"/>
                <w:color w:val="auto"/>
              </w:rPr>
            </w:pPr>
            <w:r>
              <w:rPr>
                <w:rFonts w:ascii="Times New Roman" w:cs="Times New Roman" w:eastAsia="Times New Roman" w:hAnsi="Times New Roman"/>
                <w:sz w:val="12"/>
                <w:szCs w:val="12"/>
                <w:color w:val="auto"/>
                <w:w w:val="95"/>
              </w:rPr>
              <w:t>6.8%</w:t>
            </w:r>
          </w:p>
        </w:tc>
      </w:tr>
      <w:tr>
        <w:trPr>
          <w:trHeight w:val="143"/>
        </w:trPr>
        <w:tc>
          <w:tcPr>
            <w:tcW w:w="56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2"/>
                <w:szCs w:val="12"/>
                <w:color w:val="auto"/>
              </w:rPr>
              <w:t>Total derivatives (notional) and others</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43,933,499</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6"/>
              </w:rPr>
              <w:t>40,464,688</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6"/>
              </w:rPr>
              <w:t>48,216,034</w:t>
            </w:r>
          </w:p>
        </w:tc>
        <w:tc>
          <w:tcPr>
            <w:tcW w:w="780" w:type="dxa"/>
            <w:vAlign w:val="bottom"/>
            <w:tcBorders>
              <w:bottom w:val="single" w:sz="8" w:color="auto"/>
            </w:tcBorders>
          </w:tcPr>
          <w:p>
            <w:pPr>
              <w:jc w:val="center"/>
              <w:ind w:left="261"/>
              <w:spacing w:after="0"/>
              <w:rPr>
                <w:sz w:val="20"/>
                <w:szCs w:val="20"/>
                <w:color w:val="auto"/>
              </w:rPr>
            </w:pPr>
            <w:r>
              <w:rPr>
                <w:rFonts w:ascii="Times New Roman" w:cs="Times New Roman" w:eastAsia="Times New Roman" w:hAnsi="Times New Roman"/>
                <w:sz w:val="12"/>
                <w:szCs w:val="12"/>
                <w:color w:val="auto"/>
                <w:w w:val="96"/>
              </w:rPr>
              <w:t>19.2%</w:t>
            </w:r>
          </w:p>
        </w:tc>
        <w:tc>
          <w:tcPr>
            <w:tcW w:w="1460" w:type="dxa"/>
            <w:vAlign w:val="bottom"/>
            <w:tcBorders>
              <w:bottom w:val="single" w:sz="8" w:color="auto"/>
              <w:right w:val="single" w:sz="8" w:color="auto"/>
            </w:tcBorders>
          </w:tcPr>
          <w:p>
            <w:pPr>
              <w:jc w:val="center"/>
              <w:ind w:left="241"/>
              <w:spacing w:after="0"/>
              <w:rPr>
                <w:sz w:val="20"/>
                <w:szCs w:val="20"/>
                <w:color w:val="auto"/>
              </w:rPr>
            </w:pPr>
            <w:r>
              <w:rPr>
                <w:rFonts w:ascii="Times New Roman" w:cs="Times New Roman" w:eastAsia="Times New Roman" w:hAnsi="Times New Roman"/>
                <w:sz w:val="12"/>
                <w:szCs w:val="12"/>
                <w:color w:val="auto"/>
                <w:w w:val="95"/>
              </w:rPr>
              <w:t>9.7%</w:t>
            </w:r>
          </w:p>
        </w:tc>
      </w:tr>
    </w:tbl>
    <w:p>
      <w:pPr>
        <w:spacing w:after="0" w:line="111" w:lineRule="exact"/>
        <w:rPr>
          <w:sz w:val="20"/>
          <w:szCs w:val="20"/>
          <w:color w:val="auto"/>
        </w:rPr>
      </w:pPr>
    </w:p>
    <w:p>
      <w:pPr>
        <w:ind w:left="1340" w:hanging="209"/>
        <w:spacing w:after="0"/>
        <w:tabs>
          <w:tab w:leader="none" w:pos="134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Right of use asset of lease contracts is included by application of IFRS 16.</w:t>
      </w:r>
    </w:p>
    <w:p>
      <w:pPr>
        <w:ind w:left="1340" w:hanging="209"/>
        <w:spacing w:after="0" w:line="220" w:lineRule="auto"/>
        <w:tabs>
          <w:tab w:leader="none" w:pos="134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Mainly includes intangible assets, other receivable accounts, trading derivatives receivable accounts and tax credit.</w:t>
      </w:r>
    </w:p>
    <w:p>
      <w:pPr>
        <w:ind w:left="1340" w:hanging="209"/>
        <w:spacing w:after="0"/>
        <w:tabs>
          <w:tab w:leader="none" w:pos="134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Mainly includes other payable accounts, trading derivatives payable accounts and taxes for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817245</wp:posOffset>
            </wp:positionV>
            <wp:extent cx="7140575" cy="1587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40575" cy="15875"/>
                    </a:xfrm>
                    <a:prstGeom prst="rect">
                      <a:avLst/>
                    </a:prstGeom>
                    <a:noFill/>
                  </pic:spPr>
                </pic:pic>
              </a:graphicData>
            </a:graphic>
          </wp:anchor>
        </w:drawing>
        <w:drawing>
          <wp:anchor simplePos="0" relativeHeight="251657728" behindDoc="1" locked="0" layoutInCell="0" allowOverlap="1">
            <wp:simplePos x="0" y="0"/>
            <wp:positionH relativeFrom="column">
              <wp:posOffset>347345</wp:posOffset>
            </wp:positionH>
            <wp:positionV relativeFrom="paragraph">
              <wp:posOffset>124460</wp:posOffset>
            </wp:positionV>
            <wp:extent cx="6447155" cy="55626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447155" cy="556260"/>
                    </a:xfrm>
                    <a:prstGeom prst="rect">
                      <a:avLst/>
                    </a:prstGeom>
                    <a:noFill/>
                  </pic:spPr>
                </pic:pic>
              </a:graphicData>
            </a:graphic>
          </wp:anchor>
        </w:drawing>
      </w:r>
    </w:p>
    <w:p>
      <w:pPr>
        <w:sectPr>
          <w:pgSz w:w="11900" w:h="16838" w:orient="portrait"/>
          <w:cols w:equalWidth="0" w:num="1">
            <w:col w:w="11240"/>
          </w:cols>
          <w:pgMar w:left="320" w:top="745" w:right="339" w:bottom="1440" w:gutter="0" w:footer="0" w:header="0"/>
        </w:sectPr>
      </w:pPr>
    </w:p>
    <w:bookmarkStart w:id="59" w:name="page60"/>
    <w:bookmarkEnd w:id="59"/>
    <w:p>
      <w:pPr>
        <w:ind w:left="3180"/>
        <w:spacing w:after="0"/>
        <w:tabs>
          <w:tab w:leader="none" w:pos="3380" w:val="left"/>
          <w:tab w:leader="none" w:pos="9060" w:val="left"/>
        </w:tabs>
        <w:rPr>
          <w:sz w:val="20"/>
          <w:szCs w:val="20"/>
          <w:color w:val="auto"/>
        </w:rPr>
      </w:pPr>
      <w:r>
        <w:rPr>
          <w:rFonts w:ascii="Times New Roman" w:cs="Times New Roman" w:eastAsia="Times New Roman" w:hAnsi="Times New Roman"/>
          <w:sz w:val="17"/>
          <w:szCs w:val="17"/>
          <w:b w:val="1"/>
          <w:bCs w:val="1"/>
          <w:color w:val="A6A6A6"/>
        </w:rPr>
        <w:drawing>
          <wp:anchor simplePos="0" relativeHeight="251657728" behindDoc="1" locked="0" layoutInCell="0" allowOverlap="1">
            <wp:simplePos x="0" y="0"/>
            <wp:positionH relativeFrom="page">
              <wp:posOffset>204470</wp:posOffset>
            </wp:positionH>
            <wp:positionV relativeFrom="page">
              <wp:posOffset>217805</wp:posOffset>
            </wp:positionV>
            <wp:extent cx="7140575" cy="69278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40575" cy="692785"/>
                    </a:xfrm>
                    <a:prstGeom prst="rect">
                      <a:avLst/>
                    </a:prstGeom>
                    <a:noFill/>
                  </pic:spPr>
                </pic:pic>
              </a:graphicData>
            </a:graphic>
          </wp:anchor>
        </w:drawing>
        <w:t>|</w:t>
      </w:r>
      <w:r>
        <w:rPr>
          <w:sz w:val="20"/>
          <w:szCs w:val="20"/>
          <w:color w:val="auto"/>
        </w:rPr>
        <w:tab/>
      </w:r>
      <w:r>
        <w:rPr>
          <w:rFonts w:ascii="Times New Roman" w:cs="Times New Roman" w:eastAsia="Times New Roman" w:hAnsi="Times New Roman"/>
          <w:sz w:val="14"/>
          <w:szCs w:val="14"/>
          <w:color w:val="FFFFFF"/>
        </w:rPr>
        <w:t>Earnings Release 1Q / 2026</w:t>
      </w:r>
      <w:r>
        <w:rPr>
          <w:sz w:val="20"/>
          <w:szCs w:val="20"/>
          <w:color w:val="auto"/>
        </w:rPr>
        <w:tab/>
      </w:r>
      <w:r>
        <w:rPr>
          <w:rFonts w:ascii="Times New Roman" w:cs="Times New Roman" w:eastAsia="Times New Roman" w:hAnsi="Times New Roman"/>
          <w:sz w:val="12"/>
          <w:szCs w:val="12"/>
          <w:color w:val="FF00FF"/>
        </w:rPr>
        <w:t>Analysis of 1Q26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313055</wp:posOffset>
            </wp:positionV>
            <wp:extent cx="7140575" cy="25781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40575" cy="25781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FFFFFF"/>
        </w:rPr>
        <w:t>12. Appendix</w:t>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 of Income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 Thousands, IFRS)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133985</wp:posOffset>
            </wp:positionV>
            <wp:extent cx="7140575" cy="29254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40575" cy="2925445"/>
                    </a:xfrm>
                    <a:prstGeom prst="rect">
                      <a:avLst/>
                    </a:prstGeom>
                    <a:noFill/>
                  </pic:spPr>
                </pic:pic>
              </a:graphicData>
            </a:graphic>
          </wp:anchor>
        </w:drawing>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5780" w:type="dxa"/>
            <w:vAlign w:val="bottom"/>
            <w:tcBorders>
              <w:top w:val="single" w:sz="8" w:color="auto"/>
            </w:tcBorders>
            <w:shd w:val="clear" w:color="auto" w:fill="2AD2C8"/>
          </w:tcPr>
          <w:p>
            <w:pPr>
              <w:spacing w:after="0"/>
              <w:rPr>
                <w:sz w:val="12"/>
                <w:szCs w:val="12"/>
                <w:color w:val="auto"/>
              </w:rPr>
            </w:pPr>
          </w:p>
        </w:tc>
        <w:tc>
          <w:tcPr>
            <w:tcW w:w="1880" w:type="dxa"/>
            <w:vAlign w:val="bottom"/>
            <w:tcBorders>
              <w:top w:val="single" w:sz="8" w:color="auto"/>
            </w:tcBorders>
            <w:shd w:val="clear" w:color="auto" w:fill="2AD2C8"/>
          </w:tcPr>
          <w:p>
            <w:pPr>
              <w:spacing w:after="0"/>
              <w:rPr>
                <w:sz w:val="12"/>
                <w:szCs w:val="12"/>
                <w:color w:val="auto"/>
              </w:rPr>
            </w:pPr>
          </w:p>
        </w:tc>
        <w:tc>
          <w:tcPr>
            <w:tcW w:w="1020" w:type="dxa"/>
            <w:vAlign w:val="bottom"/>
            <w:tcBorders>
              <w:top w:val="single" w:sz="8" w:color="auto"/>
            </w:tcBorders>
            <w:shd w:val="clear" w:color="auto" w:fill="2AD2C8"/>
          </w:tcPr>
          <w:p>
            <w:pPr>
              <w:ind w:left="280"/>
              <w:spacing w:after="0"/>
              <w:rPr>
                <w:sz w:val="20"/>
                <w:szCs w:val="20"/>
                <w:color w:val="auto"/>
              </w:rPr>
            </w:pPr>
            <w:r>
              <w:rPr>
                <w:rFonts w:ascii="Times New Roman" w:cs="Times New Roman" w:eastAsia="Times New Roman" w:hAnsi="Times New Roman"/>
                <w:sz w:val="12"/>
                <w:szCs w:val="12"/>
                <w:b w:val="1"/>
                <w:bCs w:val="1"/>
                <w:color w:val="FFFFFF"/>
              </w:rPr>
              <w:t>Quarter</w:t>
            </w:r>
          </w:p>
        </w:tc>
        <w:tc>
          <w:tcPr>
            <w:tcW w:w="1000" w:type="dxa"/>
            <w:vAlign w:val="bottom"/>
            <w:tcBorders>
              <w:top w:val="single" w:sz="8" w:color="auto"/>
            </w:tcBorders>
            <w:shd w:val="clear" w:color="auto" w:fill="2AD2C8"/>
          </w:tcPr>
          <w:p>
            <w:pPr>
              <w:spacing w:after="0"/>
              <w:rPr>
                <w:sz w:val="12"/>
                <w:szCs w:val="12"/>
                <w:color w:val="auto"/>
              </w:rPr>
            </w:pPr>
          </w:p>
        </w:tc>
        <w:tc>
          <w:tcPr>
            <w:tcW w:w="1560" w:type="dxa"/>
            <w:vAlign w:val="bottom"/>
            <w:tcBorders>
              <w:top w:val="single" w:sz="8" w:color="auto"/>
            </w:tcBorders>
            <w:gridSpan w:val="2"/>
            <w:shd w:val="clear" w:color="auto" w:fill="2AD2C8"/>
          </w:tcPr>
          <w:p>
            <w:pPr>
              <w:ind w:left="540"/>
              <w:spacing w:after="0"/>
              <w:rPr>
                <w:sz w:val="20"/>
                <w:szCs w:val="20"/>
                <w:color w:val="auto"/>
              </w:rPr>
            </w:pPr>
            <w:r>
              <w:rPr>
                <w:rFonts w:ascii="Times New Roman" w:cs="Times New Roman" w:eastAsia="Times New Roman" w:hAnsi="Times New Roman"/>
                <w:sz w:val="12"/>
                <w:szCs w:val="12"/>
                <w:b w:val="1"/>
                <w:bCs w:val="1"/>
                <w:color w:val="FFFFFF"/>
              </w:rPr>
              <w:t>% change</w:t>
            </w:r>
          </w:p>
        </w:tc>
      </w:tr>
      <w:tr>
        <w:trPr>
          <w:trHeight w:val="127"/>
        </w:trPr>
        <w:tc>
          <w:tcPr>
            <w:tcW w:w="5780" w:type="dxa"/>
            <w:vAlign w:val="bottom"/>
            <w:tcBorders>
              <w:bottom w:val="single" w:sz="8" w:color="auto"/>
            </w:tcBorders>
            <w:shd w:val="clear" w:color="auto" w:fill="29D2C8"/>
          </w:tcPr>
          <w:p>
            <w:pPr>
              <w:spacing w:after="0"/>
              <w:rPr>
                <w:sz w:val="11"/>
                <w:szCs w:val="11"/>
                <w:color w:val="auto"/>
              </w:rPr>
            </w:pPr>
          </w:p>
        </w:tc>
        <w:tc>
          <w:tcPr>
            <w:tcW w:w="1880" w:type="dxa"/>
            <w:vAlign w:val="bottom"/>
            <w:tcBorders>
              <w:bottom w:val="single" w:sz="8" w:color="auto"/>
            </w:tcBorders>
            <w:shd w:val="clear" w:color="auto" w:fill="29D2C8"/>
          </w:tcPr>
          <w:p>
            <w:pPr>
              <w:jc w:val="center"/>
              <w:ind w:left="801"/>
              <w:spacing w:after="0" w:line="127" w:lineRule="exact"/>
              <w:rPr>
                <w:sz w:val="20"/>
                <w:szCs w:val="20"/>
                <w:color w:val="auto"/>
              </w:rPr>
            </w:pPr>
            <w:r>
              <w:rPr>
                <w:rFonts w:ascii="Times New Roman" w:cs="Times New Roman" w:eastAsia="Times New Roman" w:hAnsi="Times New Roman"/>
                <w:sz w:val="12"/>
                <w:szCs w:val="12"/>
                <w:b w:val="1"/>
                <w:bCs w:val="1"/>
                <w:color w:val="FFFFFF"/>
                <w:w w:val="94"/>
              </w:rPr>
              <w:t>1Q25</w:t>
            </w:r>
          </w:p>
        </w:tc>
        <w:tc>
          <w:tcPr>
            <w:tcW w:w="1020" w:type="dxa"/>
            <w:vAlign w:val="bottom"/>
            <w:tcBorders>
              <w:bottom w:val="single" w:sz="8" w:color="auto"/>
            </w:tcBorders>
            <w:shd w:val="clear" w:color="auto" w:fill="29D2C8"/>
          </w:tcPr>
          <w:p>
            <w:pPr>
              <w:jc w:val="center"/>
              <w:spacing w:after="0" w:line="127" w:lineRule="exact"/>
              <w:rPr>
                <w:sz w:val="20"/>
                <w:szCs w:val="20"/>
                <w:color w:val="auto"/>
              </w:rPr>
            </w:pPr>
            <w:r>
              <w:rPr>
                <w:rFonts w:ascii="Times New Roman" w:cs="Times New Roman" w:eastAsia="Times New Roman" w:hAnsi="Times New Roman"/>
                <w:sz w:val="12"/>
                <w:szCs w:val="12"/>
                <w:b w:val="1"/>
                <w:bCs w:val="1"/>
                <w:color w:val="FFFFFF"/>
              </w:rPr>
              <w:t>4Q25</w:t>
            </w:r>
          </w:p>
        </w:tc>
        <w:tc>
          <w:tcPr>
            <w:tcW w:w="1000" w:type="dxa"/>
            <w:vAlign w:val="bottom"/>
            <w:tcBorders>
              <w:bottom w:val="single" w:sz="8" w:color="auto"/>
            </w:tcBorders>
            <w:shd w:val="clear" w:color="auto" w:fill="29D2C8"/>
          </w:tcPr>
          <w:p>
            <w:pPr>
              <w:jc w:val="center"/>
              <w:spacing w:after="0" w:line="127" w:lineRule="exact"/>
              <w:rPr>
                <w:sz w:val="20"/>
                <w:szCs w:val="20"/>
                <w:color w:val="auto"/>
              </w:rPr>
            </w:pPr>
            <w:r>
              <w:rPr>
                <w:rFonts w:ascii="Times New Roman" w:cs="Times New Roman" w:eastAsia="Times New Roman" w:hAnsi="Times New Roman"/>
                <w:sz w:val="12"/>
                <w:szCs w:val="12"/>
                <w:b w:val="1"/>
                <w:bCs w:val="1"/>
                <w:color w:val="FFFFFF"/>
              </w:rPr>
              <w:t>1Q26</w:t>
            </w:r>
          </w:p>
        </w:tc>
        <w:tc>
          <w:tcPr>
            <w:tcW w:w="780" w:type="dxa"/>
            <w:vAlign w:val="bottom"/>
            <w:tcBorders>
              <w:bottom w:val="single" w:sz="8" w:color="auto"/>
            </w:tcBorders>
            <w:shd w:val="clear" w:color="auto" w:fill="29D2C8"/>
          </w:tcPr>
          <w:p>
            <w:pPr>
              <w:jc w:val="center"/>
              <w:spacing w:after="0" w:line="127" w:lineRule="exact"/>
              <w:rPr>
                <w:sz w:val="20"/>
                <w:szCs w:val="20"/>
                <w:color w:val="auto"/>
              </w:rPr>
            </w:pPr>
            <w:r>
              <w:rPr>
                <w:rFonts w:ascii="Times New Roman" w:cs="Times New Roman" w:eastAsia="Times New Roman" w:hAnsi="Times New Roman"/>
                <w:sz w:val="12"/>
                <w:szCs w:val="12"/>
                <w:b w:val="1"/>
                <w:bCs w:val="1"/>
                <w:color w:val="FFFFFF"/>
                <w:w w:val="97"/>
              </w:rPr>
              <w:t>QoQ</w:t>
            </w:r>
          </w:p>
        </w:tc>
        <w:tc>
          <w:tcPr>
            <w:tcW w:w="780" w:type="dxa"/>
            <w:vAlign w:val="bottom"/>
            <w:tcBorders>
              <w:bottom w:val="single" w:sz="8" w:color="auto"/>
            </w:tcBorders>
            <w:shd w:val="clear" w:color="auto" w:fill="29D2C8"/>
          </w:tcPr>
          <w:p>
            <w:pPr>
              <w:jc w:val="center"/>
              <w:spacing w:after="0" w:line="127" w:lineRule="exact"/>
              <w:rPr>
                <w:sz w:val="20"/>
                <w:szCs w:val="20"/>
                <w:color w:val="auto"/>
              </w:rPr>
            </w:pPr>
            <w:r>
              <w:rPr>
                <w:rFonts w:ascii="Times New Roman" w:cs="Times New Roman" w:eastAsia="Times New Roman" w:hAnsi="Times New Roman"/>
                <w:sz w:val="12"/>
                <w:szCs w:val="12"/>
                <w:b w:val="1"/>
                <w:bCs w:val="1"/>
                <w:color w:val="FFFFFF"/>
                <w:w w:val="94"/>
              </w:rPr>
              <w:t>YoY</w:t>
            </w:r>
          </w:p>
        </w:tc>
      </w:tr>
      <w:tr>
        <w:trPr>
          <w:trHeight w:val="104"/>
        </w:trPr>
        <w:tc>
          <w:tcPr>
            <w:tcW w:w="5780" w:type="dxa"/>
            <w:vAlign w:val="bottom"/>
          </w:tcPr>
          <w:p>
            <w:pPr>
              <w:ind w:left="100"/>
              <w:spacing w:after="0" w:line="104" w:lineRule="exact"/>
              <w:rPr>
                <w:sz w:val="20"/>
                <w:szCs w:val="20"/>
                <w:color w:val="auto"/>
              </w:rPr>
            </w:pPr>
            <w:r>
              <w:rPr>
                <w:rFonts w:ascii="Times New Roman" w:cs="Times New Roman" w:eastAsia="Times New Roman" w:hAnsi="Times New Roman"/>
                <w:sz w:val="12"/>
                <w:szCs w:val="12"/>
                <w:b w:val="1"/>
                <w:bCs w:val="1"/>
                <w:color w:val="auto"/>
              </w:rPr>
              <w:t>Interest income and expense</w:t>
            </w:r>
          </w:p>
        </w:tc>
        <w:tc>
          <w:tcPr>
            <w:tcW w:w="18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r>
      <w:tr>
        <w:trPr>
          <w:trHeight w:val="121"/>
        </w:trPr>
        <w:tc>
          <w:tcPr>
            <w:tcW w:w="5780" w:type="dxa"/>
            <w:vAlign w:val="bottom"/>
          </w:tcPr>
          <w:p>
            <w:pPr>
              <w:ind w:left="160"/>
              <w:spacing w:after="0" w:line="121" w:lineRule="exact"/>
              <w:rPr>
                <w:sz w:val="20"/>
                <w:szCs w:val="20"/>
                <w:color w:val="auto"/>
              </w:rPr>
            </w:pPr>
            <w:r>
              <w:rPr>
                <w:rFonts w:ascii="Times New Roman" w:cs="Times New Roman" w:eastAsia="Times New Roman" w:hAnsi="Times New Roman"/>
                <w:sz w:val="12"/>
                <w:szCs w:val="12"/>
                <w:color w:val="auto"/>
              </w:rPr>
              <w:t>Interest and similar income</w:t>
            </w:r>
          </w:p>
        </w:tc>
        <w:tc>
          <w:tcPr>
            <w:tcW w:w="1880" w:type="dxa"/>
            <w:vAlign w:val="bottom"/>
          </w:tcPr>
          <w:p>
            <w:pPr>
              <w:jc w:val="center"/>
              <w:ind w:left="821"/>
              <w:spacing w:after="0" w:line="121" w:lineRule="exact"/>
              <w:rPr>
                <w:sz w:val="20"/>
                <w:szCs w:val="20"/>
                <w:color w:val="auto"/>
              </w:rPr>
            </w:pPr>
            <w:r>
              <w:rPr>
                <w:rFonts w:ascii="Times New Roman" w:cs="Times New Roman" w:eastAsia="Times New Roman" w:hAnsi="Times New Roman"/>
                <w:sz w:val="12"/>
                <w:szCs w:val="12"/>
                <w:color w:val="auto"/>
                <w:w w:val="99"/>
              </w:rPr>
              <w:t>4,260,384</w:t>
            </w:r>
          </w:p>
        </w:tc>
        <w:tc>
          <w:tcPr>
            <w:tcW w:w="1020" w:type="dxa"/>
            <w:vAlign w:val="bottom"/>
          </w:tcPr>
          <w:p>
            <w:pPr>
              <w:jc w:val="center"/>
              <w:spacing w:after="0" w:line="121" w:lineRule="exact"/>
              <w:rPr>
                <w:sz w:val="20"/>
                <w:szCs w:val="20"/>
                <w:color w:val="auto"/>
              </w:rPr>
            </w:pPr>
            <w:r>
              <w:rPr>
                <w:rFonts w:ascii="Times New Roman" w:cs="Times New Roman" w:eastAsia="Times New Roman" w:hAnsi="Times New Roman"/>
                <w:sz w:val="12"/>
                <w:szCs w:val="12"/>
                <w:color w:val="auto"/>
                <w:w w:val="99"/>
              </w:rPr>
              <w:t>4,486,502</w:t>
            </w:r>
          </w:p>
        </w:tc>
        <w:tc>
          <w:tcPr>
            <w:tcW w:w="1000" w:type="dxa"/>
            <w:vAlign w:val="bottom"/>
          </w:tcPr>
          <w:p>
            <w:pPr>
              <w:jc w:val="center"/>
              <w:spacing w:after="0" w:line="121" w:lineRule="exact"/>
              <w:rPr>
                <w:sz w:val="20"/>
                <w:szCs w:val="20"/>
                <w:color w:val="auto"/>
              </w:rPr>
            </w:pPr>
            <w:r>
              <w:rPr>
                <w:rFonts w:ascii="Times New Roman" w:cs="Times New Roman" w:eastAsia="Times New Roman" w:hAnsi="Times New Roman"/>
                <w:sz w:val="12"/>
                <w:szCs w:val="12"/>
                <w:color w:val="auto"/>
                <w:w w:val="99"/>
              </w:rPr>
              <w:t>4,494,642</w:t>
            </w:r>
          </w:p>
        </w:tc>
        <w:tc>
          <w:tcPr>
            <w:tcW w:w="780" w:type="dxa"/>
            <w:vAlign w:val="bottom"/>
          </w:tcPr>
          <w:p>
            <w:pPr>
              <w:jc w:val="center"/>
              <w:spacing w:after="0" w:line="121" w:lineRule="exact"/>
              <w:rPr>
                <w:sz w:val="20"/>
                <w:szCs w:val="20"/>
                <w:color w:val="auto"/>
              </w:rPr>
            </w:pPr>
            <w:r>
              <w:rPr>
                <w:rFonts w:ascii="Times New Roman" w:cs="Times New Roman" w:eastAsia="Times New Roman" w:hAnsi="Times New Roman"/>
                <w:sz w:val="12"/>
                <w:szCs w:val="12"/>
                <w:color w:val="auto"/>
                <w:w w:val="95"/>
              </w:rPr>
              <w:t>0.2%</w:t>
            </w:r>
          </w:p>
        </w:tc>
        <w:tc>
          <w:tcPr>
            <w:tcW w:w="780" w:type="dxa"/>
            <w:vAlign w:val="bottom"/>
          </w:tcPr>
          <w:p>
            <w:pPr>
              <w:jc w:val="center"/>
              <w:spacing w:after="0" w:line="121" w:lineRule="exact"/>
              <w:rPr>
                <w:sz w:val="20"/>
                <w:szCs w:val="20"/>
                <w:color w:val="auto"/>
              </w:rPr>
            </w:pPr>
            <w:r>
              <w:rPr>
                <w:rFonts w:ascii="Times New Roman" w:cs="Times New Roman" w:eastAsia="Times New Roman" w:hAnsi="Times New Roman"/>
                <w:sz w:val="12"/>
                <w:szCs w:val="12"/>
                <w:color w:val="auto"/>
              </w:rPr>
              <w:t>5.5%</w:t>
            </w:r>
          </w:p>
        </w:tc>
      </w:tr>
      <w:tr>
        <w:trPr>
          <w:trHeight w:val="131"/>
        </w:trPr>
        <w:tc>
          <w:tcPr>
            <w:tcW w:w="5780" w:type="dxa"/>
            <w:vAlign w:val="bottom"/>
          </w:tcPr>
          <w:p>
            <w:pPr>
              <w:ind w:left="160"/>
              <w:spacing w:after="0" w:line="131" w:lineRule="exact"/>
              <w:rPr>
                <w:sz w:val="20"/>
                <w:szCs w:val="20"/>
                <w:color w:val="auto"/>
              </w:rPr>
            </w:pPr>
            <w:r>
              <w:rPr>
                <w:rFonts w:ascii="Times New Roman" w:cs="Times New Roman" w:eastAsia="Times New Roman" w:hAnsi="Times New Roman"/>
                <w:sz w:val="10"/>
                <w:szCs w:val="10"/>
                <w:color w:val="auto"/>
              </w:rPr>
              <w:t xml:space="preserve">Interest and similar expense </w:t>
            </w:r>
            <w:r>
              <w:rPr>
                <w:rFonts w:ascii="Times New Roman" w:cs="Times New Roman" w:eastAsia="Times New Roman" w:hAnsi="Times New Roman"/>
                <w:sz w:val="15"/>
                <w:szCs w:val="15"/>
                <w:color w:val="auto"/>
                <w:vertAlign w:val="superscript"/>
              </w:rPr>
              <w:t>(1)</w:t>
            </w:r>
          </w:p>
        </w:tc>
        <w:tc>
          <w:tcPr>
            <w:tcW w:w="1880" w:type="dxa"/>
            <w:vAlign w:val="bottom"/>
          </w:tcPr>
          <w:p>
            <w:pPr>
              <w:jc w:val="center"/>
              <w:ind w:left="801"/>
              <w:spacing w:after="0" w:line="131" w:lineRule="exact"/>
              <w:rPr>
                <w:sz w:val="20"/>
                <w:szCs w:val="20"/>
                <w:color w:val="auto"/>
              </w:rPr>
            </w:pPr>
            <w:r>
              <w:rPr>
                <w:rFonts w:ascii="Times New Roman" w:cs="Times New Roman" w:eastAsia="Times New Roman" w:hAnsi="Times New Roman"/>
                <w:sz w:val="12"/>
                <w:szCs w:val="12"/>
                <w:color w:val="auto"/>
                <w:w w:val="97"/>
              </w:rPr>
              <w:t>(975,337)</w:t>
            </w:r>
          </w:p>
        </w:tc>
        <w:tc>
          <w:tcPr>
            <w:tcW w:w="1020" w:type="dxa"/>
            <w:vAlign w:val="bottom"/>
          </w:tcPr>
          <w:p>
            <w:pPr>
              <w:jc w:val="center"/>
              <w:spacing w:after="0" w:line="131" w:lineRule="exact"/>
              <w:rPr>
                <w:sz w:val="20"/>
                <w:szCs w:val="20"/>
                <w:color w:val="auto"/>
              </w:rPr>
            </w:pPr>
            <w:r>
              <w:rPr>
                <w:rFonts w:ascii="Times New Roman" w:cs="Times New Roman" w:eastAsia="Times New Roman" w:hAnsi="Times New Roman"/>
                <w:sz w:val="12"/>
                <w:szCs w:val="12"/>
                <w:color w:val="auto"/>
                <w:w w:val="97"/>
              </w:rPr>
              <w:t>(937,173)</w:t>
            </w:r>
          </w:p>
        </w:tc>
        <w:tc>
          <w:tcPr>
            <w:tcW w:w="1000" w:type="dxa"/>
            <w:vAlign w:val="bottom"/>
          </w:tcPr>
          <w:p>
            <w:pPr>
              <w:jc w:val="center"/>
              <w:spacing w:after="0" w:line="131" w:lineRule="exact"/>
              <w:rPr>
                <w:sz w:val="20"/>
                <w:szCs w:val="20"/>
                <w:color w:val="auto"/>
              </w:rPr>
            </w:pPr>
            <w:r>
              <w:rPr>
                <w:rFonts w:ascii="Times New Roman" w:cs="Times New Roman" w:eastAsia="Times New Roman" w:hAnsi="Times New Roman"/>
                <w:sz w:val="12"/>
                <w:szCs w:val="12"/>
                <w:color w:val="auto"/>
                <w:w w:val="97"/>
              </w:rPr>
              <w:t>(865,903)</w:t>
            </w:r>
          </w:p>
        </w:tc>
        <w:tc>
          <w:tcPr>
            <w:tcW w:w="780" w:type="dxa"/>
            <w:vAlign w:val="bottom"/>
          </w:tcPr>
          <w:p>
            <w:pPr>
              <w:jc w:val="center"/>
              <w:spacing w:after="0" w:line="131" w:lineRule="exact"/>
              <w:rPr>
                <w:sz w:val="20"/>
                <w:szCs w:val="20"/>
                <w:color w:val="auto"/>
              </w:rPr>
            </w:pPr>
            <w:r>
              <w:rPr>
                <w:rFonts w:ascii="Times New Roman" w:cs="Times New Roman" w:eastAsia="Times New Roman" w:hAnsi="Times New Roman"/>
                <w:sz w:val="12"/>
                <w:szCs w:val="12"/>
                <w:color w:val="auto"/>
                <w:w w:val="96"/>
              </w:rPr>
              <w:t>-7.6%</w:t>
            </w:r>
          </w:p>
        </w:tc>
        <w:tc>
          <w:tcPr>
            <w:tcW w:w="780" w:type="dxa"/>
            <w:vAlign w:val="bottom"/>
          </w:tcPr>
          <w:p>
            <w:pPr>
              <w:jc w:val="center"/>
              <w:spacing w:after="0" w:line="131" w:lineRule="exact"/>
              <w:rPr>
                <w:sz w:val="20"/>
                <w:szCs w:val="20"/>
                <w:color w:val="auto"/>
              </w:rPr>
            </w:pPr>
            <w:r>
              <w:rPr>
                <w:rFonts w:ascii="Times New Roman" w:cs="Times New Roman" w:eastAsia="Times New Roman" w:hAnsi="Times New Roman"/>
                <w:sz w:val="12"/>
                <w:szCs w:val="12"/>
                <w:color w:val="auto"/>
                <w:w w:val="97"/>
              </w:rPr>
              <w:t>-11.2%</w:t>
            </w:r>
          </w:p>
        </w:tc>
      </w:tr>
      <w:tr>
        <w:trPr>
          <w:trHeight w:val="156"/>
        </w:trPr>
        <w:tc>
          <w:tcPr>
            <w:tcW w:w="5780" w:type="dxa"/>
            <w:vAlign w:val="bottom"/>
          </w:tcPr>
          <w:p>
            <w:pPr>
              <w:ind w:left="100"/>
              <w:spacing w:after="0"/>
              <w:rPr>
                <w:sz w:val="20"/>
                <w:szCs w:val="20"/>
                <w:color w:val="auto"/>
              </w:rPr>
            </w:pPr>
            <w:r>
              <w:rPr>
                <w:rFonts w:ascii="Times New Roman" w:cs="Times New Roman" w:eastAsia="Times New Roman" w:hAnsi="Times New Roman"/>
                <w:sz w:val="12"/>
                <w:szCs w:val="12"/>
                <w:b w:val="1"/>
                <w:bCs w:val="1"/>
                <w:color w:val="auto"/>
              </w:rPr>
              <w:t>Interest income and expense</w:t>
            </w:r>
          </w:p>
        </w:tc>
        <w:tc>
          <w:tcPr>
            <w:tcW w:w="1880" w:type="dxa"/>
            <w:vAlign w:val="bottom"/>
          </w:tcPr>
          <w:p>
            <w:pPr>
              <w:jc w:val="center"/>
              <w:ind w:left="821"/>
              <w:spacing w:after="0"/>
              <w:rPr>
                <w:sz w:val="20"/>
                <w:szCs w:val="20"/>
                <w:color w:val="auto"/>
              </w:rPr>
            </w:pPr>
            <w:r>
              <w:rPr>
                <w:rFonts w:ascii="Times New Roman" w:cs="Times New Roman" w:eastAsia="Times New Roman" w:hAnsi="Times New Roman"/>
                <w:sz w:val="12"/>
                <w:szCs w:val="12"/>
                <w:b w:val="1"/>
                <w:bCs w:val="1"/>
                <w:color w:val="auto"/>
                <w:w w:val="99"/>
              </w:rPr>
              <w:t>3,285,047</w:t>
            </w:r>
          </w:p>
        </w:tc>
        <w:tc>
          <w:tcPr>
            <w:tcW w:w="10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3,549,329</w:t>
            </w:r>
          </w:p>
        </w:tc>
        <w:tc>
          <w:tcPr>
            <w:tcW w:w="10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3,628,739</w:t>
            </w: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2.2%</w:t>
            </w: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10.5%</w:t>
            </w:r>
          </w:p>
        </w:tc>
      </w:tr>
      <w:tr>
        <w:trPr>
          <w:trHeight w:val="227"/>
        </w:trPr>
        <w:tc>
          <w:tcPr>
            <w:tcW w:w="57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Provision for credit losses on loan portfolio</w:t>
            </w:r>
          </w:p>
        </w:tc>
        <w:tc>
          <w:tcPr>
            <w:tcW w:w="1880" w:type="dxa"/>
            <w:vAlign w:val="bottom"/>
          </w:tcPr>
          <w:p>
            <w:pPr>
              <w:jc w:val="center"/>
              <w:ind w:left="801"/>
              <w:spacing w:after="0"/>
              <w:rPr>
                <w:sz w:val="20"/>
                <w:szCs w:val="20"/>
                <w:color w:val="auto"/>
              </w:rPr>
            </w:pPr>
            <w:r>
              <w:rPr>
                <w:rFonts w:ascii="Times New Roman" w:cs="Times New Roman" w:eastAsia="Times New Roman" w:hAnsi="Times New Roman"/>
                <w:sz w:val="12"/>
                <w:szCs w:val="12"/>
                <w:color w:val="auto"/>
                <w:w w:val="97"/>
              </w:rPr>
              <w:t>(648,883)</w:t>
            </w:r>
          </w:p>
        </w:tc>
        <w:tc>
          <w:tcPr>
            <w:tcW w:w="10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(714,928)</w:t>
            </w:r>
          </w:p>
        </w:tc>
        <w:tc>
          <w:tcPr>
            <w:tcW w:w="10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(538,747)</w:t>
            </w: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-24.6%</w:t>
            </w: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-17.0%</w:t>
            </w:r>
          </w:p>
        </w:tc>
      </w:tr>
      <w:tr>
        <w:trPr>
          <w:trHeight w:val="125"/>
        </w:trPr>
        <w:tc>
          <w:tcPr>
            <w:tcW w:w="5780" w:type="dxa"/>
            <w:vAlign w:val="bottom"/>
          </w:tcPr>
          <w:p>
            <w:pPr>
              <w:ind w:left="100"/>
              <w:spacing w:after="0" w:line="125" w:lineRule="exact"/>
              <w:rPr>
                <w:sz w:val="20"/>
                <w:szCs w:val="20"/>
                <w:color w:val="auto"/>
              </w:rPr>
            </w:pPr>
            <w:r>
              <w:rPr>
                <w:rFonts w:ascii="Times New Roman" w:cs="Times New Roman" w:eastAsia="Times New Roman" w:hAnsi="Times New Roman"/>
                <w:sz w:val="12"/>
                <w:szCs w:val="12"/>
                <w:color w:val="auto"/>
              </w:rPr>
              <w:t>Recoveries of written-off loans</w:t>
            </w:r>
          </w:p>
        </w:tc>
        <w:tc>
          <w:tcPr>
            <w:tcW w:w="1880" w:type="dxa"/>
            <w:vAlign w:val="bottom"/>
          </w:tcPr>
          <w:p>
            <w:pPr>
              <w:jc w:val="center"/>
              <w:ind w:left="801"/>
              <w:spacing w:after="0" w:line="125" w:lineRule="exact"/>
              <w:rPr>
                <w:sz w:val="20"/>
                <w:szCs w:val="20"/>
                <w:color w:val="auto"/>
              </w:rPr>
            </w:pPr>
            <w:r>
              <w:rPr>
                <w:rFonts w:ascii="Times New Roman" w:cs="Times New Roman" w:eastAsia="Times New Roman" w:hAnsi="Times New Roman"/>
                <w:sz w:val="12"/>
                <w:szCs w:val="12"/>
                <w:color w:val="auto"/>
                <w:w w:val="97"/>
              </w:rPr>
              <w:t>108,978</w:t>
            </w:r>
          </w:p>
        </w:tc>
        <w:tc>
          <w:tcPr>
            <w:tcW w:w="102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auto"/>
                <w:w w:val="97"/>
              </w:rPr>
              <w:t>123,065</w:t>
            </w:r>
          </w:p>
        </w:tc>
        <w:tc>
          <w:tcPr>
            <w:tcW w:w="100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auto"/>
              </w:rPr>
              <w:t>125,768</w:t>
            </w:r>
          </w:p>
        </w:tc>
        <w:tc>
          <w:tcPr>
            <w:tcW w:w="78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auto"/>
                <w:w w:val="95"/>
              </w:rPr>
              <w:t>2.2%</w:t>
            </w:r>
          </w:p>
        </w:tc>
        <w:tc>
          <w:tcPr>
            <w:tcW w:w="78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auto"/>
                <w:w w:val="96"/>
              </w:rPr>
              <w:t>15.4%</w:t>
            </w:r>
          </w:p>
        </w:tc>
      </w:tr>
      <w:tr>
        <w:trPr>
          <w:trHeight w:val="156"/>
        </w:trPr>
        <w:tc>
          <w:tcPr>
            <w:tcW w:w="5780" w:type="dxa"/>
            <w:vAlign w:val="bottom"/>
          </w:tcPr>
          <w:p>
            <w:pPr>
              <w:ind w:left="100"/>
              <w:spacing w:after="0"/>
              <w:rPr>
                <w:sz w:val="20"/>
                <w:szCs w:val="20"/>
                <w:color w:val="auto"/>
              </w:rPr>
            </w:pPr>
            <w:r>
              <w:rPr>
                <w:rFonts w:ascii="Times New Roman" w:cs="Times New Roman" w:eastAsia="Times New Roman" w:hAnsi="Times New Roman"/>
                <w:sz w:val="12"/>
                <w:szCs w:val="12"/>
                <w:b w:val="1"/>
                <w:bCs w:val="1"/>
                <w:color w:val="auto"/>
              </w:rPr>
              <w:t>Provision for credit losses on loan portfolio, net of recoveries</w:t>
            </w:r>
          </w:p>
        </w:tc>
        <w:tc>
          <w:tcPr>
            <w:tcW w:w="1880" w:type="dxa"/>
            <w:vAlign w:val="bottom"/>
          </w:tcPr>
          <w:p>
            <w:pPr>
              <w:jc w:val="center"/>
              <w:ind w:left="801"/>
              <w:spacing w:after="0"/>
              <w:rPr>
                <w:sz w:val="20"/>
                <w:szCs w:val="20"/>
                <w:color w:val="auto"/>
              </w:rPr>
            </w:pPr>
            <w:r>
              <w:rPr>
                <w:rFonts w:ascii="Times New Roman" w:cs="Times New Roman" w:eastAsia="Times New Roman" w:hAnsi="Times New Roman"/>
                <w:sz w:val="12"/>
                <w:szCs w:val="12"/>
                <w:b w:val="1"/>
                <w:bCs w:val="1"/>
                <w:color w:val="auto"/>
                <w:w w:val="97"/>
              </w:rPr>
              <w:t>(539,905)</w:t>
            </w:r>
          </w:p>
        </w:tc>
        <w:tc>
          <w:tcPr>
            <w:tcW w:w="10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(591,863)</w:t>
            </w:r>
          </w:p>
        </w:tc>
        <w:tc>
          <w:tcPr>
            <w:tcW w:w="10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(412,979)</w:t>
            </w: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-30.2%</w:t>
            </w: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-23.5%</w:t>
            </w:r>
          </w:p>
        </w:tc>
      </w:tr>
      <w:tr>
        <w:trPr>
          <w:trHeight w:val="254"/>
        </w:trPr>
        <w:tc>
          <w:tcPr>
            <w:tcW w:w="5780" w:type="dxa"/>
            <w:vAlign w:val="bottom"/>
          </w:tcPr>
          <w:p>
            <w:pPr>
              <w:ind w:left="100"/>
              <w:spacing w:after="0"/>
              <w:rPr>
                <w:sz w:val="20"/>
                <w:szCs w:val="20"/>
                <w:color w:val="auto"/>
              </w:rPr>
            </w:pPr>
            <w:r>
              <w:rPr>
                <w:rFonts w:ascii="Times New Roman" w:cs="Times New Roman" w:eastAsia="Times New Roman" w:hAnsi="Times New Roman"/>
                <w:sz w:val="12"/>
                <w:szCs w:val="12"/>
                <w:b w:val="1"/>
                <w:bCs w:val="1"/>
                <w:color w:val="auto"/>
              </w:rPr>
              <w:t>Net interest, similar income and expenses, after provision for credit losses on loan portfolio</w:t>
            </w:r>
          </w:p>
        </w:tc>
        <w:tc>
          <w:tcPr>
            <w:tcW w:w="1880" w:type="dxa"/>
            <w:vAlign w:val="bottom"/>
          </w:tcPr>
          <w:p>
            <w:pPr>
              <w:jc w:val="center"/>
              <w:ind w:left="821"/>
              <w:spacing w:after="0"/>
              <w:rPr>
                <w:sz w:val="20"/>
                <w:szCs w:val="20"/>
                <w:color w:val="auto"/>
              </w:rPr>
            </w:pPr>
            <w:r>
              <w:rPr>
                <w:rFonts w:ascii="Times New Roman" w:cs="Times New Roman" w:eastAsia="Times New Roman" w:hAnsi="Times New Roman"/>
                <w:sz w:val="12"/>
                <w:szCs w:val="12"/>
                <w:b w:val="1"/>
                <w:bCs w:val="1"/>
                <w:color w:val="auto"/>
                <w:w w:val="99"/>
              </w:rPr>
              <w:t>2,745,142</w:t>
            </w:r>
          </w:p>
        </w:tc>
        <w:tc>
          <w:tcPr>
            <w:tcW w:w="10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2,957,466</w:t>
            </w:r>
          </w:p>
        </w:tc>
        <w:tc>
          <w:tcPr>
            <w:tcW w:w="10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3,215,760</w:t>
            </w: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8.7%</w:t>
            </w: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17.1%</w:t>
            </w:r>
          </w:p>
        </w:tc>
      </w:tr>
      <w:tr>
        <w:trPr>
          <w:trHeight w:val="227"/>
        </w:trPr>
        <w:tc>
          <w:tcPr>
            <w:tcW w:w="5780" w:type="dxa"/>
            <w:vAlign w:val="bottom"/>
          </w:tcPr>
          <w:p>
            <w:pPr>
              <w:ind w:left="100"/>
              <w:spacing w:after="0"/>
              <w:rPr>
                <w:sz w:val="20"/>
                <w:szCs w:val="20"/>
                <w:color w:val="auto"/>
              </w:rPr>
            </w:pPr>
            <w:r>
              <w:rPr>
                <w:rFonts w:ascii="Times New Roman" w:cs="Times New Roman" w:eastAsia="Times New Roman" w:hAnsi="Times New Roman"/>
                <w:sz w:val="12"/>
                <w:szCs w:val="12"/>
                <w:b w:val="1"/>
                <w:bCs w:val="1"/>
                <w:color w:val="auto"/>
              </w:rPr>
              <w:t>Other income</w:t>
            </w:r>
          </w:p>
        </w:tc>
        <w:tc>
          <w:tcPr>
            <w:tcW w:w="18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27"/>
        </w:trPr>
        <w:tc>
          <w:tcPr>
            <w:tcW w:w="5780" w:type="dxa"/>
            <w:vAlign w:val="bottom"/>
          </w:tcPr>
          <w:p>
            <w:pPr>
              <w:ind w:left="160"/>
              <w:spacing w:after="0" w:line="127" w:lineRule="exact"/>
              <w:rPr>
                <w:sz w:val="20"/>
                <w:szCs w:val="20"/>
                <w:color w:val="auto"/>
              </w:rPr>
            </w:pPr>
            <w:r>
              <w:rPr>
                <w:rFonts w:ascii="Times New Roman" w:cs="Times New Roman" w:eastAsia="Times New Roman" w:hAnsi="Times New Roman"/>
                <w:sz w:val="12"/>
                <w:szCs w:val="12"/>
                <w:color w:val="auto"/>
              </w:rPr>
              <w:t>Fee income</w:t>
            </w:r>
          </w:p>
        </w:tc>
        <w:tc>
          <w:tcPr>
            <w:tcW w:w="1880" w:type="dxa"/>
            <w:vAlign w:val="bottom"/>
          </w:tcPr>
          <w:p>
            <w:pPr>
              <w:jc w:val="center"/>
              <w:ind w:left="801"/>
              <w:spacing w:after="0" w:line="127" w:lineRule="exact"/>
              <w:rPr>
                <w:sz w:val="20"/>
                <w:szCs w:val="20"/>
                <w:color w:val="auto"/>
              </w:rPr>
            </w:pPr>
            <w:r>
              <w:rPr>
                <w:rFonts w:ascii="Times New Roman" w:cs="Times New Roman" w:eastAsia="Times New Roman" w:hAnsi="Times New Roman"/>
                <w:sz w:val="12"/>
                <w:szCs w:val="12"/>
                <w:color w:val="auto"/>
                <w:w w:val="97"/>
              </w:rPr>
              <w:t>860,089</w:t>
            </w:r>
          </w:p>
        </w:tc>
        <w:tc>
          <w:tcPr>
            <w:tcW w:w="102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7"/>
              </w:rPr>
              <w:t>956,996</w:t>
            </w:r>
          </w:p>
        </w:tc>
        <w:tc>
          <w:tcPr>
            <w:tcW w:w="100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rPr>
              <w:t>996,706</w:t>
            </w:r>
          </w:p>
        </w:tc>
        <w:tc>
          <w:tcPr>
            <w:tcW w:w="78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5"/>
              </w:rPr>
              <w:t>4.1%</w:t>
            </w:r>
          </w:p>
        </w:tc>
        <w:tc>
          <w:tcPr>
            <w:tcW w:w="78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6"/>
              </w:rPr>
              <w:t>15.9%</w:t>
            </w:r>
          </w:p>
        </w:tc>
      </w:tr>
      <w:tr>
        <w:trPr>
          <w:trHeight w:val="127"/>
        </w:trPr>
        <w:tc>
          <w:tcPr>
            <w:tcW w:w="5780" w:type="dxa"/>
            <w:vAlign w:val="bottom"/>
          </w:tcPr>
          <w:p>
            <w:pPr>
              <w:ind w:left="160"/>
              <w:spacing w:after="0" w:line="127" w:lineRule="exact"/>
              <w:rPr>
                <w:sz w:val="20"/>
                <w:szCs w:val="20"/>
                <w:color w:val="auto"/>
              </w:rPr>
            </w:pPr>
            <w:r>
              <w:rPr>
                <w:rFonts w:ascii="Times New Roman" w:cs="Times New Roman" w:eastAsia="Times New Roman" w:hAnsi="Times New Roman"/>
                <w:sz w:val="12"/>
                <w:szCs w:val="12"/>
                <w:color w:val="auto"/>
              </w:rPr>
              <w:t>Net gain on foreign exchange transactions</w:t>
            </w:r>
          </w:p>
        </w:tc>
        <w:tc>
          <w:tcPr>
            <w:tcW w:w="1880" w:type="dxa"/>
            <w:vAlign w:val="bottom"/>
          </w:tcPr>
          <w:p>
            <w:pPr>
              <w:jc w:val="center"/>
              <w:ind w:left="801"/>
              <w:spacing w:after="0" w:line="127" w:lineRule="exact"/>
              <w:rPr>
                <w:sz w:val="20"/>
                <w:szCs w:val="20"/>
                <w:color w:val="auto"/>
              </w:rPr>
            </w:pPr>
            <w:r>
              <w:rPr>
                <w:rFonts w:ascii="Times New Roman" w:cs="Times New Roman" w:eastAsia="Times New Roman" w:hAnsi="Times New Roman"/>
                <w:sz w:val="12"/>
                <w:szCs w:val="12"/>
                <w:color w:val="auto"/>
                <w:w w:val="97"/>
              </w:rPr>
              <w:t>305,799</w:t>
            </w:r>
          </w:p>
        </w:tc>
        <w:tc>
          <w:tcPr>
            <w:tcW w:w="102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7"/>
              </w:rPr>
              <w:t>374,685</w:t>
            </w:r>
          </w:p>
        </w:tc>
        <w:tc>
          <w:tcPr>
            <w:tcW w:w="100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rPr>
              <w:t>389,372</w:t>
            </w:r>
          </w:p>
        </w:tc>
        <w:tc>
          <w:tcPr>
            <w:tcW w:w="78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5"/>
              </w:rPr>
              <w:t>3.9%</w:t>
            </w:r>
          </w:p>
        </w:tc>
        <w:tc>
          <w:tcPr>
            <w:tcW w:w="78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6"/>
              </w:rPr>
              <w:t>27.3%</w:t>
            </w:r>
          </w:p>
        </w:tc>
      </w:tr>
      <w:tr>
        <w:trPr>
          <w:trHeight w:val="127"/>
        </w:trPr>
        <w:tc>
          <w:tcPr>
            <w:tcW w:w="5780" w:type="dxa"/>
            <w:vAlign w:val="bottom"/>
          </w:tcPr>
          <w:p>
            <w:pPr>
              <w:ind w:left="160"/>
              <w:spacing w:after="0" w:line="127" w:lineRule="exact"/>
              <w:rPr>
                <w:sz w:val="20"/>
                <w:szCs w:val="20"/>
                <w:color w:val="auto"/>
              </w:rPr>
            </w:pPr>
            <w:r>
              <w:rPr>
                <w:rFonts w:ascii="Times New Roman" w:cs="Times New Roman" w:eastAsia="Times New Roman" w:hAnsi="Times New Roman"/>
                <w:sz w:val="12"/>
                <w:szCs w:val="12"/>
                <w:color w:val="auto"/>
              </w:rPr>
              <w:t>Net gain (loss) on securities</w:t>
            </w:r>
          </w:p>
        </w:tc>
        <w:tc>
          <w:tcPr>
            <w:tcW w:w="1880" w:type="dxa"/>
            <w:vAlign w:val="bottom"/>
          </w:tcPr>
          <w:p>
            <w:pPr>
              <w:jc w:val="center"/>
              <w:ind w:left="821"/>
              <w:spacing w:after="0" w:line="127" w:lineRule="exact"/>
              <w:rPr>
                <w:sz w:val="20"/>
                <w:szCs w:val="20"/>
                <w:color w:val="auto"/>
              </w:rPr>
            </w:pPr>
            <w:r>
              <w:rPr>
                <w:rFonts w:ascii="Times New Roman" w:cs="Times New Roman" w:eastAsia="Times New Roman" w:hAnsi="Times New Roman"/>
                <w:sz w:val="12"/>
                <w:szCs w:val="12"/>
                <w:color w:val="auto"/>
                <w:w w:val="96"/>
              </w:rPr>
              <w:t>11,361</w:t>
            </w:r>
          </w:p>
        </w:tc>
        <w:tc>
          <w:tcPr>
            <w:tcW w:w="102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6"/>
              </w:rPr>
              <w:t>21,796</w:t>
            </w:r>
          </w:p>
        </w:tc>
        <w:tc>
          <w:tcPr>
            <w:tcW w:w="100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6"/>
              </w:rPr>
              <w:t>70,261</w:t>
            </w:r>
          </w:p>
        </w:tc>
        <w:tc>
          <w:tcPr>
            <w:tcW w:w="78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2"/>
              </w:rPr>
              <w:t>n.a.</w:t>
            </w:r>
          </w:p>
        </w:tc>
        <w:tc>
          <w:tcPr>
            <w:tcW w:w="78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rPr>
              <w:t>n.a.</w:t>
            </w:r>
          </w:p>
        </w:tc>
      </w:tr>
      <w:tr>
        <w:trPr>
          <w:trHeight w:val="127"/>
        </w:trPr>
        <w:tc>
          <w:tcPr>
            <w:tcW w:w="5780" w:type="dxa"/>
            <w:vAlign w:val="bottom"/>
          </w:tcPr>
          <w:p>
            <w:pPr>
              <w:ind w:left="160"/>
              <w:spacing w:after="0" w:line="127" w:lineRule="exact"/>
              <w:rPr>
                <w:sz w:val="20"/>
                <w:szCs w:val="20"/>
                <w:color w:val="auto"/>
              </w:rPr>
            </w:pPr>
            <w:r>
              <w:rPr>
                <w:rFonts w:ascii="Times New Roman" w:cs="Times New Roman" w:eastAsia="Times New Roman" w:hAnsi="Times New Roman"/>
                <w:sz w:val="12"/>
                <w:szCs w:val="12"/>
                <w:color w:val="auto"/>
              </w:rPr>
              <w:t>Net gain on derivatives held for trading</w:t>
            </w:r>
          </w:p>
        </w:tc>
        <w:tc>
          <w:tcPr>
            <w:tcW w:w="1880" w:type="dxa"/>
            <w:vAlign w:val="bottom"/>
          </w:tcPr>
          <w:p>
            <w:pPr>
              <w:jc w:val="center"/>
              <w:ind w:left="821"/>
              <w:spacing w:after="0" w:line="127" w:lineRule="exact"/>
              <w:rPr>
                <w:sz w:val="20"/>
                <w:szCs w:val="20"/>
                <w:color w:val="auto"/>
              </w:rPr>
            </w:pPr>
            <w:r>
              <w:rPr>
                <w:rFonts w:ascii="Times New Roman" w:cs="Times New Roman" w:eastAsia="Times New Roman" w:hAnsi="Times New Roman"/>
                <w:sz w:val="12"/>
                <w:szCs w:val="12"/>
                <w:color w:val="auto"/>
                <w:w w:val="96"/>
              </w:rPr>
              <w:t>14,635</w:t>
            </w:r>
          </w:p>
        </w:tc>
        <w:tc>
          <w:tcPr>
            <w:tcW w:w="102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6"/>
              </w:rPr>
              <w:t>13,149</w:t>
            </w:r>
          </w:p>
        </w:tc>
        <w:tc>
          <w:tcPr>
            <w:tcW w:w="100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6"/>
              </w:rPr>
              <w:t>21,280</w:t>
            </w:r>
          </w:p>
        </w:tc>
        <w:tc>
          <w:tcPr>
            <w:tcW w:w="78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rPr>
              <w:t>61.8%</w:t>
            </w:r>
          </w:p>
        </w:tc>
        <w:tc>
          <w:tcPr>
            <w:tcW w:w="78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6"/>
              </w:rPr>
              <w:t>45.4%</w:t>
            </w:r>
          </w:p>
        </w:tc>
      </w:tr>
      <w:tr>
        <w:trPr>
          <w:trHeight w:val="127"/>
        </w:trPr>
        <w:tc>
          <w:tcPr>
            <w:tcW w:w="5780" w:type="dxa"/>
            <w:vAlign w:val="bottom"/>
          </w:tcPr>
          <w:p>
            <w:pPr>
              <w:ind w:left="160"/>
              <w:spacing w:after="0" w:line="127" w:lineRule="exact"/>
              <w:rPr>
                <w:sz w:val="20"/>
                <w:szCs w:val="20"/>
                <w:color w:val="auto"/>
              </w:rPr>
            </w:pPr>
            <w:r>
              <w:rPr>
                <w:rFonts w:ascii="Times New Roman" w:cs="Times New Roman" w:eastAsia="Times New Roman" w:hAnsi="Times New Roman"/>
                <w:sz w:val="12"/>
                <w:szCs w:val="12"/>
                <w:color w:val="auto"/>
              </w:rPr>
              <w:t>Net loss (gain) from exchange differences</w:t>
            </w:r>
          </w:p>
        </w:tc>
        <w:tc>
          <w:tcPr>
            <w:tcW w:w="1880" w:type="dxa"/>
            <w:vAlign w:val="bottom"/>
          </w:tcPr>
          <w:p>
            <w:pPr>
              <w:jc w:val="center"/>
              <w:ind w:left="801"/>
              <w:spacing w:after="0" w:line="127" w:lineRule="exact"/>
              <w:rPr>
                <w:sz w:val="20"/>
                <w:szCs w:val="20"/>
                <w:color w:val="auto"/>
              </w:rPr>
            </w:pPr>
            <w:r>
              <w:rPr>
                <w:rFonts w:ascii="Times New Roman" w:cs="Times New Roman" w:eastAsia="Times New Roman" w:hAnsi="Times New Roman"/>
                <w:sz w:val="12"/>
                <w:szCs w:val="12"/>
                <w:color w:val="auto"/>
                <w:w w:val="99"/>
              </w:rPr>
              <w:t>784</w:t>
            </w:r>
          </w:p>
        </w:tc>
        <w:tc>
          <w:tcPr>
            <w:tcW w:w="102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rPr>
              <w:t>3,372</w:t>
            </w:r>
          </w:p>
        </w:tc>
        <w:tc>
          <w:tcPr>
            <w:tcW w:w="100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6"/>
              </w:rPr>
              <w:t>12,384</w:t>
            </w:r>
          </w:p>
        </w:tc>
        <w:tc>
          <w:tcPr>
            <w:tcW w:w="78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2"/>
              </w:rPr>
              <w:t>n.a.</w:t>
            </w:r>
          </w:p>
        </w:tc>
        <w:tc>
          <w:tcPr>
            <w:tcW w:w="78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rPr>
              <w:t>n.a.</w:t>
            </w:r>
          </w:p>
        </w:tc>
      </w:tr>
      <w:tr>
        <w:trPr>
          <w:trHeight w:val="125"/>
        </w:trPr>
        <w:tc>
          <w:tcPr>
            <w:tcW w:w="5780" w:type="dxa"/>
            <w:vAlign w:val="bottom"/>
          </w:tcPr>
          <w:p>
            <w:pPr>
              <w:ind w:left="160"/>
              <w:spacing w:after="0" w:line="125" w:lineRule="exact"/>
              <w:rPr>
                <w:sz w:val="20"/>
                <w:szCs w:val="20"/>
                <w:color w:val="auto"/>
              </w:rPr>
            </w:pPr>
            <w:r>
              <w:rPr>
                <w:rFonts w:ascii="Times New Roman" w:cs="Times New Roman" w:eastAsia="Times New Roman" w:hAnsi="Times New Roman"/>
                <w:sz w:val="12"/>
                <w:szCs w:val="12"/>
                <w:color w:val="auto"/>
              </w:rPr>
              <w:t>Others</w:t>
            </w:r>
          </w:p>
        </w:tc>
        <w:tc>
          <w:tcPr>
            <w:tcW w:w="1880" w:type="dxa"/>
            <w:vAlign w:val="bottom"/>
          </w:tcPr>
          <w:p>
            <w:pPr>
              <w:jc w:val="center"/>
              <w:ind w:left="821"/>
              <w:spacing w:after="0" w:line="125" w:lineRule="exact"/>
              <w:rPr>
                <w:sz w:val="20"/>
                <w:szCs w:val="20"/>
                <w:color w:val="auto"/>
              </w:rPr>
            </w:pPr>
            <w:r>
              <w:rPr>
                <w:rFonts w:ascii="Times New Roman" w:cs="Times New Roman" w:eastAsia="Times New Roman" w:hAnsi="Times New Roman"/>
                <w:sz w:val="12"/>
                <w:szCs w:val="12"/>
                <w:color w:val="auto"/>
                <w:w w:val="96"/>
              </w:rPr>
              <w:t>23,975</w:t>
            </w:r>
          </w:p>
        </w:tc>
        <w:tc>
          <w:tcPr>
            <w:tcW w:w="102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auto"/>
                <w:w w:val="96"/>
              </w:rPr>
              <w:t>58,303</w:t>
            </w:r>
          </w:p>
        </w:tc>
        <w:tc>
          <w:tcPr>
            <w:tcW w:w="100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auto"/>
                <w:w w:val="96"/>
              </w:rPr>
              <w:t>19,439</w:t>
            </w:r>
          </w:p>
        </w:tc>
        <w:tc>
          <w:tcPr>
            <w:tcW w:w="78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auto"/>
              </w:rPr>
              <w:t>-66.7%</w:t>
            </w:r>
          </w:p>
        </w:tc>
        <w:tc>
          <w:tcPr>
            <w:tcW w:w="78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auto"/>
                <w:w w:val="97"/>
              </w:rPr>
              <w:t>-18.9%</w:t>
            </w:r>
          </w:p>
        </w:tc>
      </w:tr>
      <w:tr>
        <w:trPr>
          <w:trHeight w:val="156"/>
        </w:trPr>
        <w:tc>
          <w:tcPr>
            <w:tcW w:w="5780" w:type="dxa"/>
            <w:vAlign w:val="bottom"/>
          </w:tcPr>
          <w:p>
            <w:pPr>
              <w:ind w:left="160"/>
              <w:spacing w:after="0"/>
              <w:rPr>
                <w:sz w:val="20"/>
                <w:szCs w:val="20"/>
                <w:color w:val="auto"/>
              </w:rPr>
            </w:pPr>
            <w:r>
              <w:rPr>
                <w:rFonts w:ascii="Times New Roman" w:cs="Times New Roman" w:eastAsia="Times New Roman" w:hAnsi="Times New Roman"/>
                <w:sz w:val="12"/>
                <w:szCs w:val="12"/>
                <w:b w:val="1"/>
                <w:bCs w:val="1"/>
                <w:color w:val="auto"/>
              </w:rPr>
              <w:t>Total other income</w:t>
            </w:r>
          </w:p>
        </w:tc>
        <w:tc>
          <w:tcPr>
            <w:tcW w:w="1880" w:type="dxa"/>
            <w:vAlign w:val="bottom"/>
          </w:tcPr>
          <w:p>
            <w:pPr>
              <w:jc w:val="center"/>
              <w:ind w:left="821"/>
              <w:spacing w:after="0"/>
              <w:rPr>
                <w:sz w:val="20"/>
                <w:szCs w:val="20"/>
                <w:color w:val="auto"/>
              </w:rPr>
            </w:pPr>
            <w:r>
              <w:rPr>
                <w:rFonts w:ascii="Times New Roman" w:cs="Times New Roman" w:eastAsia="Times New Roman" w:hAnsi="Times New Roman"/>
                <w:sz w:val="12"/>
                <w:szCs w:val="12"/>
                <w:b w:val="1"/>
                <w:bCs w:val="1"/>
                <w:color w:val="auto"/>
                <w:w w:val="99"/>
              </w:rPr>
              <w:t>1,216,643</w:t>
            </w:r>
          </w:p>
        </w:tc>
        <w:tc>
          <w:tcPr>
            <w:tcW w:w="10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1,428,301</w:t>
            </w:r>
          </w:p>
        </w:tc>
        <w:tc>
          <w:tcPr>
            <w:tcW w:w="10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1,509,442</w:t>
            </w: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5.7%</w:t>
            </w: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24.1%</w:t>
            </w:r>
          </w:p>
        </w:tc>
      </w:tr>
      <w:tr>
        <w:trPr>
          <w:trHeight w:val="227"/>
        </w:trPr>
        <w:tc>
          <w:tcPr>
            <w:tcW w:w="5780" w:type="dxa"/>
            <w:vAlign w:val="bottom"/>
          </w:tcPr>
          <w:p>
            <w:pPr>
              <w:ind w:left="100"/>
              <w:spacing w:after="0"/>
              <w:rPr>
                <w:sz w:val="20"/>
                <w:szCs w:val="20"/>
                <w:color w:val="auto"/>
              </w:rPr>
            </w:pPr>
            <w:r>
              <w:rPr>
                <w:rFonts w:ascii="Times New Roman" w:cs="Times New Roman" w:eastAsia="Times New Roman" w:hAnsi="Times New Roman"/>
                <w:sz w:val="12"/>
                <w:szCs w:val="12"/>
                <w:b w:val="1"/>
                <w:bCs w:val="1"/>
                <w:color w:val="auto"/>
              </w:rPr>
              <w:t>Total expenses</w:t>
            </w:r>
          </w:p>
        </w:tc>
        <w:tc>
          <w:tcPr>
            <w:tcW w:w="18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27"/>
        </w:trPr>
        <w:tc>
          <w:tcPr>
            <w:tcW w:w="5780" w:type="dxa"/>
            <w:vAlign w:val="bottom"/>
          </w:tcPr>
          <w:p>
            <w:pPr>
              <w:ind w:left="160"/>
              <w:spacing w:after="0" w:line="127" w:lineRule="exact"/>
              <w:rPr>
                <w:sz w:val="20"/>
                <w:szCs w:val="20"/>
                <w:color w:val="auto"/>
              </w:rPr>
            </w:pPr>
            <w:r>
              <w:rPr>
                <w:rFonts w:ascii="Times New Roman" w:cs="Times New Roman" w:eastAsia="Times New Roman" w:hAnsi="Times New Roman"/>
                <w:sz w:val="12"/>
                <w:szCs w:val="12"/>
                <w:color w:val="auto"/>
              </w:rPr>
              <w:t>Salaries and employee benefits</w:t>
            </w:r>
          </w:p>
        </w:tc>
        <w:tc>
          <w:tcPr>
            <w:tcW w:w="1880" w:type="dxa"/>
            <w:vAlign w:val="bottom"/>
          </w:tcPr>
          <w:p>
            <w:pPr>
              <w:jc w:val="center"/>
              <w:ind w:left="801"/>
              <w:spacing w:after="0" w:line="127" w:lineRule="exact"/>
              <w:rPr>
                <w:sz w:val="20"/>
                <w:szCs w:val="20"/>
                <w:color w:val="auto"/>
              </w:rPr>
            </w:pPr>
            <w:r>
              <w:rPr>
                <w:rFonts w:ascii="Times New Roman" w:cs="Times New Roman" w:eastAsia="Times New Roman" w:hAnsi="Times New Roman"/>
                <w:sz w:val="12"/>
                <w:szCs w:val="12"/>
                <w:color w:val="auto"/>
                <w:w w:val="97"/>
              </w:rPr>
              <w:t>(979,534)</w:t>
            </w:r>
          </w:p>
        </w:tc>
        <w:tc>
          <w:tcPr>
            <w:tcW w:w="102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9"/>
              </w:rPr>
              <w:t>(1,016,716)</w:t>
            </w:r>
          </w:p>
        </w:tc>
        <w:tc>
          <w:tcPr>
            <w:tcW w:w="100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9"/>
              </w:rPr>
              <w:t>(1,050,981)</w:t>
            </w:r>
          </w:p>
        </w:tc>
        <w:tc>
          <w:tcPr>
            <w:tcW w:w="78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5"/>
              </w:rPr>
              <w:t>3.4%</w:t>
            </w:r>
          </w:p>
        </w:tc>
        <w:tc>
          <w:tcPr>
            <w:tcW w:w="78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rPr>
              <w:t>7.3%</w:t>
            </w:r>
          </w:p>
        </w:tc>
      </w:tr>
      <w:tr>
        <w:trPr>
          <w:trHeight w:val="121"/>
        </w:trPr>
        <w:tc>
          <w:tcPr>
            <w:tcW w:w="5780" w:type="dxa"/>
            <w:vAlign w:val="bottom"/>
          </w:tcPr>
          <w:p>
            <w:pPr>
              <w:ind w:left="160"/>
              <w:spacing w:after="0" w:line="121" w:lineRule="exact"/>
              <w:rPr>
                <w:sz w:val="20"/>
                <w:szCs w:val="20"/>
                <w:color w:val="auto"/>
              </w:rPr>
            </w:pPr>
            <w:r>
              <w:rPr>
                <w:rFonts w:ascii="Times New Roman" w:cs="Times New Roman" w:eastAsia="Times New Roman" w:hAnsi="Times New Roman"/>
                <w:sz w:val="12"/>
                <w:szCs w:val="12"/>
                <w:color w:val="auto"/>
              </w:rPr>
              <w:t>Administrative expenses</w:t>
            </w:r>
          </w:p>
        </w:tc>
        <w:tc>
          <w:tcPr>
            <w:tcW w:w="1880" w:type="dxa"/>
            <w:vAlign w:val="bottom"/>
          </w:tcPr>
          <w:p>
            <w:pPr>
              <w:jc w:val="center"/>
              <w:ind w:left="801"/>
              <w:spacing w:after="0" w:line="121" w:lineRule="exact"/>
              <w:rPr>
                <w:sz w:val="20"/>
                <w:szCs w:val="20"/>
                <w:color w:val="auto"/>
              </w:rPr>
            </w:pPr>
            <w:r>
              <w:rPr>
                <w:rFonts w:ascii="Times New Roman" w:cs="Times New Roman" w:eastAsia="Times New Roman" w:hAnsi="Times New Roman"/>
                <w:sz w:val="12"/>
                <w:szCs w:val="12"/>
                <w:color w:val="auto"/>
                <w:w w:val="97"/>
              </w:rPr>
              <w:t>(628,741)</w:t>
            </w:r>
          </w:p>
        </w:tc>
        <w:tc>
          <w:tcPr>
            <w:tcW w:w="1020" w:type="dxa"/>
            <w:vAlign w:val="bottom"/>
          </w:tcPr>
          <w:p>
            <w:pPr>
              <w:jc w:val="center"/>
              <w:spacing w:after="0" w:line="121" w:lineRule="exact"/>
              <w:rPr>
                <w:sz w:val="20"/>
                <w:szCs w:val="20"/>
                <w:color w:val="auto"/>
              </w:rPr>
            </w:pPr>
            <w:r>
              <w:rPr>
                <w:rFonts w:ascii="Times New Roman" w:cs="Times New Roman" w:eastAsia="Times New Roman" w:hAnsi="Times New Roman"/>
                <w:sz w:val="12"/>
                <w:szCs w:val="12"/>
                <w:color w:val="auto"/>
                <w:w w:val="97"/>
              </w:rPr>
              <w:t>(936,160)</w:t>
            </w:r>
          </w:p>
        </w:tc>
        <w:tc>
          <w:tcPr>
            <w:tcW w:w="1000" w:type="dxa"/>
            <w:vAlign w:val="bottom"/>
          </w:tcPr>
          <w:p>
            <w:pPr>
              <w:jc w:val="center"/>
              <w:spacing w:after="0" w:line="121" w:lineRule="exact"/>
              <w:rPr>
                <w:sz w:val="20"/>
                <w:szCs w:val="20"/>
                <w:color w:val="auto"/>
              </w:rPr>
            </w:pPr>
            <w:r>
              <w:rPr>
                <w:rFonts w:ascii="Times New Roman" w:cs="Times New Roman" w:eastAsia="Times New Roman" w:hAnsi="Times New Roman"/>
                <w:sz w:val="12"/>
                <w:szCs w:val="12"/>
                <w:color w:val="auto"/>
                <w:w w:val="97"/>
              </w:rPr>
              <w:t>(783,220)</w:t>
            </w:r>
          </w:p>
        </w:tc>
        <w:tc>
          <w:tcPr>
            <w:tcW w:w="780" w:type="dxa"/>
            <w:vAlign w:val="bottom"/>
          </w:tcPr>
          <w:p>
            <w:pPr>
              <w:jc w:val="center"/>
              <w:spacing w:after="0" w:line="121" w:lineRule="exact"/>
              <w:rPr>
                <w:sz w:val="20"/>
                <w:szCs w:val="20"/>
                <w:color w:val="auto"/>
              </w:rPr>
            </w:pPr>
            <w:r>
              <w:rPr>
                <w:rFonts w:ascii="Times New Roman" w:cs="Times New Roman" w:eastAsia="Times New Roman" w:hAnsi="Times New Roman"/>
                <w:sz w:val="12"/>
                <w:szCs w:val="12"/>
                <w:color w:val="auto"/>
              </w:rPr>
              <w:t>-16.3%</w:t>
            </w:r>
          </w:p>
        </w:tc>
        <w:tc>
          <w:tcPr>
            <w:tcW w:w="780" w:type="dxa"/>
            <w:vAlign w:val="bottom"/>
          </w:tcPr>
          <w:p>
            <w:pPr>
              <w:jc w:val="center"/>
              <w:spacing w:after="0" w:line="121" w:lineRule="exact"/>
              <w:rPr>
                <w:sz w:val="20"/>
                <w:szCs w:val="20"/>
                <w:color w:val="auto"/>
              </w:rPr>
            </w:pPr>
            <w:r>
              <w:rPr>
                <w:rFonts w:ascii="Times New Roman" w:cs="Times New Roman" w:eastAsia="Times New Roman" w:hAnsi="Times New Roman"/>
                <w:sz w:val="12"/>
                <w:szCs w:val="12"/>
                <w:color w:val="auto"/>
                <w:w w:val="96"/>
              </w:rPr>
              <w:t>24.6%</w:t>
            </w:r>
          </w:p>
        </w:tc>
      </w:tr>
      <w:tr>
        <w:trPr>
          <w:trHeight w:val="133"/>
        </w:trPr>
        <w:tc>
          <w:tcPr>
            <w:tcW w:w="5780" w:type="dxa"/>
            <w:vAlign w:val="bottom"/>
          </w:tcPr>
          <w:p>
            <w:pPr>
              <w:ind w:left="160"/>
              <w:spacing w:after="0" w:line="133" w:lineRule="exact"/>
              <w:rPr>
                <w:sz w:val="20"/>
                <w:szCs w:val="20"/>
                <w:color w:val="auto"/>
              </w:rPr>
            </w:pPr>
            <w:r>
              <w:rPr>
                <w:rFonts w:ascii="Times New Roman" w:cs="Times New Roman" w:eastAsia="Times New Roman" w:hAnsi="Times New Roman"/>
                <w:sz w:val="10"/>
                <w:szCs w:val="10"/>
                <w:color w:val="auto"/>
              </w:rPr>
              <w:t xml:space="preserve">Depreciation and amortization </w:t>
            </w:r>
            <w:r>
              <w:rPr>
                <w:rFonts w:ascii="Times New Roman" w:cs="Times New Roman" w:eastAsia="Times New Roman" w:hAnsi="Times New Roman"/>
                <w:sz w:val="15"/>
                <w:szCs w:val="15"/>
                <w:color w:val="auto"/>
                <w:vertAlign w:val="superscript"/>
              </w:rPr>
              <w:t>(2)</w:t>
            </w:r>
          </w:p>
        </w:tc>
        <w:tc>
          <w:tcPr>
            <w:tcW w:w="1880" w:type="dxa"/>
            <w:vAlign w:val="bottom"/>
          </w:tcPr>
          <w:p>
            <w:pPr>
              <w:jc w:val="center"/>
              <w:ind w:left="801"/>
              <w:spacing w:after="0" w:line="133" w:lineRule="exact"/>
              <w:rPr>
                <w:sz w:val="20"/>
                <w:szCs w:val="20"/>
                <w:color w:val="auto"/>
              </w:rPr>
            </w:pPr>
            <w:r>
              <w:rPr>
                <w:rFonts w:ascii="Times New Roman" w:cs="Times New Roman" w:eastAsia="Times New Roman" w:hAnsi="Times New Roman"/>
                <w:sz w:val="12"/>
                <w:szCs w:val="12"/>
                <w:color w:val="auto"/>
                <w:w w:val="97"/>
              </w:rPr>
              <w:t>(168,136)</w:t>
            </w:r>
          </w:p>
        </w:tc>
        <w:tc>
          <w:tcPr>
            <w:tcW w:w="102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7"/>
              </w:rPr>
              <w:t>(186,914)</w:t>
            </w:r>
          </w:p>
        </w:tc>
        <w:tc>
          <w:tcPr>
            <w:tcW w:w="100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7"/>
              </w:rPr>
              <w:t>(191,573)</w:t>
            </w:r>
          </w:p>
        </w:tc>
        <w:tc>
          <w:tcPr>
            <w:tcW w:w="78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5"/>
              </w:rPr>
              <w:t>2.5%</w:t>
            </w:r>
          </w:p>
        </w:tc>
        <w:tc>
          <w:tcPr>
            <w:tcW w:w="78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6"/>
              </w:rPr>
              <w:t>13.9%</w:t>
            </w:r>
          </w:p>
        </w:tc>
      </w:tr>
      <w:tr>
        <w:trPr>
          <w:trHeight w:val="125"/>
        </w:trPr>
        <w:tc>
          <w:tcPr>
            <w:tcW w:w="5780" w:type="dxa"/>
            <w:vAlign w:val="bottom"/>
          </w:tcPr>
          <w:p>
            <w:pPr>
              <w:ind w:left="160"/>
              <w:spacing w:after="0" w:line="125" w:lineRule="exact"/>
              <w:rPr>
                <w:sz w:val="20"/>
                <w:szCs w:val="20"/>
                <w:color w:val="auto"/>
              </w:rPr>
            </w:pPr>
            <w:r>
              <w:rPr>
                <w:rFonts w:ascii="Times New Roman" w:cs="Times New Roman" w:eastAsia="Times New Roman" w:hAnsi="Times New Roman"/>
                <w:sz w:val="12"/>
                <w:szCs w:val="12"/>
                <w:color w:val="auto"/>
              </w:rPr>
              <w:t>Other expenses</w:t>
            </w:r>
          </w:p>
        </w:tc>
        <w:tc>
          <w:tcPr>
            <w:tcW w:w="1880" w:type="dxa"/>
            <w:vAlign w:val="bottom"/>
          </w:tcPr>
          <w:p>
            <w:pPr>
              <w:jc w:val="center"/>
              <w:ind w:left="821"/>
              <w:spacing w:after="0" w:line="125" w:lineRule="exact"/>
              <w:rPr>
                <w:sz w:val="20"/>
                <w:szCs w:val="20"/>
                <w:color w:val="auto"/>
              </w:rPr>
            </w:pPr>
            <w:r>
              <w:rPr>
                <w:rFonts w:ascii="Times New Roman" w:cs="Times New Roman" w:eastAsia="Times New Roman" w:hAnsi="Times New Roman"/>
                <w:sz w:val="12"/>
                <w:szCs w:val="12"/>
                <w:color w:val="auto"/>
                <w:w w:val="97"/>
              </w:rPr>
              <w:t>(53,526)</w:t>
            </w:r>
          </w:p>
        </w:tc>
        <w:tc>
          <w:tcPr>
            <w:tcW w:w="102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auto"/>
                <w:w w:val="97"/>
              </w:rPr>
              <w:t>(71,464)</w:t>
            </w:r>
          </w:p>
        </w:tc>
        <w:tc>
          <w:tcPr>
            <w:tcW w:w="100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auto"/>
                <w:w w:val="97"/>
              </w:rPr>
              <w:t>(61,203)</w:t>
            </w:r>
          </w:p>
        </w:tc>
        <w:tc>
          <w:tcPr>
            <w:tcW w:w="78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auto"/>
              </w:rPr>
              <w:t>-14.4%</w:t>
            </w:r>
          </w:p>
        </w:tc>
        <w:tc>
          <w:tcPr>
            <w:tcW w:w="78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auto"/>
                <w:w w:val="96"/>
              </w:rPr>
              <w:t>14.3%</w:t>
            </w:r>
          </w:p>
        </w:tc>
      </w:tr>
      <w:tr>
        <w:trPr>
          <w:trHeight w:val="156"/>
        </w:trPr>
        <w:tc>
          <w:tcPr>
            <w:tcW w:w="5780" w:type="dxa"/>
            <w:vAlign w:val="bottom"/>
          </w:tcPr>
          <w:p>
            <w:pPr>
              <w:ind w:left="160"/>
              <w:spacing w:after="0"/>
              <w:rPr>
                <w:sz w:val="20"/>
                <w:szCs w:val="20"/>
                <w:color w:val="auto"/>
              </w:rPr>
            </w:pPr>
            <w:r>
              <w:rPr>
                <w:rFonts w:ascii="Times New Roman" w:cs="Times New Roman" w:eastAsia="Times New Roman" w:hAnsi="Times New Roman"/>
                <w:sz w:val="12"/>
                <w:szCs w:val="12"/>
                <w:b w:val="1"/>
                <w:bCs w:val="1"/>
                <w:color w:val="auto"/>
              </w:rPr>
              <w:t>Total expenses</w:t>
            </w:r>
          </w:p>
        </w:tc>
        <w:tc>
          <w:tcPr>
            <w:tcW w:w="1880" w:type="dxa"/>
            <w:vAlign w:val="bottom"/>
          </w:tcPr>
          <w:p>
            <w:pPr>
              <w:jc w:val="center"/>
              <w:ind w:left="801"/>
              <w:spacing w:after="0"/>
              <w:rPr>
                <w:sz w:val="20"/>
                <w:szCs w:val="20"/>
                <w:color w:val="auto"/>
              </w:rPr>
            </w:pPr>
            <w:r>
              <w:rPr>
                <w:rFonts w:ascii="Times New Roman" w:cs="Times New Roman" w:eastAsia="Times New Roman" w:hAnsi="Times New Roman"/>
                <w:sz w:val="12"/>
                <w:szCs w:val="12"/>
                <w:b w:val="1"/>
                <w:bCs w:val="1"/>
                <w:color w:val="auto"/>
                <w:w w:val="96"/>
              </w:rPr>
              <w:t>(1,829,937)</w:t>
            </w:r>
          </w:p>
        </w:tc>
        <w:tc>
          <w:tcPr>
            <w:tcW w:w="10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(2,211,254)</w:t>
            </w:r>
          </w:p>
        </w:tc>
        <w:tc>
          <w:tcPr>
            <w:tcW w:w="10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(2,086,977)</w:t>
            </w: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-5.6%</w:t>
            </w: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14.0%</w:t>
            </w:r>
          </w:p>
        </w:tc>
      </w:tr>
      <w:tr>
        <w:trPr>
          <w:trHeight w:val="254"/>
        </w:trPr>
        <w:tc>
          <w:tcPr>
            <w:tcW w:w="5780" w:type="dxa"/>
            <w:vAlign w:val="bottom"/>
          </w:tcPr>
          <w:p>
            <w:pPr>
              <w:ind w:left="100"/>
              <w:spacing w:after="0"/>
              <w:rPr>
                <w:sz w:val="20"/>
                <w:szCs w:val="20"/>
                <w:color w:val="auto"/>
              </w:rPr>
            </w:pPr>
            <w:r>
              <w:rPr>
                <w:rFonts w:ascii="Times New Roman" w:cs="Times New Roman" w:eastAsia="Times New Roman" w:hAnsi="Times New Roman"/>
                <w:sz w:val="12"/>
                <w:szCs w:val="12"/>
                <w:b w:val="1"/>
                <w:bCs w:val="1"/>
                <w:color w:val="auto"/>
              </w:rPr>
              <w:t>Profit before income tax</w:t>
            </w:r>
          </w:p>
        </w:tc>
        <w:tc>
          <w:tcPr>
            <w:tcW w:w="1880" w:type="dxa"/>
            <w:vAlign w:val="bottom"/>
          </w:tcPr>
          <w:p>
            <w:pPr>
              <w:jc w:val="center"/>
              <w:ind w:left="821"/>
              <w:spacing w:after="0"/>
              <w:rPr>
                <w:sz w:val="20"/>
                <w:szCs w:val="20"/>
                <w:color w:val="auto"/>
              </w:rPr>
            </w:pPr>
            <w:r>
              <w:rPr>
                <w:rFonts w:ascii="Times New Roman" w:cs="Times New Roman" w:eastAsia="Times New Roman" w:hAnsi="Times New Roman"/>
                <w:sz w:val="12"/>
                <w:szCs w:val="12"/>
                <w:b w:val="1"/>
                <w:bCs w:val="1"/>
                <w:color w:val="auto"/>
                <w:w w:val="99"/>
              </w:rPr>
              <w:t>2,131,848</w:t>
            </w:r>
          </w:p>
        </w:tc>
        <w:tc>
          <w:tcPr>
            <w:tcW w:w="10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2,174,513</w:t>
            </w:r>
          </w:p>
        </w:tc>
        <w:tc>
          <w:tcPr>
            <w:tcW w:w="10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2,638,225</w:t>
            </w: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21.3%</w:t>
            </w: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23.8%</w:t>
            </w:r>
          </w:p>
        </w:tc>
      </w:tr>
      <w:tr>
        <w:trPr>
          <w:trHeight w:val="254"/>
        </w:trPr>
        <w:tc>
          <w:tcPr>
            <w:tcW w:w="57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Income tax</w:t>
            </w:r>
          </w:p>
        </w:tc>
        <w:tc>
          <w:tcPr>
            <w:tcW w:w="1880" w:type="dxa"/>
            <w:vAlign w:val="bottom"/>
          </w:tcPr>
          <w:p>
            <w:pPr>
              <w:jc w:val="center"/>
              <w:ind w:left="801"/>
              <w:spacing w:after="0"/>
              <w:rPr>
                <w:sz w:val="20"/>
                <w:szCs w:val="20"/>
                <w:color w:val="auto"/>
              </w:rPr>
            </w:pPr>
            <w:r>
              <w:rPr>
                <w:rFonts w:ascii="Times New Roman" w:cs="Times New Roman" w:eastAsia="Times New Roman" w:hAnsi="Times New Roman"/>
                <w:sz w:val="12"/>
                <w:szCs w:val="12"/>
                <w:color w:val="auto"/>
                <w:w w:val="97"/>
              </w:rPr>
              <w:t>(549,462)</w:t>
            </w:r>
          </w:p>
        </w:tc>
        <w:tc>
          <w:tcPr>
            <w:tcW w:w="10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(613,892)</w:t>
            </w:r>
          </w:p>
        </w:tc>
        <w:tc>
          <w:tcPr>
            <w:tcW w:w="10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(676,089)</w:t>
            </w: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10.1%</w:t>
            </w: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23.0%</w:t>
            </w:r>
          </w:p>
        </w:tc>
      </w:tr>
      <w:tr>
        <w:trPr>
          <w:trHeight w:val="227"/>
        </w:trPr>
        <w:tc>
          <w:tcPr>
            <w:tcW w:w="5780" w:type="dxa"/>
            <w:vAlign w:val="bottom"/>
          </w:tcPr>
          <w:p>
            <w:pPr>
              <w:ind w:left="100"/>
              <w:spacing w:after="0"/>
              <w:rPr>
                <w:sz w:val="20"/>
                <w:szCs w:val="20"/>
                <w:color w:val="auto"/>
              </w:rPr>
            </w:pPr>
            <w:r>
              <w:rPr>
                <w:rFonts w:ascii="Times New Roman" w:cs="Times New Roman" w:eastAsia="Times New Roman" w:hAnsi="Times New Roman"/>
                <w:sz w:val="12"/>
                <w:szCs w:val="12"/>
                <w:b w:val="1"/>
                <w:bCs w:val="1"/>
                <w:color w:val="auto"/>
              </w:rPr>
              <w:t>Net profit</w:t>
            </w:r>
          </w:p>
        </w:tc>
        <w:tc>
          <w:tcPr>
            <w:tcW w:w="1880" w:type="dxa"/>
            <w:vAlign w:val="bottom"/>
          </w:tcPr>
          <w:p>
            <w:pPr>
              <w:jc w:val="center"/>
              <w:ind w:left="821"/>
              <w:spacing w:after="0"/>
              <w:rPr>
                <w:sz w:val="20"/>
                <w:szCs w:val="20"/>
                <w:color w:val="auto"/>
              </w:rPr>
            </w:pPr>
            <w:r>
              <w:rPr>
                <w:rFonts w:ascii="Times New Roman" w:cs="Times New Roman" w:eastAsia="Times New Roman" w:hAnsi="Times New Roman"/>
                <w:sz w:val="12"/>
                <w:szCs w:val="12"/>
                <w:b w:val="1"/>
                <w:bCs w:val="1"/>
                <w:color w:val="auto"/>
                <w:w w:val="99"/>
              </w:rPr>
              <w:t>1,582,386</w:t>
            </w:r>
          </w:p>
        </w:tc>
        <w:tc>
          <w:tcPr>
            <w:tcW w:w="10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1,560,621</w:t>
            </w:r>
          </w:p>
        </w:tc>
        <w:tc>
          <w:tcPr>
            <w:tcW w:w="10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1,962,136</w:t>
            </w: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25.7%</w:t>
            </w: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24.0%</w:t>
            </w:r>
          </w:p>
        </w:tc>
      </w:tr>
      <w:tr>
        <w:trPr>
          <w:trHeight w:val="125"/>
        </w:trPr>
        <w:tc>
          <w:tcPr>
            <w:tcW w:w="5780" w:type="dxa"/>
            <w:vAlign w:val="bottom"/>
          </w:tcPr>
          <w:p>
            <w:pPr>
              <w:ind w:left="100"/>
              <w:spacing w:after="0" w:line="125" w:lineRule="exact"/>
              <w:rPr>
                <w:sz w:val="20"/>
                <w:szCs w:val="20"/>
                <w:color w:val="auto"/>
              </w:rPr>
            </w:pPr>
            <w:r>
              <w:rPr>
                <w:rFonts w:ascii="Times New Roman" w:cs="Times New Roman" w:eastAsia="Times New Roman" w:hAnsi="Times New Roman"/>
                <w:sz w:val="12"/>
                <w:szCs w:val="12"/>
                <w:color w:val="auto"/>
              </w:rPr>
              <w:t>Non-controlling interest</w:t>
            </w:r>
          </w:p>
        </w:tc>
        <w:tc>
          <w:tcPr>
            <w:tcW w:w="1880" w:type="dxa"/>
            <w:vAlign w:val="bottom"/>
          </w:tcPr>
          <w:p>
            <w:pPr>
              <w:jc w:val="center"/>
              <w:ind w:left="801"/>
              <w:spacing w:after="0" w:line="125" w:lineRule="exact"/>
              <w:rPr>
                <w:sz w:val="20"/>
                <w:szCs w:val="20"/>
                <w:color w:val="auto"/>
              </w:rPr>
            </w:pPr>
            <w:r>
              <w:rPr>
                <w:rFonts w:ascii="Times New Roman" w:cs="Times New Roman" w:eastAsia="Times New Roman" w:hAnsi="Times New Roman"/>
                <w:sz w:val="12"/>
                <w:szCs w:val="12"/>
                <w:color w:val="auto"/>
                <w:w w:val="97"/>
              </w:rPr>
              <w:t>(4,721)</w:t>
            </w:r>
          </w:p>
        </w:tc>
        <w:tc>
          <w:tcPr>
            <w:tcW w:w="102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auto"/>
              </w:rPr>
              <w:t>(6,856)</w:t>
            </w:r>
          </w:p>
        </w:tc>
        <w:tc>
          <w:tcPr>
            <w:tcW w:w="100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auto"/>
              </w:rPr>
              <w:t>(7,453)</w:t>
            </w:r>
          </w:p>
        </w:tc>
        <w:tc>
          <w:tcPr>
            <w:tcW w:w="78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auto"/>
                <w:w w:val="95"/>
              </w:rPr>
              <w:t>8.7%</w:t>
            </w:r>
          </w:p>
        </w:tc>
        <w:tc>
          <w:tcPr>
            <w:tcW w:w="78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auto"/>
                <w:w w:val="96"/>
              </w:rPr>
              <w:t>57.9%</w:t>
            </w:r>
          </w:p>
        </w:tc>
      </w:tr>
      <w:tr>
        <w:trPr>
          <w:trHeight w:val="154"/>
        </w:trPr>
        <w:tc>
          <w:tcPr>
            <w:tcW w:w="5780" w:type="dxa"/>
            <w:vAlign w:val="bottom"/>
          </w:tcPr>
          <w:p>
            <w:pPr>
              <w:ind w:left="100"/>
              <w:spacing w:after="0"/>
              <w:rPr>
                <w:sz w:val="20"/>
                <w:szCs w:val="20"/>
                <w:color w:val="auto"/>
              </w:rPr>
            </w:pPr>
            <w:r>
              <w:rPr>
                <w:rFonts w:ascii="Times New Roman" w:cs="Times New Roman" w:eastAsia="Times New Roman" w:hAnsi="Times New Roman"/>
                <w:sz w:val="12"/>
                <w:szCs w:val="12"/>
                <w:b w:val="1"/>
                <w:bCs w:val="1"/>
                <w:color w:val="auto"/>
              </w:rPr>
              <w:t>Net profit attributable to BCP Consolidated</w:t>
            </w:r>
          </w:p>
        </w:tc>
        <w:tc>
          <w:tcPr>
            <w:tcW w:w="1880" w:type="dxa"/>
            <w:vAlign w:val="bottom"/>
          </w:tcPr>
          <w:p>
            <w:pPr>
              <w:jc w:val="center"/>
              <w:ind w:left="821"/>
              <w:spacing w:after="0"/>
              <w:rPr>
                <w:sz w:val="20"/>
                <w:szCs w:val="20"/>
                <w:color w:val="auto"/>
              </w:rPr>
            </w:pPr>
            <w:r>
              <w:rPr>
                <w:rFonts w:ascii="Times New Roman" w:cs="Times New Roman" w:eastAsia="Times New Roman" w:hAnsi="Times New Roman"/>
                <w:sz w:val="12"/>
                <w:szCs w:val="12"/>
                <w:b w:val="1"/>
                <w:bCs w:val="1"/>
                <w:color w:val="auto"/>
                <w:w w:val="99"/>
              </w:rPr>
              <w:t>1,577,665</w:t>
            </w:r>
          </w:p>
        </w:tc>
        <w:tc>
          <w:tcPr>
            <w:tcW w:w="10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1,553,765</w:t>
            </w:r>
          </w:p>
        </w:tc>
        <w:tc>
          <w:tcPr>
            <w:tcW w:w="10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1,954,683</w:t>
            </w: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25.8%</w:t>
            </w: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23.9%</w:t>
            </w:r>
          </w:p>
        </w:tc>
      </w:tr>
    </w:tbl>
    <w:p>
      <w:pPr>
        <w:ind w:left="1340" w:hanging="209"/>
        <w:spacing w:after="0" w:line="220" w:lineRule="auto"/>
        <w:tabs>
          <w:tab w:leader="none" w:pos="134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Financing expenses related to lease agreements are included according to the application of IFRS 16.</w:t>
      </w:r>
    </w:p>
    <w:p>
      <w:pPr>
        <w:ind w:left="1340" w:hanging="209"/>
        <w:spacing w:after="0"/>
        <w:tabs>
          <w:tab w:leader="none" w:pos="134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effect of the application of IFRS 16 is included, which corresponds to a greater depreciation for the asset for right-of-use”.</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Selected Financial Indicators</w:t>
      </w:r>
    </w:p>
    <w:p>
      <w:pPr>
        <w:spacing w:after="0" w:line="50" w:lineRule="exact"/>
        <w:rPr>
          <w:sz w:val="20"/>
          <w:szCs w:val="20"/>
          <w:color w:val="auto"/>
        </w:rPr>
      </w:pPr>
    </w:p>
    <w:tbl>
      <w:tblPr>
        <w:tblLayout w:type="fixed"/>
        <w:tblInd w:w="1690" w:type="dxa"/>
        <w:tblCellMar>
          <w:top w:w="0" w:type="dxa"/>
          <w:left w:w="0" w:type="dxa"/>
          <w:bottom w:w="0" w:type="dxa"/>
          <w:right w:w="0" w:type="dxa"/>
        </w:tblCellMar>
      </w:tblPr>
      <w:tr>
        <w:trPr>
          <w:trHeight w:val="140"/>
        </w:trPr>
        <w:tc>
          <w:tcPr>
            <w:tcW w:w="3400" w:type="dxa"/>
            <w:vAlign w:val="bottom"/>
            <w:tcBorders>
              <w:top w:val="single" w:sz="8" w:color="auto"/>
              <w:left w:val="single" w:sz="8" w:color="auto"/>
              <w:right w:val="single" w:sz="8" w:color="auto"/>
            </w:tcBorders>
            <w:shd w:val="clear" w:color="auto" w:fill="2AD2C8"/>
          </w:tcPr>
          <w:p>
            <w:pPr>
              <w:spacing w:after="0"/>
              <w:rPr>
                <w:sz w:val="12"/>
                <w:szCs w:val="12"/>
                <w:color w:val="auto"/>
              </w:rPr>
            </w:pPr>
          </w:p>
        </w:tc>
        <w:tc>
          <w:tcPr>
            <w:tcW w:w="880" w:type="dxa"/>
            <w:vAlign w:val="bottom"/>
            <w:tcBorders>
              <w:top w:val="single" w:sz="8" w:color="auto"/>
            </w:tcBorders>
            <w:shd w:val="clear" w:color="auto" w:fill="2AD2C8"/>
          </w:tcPr>
          <w:p>
            <w:pPr>
              <w:spacing w:after="0"/>
              <w:rPr>
                <w:sz w:val="12"/>
                <w:szCs w:val="12"/>
                <w:color w:val="auto"/>
              </w:rPr>
            </w:pPr>
          </w:p>
        </w:tc>
        <w:tc>
          <w:tcPr>
            <w:tcW w:w="900" w:type="dxa"/>
            <w:vAlign w:val="bottom"/>
            <w:tcBorders>
              <w:top w:val="single" w:sz="8" w:color="auto"/>
            </w:tcBorders>
            <w:shd w:val="clear" w:color="auto" w:fill="2AD2C8"/>
          </w:tcPr>
          <w:p>
            <w:pPr>
              <w:ind w:left="240"/>
              <w:spacing w:after="0"/>
              <w:rPr>
                <w:sz w:val="20"/>
                <w:szCs w:val="20"/>
                <w:color w:val="auto"/>
              </w:rPr>
            </w:pPr>
            <w:r>
              <w:rPr>
                <w:rFonts w:ascii="Times New Roman" w:cs="Times New Roman" w:eastAsia="Times New Roman" w:hAnsi="Times New Roman"/>
                <w:sz w:val="12"/>
                <w:szCs w:val="12"/>
                <w:b w:val="1"/>
                <w:bCs w:val="1"/>
                <w:color w:val="FFFFFF"/>
              </w:rPr>
              <w:t>Quarter</w:t>
            </w:r>
          </w:p>
        </w:tc>
        <w:tc>
          <w:tcPr>
            <w:tcW w:w="900" w:type="dxa"/>
            <w:vAlign w:val="bottom"/>
            <w:tcBorders>
              <w:top w:val="single" w:sz="8" w:color="auto"/>
              <w:right w:val="single" w:sz="8" w:color="2AD2C8"/>
            </w:tcBorders>
            <w:shd w:val="clear" w:color="auto" w:fill="2AD2C8"/>
          </w:tcPr>
          <w:p>
            <w:pPr>
              <w:spacing w:after="0"/>
              <w:rPr>
                <w:sz w:val="12"/>
                <w:szCs w:val="12"/>
                <w:color w:val="auto"/>
              </w:rPr>
            </w:pPr>
          </w:p>
        </w:tc>
        <w:tc>
          <w:tcPr>
            <w:tcW w:w="680" w:type="dxa"/>
            <w:vAlign w:val="bottom"/>
            <w:tcBorders>
              <w:top w:val="single" w:sz="8" w:color="auto"/>
            </w:tcBorders>
            <w:shd w:val="clear" w:color="auto" w:fill="2AD2C8"/>
          </w:tcPr>
          <w:p>
            <w:pPr>
              <w:spacing w:after="0"/>
              <w:rPr>
                <w:sz w:val="12"/>
                <w:szCs w:val="12"/>
                <w:color w:val="auto"/>
              </w:rPr>
            </w:pPr>
          </w:p>
        </w:tc>
        <w:tc>
          <w:tcPr>
            <w:tcW w:w="1120" w:type="dxa"/>
            <w:vAlign w:val="bottom"/>
            <w:tcBorders>
              <w:top w:val="single" w:sz="8" w:color="auto"/>
              <w:right w:val="single" w:sz="8" w:color="auto"/>
            </w:tcBorders>
            <w:shd w:val="clear" w:color="auto" w:fill="2AD2C8"/>
          </w:tcPr>
          <w:p>
            <w:pPr>
              <w:ind w:left="20"/>
              <w:spacing w:after="0"/>
              <w:rPr>
                <w:sz w:val="20"/>
                <w:szCs w:val="20"/>
                <w:color w:val="auto"/>
              </w:rPr>
            </w:pPr>
            <w:r>
              <w:rPr>
                <w:rFonts w:ascii="Times New Roman" w:cs="Times New Roman" w:eastAsia="Times New Roman" w:hAnsi="Times New Roman"/>
                <w:sz w:val="12"/>
                <w:szCs w:val="12"/>
                <w:b w:val="1"/>
                <w:bCs w:val="1"/>
                <w:color w:val="FFFFFF"/>
              </w:rPr>
              <w:t>Change</w:t>
            </w:r>
          </w:p>
        </w:tc>
      </w:tr>
      <w:tr>
        <w:trPr>
          <w:trHeight w:val="127"/>
        </w:trPr>
        <w:tc>
          <w:tcPr>
            <w:tcW w:w="3400" w:type="dxa"/>
            <w:vAlign w:val="bottom"/>
            <w:tcBorders>
              <w:left w:val="single" w:sz="8" w:color="auto"/>
              <w:bottom w:val="single" w:sz="8" w:color="auto"/>
              <w:right w:val="single" w:sz="8" w:color="auto"/>
            </w:tcBorders>
            <w:shd w:val="clear" w:color="auto" w:fill="29D2C8"/>
          </w:tcPr>
          <w:p>
            <w:pPr>
              <w:spacing w:after="0"/>
              <w:rPr>
                <w:sz w:val="11"/>
                <w:szCs w:val="11"/>
                <w:color w:val="auto"/>
              </w:rPr>
            </w:pPr>
          </w:p>
        </w:tc>
        <w:tc>
          <w:tcPr>
            <w:tcW w:w="880" w:type="dxa"/>
            <w:vAlign w:val="bottom"/>
            <w:tcBorders>
              <w:bottom w:val="single" w:sz="8" w:color="auto"/>
            </w:tcBorders>
            <w:shd w:val="clear" w:color="auto" w:fill="29D2C8"/>
          </w:tcPr>
          <w:p>
            <w:pPr>
              <w:jc w:val="center"/>
              <w:spacing w:after="0" w:line="127" w:lineRule="exact"/>
              <w:rPr>
                <w:sz w:val="20"/>
                <w:szCs w:val="20"/>
                <w:color w:val="auto"/>
              </w:rPr>
            </w:pPr>
            <w:r>
              <w:rPr>
                <w:rFonts w:ascii="Times New Roman" w:cs="Times New Roman" w:eastAsia="Times New Roman" w:hAnsi="Times New Roman"/>
                <w:sz w:val="12"/>
                <w:szCs w:val="12"/>
                <w:b w:val="1"/>
                <w:bCs w:val="1"/>
                <w:color w:val="FFFFFF"/>
              </w:rPr>
              <w:t>1Q25</w:t>
            </w:r>
          </w:p>
        </w:tc>
        <w:tc>
          <w:tcPr>
            <w:tcW w:w="900" w:type="dxa"/>
            <w:vAlign w:val="bottom"/>
            <w:tcBorders>
              <w:bottom w:val="single" w:sz="8" w:color="auto"/>
            </w:tcBorders>
            <w:shd w:val="clear" w:color="auto" w:fill="29D2C8"/>
          </w:tcPr>
          <w:p>
            <w:pPr>
              <w:jc w:val="center"/>
              <w:spacing w:after="0" w:line="127" w:lineRule="exact"/>
              <w:rPr>
                <w:sz w:val="20"/>
                <w:szCs w:val="20"/>
                <w:color w:val="auto"/>
              </w:rPr>
            </w:pPr>
            <w:r>
              <w:rPr>
                <w:rFonts w:ascii="Times New Roman" w:cs="Times New Roman" w:eastAsia="Times New Roman" w:hAnsi="Times New Roman"/>
                <w:sz w:val="12"/>
                <w:szCs w:val="12"/>
                <w:b w:val="1"/>
                <w:bCs w:val="1"/>
                <w:color w:val="FFFFFF"/>
              </w:rPr>
              <w:t>4Q25</w:t>
            </w:r>
          </w:p>
        </w:tc>
        <w:tc>
          <w:tcPr>
            <w:tcW w:w="900" w:type="dxa"/>
            <w:vAlign w:val="bottom"/>
            <w:tcBorders>
              <w:bottom w:val="single" w:sz="8" w:color="auto"/>
              <w:right w:val="single" w:sz="8" w:color="auto"/>
            </w:tcBorders>
            <w:shd w:val="clear" w:color="auto" w:fill="29D2C8"/>
          </w:tcPr>
          <w:p>
            <w:pPr>
              <w:jc w:val="center"/>
              <w:spacing w:after="0" w:line="127" w:lineRule="exact"/>
              <w:rPr>
                <w:sz w:val="20"/>
                <w:szCs w:val="20"/>
                <w:color w:val="auto"/>
              </w:rPr>
            </w:pPr>
            <w:r>
              <w:rPr>
                <w:rFonts w:ascii="Times New Roman" w:cs="Times New Roman" w:eastAsia="Times New Roman" w:hAnsi="Times New Roman"/>
                <w:sz w:val="12"/>
                <w:szCs w:val="12"/>
                <w:b w:val="1"/>
                <w:bCs w:val="1"/>
                <w:color w:val="FFFFFF"/>
                <w:w w:val="94"/>
              </w:rPr>
              <w:t>1Q26</w:t>
            </w:r>
          </w:p>
        </w:tc>
        <w:tc>
          <w:tcPr>
            <w:tcW w:w="680" w:type="dxa"/>
            <w:vAlign w:val="bottom"/>
            <w:tcBorders>
              <w:bottom w:val="single" w:sz="8" w:color="auto"/>
            </w:tcBorders>
            <w:shd w:val="clear" w:color="auto" w:fill="29D2C8"/>
          </w:tcPr>
          <w:p>
            <w:pPr>
              <w:jc w:val="center"/>
              <w:ind w:left="141"/>
              <w:spacing w:after="0" w:line="127" w:lineRule="exact"/>
              <w:rPr>
                <w:sz w:val="20"/>
                <w:szCs w:val="20"/>
                <w:color w:val="auto"/>
              </w:rPr>
            </w:pPr>
            <w:r>
              <w:rPr>
                <w:rFonts w:ascii="Times New Roman" w:cs="Times New Roman" w:eastAsia="Times New Roman" w:hAnsi="Times New Roman"/>
                <w:sz w:val="12"/>
                <w:szCs w:val="12"/>
                <w:b w:val="1"/>
                <w:bCs w:val="1"/>
                <w:color w:val="FFFFFF"/>
                <w:w w:val="97"/>
              </w:rPr>
              <w:t>QoQ</w:t>
            </w:r>
          </w:p>
        </w:tc>
        <w:tc>
          <w:tcPr>
            <w:tcW w:w="1120" w:type="dxa"/>
            <w:vAlign w:val="bottom"/>
            <w:tcBorders>
              <w:bottom w:val="single" w:sz="8" w:color="auto"/>
              <w:right w:val="single" w:sz="8" w:color="auto"/>
            </w:tcBorders>
            <w:shd w:val="clear" w:color="auto" w:fill="29D2C8"/>
          </w:tcPr>
          <w:p>
            <w:pPr>
              <w:jc w:val="center"/>
              <w:ind w:left="121"/>
              <w:spacing w:after="0" w:line="127" w:lineRule="exact"/>
              <w:rPr>
                <w:sz w:val="20"/>
                <w:szCs w:val="20"/>
                <w:color w:val="auto"/>
              </w:rPr>
            </w:pPr>
            <w:r>
              <w:rPr>
                <w:rFonts w:ascii="Times New Roman" w:cs="Times New Roman" w:eastAsia="Times New Roman" w:hAnsi="Times New Roman"/>
                <w:sz w:val="12"/>
                <w:szCs w:val="12"/>
                <w:b w:val="1"/>
                <w:bCs w:val="1"/>
                <w:color w:val="FFFFFF"/>
                <w:w w:val="94"/>
              </w:rPr>
              <w:t>YoY</w:t>
            </w:r>
          </w:p>
        </w:tc>
      </w:tr>
      <w:tr>
        <w:trPr>
          <w:trHeight w:val="98"/>
        </w:trPr>
        <w:tc>
          <w:tcPr>
            <w:tcW w:w="3400" w:type="dxa"/>
            <w:vAlign w:val="bottom"/>
            <w:tcBorders>
              <w:left w:val="single" w:sz="8" w:color="auto"/>
              <w:right w:val="single" w:sz="8" w:color="auto"/>
            </w:tcBorders>
          </w:tcPr>
          <w:p>
            <w:pPr>
              <w:ind w:left="120"/>
              <w:spacing w:after="0" w:line="98" w:lineRule="exact"/>
              <w:rPr>
                <w:sz w:val="20"/>
                <w:szCs w:val="20"/>
                <w:color w:val="auto"/>
              </w:rPr>
            </w:pPr>
            <w:r>
              <w:rPr>
                <w:rFonts w:ascii="Times New Roman" w:cs="Times New Roman" w:eastAsia="Times New Roman" w:hAnsi="Times New Roman"/>
                <w:sz w:val="11"/>
                <w:szCs w:val="11"/>
                <w:b w:val="1"/>
                <w:bCs w:val="1"/>
                <w:color w:val="auto"/>
              </w:rPr>
              <w:t>Profitability</w:t>
            </w:r>
          </w:p>
        </w:tc>
        <w:tc>
          <w:tcPr>
            <w:tcW w:w="880" w:type="dxa"/>
            <w:vAlign w:val="bottom"/>
          </w:tcPr>
          <w:p>
            <w:pPr>
              <w:spacing w:after="0"/>
              <w:rPr>
                <w:sz w:val="8"/>
                <w:szCs w:val="8"/>
                <w:color w:val="auto"/>
              </w:rPr>
            </w:pPr>
          </w:p>
        </w:tc>
        <w:tc>
          <w:tcPr>
            <w:tcW w:w="900" w:type="dxa"/>
            <w:vAlign w:val="bottom"/>
          </w:tcPr>
          <w:p>
            <w:pPr>
              <w:spacing w:after="0"/>
              <w:rPr>
                <w:sz w:val="8"/>
                <w:szCs w:val="8"/>
                <w:color w:val="auto"/>
              </w:rPr>
            </w:pPr>
          </w:p>
        </w:tc>
        <w:tc>
          <w:tcPr>
            <w:tcW w:w="900" w:type="dxa"/>
            <w:vAlign w:val="bottom"/>
            <w:tcBorders>
              <w:right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120" w:type="dxa"/>
            <w:vAlign w:val="bottom"/>
            <w:tcBorders>
              <w:right w:val="single" w:sz="8" w:color="auto"/>
            </w:tcBorders>
          </w:tcPr>
          <w:p>
            <w:pPr>
              <w:spacing w:after="0"/>
              <w:rPr>
                <w:sz w:val="8"/>
                <w:szCs w:val="8"/>
                <w:color w:val="auto"/>
              </w:rPr>
            </w:pPr>
          </w:p>
        </w:tc>
      </w:tr>
      <w:tr>
        <w:trPr>
          <w:trHeight w:val="127"/>
        </w:trPr>
        <w:tc>
          <w:tcPr>
            <w:tcW w:w="3400" w:type="dxa"/>
            <w:vAlign w:val="bottom"/>
            <w:tcBorders>
              <w:left w:val="single" w:sz="8" w:color="auto"/>
              <w:right w:val="single" w:sz="8" w:color="auto"/>
            </w:tcBorders>
          </w:tcPr>
          <w:p>
            <w:pPr>
              <w:ind w:left="180"/>
              <w:spacing w:after="0" w:line="127" w:lineRule="exact"/>
              <w:rPr>
                <w:sz w:val="20"/>
                <w:szCs w:val="20"/>
                <w:color w:val="auto"/>
              </w:rPr>
            </w:pPr>
            <w:r>
              <w:rPr>
                <w:rFonts w:ascii="Times New Roman" w:cs="Times New Roman" w:eastAsia="Times New Roman" w:hAnsi="Times New Roman"/>
                <w:sz w:val="14"/>
                <w:szCs w:val="14"/>
                <w:color w:val="auto"/>
                <w:vertAlign w:val="subscript"/>
              </w:rPr>
              <w:t>ROAA</w:t>
            </w:r>
            <w:r>
              <w:rPr>
                <w:rFonts w:ascii="Times New Roman" w:cs="Times New Roman" w:eastAsia="Times New Roman" w:hAnsi="Times New Roman"/>
                <w:sz w:val="7"/>
                <w:szCs w:val="7"/>
                <w:color w:val="auto"/>
              </w:rPr>
              <w:t xml:space="preserve"> (1)(2)</w:t>
            </w:r>
          </w:p>
        </w:tc>
        <w:tc>
          <w:tcPr>
            <w:tcW w:w="88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5"/>
              </w:rPr>
              <w:t>3.0%</w:t>
            </w:r>
          </w:p>
        </w:tc>
        <w:tc>
          <w:tcPr>
            <w:tcW w:w="90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5"/>
              </w:rPr>
              <w:t>2.9%</w:t>
            </w:r>
          </w:p>
        </w:tc>
        <w:tc>
          <w:tcPr>
            <w:tcW w:w="900" w:type="dxa"/>
            <w:vAlign w:val="bottom"/>
            <w:tcBorders>
              <w:right w:val="single" w:sz="8" w:color="auto"/>
            </w:tcBorders>
          </w:tcPr>
          <w:p>
            <w:pPr>
              <w:jc w:val="center"/>
              <w:spacing w:after="0" w:line="127" w:lineRule="exact"/>
              <w:rPr>
                <w:sz w:val="20"/>
                <w:szCs w:val="20"/>
                <w:color w:val="auto"/>
              </w:rPr>
            </w:pPr>
            <w:r>
              <w:rPr>
                <w:rFonts w:ascii="Times New Roman" w:cs="Times New Roman" w:eastAsia="Times New Roman" w:hAnsi="Times New Roman"/>
                <w:sz w:val="12"/>
                <w:szCs w:val="12"/>
                <w:color w:val="auto"/>
              </w:rPr>
              <w:t>3.5%</w:t>
            </w:r>
          </w:p>
        </w:tc>
        <w:tc>
          <w:tcPr>
            <w:tcW w:w="680" w:type="dxa"/>
            <w:vAlign w:val="bottom"/>
          </w:tcPr>
          <w:p>
            <w:pPr>
              <w:jc w:val="center"/>
              <w:ind w:left="141"/>
              <w:spacing w:after="0" w:line="127" w:lineRule="exact"/>
              <w:rPr>
                <w:sz w:val="20"/>
                <w:szCs w:val="20"/>
                <w:color w:val="auto"/>
              </w:rPr>
            </w:pPr>
            <w:r>
              <w:rPr>
                <w:rFonts w:ascii="Times New Roman" w:cs="Times New Roman" w:eastAsia="Times New Roman" w:hAnsi="Times New Roman"/>
                <w:sz w:val="12"/>
                <w:szCs w:val="12"/>
                <w:color w:val="auto"/>
              </w:rPr>
              <w:t>59 bps</w:t>
            </w:r>
          </w:p>
        </w:tc>
        <w:tc>
          <w:tcPr>
            <w:tcW w:w="1120" w:type="dxa"/>
            <w:vAlign w:val="bottom"/>
            <w:tcBorders>
              <w:right w:val="single" w:sz="8" w:color="auto"/>
            </w:tcBorders>
          </w:tcPr>
          <w:p>
            <w:pPr>
              <w:jc w:val="center"/>
              <w:ind w:left="141"/>
              <w:spacing w:after="0" w:line="127" w:lineRule="exact"/>
              <w:rPr>
                <w:sz w:val="20"/>
                <w:szCs w:val="20"/>
                <w:color w:val="auto"/>
              </w:rPr>
            </w:pPr>
            <w:r>
              <w:rPr>
                <w:rFonts w:ascii="Times New Roman" w:cs="Times New Roman" w:eastAsia="Times New Roman" w:hAnsi="Times New Roman"/>
                <w:sz w:val="12"/>
                <w:szCs w:val="12"/>
                <w:color w:val="auto"/>
              </w:rPr>
              <w:t>49 bps</w:t>
            </w:r>
          </w:p>
        </w:tc>
      </w:tr>
      <w:tr>
        <w:trPr>
          <w:trHeight w:val="127"/>
        </w:trPr>
        <w:tc>
          <w:tcPr>
            <w:tcW w:w="3400" w:type="dxa"/>
            <w:vAlign w:val="bottom"/>
            <w:tcBorders>
              <w:left w:val="single" w:sz="8" w:color="auto"/>
              <w:right w:val="single" w:sz="8" w:color="auto"/>
            </w:tcBorders>
          </w:tcPr>
          <w:p>
            <w:pPr>
              <w:ind w:left="180"/>
              <w:spacing w:after="0" w:line="127" w:lineRule="exact"/>
              <w:rPr>
                <w:sz w:val="20"/>
                <w:szCs w:val="20"/>
                <w:color w:val="auto"/>
              </w:rPr>
            </w:pPr>
            <w:r>
              <w:rPr>
                <w:rFonts w:ascii="Times New Roman" w:cs="Times New Roman" w:eastAsia="Times New Roman" w:hAnsi="Times New Roman"/>
                <w:sz w:val="14"/>
                <w:szCs w:val="14"/>
                <w:color w:val="auto"/>
                <w:vertAlign w:val="subscript"/>
              </w:rPr>
              <w:t>ROAE</w:t>
            </w:r>
            <w:r>
              <w:rPr>
                <w:rFonts w:ascii="Times New Roman" w:cs="Times New Roman" w:eastAsia="Times New Roman" w:hAnsi="Times New Roman"/>
                <w:sz w:val="7"/>
                <w:szCs w:val="7"/>
                <w:color w:val="auto"/>
              </w:rPr>
              <w:t xml:space="preserve"> (1)(2)</w:t>
            </w:r>
          </w:p>
        </w:tc>
        <w:tc>
          <w:tcPr>
            <w:tcW w:w="88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6"/>
              </w:rPr>
              <w:t>25.8%</w:t>
            </w:r>
          </w:p>
        </w:tc>
        <w:tc>
          <w:tcPr>
            <w:tcW w:w="90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rPr>
              <w:t>22.6%</w:t>
            </w:r>
          </w:p>
        </w:tc>
        <w:tc>
          <w:tcPr>
            <w:tcW w:w="900" w:type="dxa"/>
            <w:vAlign w:val="bottom"/>
            <w:tcBorders>
              <w:right w:val="single" w:sz="8" w:color="auto"/>
            </w:tcBorders>
          </w:tcPr>
          <w:p>
            <w:pPr>
              <w:jc w:val="center"/>
              <w:spacing w:after="0" w:line="127" w:lineRule="exact"/>
              <w:rPr>
                <w:sz w:val="20"/>
                <w:szCs w:val="20"/>
                <w:color w:val="auto"/>
              </w:rPr>
            </w:pPr>
            <w:r>
              <w:rPr>
                <w:rFonts w:ascii="Times New Roman" w:cs="Times New Roman" w:eastAsia="Times New Roman" w:hAnsi="Times New Roman"/>
                <w:sz w:val="12"/>
                <w:szCs w:val="12"/>
                <w:color w:val="auto"/>
                <w:w w:val="96"/>
              </w:rPr>
              <w:t>29.7%</w:t>
            </w:r>
          </w:p>
        </w:tc>
        <w:tc>
          <w:tcPr>
            <w:tcW w:w="680" w:type="dxa"/>
            <w:vAlign w:val="bottom"/>
          </w:tcPr>
          <w:p>
            <w:pPr>
              <w:jc w:val="center"/>
              <w:ind w:left="141"/>
              <w:spacing w:after="0" w:line="127" w:lineRule="exact"/>
              <w:rPr>
                <w:sz w:val="20"/>
                <w:szCs w:val="20"/>
                <w:color w:val="auto"/>
              </w:rPr>
            </w:pPr>
            <w:r>
              <w:rPr>
                <w:rFonts w:ascii="Times New Roman" w:cs="Times New Roman" w:eastAsia="Times New Roman" w:hAnsi="Times New Roman"/>
                <w:sz w:val="12"/>
                <w:szCs w:val="12"/>
                <w:color w:val="auto"/>
                <w:w w:val="95"/>
              </w:rPr>
              <w:t>706 bps</w:t>
            </w:r>
          </w:p>
        </w:tc>
        <w:tc>
          <w:tcPr>
            <w:tcW w:w="1120" w:type="dxa"/>
            <w:vAlign w:val="bottom"/>
            <w:tcBorders>
              <w:right w:val="single" w:sz="8" w:color="auto"/>
            </w:tcBorders>
          </w:tcPr>
          <w:p>
            <w:pPr>
              <w:jc w:val="center"/>
              <w:ind w:left="121"/>
              <w:spacing w:after="0" w:line="127" w:lineRule="exact"/>
              <w:rPr>
                <w:sz w:val="20"/>
                <w:szCs w:val="20"/>
                <w:color w:val="auto"/>
              </w:rPr>
            </w:pPr>
            <w:r>
              <w:rPr>
                <w:rFonts w:ascii="Times New Roman" w:cs="Times New Roman" w:eastAsia="Times New Roman" w:hAnsi="Times New Roman"/>
                <w:sz w:val="12"/>
                <w:szCs w:val="12"/>
                <w:color w:val="auto"/>
              </w:rPr>
              <w:t>389 bps</w:t>
            </w:r>
          </w:p>
        </w:tc>
      </w:tr>
      <w:tr>
        <w:trPr>
          <w:trHeight w:val="127"/>
        </w:trPr>
        <w:tc>
          <w:tcPr>
            <w:tcW w:w="3400" w:type="dxa"/>
            <w:vAlign w:val="bottom"/>
            <w:tcBorders>
              <w:left w:val="single" w:sz="8" w:color="auto"/>
              <w:right w:val="single" w:sz="8" w:color="auto"/>
            </w:tcBorders>
          </w:tcPr>
          <w:p>
            <w:pPr>
              <w:ind w:left="180"/>
              <w:spacing w:after="0" w:line="127" w:lineRule="exact"/>
              <w:rPr>
                <w:sz w:val="20"/>
                <w:szCs w:val="20"/>
                <w:color w:val="auto"/>
              </w:rPr>
            </w:pPr>
            <w:r>
              <w:rPr>
                <w:rFonts w:ascii="Times New Roman" w:cs="Times New Roman" w:eastAsia="Times New Roman" w:hAnsi="Times New Roman"/>
                <w:sz w:val="9"/>
                <w:szCs w:val="9"/>
                <w:color w:val="auto"/>
              </w:rPr>
              <w:t xml:space="preserve">Net interest margin </w:t>
            </w:r>
            <w:r>
              <w:rPr>
                <w:rFonts w:ascii="Times New Roman" w:cs="Times New Roman" w:eastAsia="Times New Roman" w:hAnsi="Times New Roman"/>
                <w:sz w:val="14"/>
                <w:szCs w:val="14"/>
                <w:color w:val="auto"/>
                <w:vertAlign w:val="superscript"/>
              </w:rPr>
              <w:t>(1)(2)</w:t>
            </w:r>
          </w:p>
        </w:tc>
        <w:tc>
          <w:tcPr>
            <w:tcW w:w="88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6"/>
              </w:rPr>
              <w:t>6.48%</w:t>
            </w:r>
          </w:p>
        </w:tc>
        <w:tc>
          <w:tcPr>
            <w:tcW w:w="90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rPr>
              <w:t>6.90%</w:t>
            </w:r>
          </w:p>
        </w:tc>
        <w:tc>
          <w:tcPr>
            <w:tcW w:w="900" w:type="dxa"/>
            <w:vAlign w:val="bottom"/>
            <w:tcBorders>
              <w:right w:val="single" w:sz="8" w:color="auto"/>
            </w:tcBorders>
          </w:tcPr>
          <w:p>
            <w:pPr>
              <w:jc w:val="center"/>
              <w:spacing w:after="0" w:line="127" w:lineRule="exact"/>
              <w:rPr>
                <w:sz w:val="20"/>
                <w:szCs w:val="20"/>
                <w:color w:val="auto"/>
              </w:rPr>
            </w:pPr>
            <w:r>
              <w:rPr>
                <w:rFonts w:ascii="Times New Roman" w:cs="Times New Roman" w:eastAsia="Times New Roman" w:hAnsi="Times New Roman"/>
                <w:sz w:val="12"/>
                <w:szCs w:val="12"/>
                <w:color w:val="auto"/>
                <w:w w:val="96"/>
              </w:rPr>
              <w:t>6.77%</w:t>
            </w:r>
          </w:p>
        </w:tc>
        <w:tc>
          <w:tcPr>
            <w:tcW w:w="680" w:type="dxa"/>
            <w:vAlign w:val="bottom"/>
          </w:tcPr>
          <w:p>
            <w:pPr>
              <w:jc w:val="center"/>
              <w:ind w:left="141"/>
              <w:spacing w:after="0" w:line="127" w:lineRule="exact"/>
              <w:rPr>
                <w:sz w:val="20"/>
                <w:szCs w:val="20"/>
                <w:color w:val="auto"/>
              </w:rPr>
            </w:pPr>
            <w:r>
              <w:rPr>
                <w:rFonts w:ascii="Times New Roman" w:cs="Times New Roman" w:eastAsia="Times New Roman" w:hAnsi="Times New Roman"/>
                <w:sz w:val="12"/>
                <w:szCs w:val="12"/>
                <w:color w:val="auto"/>
              </w:rPr>
              <w:t>-13 bps</w:t>
            </w:r>
          </w:p>
        </w:tc>
        <w:tc>
          <w:tcPr>
            <w:tcW w:w="1120" w:type="dxa"/>
            <w:vAlign w:val="bottom"/>
            <w:tcBorders>
              <w:right w:val="single" w:sz="8" w:color="auto"/>
            </w:tcBorders>
          </w:tcPr>
          <w:p>
            <w:pPr>
              <w:jc w:val="center"/>
              <w:ind w:left="141"/>
              <w:spacing w:after="0" w:line="127" w:lineRule="exact"/>
              <w:rPr>
                <w:sz w:val="20"/>
                <w:szCs w:val="20"/>
                <w:color w:val="auto"/>
              </w:rPr>
            </w:pPr>
            <w:r>
              <w:rPr>
                <w:rFonts w:ascii="Times New Roman" w:cs="Times New Roman" w:eastAsia="Times New Roman" w:hAnsi="Times New Roman"/>
                <w:sz w:val="12"/>
                <w:szCs w:val="12"/>
                <w:color w:val="auto"/>
              </w:rPr>
              <w:t>28 bps</w:t>
            </w:r>
          </w:p>
        </w:tc>
      </w:tr>
      <w:tr>
        <w:trPr>
          <w:trHeight w:val="127"/>
        </w:trPr>
        <w:tc>
          <w:tcPr>
            <w:tcW w:w="3400" w:type="dxa"/>
            <w:vAlign w:val="bottom"/>
            <w:tcBorders>
              <w:left w:val="single" w:sz="8" w:color="auto"/>
              <w:right w:val="single" w:sz="8" w:color="auto"/>
            </w:tcBorders>
          </w:tcPr>
          <w:p>
            <w:pPr>
              <w:ind w:left="180"/>
              <w:spacing w:after="0" w:line="127" w:lineRule="exact"/>
              <w:rPr>
                <w:sz w:val="20"/>
                <w:szCs w:val="20"/>
                <w:color w:val="auto"/>
              </w:rPr>
            </w:pPr>
            <w:r>
              <w:rPr>
                <w:rFonts w:ascii="Times New Roman" w:cs="Times New Roman" w:eastAsia="Times New Roman" w:hAnsi="Times New Roman"/>
                <w:sz w:val="9"/>
                <w:szCs w:val="9"/>
                <w:color w:val="auto"/>
              </w:rPr>
              <w:t xml:space="preserve">Risk-adjusted Net interest margin </w:t>
            </w:r>
            <w:r>
              <w:rPr>
                <w:rFonts w:ascii="Times New Roman" w:cs="Times New Roman" w:eastAsia="Times New Roman" w:hAnsi="Times New Roman"/>
                <w:sz w:val="14"/>
                <w:szCs w:val="14"/>
                <w:color w:val="auto"/>
                <w:vertAlign w:val="superscript"/>
              </w:rPr>
              <w:t>(1)(2)</w:t>
            </w:r>
          </w:p>
        </w:tc>
        <w:tc>
          <w:tcPr>
            <w:tcW w:w="88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6"/>
              </w:rPr>
              <w:t>5.42%</w:t>
            </w:r>
          </w:p>
        </w:tc>
        <w:tc>
          <w:tcPr>
            <w:tcW w:w="90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rPr>
              <w:t>5.75%</w:t>
            </w:r>
          </w:p>
        </w:tc>
        <w:tc>
          <w:tcPr>
            <w:tcW w:w="900" w:type="dxa"/>
            <w:vAlign w:val="bottom"/>
            <w:tcBorders>
              <w:right w:val="single" w:sz="8" w:color="auto"/>
            </w:tcBorders>
          </w:tcPr>
          <w:p>
            <w:pPr>
              <w:jc w:val="center"/>
              <w:spacing w:after="0" w:line="127" w:lineRule="exact"/>
              <w:rPr>
                <w:sz w:val="20"/>
                <w:szCs w:val="20"/>
                <w:color w:val="auto"/>
              </w:rPr>
            </w:pPr>
            <w:r>
              <w:rPr>
                <w:rFonts w:ascii="Times New Roman" w:cs="Times New Roman" w:eastAsia="Times New Roman" w:hAnsi="Times New Roman"/>
                <w:sz w:val="12"/>
                <w:szCs w:val="12"/>
                <w:color w:val="auto"/>
                <w:w w:val="96"/>
              </w:rPr>
              <w:t>6.00%</w:t>
            </w:r>
          </w:p>
        </w:tc>
        <w:tc>
          <w:tcPr>
            <w:tcW w:w="680" w:type="dxa"/>
            <w:vAlign w:val="bottom"/>
          </w:tcPr>
          <w:p>
            <w:pPr>
              <w:jc w:val="center"/>
              <w:ind w:left="141"/>
              <w:spacing w:after="0" w:line="127" w:lineRule="exact"/>
              <w:rPr>
                <w:sz w:val="20"/>
                <w:szCs w:val="20"/>
                <w:color w:val="auto"/>
              </w:rPr>
            </w:pPr>
            <w:r>
              <w:rPr>
                <w:rFonts w:ascii="Times New Roman" w:cs="Times New Roman" w:eastAsia="Times New Roman" w:hAnsi="Times New Roman"/>
                <w:sz w:val="12"/>
                <w:szCs w:val="12"/>
                <w:color w:val="auto"/>
              </w:rPr>
              <w:t>25 bps</w:t>
            </w:r>
          </w:p>
        </w:tc>
        <w:tc>
          <w:tcPr>
            <w:tcW w:w="1120" w:type="dxa"/>
            <w:vAlign w:val="bottom"/>
            <w:tcBorders>
              <w:right w:val="single" w:sz="8" w:color="auto"/>
            </w:tcBorders>
          </w:tcPr>
          <w:p>
            <w:pPr>
              <w:jc w:val="center"/>
              <w:ind w:left="141"/>
              <w:spacing w:after="0" w:line="127" w:lineRule="exact"/>
              <w:rPr>
                <w:sz w:val="20"/>
                <w:szCs w:val="20"/>
                <w:color w:val="auto"/>
              </w:rPr>
            </w:pPr>
            <w:r>
              <w:rPr>
                <w:rFonts w:ascii="Times New Roman" w:cs="Times New Roman" w:eastAsia="Times New Roman" w:hAnsi="Times New Roman"/>
                <w:sz w:val="12"/>
                <w:szCs w:val="12"/>
                <w:color w:val="auto"/>
              </w:rPr>
              <w:t>58 bps</w:t>
            </w:r>
          </w:p>
        </w:tc>
      </w:tr>
      <w:tr>
        <w:trPr>
          <w:trHeight w:val="258"/>
        </w:trPr>
        <w:tc>
          <w:tcPr>
            <w:tcW w:w="3400" w:type="dxa"/>
            <w:vAlign w:val="bottom"/>
            <w:tcBorders>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2"/>
                <w:szCs w:val="12"/>
                <w:color w:val="auto"/>
              </w:rPr>
              <w:t xml:space="preserve">Funding cost </w:t>
            </w:r>
            <w:r>
              <w:rPr>
                <w:rFonts w:ascii="Times New Roman" w:cs="Times New Roman" w:eastAsia="Times New Roman" w:hAnsi="Times New Roman"/>
                <w:sz w:val="19"/>
                <w:szCs w:val="19"/>
                <w:color w:val="auto"/>
                <w:vertAlign w:val="superscript"/>
              </w:rPr>
              <w:t>(1)(2)(3)</w:t>
            </w:r>
          </w:p>
        </w:tc>
        <w:tc>
          <w:tcPr>
            <w:tcW w:w="8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2.20%</w:t>
            </w: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2.08%</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6"/>
              </w:rPr>
              <w:t>1.85%</w:t>
            </w:r>
          </w:p>
        </w:tc>
        <w:tc>
          <w:tcPr>
            <w:tcW w:w="680" w:type="dxa"/>
            <w:vAlign w:val="bottom"/>
          </w:tcPr>
          <w:p>
            <w:pPr>
              <w:jc w:val="center"/>
              <w:ind w:left="141"/>
              <w:spacing w:after="0"/>
              <w:rPr>
                <w:sz w:val="20"/>
                <w:szCs w:val="20"/>
                <w:color w:val="auto"/>
              </w:rPr>
            </w:pPr>
            <w:r>
              <w:rPr>
                <w:rFonts w:ascii="Times New Roman" w:cs="Times New Roman" w:eastAsia="Times New Roman" w:hAnsi="Times New Roman"/>
                <w:sz w:val="12"/>
                <w:szCs w:val="12"/>
                <w:color w:val="auto"/>
              </w:rPr>
              <w:t>-24 bps</w:t>
            </w:r>
          </w:p>
        </w:tc>
        <w:tc>
          <w:tcPr>
            <w:tcW w:w="1120" w:type="dxa"/>
            <w:vAlign w:val="bottom"/>
            <w:tcBorders>
              <w:right w:val="single" w:sz="8" w:color="auto"/>
            </w:tcBorders>
          </w:tcPr>
          <w:p>
            <w:pPr>
              <w:jc w:val="center"/>
              <w:ind w:left="141"/>
              <w:spacing w:after="0"/>
              <w:rPr>
                <w:sz w:val="20"/>
                <w:szCs w:val="20"/>
                <w:color w:val="auto"/>
              </w:rPr>
            </w:pPr>
            <w:r>
              <w:rPr>
                <w:rFonts w:ascii="Times New Roman" w:cs="Times New Roman" w:eastAsia="Times New Roman" w:hAnsi="Times New Roman"/>
                <w:sz w:val="12"/>
                <w:szCs w:val="12"/>
                <w:color w:val="auto"/>
              </w:rPr>
              <w:t>-35 bps</w:t>
            </w:r>
          </w:p>
        </w:tc>
      </w:tr>
      <w:tr>
        <w:trPr>
          <w:trHeight w:val="129"/>
        </w:trPr>
        <w:tc>
          <w:tcPr>
            <w:tcW w:w="3400" w:type="dxa"/>
            <w:vAlign w:val="bottom"/>
            <w:tcBorders>
              <w:left w:val="single" w:sz="8" w:color="auto"/>
              <w:right w:val="single" w:sz="8" w:color="auto"/>
            </w:tcBorders>
          </w:tcPr>
          <w:p>
            <w:pPr>
              <w:ind w:left="120"/>
              <w:spacing w:after="0" w:line="129" w:lineRule="exact"/>
              <w:rPr>
                <w:sz w:val="20"/>
                <w:szCs w:val="20"/>
                <w:color w:val="auto"/>
              </w:rPr>
            </w:pPr>
            <w:r>
              <w:rPr>
                <w:rFonts w:ascii="Times New Roman" w:cs="Times New Roman" w:eastAsia="Times New Roman" w:hAnsi="Times New Roman"/>
                <w:sz w:val="12"/>
                <w:szCs w:val="12"/>
                <w:b w:val="1"/>
                <w:bCs w:val="1"/>
                <w:color w:val="auto"/>
              </w:rPr>
              <w:t>Loan portfolio quality</w:t>
            </w:r>
          </w:p>
        </w:tc>
        <w:tc>
          <w:tcPr>
            <w:tcW w:w="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r>
      <w:tr>
        <w:trPr>
          <w:trHeight w:val="127"/>
        </w:trPr>
        <w:tc>
          <w:tcPr>
            <w:tcW w:w="3400" w:type="dxa"/>
            <w:vAlign w:val="bottom"/>
            <w:tcBorders>
              <w:left w:val="single" w:sz="8" w:color="auto"/>
              <w:right w:val="single" w:sz="8" w:color="auto"/>
            </w:tcBorders>
          </w:tcPr>
          <w:p>
            <w:pPr>
              <w:ind w:left="180"/>
              <w:spacing w:after="0" w:line="127" w:lineRule="exact"/>
              <w:rPr>
                <w:sz w:val="20"/>
                <w:szCs w:val="20"/>
                <w:color w:val="auto"/>
              </w:rPr>
            </w:pPr>
            <w:r>
              <w:rPr>
                <w:rFonts w:ascii="Times New Roman" w:cs="Times New Roman" w:eastAsia="Times New Roman" w:hAnsi="Times New Roman"/>
                <w:sz w:val="12"/>
                <w:szCs w:val="12"/>
                <w:color w:val="auto"/>
              </w:rPr>
              <w:t>Internal overdue ratio</w:t>
            </w:r>
          </w:p>
        </w:tc>
        <w:tc>
          <w:tcPr>
            <w:tcW w:w="88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5"/>
              </w:rPr>
              <w:t>3.7%</w:t>
            </w:r>
          </w:p>
        </w:tc>
        <w:tc>
          <w:tcPr>
            <w:tcW w:w="90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5"/>
              </w:rPr>
              <w:t>3.2%</w:t>
            </w:r>
          </w:p>
        </w:tc>
        <w:tc>
          <w:tcPr>
            <w:tcW w:w="900" w:type="dxa"/>
            <w:vAlign w:val="bottom"/>
            <w:tcBorders>
              <w:right w:val="single" w:sz="8" w:color="auto"/>
            </w:tcBorders>
          </w:tcPr>
          <w:p>
            <w:pPr>
              <w:jc w:val="center"/>
              <w:spacing w:after="0" w:line="127" w:lineRule="exact"/>
              <w:rPr>
                <w:sz w:val="20"/>
                <w:szCs w:val="20"/>
                <w:color w:val="auto"/>
              </w:rPr>
            </w:pPr>
            <w:r>
              <w:rPr>
                <w:rFonts w:ascii="Times New Roman" w:cs="Times New Roman" w:eastAsia="Times New Roman" w:hAnsi="Times New Roman"/>
                <w:sz w:val="12"/>
                <w:szCs w:val="12"/>
                <w:color w:val="auto"/>
              </w:rPr>
              <w:t>2.9%</w:t>
            </w:r>
          </w:p>
        </w:tc>
        <w:tc>
          <w:tcPr>
            <w:tcW w:w="680" w:type="dxa"/>
            <w:vAlign w:val="bottom"/>
          </w:tcPr>
          <w:p>
            <w:pPr>
              <w:jc w:val="center"/>
              <w:ind w:left="141"/>
              <w:spacing w:after="0" w:line="127" w:lineRule="exact"/>
              <w:rPr>
                <w:sz w:val="20"/>
                <w:szCs w:val="20"/>
                <w:color w:val="auto"/>
              </w:rPr>
            </w:pPr>
            <w:r>
              <w:rPr>
                <w:rFonts w:ascii="Times New Roman" w:cs="Times New Roman" w:eastAsia="Times New Roman" w:hAnsi="Times New Roman"/>
                <w:sz w:val="12"/>
                <w:szCs w:val="12"/>
                <w:color w:val="auto"/>
              </w:rPr>
              <w:t>-30 bps</w:t>
            </w:r>
          </w:p>
        </w:tc>
        <w:tc>
          <w:tcPr>
            <w:tcW w:w="1120" w:type="dxa"/>
            <w:vAlign w:val="bottom"/>
            <w:tcBorders>
              <w:right w:val="single" w:sz="8" w:color="auto"/>
            </w:tcBorders>
          </w:tcPr>
          <w:p>
            <w:pPr>
              <w:jc w:val="center"/>
              <w:ind w:left="141"/>
              <w:spacing w:after="0" w:line="127" w:lineRule="exact"/>
              <w:rPr>
                <w:sz w:val="20"/>
                <w:szCs w:val="20"/>
                <w:color w:val="auto"/>
              </w:rPr>
            </w:pPr>
            <w:r>
              <w:rPr>
                <w:rFonts w:ascii="Times New Roman" w:cs="Times New Roman" w:eastAsia="Times New Roman" w:hAnsi="Times New Roman"/>
                <w:sz w:val="12"/>
                <w:szCs w:val="12"/>
                <w:color w:val="auto"/>
              </w:rPr>
              <w:t>-79 bps</w:t>
            </w:r>
          </w:p>
        </w:tc>
      </w:tr>
      <w:tr>
        <w:trPr>
          <w:trHeight w:val="127"/>
        </w:trPr>
        <w:tc>
          <w:tcPr>
            <w:tcW w:w="3400" w:type="dxa"/>
            <w:vAlign w:val="bottom"/>
            <w:tcBorders>
              <w:left w:val="single" w:sz="8" w:color="auto"/>
              <w:right w:val="single" w:sz="8" w:color="auto"/>
            </w:tcBorders>
          </w:tcPr>
          <w:p>
            <w:pPr>
              <w:ind w:left="180"/>
              <w:spacing w:after="0" w:line="127" w:lineRule="exact"/>
              <w:rPr>
                <w:sz w:val="20"/>
                <w:szCs w:val="20"/>
                <w:color w:val="auto"/>
              </w:rPr>
            </w:pPr>
            <w:r>
              <w:rPr>
                <w:rFonts w:ascii="Times New Roman" w:cs="Times New Roman" w:eastAsia="Times New Roman" w:hAnsi="Times New Roman"/>
                <w:sz w:val="12"/>
                <w:szCs w:val="12"/>
                <w:color w:val="auto"/>
              </w:rPr>
              <w:t>NPL ratio</w:t>
            </w:r>
          </w:p>
        </w:tc>
        <w:tc>
          <w:tcPr>
            <w:tcW w:w="88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5"/>
              </w:rPr>
              <w:t>5.2%</w:t>
            </w:r>
          </w:p>
        </w:tc>
        <w:tc>
          <w:tcPr>
            <w:tcW w:w="90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5"/>
              </w:rPr>
              <w:t>4.6%</w:t>
            </w:r>
          </w:p>
        </w:tc>
        <w:tc>
          <w:tcPr>
            <w:tcW w:w="900" w:type="dxa"/>
            <w:vAlign w:val="bottom"/>
            <w:tcBorders>
              <w:right w:val="single" w:sz="8" w:color="auto"/>
            </w:tcBorders>
          </w:tcPr>
          <w:p>
            <w:pPr>
              <w:jc w:val="center"/>
              <w:spacing w:after="0" w:line="127" w:lineRule="exact"/>
              <w:rPr>
                <w:sz w:val="20"/>
                <w:szCs w:val="20"/>
                <w:color w:val="auto"/>
              </w:rPr>
            </w:pPr>
            <w:r>
              <w:rPr>
                <w:rFonts w:ascii="Times New Roman" w:cs="Times New Roman" w:eastAsia="Times New Roman" w:hAnsi="Times New Roman"/>
                <w:sz w:val="12"/>
                <w:szCs w:val="12"/>
                <w:color w:val="auto"/>
              </w:rPr>
              <w:t>4.3%</w:t>
            </w:r>
          </w:p>
        </w:tc>
        <w:tc>
          <w:tcPr>
            <w:tcW w:w="680" w:type="dxa"/>
            <w:vAlign w:val="bottom"/>
          </w:tcPr>
          <w:p>
            <w:pPr>
              <w:jc w:val="center"/>
              <w:ind w:left="141"/>
              <w:spacing w:after="0" w:line="127" w:lineRule="exact"/>
              <w:rPr>
                <w:sz w:val="20"/>
                <w:szCs w:val="20"/>
                <w:color w:val="auto"/>
              </w:rPr>
            </w:pPr>
            <w:r>
              <w:rPr>
                <w:rFonts w:ascii="Times New Roman" w:cs="Times New Roman" w:eastAsia="Times New Roman" w:hAnsi="Times New Roman"/>
                <w:sz w:val="12"/>
                <w:szCs w:val="12"/>
                <w:color w:val="auto"/>
              </w:rPr>
              <w:t>-30 bps</w:t>
            </w:r>
          </w:p>
        </w:tc>
        <w:tc>
          <w:tcPr>
            <w:tcW w:w="1120" w:type="dxa"/>
            <w:vAlign w:val="bottom"/>
            <w:tcBorders>
              <w:right w:val="single" w:sz="8" w:color="auto"/>
            </w:tcBorders>
          </w:tcPr>
          <w:p>
            <w:pPr>
              <w:jc w:val="center"/>
              <w:ind w:left="141"/>
              <w:spacing w:after="0" w:line="127" w:lineRule="exact"/>
              <w:rPr>
                <w:sz w:val="20"/>
                <w:szCs w:val="20"/>
                <w:color w:val="auto"/>
              </w:rPr>
            </w:pPr>
            <w:r>
              <w:rPr>
                <w:rFonts w:ascii="Times New Roman" w:cs="Times New Roman" w:eastAsia="Times New Roman" w:hAnsi="Times New Roman"/>
                <w:sz w:val="12"/>
                <w:szCs w:val="12"/>
                <w:color w:val="auto"/>
              </w:rPr>
              <w:t>-91 bps</w:t>
            </w:r>
          </w:p>
        </w:tc>
      </w:tr>
      <w:tr>
        <w:trPr>
          <w:trHeight w:val="127"/>
        </w:trPr>
        <w:tc>
          <w:tcPr>
            <w:tcW w:w="3400" w:type="dxa"/>
            <w:vAlign w:val="bottom"/>
            <w:tcBorders>
              <w:left w:val="single" w:sz="8" w:color="auto"/>
              <w:right w:val="single" w:sz="8" w:color="auto"/>
            </w:tcBorders>
          </w:tcPr>
          <w:p>
            <w:pPr>
              <w:ind w:left="180"/>
              <w:spacing w:after="0" w:line="127" w:lineRule="exact"/>
              <w:rPr>
                <w:sz w:val="20"/>
                <w:szCs w:val="20"/>
                <w:color w:val="auto"/>
              </w:rPr>
            </w:pPr>
            <w:r>
              <w:rPr>
                <w:rFonts w:ascii="Times New Roman" w:cs="Times New Roman" w:eastAsia="Times New Roman" w:hAnsi="Times New Roman"/>
                <w:sz w:val="12"/>
                <w:szCs w:val="12"/>
                <w:color w:val="auto"/>
              </w:rPr>
              <w:t>Coverage ratio of IOLs</w:t>
            </w:r>
          </w:p>
        </w:tc>
        <w:tc>
          <w:tcPr>
            <w:tcW w:w="88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7"/>
              </w:rPr>
              <w:t>149.4%</w:t>
            </w:r>
          </w:p>
        </w:tc>
        <w:tc>
          <w:tcPr>
            <w:tcW w:w="90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7"/>
              </w:rPr>
              <w:t>160.8%</w:t>
            </w:r>
          </w:p>
        </w:tc>
        <w:tc>
          <w:tcPr>
            <w:tcW w:w="900" w:type="dxa"/>
            <w:vAlign w:val="bottom"/>
            <w:tcBorders>
              <w:right w:val="single" w:sz="8" w:color="auto"/>
            </w:tcBorders>
          </w:tcPr>
          <w:p>
            <w:pPr>
              <w:jc w:val="center"/>
              <w:spacing w:after="0" w:line="127" w:lineRule="exact"/>
              <w:rPr>
                <w:sz w:val="20"/>
                <w:szCs w:val="20"/>
                <w:color w:val="auto"/>
              </w:rPr>
            </w:pPr>
            <w:r>
              <w:rPr>
                <w:rFonts w:ascii="Times New Roman" w:cs="Times New Roman" w:eastAsia="Times New Roman" w:hAnsi="Times New Roman"/>
                <w:sz w:val="12"/>
                <w:szCs w:val="12"/>
                <w:color w:val="auto"/>
                <w:w w:val="97"/>
              </w:rPr>
              <w:t>167.3%</w:t>
            </w:r>
          </w:p>
        </w:tc>
        <w:tc>
          <w:tcPr>
            <w:tcW w:w="680" w:type="dxa"/>
            <w:vAlign w:val="bottom"/>
          </w:tcPr>
          <w:p>
            <w:pPr>
              <w:jc w:val="center"/>
              <w:ind w:left="141"/>
              <w:spacing w:after="0" w:line="127" w:lineRule="exact"/>
              <w:rPr>
                <w:sz w:val="20"/>
                <w:szCs w:val="20"/>
                <w:color w:val="auto"/>
              </w:rPr>
            </w:pPr>
            <w:r>
              <w:rPr>
                <w:rFonts w:ascii="Times New Roman" w:cs="Times New Roman" w:eastAsia="Times New Roman" w:hAnsi="Times New Roman"/>
                <w:sz w:val="12"/>
                <w:szCs w:val="12"/>
                <w:color w:val="auto"/>
                <w:w w:val="95"/>
              </w:rPr>
              <w:t>645 bps</w:t>
            </w:r>
          </w:p>
        </w:tc>
        <w:tc>
          <w:tcPr>
            <w:tcW w:w="1120" w:type="dxa"/>
            <w:vAlign w:val="bottom"/>
            <w:tcBorders>
              <w:right w:val="single" w:sz="8" w:color="auto"/>
            </w:tcBorders>
          </w:tcPr>
          <w:p>
            <w:pPr>
              <w:jc w:val="center"/>
              <w:ind w:left="141"/>
              <w:spacing w:after="0" w:line="127" w:lineRule="exact"/>
              <w:rPr>
                <w:sz w:val="20"/>
                <w:szCs w:val="20"/>
                <w:color w:val="auto"/>
              </w:rPr>
            </w:pPr>
            <w:r>
              <w:rPr>
                <w:rFonts w:ascii="Times New Roman" w:cs="Times New Roman" w:eastAsia="Times New Roman" w:hAnsi="Times New Roman"/>
                <w:sz w:val="12"/>
                <w:szCs w:val="12"/>
                <w:color w:val="auto"/>
              </w:rPr>
              <w:t>1781 bps</w:t>
            </w:r>
          </w:p>
        </w:tc>
      </w:tr>
      <w:tr>
        <w:trPr>
          <w:trHeight w:val="121"/>
        </w:trPr>
        <w:tc>
          <w:tcPr>
            <w:tcW w:w="3400" w:type="dxa"/>
            <w:vAlign w:val="bottom"/>
            <w:tcBorders>
              <w:left w:val="single" w:sz="8" w:color="auto"/>
              <w:right w:val="single" w:sz="8" w:color="auto"/>
            </w:tcBorders>
          </w:tcPr>
          <w:p>
            <w:pPr>
              <w:ind w:left="180"/>
              <w:spacing w:after="0" w:line="121" w:lineRule="exact"/>
              <w:rPr>
                <w:sz w:val="20"/>
                <w:szCs w:val="20"/>
                <w:color w:val="auto"/>
              </w:rPr>
            </w:pPr>
            <w:r>
              <w:rPr>
                <w:rFonts w:ascii="Times New Roman" w:cs="Times New Roman" w:eastAsia="Times New Roman" w:hAnsi="Times New Roman"/>
                <w:sz w:val="12"/>
                <w:szCs w:val="12"/>
                <w:color w:val="auto"/>
              </w:rPr>
              <w:t>Coverage ratio of NPLs</w:t>
            </w:r>
          </w:p>
        </w:tc>
        <w:tc>
          <w:tcPr>
            <w:tcW w:w="880" w:type="dxa"/>
            <w:vAlign w:val="bottom"/>
          </w:tcPr>
          <w:p>
            <w:pPr>
              <w:jc w:val="center"/>
              <w:spacing w:after="0" w:line="121" w:lineRule="exact"/>
              <w:rPr>
                <w:sz w:val="20"/>
                <w:szCs w:val="20"/>
                <w:color w:val="auto"/>
              </w:rPr>
            </w:pPr>
            <w:r>
              <w:rPr>
                <w:rFonts w:ascii="Times New Roman" w:cs="Times New Roman" w:eastAsia="Times New Roman" w:hAnsi="Times New Roman"/>
                <w:sz w:val="12"/>
                <w:szCs w:val="12"/>
                <w:color w:val="auto"/>
                <w:w w:val="97"/>
              </w:rPr>
              <w:t>107.5%</w:t>
            </w:r>
          </w:p>
        </w:tc>
        <w:tc>
          <w:tcPr>
            <w:tcW w:w="900" w:type="dxa"/>
            <w:vAlign w:val="bottom"/>
          </w:tcPr>
          <w:p>
            <w:pPr>
              <w:jc w:val="center"/>
              <w:spacing w:after="0" w:line="121" w:lineRule="exact"/>
              <w:rPr>
                <w:sz w:val="20"/>
                <w:szCs w:val="20"/>
                <w:color w:val="auto"/>
              </w:rPr>
            </w:pPr>
            <w:r>
              <w:rPr>
                <w:rFonts w:ascii="Times New Roman" w:cs="Times New Roman" w:eastAsia="Times New Roman" w:hAnsi="Times New Roman"/>
                <w:sz w:val="12"/>
                <w:szCs w:val="12"/>
                <w:color w:val="auto"/>
                <w:w w:val="97"/>
              </w:rPr>
              <w:t>113.8%</w:t>
            </w:r>
          </w:p>
        </w:tc>
        <w:tc>
          <w:tcPr>
            <w:tcW w:w="900" w:type="dxa"/>
            <w:vAlign w:val="bottom"/>
            <w:tcBorders>
              <w:right w:val="single" w:sz="8" w:color="auto"/>
            </w:tcBorders>
          </w:tcPr>
          <w:p>
            <w:pPr>
              <w:jc w:val="center"/>
              <w:spacing w:after="0" w:line="121" w:lineRule="exact"/>
              <w:rPr>
                <w:sz w:val="20"/>
                <w:szCs w:val="20"/>
                <w:color w:val="auto"/>
              </w:rPr>
            </w:pPr>
            <w:r>
              <w:rPr>
                <w:rFonts w:ascii="Times New Roman" w:cs="Times New Roman" w:eastAsia="Times New Roman" w:hAnsi="Times New Roman"/>
                <w:sz w:val="12"/>
                <w:szCs w:val="12"/>
                <w:color w:val="auto"/>
                <w:w w:val="97"/>
              </w:rPr>
              <w:t>115.1%</w:t>
            </w:r>
          </w:p>
        </w:tc>
        <w:tc>
          <w:tcPr>
            <w:tcW w:w="680" w:type="dxa"/>
            <w:vAlign w:val="bottom"/>
          </w:tcPr>
          <w:p>
            <w:pPr>
              <w:jc w:val="center"/>
              <w:ind w:left="141"/>
              <w:spacing w:after="0" w:line="121" w:lineRule="exact"/>
              <w:rPr>
                <w:sz w:val="20"/>
                <w:szCs w:val="20"/>
                <w:color w:val="auto"/>
              </w:rPr>
            </w:pPr>
            <w:r>
              <w:rPr>
                <w:rFonts w:ascii="Times New Roman" w:cs="Times New Roman" w:eastAsia="Times New Roman" w:hAnsi="Times New Roman"/>
                <w:sz w:val="12"/>
                <w:szCs w:val="12"/>
                <w:color w:val="auto"/>
                <w:w w:val="95"/>
              </w:rPr>
              <w:t>123 bps</w:t>
            </w:r>
          </w:p>
        </w:tc>
        <w:tc>
          <w:tcPr>
            <w:tcW w:w="1120" w:type="dxa"/>
            <w:vAlign w:val="bottom"/>
            <w:tcBorders>
              <w:right w:val="single" w:sz="8" w:color="auto"/>
            </w:tcBorders>
          </w:tcPr>
          <w:p>
            <w:pPr>
              <w:jc w:val="center"/>
              <w:ind w:left="121"/>
              <w:spacing w:after="0" w:line="121" w:lineRule="exact"/>
              <w:rPr>
                <w:sz w:val="20"/>
                <w:szCs w:val="20"/>
                <w:color w:val="auto"/>
              </w:rPr>
            </w:pPr>
            <w:r>
              <w:rPr>
                <w:rFonts w:ascii="Times New Roman" w:cs="Times New Roman" w:eastAsia="Times New Roman" w:hAnsi="Times New Roman"/>
                <w:sz w:val="12"/>
                <w:szCs w:val="12"/>
                <w:color w:val="auto"/>
              </w:rPr>
              <w:t>757 bps</w:t>
            </w:r>
          </w:p>
        </w:tc>
      </w:tr>
      <w:tr>
        <w:trPr>
          <w:trHeight w:val="258"/>
        </w:trPr>
        <w:tc>
          <w:tcPr>
            <w:tcW w:w="3400" w:type="dxa"/>
            <w:vAlign w:val="bottom"/>
            <w:tcBorders>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2"/>
                <w:szCs w:val="12"/>
                <w:color w:val="auto"/>
              </w:rPr>
              <w:t xml:space="preserve">Cost of risk </w:t>
            </w:r>
            <w:r>
              <w:rPr>
                <w:rFonts w:ascii="Times New Roman" w:cs="Times New Roman" w:eastAsia="Times New Roman" w:hAnsi="Times New Roman"/>
                <w:sz w:val="19"/>
                <w:szCs w:val="19"/>
                <w:color w:val="auto"/>
                <w:vertAlign w:val="superscript"/>
              </w:rPr>
              <w:t>(4)</w:t>
            </w:r>
          </w:p>
        </w:tc>
        <w:tc>
          <w:tcPr>
            <w:tcW w:w="8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1.6%</w:t>
            </w: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1.7%</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1.2%</w:t>
            </w:r>
          </w:p>
        </w:tc>
        <w:tc>
          <w:tcPr>
            <w:tcW w:w="680" w:type="dxa"/>
            <w:vAlign w:val="bottom"/>
          </w:tcPr>
          <w:p>
            <w:pPr>
              <w:jc w:val="center"/>
              <w:ind w:left="141"/>
              <w:spacing w:after="0"/>
              <w:rPr>
                <w:sz w:val="20"/>
                <w:szCs w:val="20"/>
                <w:color w:val="auto"/>
              </w:rPr>
            </w:pPr>
            <w:r>
              <w:rPr>
                <w:rFonts w:ascii="Times New Roman" w:cs="Times New Roman" w:eastAsia="Times New Roman" w:hAnsi="Times New Roman"/>
                <w:sz w:val="12"/>
                <w:szCs w:val="12"/>
                <w:color w:val="auto"/>
              </w:rPr>
              <w:t>-55 bps</w:t>
            </w:r>
          </w:p>
        </w:tc>
        <w:tc>
          <w:tcPr>
            <w:tcW w:w="1120" w:type="dxa"/>
            <w:vAlign w:val="bottom"/>
            <w:tcBorders>
              <w:right w:val="single" w:sz="8" w:color="auto"/>
            </w:tcBorders>
          </w:tcPr>
          <w:p>
            <w:pPr>
              <w:jc w:val="center"/>
              <w:ind w:left="141"/>
              <w:spacing w:after="0"/>
              <w:rPr>
                <w:sz w:val="20"/>
                <w:szCs w:val="20"/>
                <w:color w:val="auto"/>
              </w:rPr>
            </w:pPr>
            <w:r>
              <w:rPr>
                <w:rFonts w:ascii="Times New Roman" w:cs="Times New Roman" w:eastAsia="Times New Roman" w:hAnsi="Times New Roman"/>
                <w:sz w:val="12"/>
                <w:szCs w:val="12"/>
                <w:color w:val="auto"/>
              </w:rPr>
              <w:t>-46 bps</w:t>
            </w:r>
          </w:p>
        </w:tc>
      </w:tr>
      <w:tr>
        <w:trPr>
          <w:trHeight w:val="123"/>
        </w:trPr>
        <w:tc>
          <w:tcPr>
            <w:tcW w:w="3400" w:type="dxa"/>
            <w:vAlign w:val="bottom"/>
            <w:tcBorders>
              <w:left w:val="single" w:sz="8" w:color="auto"/>
              <w:right w:val="single" w:sz="8" w:color="auto"/>
            </w:tcBorders>
          </w:tcPr>
          <w:p>
            <w:pPr>
              <w:ind w:left="120"/>
              <w:spacing w:after="0" w:line="124" w:lineRule="exact"/>
              <w:rPr>
                <w:sz w:val="20"/>
                <w:szCs w:val="20"/>
                <w:color w:val="auto"/>
              </w:rPr>
            </w:pPr>
            <w:r>
              <w:rPr>
                <w:rFonts w:ascii="Times New Roman" w:cs="Times New Roman" w:eastAsia="Times New Roman" w:hAnsi="Times New Roman"/>
                <w:sz w:val="12"/>
                <w:szCs w:val="12"/>
                <w:b w:val="1"/>
                <w:bCs w:val="1"/>
                <w:color w:val="auto"/>
              </w:rPr>
              <w:t>Operating efficiency</w:t>
            </w:r>
          </w:p>
        </w:tc>
        <w:tc>
          <w:tcPr>
            <w:tcW w:w="8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680" w:type="dxa"/>
            <w:vAlign w:val="bottom"/>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r>
      <w:tr>
        <w:trPr>
          <w:trHeight w:val="127"/>
        </w:trPr>
        <w:tc>
          <w:tcPr>
            <w:tcW w:w="3400" w:type="dxa"/>
            <w:vAlign w:val="bottom"/>
            <w:tcBorders>
              <w:left w:val="single" w:sz="8" w:color="auto"/>
              <w:right w:val="single" w:sz="8" w:color="auto"/>
            </w:tcBorders>
          </w:tcPr>
          <w:p>
            <w:pPr>
              <w:ind w:left="180"/>
              <w:spacing w:after="0" w:line="127" w:lineRule="exact"/>
              <w:rPr>
                <w:sz w:val="20"/>
                <w:szCs w:val="20"/>
                <w:color w:val="auto"/>
              </w:rPr>
            </w:pPr>
            <w:r>
              <w:rPr>
                <w:rFonts w:ascii="Times New Roman" w:cs="Times New Roman" w:eastAsia="Times New Roman" w:hAnsi="Times New Roman"/>
                <w:sz w:val="9"/>
                <w:szCs w:val="9"/>
                <w:color w:val="auto"/>
              </w:rPr>
              <w:t xml:space="preserve">Operating expenses / Total income </w:t>
            </w:r>
            <w:r>
              <w:rPr>
                <w:rFonts w:ascii="Times New Roman" w:cs="Times New Roman" w:eastAsia="Times New Roman" w:hAnsi="Times New Roman"/>
                <w:sz w:val="14"/>
                <w:szCs w:val="14"/>
                <w:color w:val="auto"/>
                <w:vertAlign w:val="superscript"/>
              </w:rPr>
              <w:t>(5)</w:t>
            </w:r>
          </w:p>
        </w:tc>
        <w:tc>
          <w:tcPr>
            <w:tcW w:w="88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6"/>
              </w:rPr>
              <w:t>39.8%</w:t>
            </w:r>
          </w:p>
        </w:tc>
        <w:tc>
          <w:tcPr>
            <w:tcW w:w="90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rPr>
              <w:t>43.7%</w:t>
            </w:r>
          </w:p>
        </w:tc>
        <w:tc>
          <w:tcPr>
            <w:tcW w:w="900" w:type="dxa"/>
            <w:vAlign w:val="bottom"/>
            <w:tcBorders>
              <w:right w:val="single" w:sz="8" w:color="auto"/>
            </w:tcBorders>
          </w:tcPr>
          <w:p>
            <w:pPr>
              <w:jc w:val="center"/>
              <w:spacing w:after="0" w:line="127" w:lineRule="exact"/>
              <w:rPr>
                <w:sz w:val="20"/>
                <w:szCs w:val="20"/>
                <w:color w:val="auto"/>
              </w:rPr>
            </w:pPr>
            <w:r>
              <w:rPr>
                <w:rFonts w:ascii="Times New Roman" w:cs="Times New Roman" w:eastAsia="Times New Roman" w:hAnsi="Times New Roman"/>
                <w:sz w:val="12"/>
                <w:szCs w:val="12"/>
                <w:color w:val="auto"/>
                <w:w w:val="96"/>
              </w:rPr>
              <w:t>40.1%</w:t>
            </w:r>
          </w:p>
        </w:tc>
        <w:tc>
          <w:tcPr>
            <w:tcW w:w="680" w:type="dxa"/>
            <w:vAlign w:val="bottom"/>
          </w:tcPr>
          <w:p>
            <w:pPr>
              <w:jc w:val="center"/>
              <w:ind w:left="141"/>
              <w:spacing w:after="0" w:line="127" w:lineRule="exact"/>
              <w:rPr>
                <w:sz w:val="20"/>
                <w:szCs w:val="20"/>
                <w:color w:val="auto"/>
              </w:rPr>
            </w:pPr>
            <w:r>
              <w:rPr>
                <w:rFonts w:ascii="Times New Roman" w:cs="Times New Roman" w:eastAsia="Times New Roman" w:hAnsi="Times New Roman"/>
                <w:sz w:val="12"/>
                <w:szCs w:val="12"/>
                <w:color w:val="auto"/>
                <w:w w:val="95"/>
              </w:rPr>
              <w:t>-356 bps</w:t>
            </w:r>
          </w:p>
        </w:tc>
        <w:tc>
          <w:tcPr>
            <w:tcW w:w="1120" w:type="dxa"/>
            <w:vAlign w:val="bottom"/>
            <w:tcBorders>
              <w:right w:val="single" w:sz="8" w:color="auto"/>
            </w:tcBorders>
          </w:tcPr>
          <w:p>
            <w:pPr>
              <w:jc w:val="center"/>
              <w:ind w:left="141"/>
              <w:spacing w:after="0" w:line="127" w:lineRule="exact"/>
              <w:rPr>
                <w:sz w:val="20"/>
                <w:szCs w:val="20"/>
                <w:color w:val="auto"/>
              </w:rPr>
            </w:pPr>
            <w:r>
              <w:rPr>
                <w:rFonts w:ascii="Times New Roman" w:cs="Times New Roman" w:eastAsia="Times New Roman" w:hAnsi="Times New Roman"/>
                <w:sz w:val="12"/>
                <w:szCs w:val="12"/>
                <w:color w:val="auto"/>
              </w:rPr>
              <w:t>35 bps</w:t>
            </w:r>
          </w:p>
        </w:tc>
      </w:tr>
      <w:tr>
        <w:trPr>
          <w:trHeight w:val="149"/>
        </w:trPr>
        <w:tc>
          <w:tcPr>
            <w:tcW w:w="3400" w:type="dxa"/>
            <w:vAlign w:val="bottom"/>
            <w:tcBorders>
              <w:left w:val="single" w:sz="8" w:color="auto"/>
              <w:bottom w:val="single" w:sz="8" w:color="auto"/>
              <w:right w:val="single" w:sz="8" w:color="auto"/>
            </w:tcBorders>
          </w:tcPr>
          <w:p>
            <w:pPr>
              <w:ind w:left="180"/>
              <w:spacing w:after="0" w:line="149" w:lineRule="exact"/>
              <w:rPr>
                <w:sz w:val="20"/>
                <w:szCs w:val="20"/>
                <w:color w:val="auto"/>
              </w:rPr>
            </w:pPr>
            <w:r>
              <w:rPr>
                <w:rFonts w:ascii="Times New Roman" w:cs="Times New Roman" w:eastAsia="Times New Roman" w:hAnsi="Times New Roman"/>
                <w:sz w:val="11"/>
                <w:szCs w:val="11"/>
                <w:color w:val="auto"/>
              </w:rPr>
              <w:t xml:space="preserve">Operating expenses / Total average assets </w:t>
            </w:r>
            <w:r>
              <w:rPr>
                <w:rFonts w:ascii="Times New Roman" w:cs="Times New Roman" w:eastAsia="Times New Roman" w:hAnsi="Times New Roman"/>
                <w:sz w:val="17"/>
                <w:szCs w:val="17"/>
                <w:color w:val="auto"/>
                <w:vertAlign w:val="superscript"/>
              </w:rPr>
              <w:t>(1)(2)(5)</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5"/>
              </w:rPr>
              <w:t>3.4%</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5"/>
              </w:rPr>
              <w:t>4.0%</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3.6%</w:t>
            </w:r>
          </w:p>
        </w:tc>
        <w:tc>
          <w:tcPr>
            <w:tcW w:w="680" w:type="dxa"/>
            <w:vAlign w:val="bottom"/>
            <w:tcBorders>
              <w:bottom w:val="single" w:sz="8" w:color="auto"/>
            </w:tcBorders>
          </w:tcPr>
          <w:p>
            <w:pPr>
              <w:jc w:val="center"/>
              <w:ind w:left="141"/>
              <w:spacing w:after="0"/>
              <w:rPr>
                <w:sz w:val="20"/>
                <w:szCs w:val="20"/>
                <w:color w:val="auto"/>
              </w:rPr>
            </w:pPr>
            <w:r>
              <w:rPr>
                <w:rFonts w:ascii="Times New Roman" w:cs="Times New Roman" w:eastAsia="Times New Roman" w:hAnsi="Times New Roman"/>
                <w:sz w:val="12"/>
                <w:szCs w:val="12"/>
                <w:color w:val="auto"/>
              </w:rPr>
              <w:t>-38 bps</w:t>
            </w:r>
          </w:p>
        </w:tc>
        <w:tc>
          <w:tcPr>
            <w:tcW w:w="1120" w:type="dxa"/>
            <w:vAlign w:val="bottom"/>
            <w:tcBorders>
              <w:bottom w:val="single" w:sz="8" w:color="auto"/>
              <w:right w:val="single" w:sz="8" w:color="auto"/>
            </w:tcBorders>
          </w:tcPr>
          <w:p>
            <w:pPr>
              <w:jc w:val="center"/>
              <w:ind w:left="141"/>
              <w:spacing w:after="0"/>
              <w:rPr>
                <w:sz w:val="20"/>
                <w:szCs w:val="20"/>
                <w:color w:val="auto"/>
              </w:rPr>
            </w:pPr>
            <w:r>
              <w:rPr>
                <w:rFonts w:ascii="Times New Roman" w:cs="Times New Roman" w:eastAsia="Times New Roman" w:hAnsi="Times New Roman"/>
                <w:sz w:val="12"/>
                <w:szCs w:val="12"/>
                <w:color w:val="auto"/>
              </w:rPr>
              <w:t>23 bps</w:t>
            </w:r>
          </w:p>
        </w:tc>
      </w:tr>
    </w:tbl>
    <w:p>
      <w:pPr>
        <w:spacing w:after="0" w:line="111" w:lineRule="exact"/>
        <w:rPr>
          <w:sz w:val="20"/>
          <w:szCs w:val="20"/>
          <w:color w:val="auto"/>
        </w:rPr>
      </w:pPr>
    </w:p>
    <w:p>
      <w:pPr>
        <w:ind w:left="780" w:hanging="169"/>
        <w:spacing w:after="0"/>
        <w:tabs>
          <w:tab w:leader="none" w:pos="780"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Ratios are annualized.</w:t>
      </w:r>
    </w:p>
    <w:p>
      <w:pPr>
        <w:ind w:left="780" w:hanging="169"/>
        <w:spacing w:after="0" w:line="220" w:lineRule="auto"/>
        <w:tabs>
          <w:tab w:leader="none" w:pos="780"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Averages are determined as the average of period-beginning and period-ending balances.</w:t>
      </w:r>
    </w:p>
    <w:p>
      <w:pPr>
        <w:ind w:left="620" w:right="120" w:hanging="9"/>
        <w:spacing w:after="0" w:line="220" w:lineRule="auto"/>
        <w:tabs>
          <w:tab w:leader="none" w:pos="788"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funding costs differs from previously reported due to a methodology change in the denominator, which no longer includes the following accounts: acceptances outstanding, reserves for property and casualty claims, reserve for unearned premiums, reinsurance payable and other liabilities.</w:t>
      </w:r>
    </w:p>
    <w:p>
      <w:pPr>
        <w:ind w:left="780" w:hanging="169"/>
        <w:spacing w:after="0" w:line="220" w:lineRule="auto"/>
        <w:tabs>
          <w:tab w:leader="none" w:pos="780"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Cost of risk: Annualized provision for loan losses / Total loans.</w:t>
      </w:r>
    </w:p>
    <w:p>
      <w:pPr>
        <w:ind w:left="620" w:right="360" w:hanging="9"/>
        <w:spacing w:after="0" w:line="233" w:lineRule="auto"/>
        <w:tabs>
          <w:tab w:leader="none" w:pos="788"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Total income includes net interest income, fee income, net gain on foreign exchange transactions, result on exchange difference and net gain on derivatives. Operating expenses includes Salaries and social benefits, administrative, general and tax expenses and 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823595</wp:posOffset>
            </wp:positionV>
            <wp:extent cx="7140575" cy="1587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40575" cy="15875"/>
                    </a:xfrm>
                    <a:prstGeom prst="rect">
                      <a:avLst/>
                    </a:prstGeom>
                    <a:noFill/>
                  </pic:spPr>
                </pic:pic>
              </a:graphicData>
            </a:graphic>
          </wp:anchor>
        </w:drawing>
        <w:drawing>
          <wp:anchor simplePos="0" relativeHeight="251657728" behindDoc="1" locked="0" layoutInCell="0" allowOverlap="1">
            <wp:simplePos x="0" y="0"/>
            <wp:positionH relativeFrom="column">
              <wp:posOffset>363855</wp:posOffset>
            </wp:positionH>
            <wp:positionV relativeFrom="paragraph">
              <wp:posOffset>122555</wp:posOffset>
            </wp:positionV>
            <wp:extent cx="6447155" cy="55626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447155" cy="556260"/>
                    </a:xfrm>
                    <a:prstGeom prst="rect">
                      <a:avLst/>
                    </a:prstGeom>
                    <a:noFill/>
                  </pic:spPr>
                </pic:pic>
              </a:graphicData>
            </a:graphic>
          </wp:anchor>
        </w:drawing>
      </w:r>
    </w:p>
    <w:p>
      <w:pPr>
        <w:sectPr>
          <w:pgSz w:w="11900" w:h="16838" w:orient="portrait"/>
          <w:cols w:equalWidth="0" w:num="1">
            <w:col w:w="11240"/>
          </w:cols>
          <w:pgMar w:left="320" w:top="745" w:right="339" w:bottom="1440" w:gutter="0" w:footer="0" w:header="0"/>
        </w:sectPr>
      </w:pPr>
    </w:p>
    <w:bookmarkStart w:id="60" w:name="page61"/>
    <w:bookmarkEnd w:id="60"/>
    <w:p>
      <w:pPr>
        <w:ind w:left="3180"/>
        <w:spacing w:after="0"/>
        <w:tabs>
          <w:tab w:leader="none" w:pos="3380" w:val="left"/>
          <w:tab w:leader="none" w:pos="9060" w:val="left"/>
        </w:tabs>
        <w:rPr>
          <w:sz w:val="20"/>
          <w:szCs w:val="20"/>
          <w:color w:val="auto"/>
        </w:rPr>
      </w:pPr>
      <w:r>
        <w:rPr>
          <w:rFonts w:ascii="Times New Roman" w:cs="Times New Roman" w:eastAsia="Times New Roman" w:hAnsi="Times New Roman"/>
          <w:sz w:val="17"/>
          <w:szCs w:val="17"/>
          <w:b w:val="1"/>
          <w:bCs w:val="1"/>
          <w:color w:val="A6A6A6"/>
        </w:rPr>
        <w:drawing>
          <wp:anchor simplePos="0" relativeHeight="251657728" behindDoc="1" locked="0" layoutInCell="0" allowOverlap="1">
            <wp:simplePos x="0" y="0"/>
            <wp:positionH relativeFrom="page">
              <wp:posOffset>204470</wp:posOffset>
            </wp:positionH>
            <wp:positionV relativeFrom="page">
              <wp:posOffset>217805</wp:posOffset>
            </wp:positionV>
            <wp:extent cx="7140575" cy="69278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40575" cy="692785"/>
                    </a:xfrm>
                    <a:prstGeom prst="rect">
                      <a:avLst/>
                    </a:prstGeom>
                    <a:noFill/>
                  </pic:spPr>
                </pic:pic>
              </a:graphicData>
            </a:graphic>
          </wp:anchor>
        </w:drawing>
        <w:t>|</w:t>
      </w:r>
      <w:r>
        <w:rPr>
          <w:sz w:val="20"/>
          <w:szCs w:val="20"/>
          <w:color w:val="auto"/>
        </w:rPr>
        <w:tab/>
      </w:r>
      <w:r>
        <w:rPr>
          <w:rFonts w:ascii="Times New Roman" w:cs="Times New Roman" w:eastAsia="Times New Roman" w:hAnsi="Times New Roman"/>
          <w:sz w:val="14"/>
          <w:szCs w:val="14"/>
          <w:color w:val="FFFFFF"/>
        </w:rPr>
        <w:t>Earnings Release 1Q / 2026</w:t>
      </w:r>
      <w:r>
        <w:rPr>
          <w:sz w:val="20"/>
          <w:szCs w:val="20"/>
          <w:color w:val="auto"/>
        </w:rPr>
        <w:tab/>
      </w:r>
      <w:r>
        <w:rPr>
          <w:rFonts w:ascii="Times New Roman" w:cs="Times New Roman" w:eastAsia="Times New Roman" w:hAnsi="Times New Roman"/>
          <w:sz w:val="12"/>
          <w:szCs w:val="12"/>
          <w:color w:val="FF00FF"/>
        </w:rPr>
        <w:t>Analysis of 1Q26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313055</wp:posOffset>
            </wp:positionV>
            <wp:extent cx="7140575" cy="25781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40575" cy="25781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FFFFFF"/>
        </w:rPr>
        <w:t>12. Appendix</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12.7.4. BCP Stand-alone</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Statement of Financial Position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 Thousands, IFRS)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133985</wp:posOffset>
            </wp:positionV>
            <wp:extent cx="7140575" cy="469836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40575" cy="4698365"/>
                    </a:xfrm>
                    <a:prstGeom prst="rect">
                      <a:avLst/>
                    </a:prstGeom>
                    <a:noFill/>
                  </pic:spPr>
                </pic:pic>
              </a:graphicData>
            </a:graphic>
          </wp:anchor>
        </w:drawing>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5320" w:type="dxa"/>
            <w:vAlign w:val="bottom"/>
            <w:tcBorders>
              <w:top w:val="single" w:sz="8" w:color="auto"/>
            </w:tcBorders>
            <w:shd w:val="clear" w:color="auto" w:fill="2AD2C8"/>
          </w:tcPr>
          <w:p>
            <w:pPr>
              <w:spacing w:after="0"/>
              <w:rPr>
                <w:sz w:val="12"/>
                <w:szCs w:val="12"/>
                <w:color w:val="auto"/>
              </w:rPr>
            </w:pPr>
          </w:p>
        </w:tc>
        <w:tc>
          <w:tcPr>
            <w:tcW w:w="2340" w:type="dxa"/>
            <w:vAlign w:val="bottom"/>
            <w:tcBorders>
              <w:top w:val="single" w:sz="8" w:color="auto"/>
            </w:tcBorders>
            <w:shd w:val="clear" w:color="auto" w:fill="2AD2C8"/>
          </w:tcPr>
          <w:p>
            <w:pPr>
              <w:spacing w:after="0"/>
              <w:rPr>
                <w:sz w:val="12"/>
                <w:szCs w:val="12"/>
                <w:color w:val="auto"/>
              </w:rPr>
            </w:pPr>
          </w:p>
        </w:tc>
        <w:tc>
          <w:tcPr>
            <w:tcW w:w="1120" w:type="dxa"/>
            <w:vAlign w:val="bottom"/>
            <w:tcBorders>
              <w:top w:val="single" w:sz="8" w:color="auto"/>
            </w:tcBorders>
            <w:shd w:val="clear" w:color="auto" w:fill="2AD2C8"/>
          </w:tcPr>
          <w:p>
            <w:pPr>
              <w:jc w:val="center"/>
              <w:spacing w:after="0"/>
              <w:rPr>
                <w:sz w:val="20"/>
                <w:szCs w:val="20"/>
                <w:color w:val="auto"/>
              </w:rPr>
            </w:pPr>
            <w:r>
              <w:rPr>
                <w:rFonts w:ascii="Times New Roman" w:cs="Times New Roman" w:eastAsia="Times New Roman" w:hAnsi="Times New Roman"/>
                <w:sz w:val="12"/>
                <w:szCs w:val="12"/>
                <w:b w:val="1"/>
                <w:bCs w:val="1"/>
                <w:color w:val="FFFFFF"/>
                <w:w w:val="98"/>
              </w:rPr>
              <w:t>As of</w:t>
            </w:r>
          </w:p>
        </w:tc>
        <w:tc>
          <w:tcPr>
            <w:tcW w:w="1060" w:type="dxa"/>
            <w:vAlign w:val="bottom"/>
            <w:tcBorders>
              <w:top w:val="single" w:sz="8" w:color="auto"/>
            </w:tcBorders>
            <w:shd w:val="clear" w:color="auto" w:fill="2AD2C8"/>
          </w:tcPr>
          <w:p>
            <w:pPr>
              <w:spacing w:after="0"/>
              <w:rPr>
                <w:sz w:val="12"/>
                <w:szCs w:val="12"/>
                <w:color w:val="auto"/>
              </w:rPr>
            </w:pPr>
          </w:p>
        </w:tc>
        <w:tc>
          <w:tcPr>
            <w:tcW w:w="1400" w:type="dxa"/>
            <w:vAlign w:val="bottom"/>
            <w:tcBorders>
              <w:top w:val="single" w:sz="8" w:color="auto"/>
            </w:tcBorders>
            <w:gridSpan w:val="2"/>
            <w:shd w:val="clear" w:color="auto" w:fill="2AD2C8"/>
          </w:tcPr>
          <w:p>
            <w:pPr>
              <w:ind w:left="480"/>
              <w:spacing w:after="0"/>
              <w:rPr>
                <w:sz w:val="20"/>
                <w:szCs w:val="20"/>
                <w:color w:val="auto"/>
              </w:rPr>
            </w:pPr>
            <w:r>
              <w:rPr>
                <w:rFonts w:ascii="Times New Roman" w:cs="Times New Roman" w:eastAsia="Times New Roman" w:hAnsi="Times New Roman"/>
                <w:sz w:val="12"/>
                <w:szCs w:val="12"/>
                <w:b w:val="1"/>
                <w:bCs w:val="1"/>
                <w:color w:val="FFFFFF"/>
              </w:rPr>
              <w:t>% change</w:t>
            </w:r>
          </w:p>
        </w:tc>
      </w:tr>
      <w:tr>
        <w:trPr>
          <w:trHeight w:val="127"/>
        </w:trPr>
        <w:tc>
          <w:tcPr>
            <w:tcW w:w="5320" w:type="dxa"/>
            <w:vAlign w:val="bottom"/>
            <w:tcBorders>
              <w:bottom w:val="single" w:sz="8" w:color="auto"/>
            </w:tcBorders>
            <w:shd w:val="clear" w:color="auto" w:fill="29D2C8"/>
          </w:tcPr>
          <w:p>
            <w:pPr>
              <w:spacing w:after="0"/>
              <w:rPr>
                <w:sz w:val="11"/>
                <w:szCs w:val="11"/>
                <w:color w:val="auto"/>
              </w:rPr>
            </w:pPr>
          </w:p>
        </w:tc>
        <w:tc>
          <w:tcPr>
            <w:tcW w:w="2340" w:type="dxa"/>
            <w:vAlign w:val="bottom"/>
            <w:tcBorders>
              <w:bottom w:val="single" w:sz="8" w:color="auto"/>
            </w:tcBorders>
            <w:shd w:val="clear" w:color="auto" w:fill="29D2C8"/>
          </w:tcPr>
          <w:p>
            <w:pPr>
              <w:jc w:val="center"/>
              <w:ind w:left="1161"/>
              <w:spacing w:after="0" w:line="127" w:lineRule="exact"/>
              <w:rPr>
                <w:sz w:val="20"/>
                <w:szCs w:val="20"/>
                <w:color w:val="auto"/>
              </w:rPr>
            </w:pPr>
            <w:r>
              <w:rPr>
                <w:rFonts w:ascii="Times New Roman" w:cs="Times New Roman" w:eastAsia="Times New Roman" w:hAnsi="Times New Roman"/>
                <w:sz w:val="12"/>
                <w:szCs w:val="12"/>
                <w:b w:val="1"/>
                <w:bCs w:val="1"/>
                <w:color w:val="FFFFFF"/>
                <w:w w:val="95"/>
              </w:rPr>
              <w:t>Mar 25</w:t>
            </w:r>
          </w:p>
        </w:tc>
        <w:tc>
          <w:tcPr>
            <w:tcW w:w="1120" w:type="dxa"/>
            <w:vAlign w:val="bottom"/>
            <w:tcBorders>
              <w:bottom w:val="single" w:sz="8" w:color="auto"/>
            </w:tcBorders>
            <w:shd w:val="clear" w:color="auto" w:fill="29D2C8"/>
          </w:tcPr>
          <w:p>
            <w:pPr>
              <w:jc w:val="center"/>
              <w:spacing w:after="0" w:line="127" w:lineRule="exact"/>
              <w:rPr>
                <w:sz w:val="20"/>
                <w:szCs w:val="20"/>
                <w:color w:val="auto"/>
              </w:rPr>
            </w:pPr>
            <w:r>
              <w:rPr>
                <w:rFonts w:ascii="Times New Roman" w:cs="Times New Roman" w:eastAsia="Times New Roman" w:hAnsi="Times New Roman"/>
                <w:sz w:val="12"/>
                <w:szCs w:val="12"/>
                <w:b w:val="1"/>
                <w:bCs w:val="1"/>
                <w:color w:val="FFFFFF"/>
                <w:w w:val="98"/>
              </w:rPr>
              <w:t>Dec 25</w:t>
            </w:r>
          </w:p>
        </w:tc>
        <w:tc>
          <w:tcPr>
            <w:tcW w:w="1060" w:type="dxa"/>
            <w:vAlign w:val="bottom"/>
            <w:tcBorders>
              <w:bottom w:val="single" w:sz="8" w:color="auto"/>
            </w:tcBorders>
            <w:shd w:val="clear" w:color="auto" w:fill="29D2C8"/>
          </w:tcPr>
          <w:p>
            <w:pPr>
              <w:jc w:val="center"/>
              <w:spacing w:after="0" w:line="127" w:lineRule="exact"/>
              <w:rPr>
                <w:sz w:val="20"/>
                <w:szCs w:val="20"/>
                <w:color w:val="auto"/>
              </w:rPr>
            </w:pPr>
            <w:r>
              <w:rPr>
                <w:rFonts w:ascii="Times New Roman" w:cs="Times New Roman" w:eastAsia="Times New Roman" w:hAnsi="Times New Roman"/>
                <w:sz w:val="12"/>
                <w:szCs w:val="12"/>
                <w:b w:val="1"/>
                <w:bCs w:val="1"/>
                <w:color w:val="FFFFFF"/>
              </w:rPr>
              <w:t>Mar 26</w:t>
            </w:r>
          </w:p>
        </w:tc>
        <w:tc>
          <w:tcPr>
            <w:tcW w:w="720" w:type="dxa"/>
            <w:vAlign w:val="bottom"/>
            <w:tcBorders>
              <w:bottom w:val="single" w:sz="8" w:color="auto"/>
            </w:tcBorders>
            <w:shd w:val="clear" w:color="auto" w:fill="29D2C8"/>
          </w:tcPr>
          <w:p>
            <w:pPr>
              <w:jc w:val="center"/>
              <w:ind w:left="1"/>
              <w:spacing w:after="0" w:line="127" w:lineRule="exact"/>
              <w:rPr>
                <w:sz w:val="20"/>
                <w:szCs w:val="20"/>
                <w:color w:val="auto"/>
              </w:rPr>
            </w:pPr>
            <w:r>
              <w:rPr>
                <w:rFonts w:ascii="Times New Roman" w:cs="Times New Roman" w:eastAsia="Times New Roman" w:hAnsi="Times New Roman"/>
                <w:sz w:val="12"/>
                <w:szCs w:val="12"/>
                <w:b w:val="1"/>
                <w:bCs w:val="1"/>
                <w:color w:val="FFFFFF"/>
              </w:rPr>
              <w:t>QoQ</w:t>
            </w:r>
          </w:p>
        </w:tc>
        <w:tc>
          <w:tcPr>
            <w:tcW w:w="680" w:type="dxa"/>
            <w:vAlign w:val="bottom"/>
            <w:tcBorders>
              <w:bottom w:val="single" w:sz="8" w:color="auto"/>
            </w:tcBorders>
            <w:shd w:val="clear" w:color="auto" w:fill="29D2C8"/>
          </w:tcPr>
          <w:p>
            <w:pPr>
              <w:jc w:val="center"/>
              <w:spacing w:after="0" w:line="127" w:lineRule="exact"/>
              <w:rPr>
                <w:sz w:val="20"/>
                <w:szCs w:val="20"/>
                <w:color w:val="auto"/>
              </w:rPr>
            </w:pPr>
            <w:r>
              <w:rPr>
                <w:rFonts w:ascii="Times New Roman" w:cs="Times New Roman" w:eastAsia="Times New Roman" w:hAnsi="Times New Roman"/>
                <w:sz w:val="12"/>
                <w:szCs w:val="12"/>
                <w:b w:val="1"/>
                <w:bCs w:val="1"/>
                <w:color w:val="FFFFFF"/>
                <w:w w:val="94"/>
              </w:rPr>
              <w:t>YoY</w:t>
            </w:r>
          </w:p>
        </w:tc>
      </w:tr>
      <w:tr>
        <w:trPr>
          <w:trHeight w:val="102"/>
        </w:trPr>
        <w:tc>
          <w:tcPr>
            <w:tcW w:w="5320" w:type="dxa"/>
            <w:vAlign w:val="bottom"/>
          </w:tcPr>
          <w:p>
            <w:pPr>
              <w:ind w:left="160"/>
              <w:spacing w:after="0" w:line="102" w:lineRule="exact"/>
              <w:rPr>
                <w:sz w:val="20"/>
                <w:szCs w:val="20"/>
                <w:color w:val="auto"/>
              </w:rPr>
            </w:pPr>
            <w:r>
              <w:rPr>
                <w:rFonts w:ascii="Times New Roman" w:cs="Times New Roman" w:eastAsia="Times New Roman" w:hAnsi="Times New Roman"/>
                <w:sz w:val="11"/>
                <w:szCs w:val="11"/>
                <w:b w:val="1"/>
                <w:bCs w:val="1"/>
                <w:color w:val="auto"/>
              </w:rPr>
              <w:t>ASSETS</w:t>
            </w:r>
          </w:p>
        </w:tc>
        <w:tc>
          <w:tcPr>
            <w:tcW w:w="23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r>
      <w:tr>
        <w:trPr>
          <w:trHeight w:val="129"/>
        </w:trPr>
        <w:tc>
          <w:tcPr>
            <w:tcW w:w="5320" w:type="dxa"/>
            <w:vAlign w:val="bottom"/>
          </w:tcPr>
          <w:p>
            <w:pPr>
              <w:ind w:left="160"/>
              <w:spacing w:after="0" w:line="129" w:lineRule="exact"/>
              <w:rPr>
                <w:sz w:val="20"/>
                <w:szCs w:val="20"/>
                <w:color w:val="auto"/>
              </w:rPr>
            </w:pPr>
            <w:r>
              <w:rPr>
                <w:rFonts w:ascii="Times New Roman" w:cs="Times New Roman" w:eastAsia="Times New Roman" w:hAnsi="Times New Roman"/>
                <w:sz w:val="12"/>
                <w:szCs w:val="12"/>
                <w:b w:val="1"/>
                <w:bCs w:val="1"/>
                <w:color w:val="auto"/>
              </w:rPr>
              <w:t>Cash and due from banks</w:t>
            </w:r>
          </w:p>
        </w:tc>
        <w:tc>
          <w:tcPr>
            <w:tcW w:w="2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27"/>
        </w:trPr>
        <w:tc>
          <w:tcPr>
            <w:tcW w:w="5320" w:type="dxa"/>
            <w:vAlign w:val="bottom"/>
          </w:tcPr>
          <w:p>
            <w:pPr>
              <w:ind w:left="320"/>
              <w:spacing w:after="0" w:line="127" w:lineRule="exact"/>
              <w:rPr>
                <w:sz w:val="20"/>
                <w:szCs w:val="20"/>
                <w:color w:val="auto"/>
              </w:rPr>
            </w:pPr>
            <w:r>
              <w:rPr>
                <w:rFonts w:ascii="Times New Roman" w:cs="Times New Roman" w:eastAsia="Times New Roman" w:hAnsi="Times New Roman"/>
                <w:sz w:val="12"/>
                <w:szCs w:val="12"/>
                <w:color w:val="auto"/>
              </w:rPr>
              <w:t>Non-interest bearing</w:t>
            </w:r>
          </w:p>
        </w:tc>
        <w:tc>
          <w:tcPr>
            <w:tcW w:w="2340" w:type="dxa"/>
            <w:vAlign w:val="bottom"/>
          </w:tcPr>
          <w:p>
            <w:pPr>
              <w:jc w:val="center"/>
              <w:ind w:left="1161"/>
              <w:spacing w:after="0" w:line="127" w:lineRule="exact"/>
              <w:rPr>
                <w:sz w:val="20"/>
                <w:szCs w:val="20"/>
                <w:color w:val="auto"/>
              </w:rPr>
            </w:pPr>
            <w:r>
              <w:rPr>
                <w:rFonts w:ascii="Times New Roman" w:cs="Times New Roman" w:eastAsia="Times New Roman" w:hAnsi="Times New Roman"/>
                <w:sz w:val="12"/>
                <w:szCs w:val="12"/>
                <w:color w:val="auto"/>
                <w:w w:val="99"/>
              </w:rPr>
              <w:t>4,776,238</w:t>
            </w:r>
          </w:p>
        </w:tc>
        <w:tc>
          <w:tcPr>
            <w:tcW w:w="112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9"/>
              </w:rPr>
              <w:t>4,504,068</w:t>
            </w:r>
          </w:p>
        </w:tc>
        <w:tc>
          <w:tcPr>
            <w:tcW w:w="106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5"/>
              </w:rPr>
              <w:t>6,477,304</w:t>
            </w:r>
          </w:p>
        </w:tc>
        <w:tc>
          <w:tcPr>
            <w:tcW w:w="720" w:type="dxa"/>
            <w:vAlign w:val="bottom"/>
          </w:tcPr>
          <w:p>
            <w:pPr>
              <w:jc w:val="center"/>
              <w:ind w:left="1"/>
              <w:spacing w:after="0" w:line="127" w:lineRule="exact"/>
              <w:rPr>
                <w:sz w:val="20"/>
                <w:szCs w:val="20"/>
                <w:color w:val="auto"/>
              </w:rPr>
            </w:pPr>
            <w:r>
              <w:rPr>
                <w:rFonts w:ascii="Times New Roman" w:cs="Times New Roman" w:eastAsia="Times New Roman" w:hAnsi="Times New Roman"/>
                <w:sz w:val="12"/>
                <w:szCs w:val="12"/>
                <w:color w:val="auto"/>
                <w:w w:val="96"/>
              </w:rPr>
              <w:t>43.8%</w:t>
            </w:r>
          </w:p>
        </w:tc>
        <w:tc>
          <w:tcPr>
            <w:tcW w:w="68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rPr>
              <w:t>35.6%</w:t>
            </w:r>
          </w:p>
        </w:tc>
      </w:tr>
      <w:tr>
        <w:trPr>
          <w:trHeight w:val="125"/>
        </w:trPr>
        <w:tc>
          <w:tcPr>
            <w:tcW w:w="5320" w:type="dxa"/>
            <w:vAlign w:val="bottom"/>
          </w:tcPr>
          <w:p>
            <w:pPr>
              <w:ind w:left="320"/>
              <w:spacing w:after="0" w:line="125" w:lineRule="exact"/>
              <w:rPr>
                <w:sz w:val="20"/>
                <w:szCs w:val="20"/>
                <w:color w:val="auto"/>
              </w:rPr>
            </w:pPr>
            <w:r>
              <w:rPr>
                <w:rFonts w:ascii="Times New Roman" w:cs="Times New Roman" w:eastAsia="Times New Roman" w:hAnsi="Times New Roman"/>
                <w:sz w:val="12"/>
                <w:szCs w:val="12"/>
                <w:color w:val="auto"/>
              </w:rPr>
              <w:t>Interest bearing</w:t>
            </w:r>
          </w:p>
        </w:tc>
        <w:tc>
          <w:tcPr>
            <w:tcW w:w="2340" w:type="dxa"/>
            <w:vAlign w:val="bottom"/>
          </w:tcPr>
          <w:p>
            <w:pPr>
              <w:jc w:val="center"/>
              <w:ind w:left="1161"/>
              <w:spacing w:after="0" w:line="125" w:lineRule="exact"/>
              <w:rPr>
                <w:sz w:val="20"/>
                <w:szCs w:val="20"/>
                <w:color w:val="auto"/>
              </w:rPr>
            </w:pPr>
            <w:r>
              <w:rPr>
                <w:rFonts w:ascii="Times New Roman" w:cs="Times New Roman" w:eastAsia="Times New Roman" w:hAnsi="Times New Roman"/>
                <w:sz w:val="12"/>
                <w:szCs w:val="12"/>
                <w:color w:val="auto"/>
                <w:w w:val="96"/>
              </w:rPr>
              <w:t>34,709,343</w:t>
            </w:r>
          </w:p>
        </w:tc>
        <w:tc>
          <w:tcPr>
            <w:tcW w:w="112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auto"/>
                <w:w w:val="99"/>
              </w:rPr>
              <w:t>38,567,869</w:t>
            </w:r>
          </w:p>
        </w:tc>
        <w:tc>
          <w:tcPr>
            <w:tcW w:w="106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auto"/>
                <w:w w:val="99"/>
              </w:rPr>
              <w:t>37,134,802</w:t>
            </w:r>
          </w:p>
        </w:tc>
        <w:tc>
          <w:tcPr>
            <w:tcW w:w="720" w:type="dxa"/>
            <w:vAlign w:val="bottom"/>
          </w:tcPr>
          <w:p>
            <w:pPr>
              <w:jc w:val="center"/>
              <w:ind w:left="1"/>
              <w:spacing w:after="0" w:line="125" w:lineRule="exact"/>
              <w:rPr>
                <w:sz w:val="20"/>
                <w:szCs w:val="20"/>
                <w:color w:val="auto"/>
              </w:rPr>
            </w:pPr>
            <w:r>
              <w:rPr>
                <w:rFonts w:ascii="Times New Roman" w:cs="Times New Roman" w:eastAsia="Times New Roman" w:hAnsi="Times New Roman"/>
                <w:sz w:val="12"/>
                <w:szCs w:val="12"/>
                <w:color w:val="auto"/>
              </w:rPr>
              <w:t>-3.7%</w:t>
            </w:r>
          </w:p>
        </w:tc>
        <w:tc>
          <w:tcPr>
            <w:tcW w:w="68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auto"/>
                <w:w w:val="95"/>
              </w:rPr>
              <w:t>7.0%</w:t>
            </w:r>
          </w:p>
        </w:tc>
      </w:tr>
      <w:tr>
        <w:trPr>
          <w:trHeight w:val="156"/>
        </w:trPr>
        <w:tc>
          <w:tcPr>
            <w:tcW w:w="5320" w:type="dxa"/>
            <w:vAlign w:val="bottom"/>
          </w:tcPr>
          <w:p>
            <w:pPr>
              <w:ind w:left="160"/>
              <w:spacing w:after="0"/>
              <w:rPr>
                <w:sz w:val="20"/>
                <w:szCs w:val="20"/>
                <w:color w:val="auto"/>
              </w:rPr>
            </w:pPr>
            <w:r>
              <w:rPr>
                <w:rFonts w:ascii="Times New Roman" w:cs="Times New Roman" w:eastAsia="Times New Roman" w:hAnsi="Times New Roman"/>
                <w:sz w:val="12"/>
                <w:szCs w:val="12"/>
                <w:b w:val="1"/>
                <w:bCs w:val="1"/>
                <w:color w:val="auto"/>
              </w:rPr>
              <w:t>Total cash and due from banks</w:t>
            </w:r>
          </w:p>
        </w:tc>
        <w:tc>
          <w:tcPr>
            <w:tcW w:w="2340" w:type="dxa"/>
            <w:vAlign w:val="bottom"/>
          </w:tcPr>
          <w:p>
            <w:pPr>
              <w:jc w:val="center"/>
              <w:ind w:left="1161"/>
              <w:spacing w:after="0"/>
              <w:rPr>
                <w:sz w:val="20"/>
                <w:szCs w:val="20"/>
                <w:color w:val="auto"/>
              </w:rPr>
            </w:pPr>
            <w:r>
              <w:rPr>
                <w:rFonts w:ascii="Times New Roman" w:cs="Times New Roman" w:eastAsia="Times New Roman" w:hAnsi="Times New Roman"/>
                <w:sz w:val="12"/>
                <w:szCs w:val="12"/>
                <w:b w:val="1"/>
                <w:bCs w:val="1"/>
                <w:color w:val="auto"/>
                <w:w w:val="96"/>
              </w:rPr>
              <w:t>39,485,581</w:t>
            </w: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43,071,937</w:t>
            </w:r>
          </w:p>
        </w:tc>
        <w:tc>
          <w:tcPr>
            <w:tcW w:w="10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43,612,106</w:t>
            </w:r>
          </w:p>
        </w:tc>
        <w:tc>
          <w:tcPr>
            <w:tcW w:w="720" w:type="dxa"/>
            <w:vAlign w:val="bottom"/>
          </w:tcPr>
          <w:p>
            <w:pPr>
              <w:jc w:val="center"/>
              <w:ind w:left="1"/>
              <w:spacing w:after="0"/>
              <w:rPr>
                <w:sz w:val="20"/>
                <w:szCs w:val="20"/>
                <w:color w:val="auto"/>
              </w:rPr>
            </w:pPr>
            <w:r>
              <w:rPr>
                <w:rFonts w:ascii="Times New Roman" w:cs="Times New Roman" w:eastAsia="Times New Roman" w:hAnsi="Times New Roman"/>
                <w:sz w:val="12"/>
                <w:szCs w:val="12"/>
                <w:b w:val="1"/>
                <w:bCs w:val="1"/>
                <w:color w:val="auto"/>
                <w:w w:val="96"/>
              </w:rPr>
              <w:t>1.3%</w:t>
            </w:r>
          </w:p>
        </w:tc>
        <w:tc>
          <w:tcPr>
            <w:tcW w:w="6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10.5%</w:t>
            </w:r>
          </w:p>
        </w:tc>
      </w:tr>
      <w:tr>
        <w:trPr>
          <w:trHeight w:val="254"/>
        </w:trPr>
        <w:tc>
          <w:tcPr>
            <w:tcW w:w="5320" w:type="dxa"/>
            <w:vAlign w:val="bottom"/>
          </w:tcPr>
          <w:p>
            <w:pPr>
              <w:ind w:left="160"/>
              <w:spacing w:after="0"/>
              <w:rPr>
                <w:sz w:val="20"/>
                <w:szCs w:val="20"/>
                <w:color w:val="auto"/>
              </w:rPr>
            </w:pPr>
            <w:r>
              <w:rPr>
                <w:rFonts w:ascii="Times New Roman" w:cs="Times New Roman" w:eastAsia="Times New Roman" w:hAnsi="Times New Roman"/>
                <w:sz w:val="12"/>
                <w:szCs w:val="12"/>
                <w:b w:val="1"/>
                <w:bCs w:val="1"/>
                <w:color w:val="auto"/>
              </w:rPr>
              <w:t>Cash collateral, reverse repurchase agreements and securities borrowing</w:t>
            </w:r>
          </w:p>
        </w:tc>
        <w:tc>
          <w:tcPr>
            <w:tcW w:w="2340" w:type="dxa"/>
            <w:vAlign w:val="bottom"/>
          </w:tcPr>
          <w:p>
            <w:pPr>
              <w:jc w:val="center"/>
              <w:ind w:left="1141"/>
              <w:spacing w:after="0"/>
              <w:rPr>
                <w:sz w:val="20"/>
                <w:szCs w:val="20"/>
                <w:color w:val="auto"/>
              </w:rPr>
            </w:pPr>
            <w:r>
              <w:rPr>
                <w:rFonts w:ascii="Times New Roman" w:cs="Times New Roman" w:eastAsia="Times New Roman" w:hAnsi="Times New Roman"/>
                <w:sz w:val="12"/>
                <w:szCs w:val="12"/>
                <w:b w:val="1"/>
                <w:bCs w:val="1"/>
                <w:color w:val="auto"/>
                <w:w w:val="97"/>
              </w:rPr>
              <w:t>776,081</w:t>
            </w: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852,396</w:t>
            </w:r>
          </w:p>
        </w:tc>
        <w:tc>
          <w:tcPr>
            <w:tcW w:w="10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877,929</w:t>
            </w:r>
          </w:p>
        </w:tc>
        <w:tc>
          <w:tcPr>
            <w:tcW w:w="720" w:type="dxa"/>
            <w:vAlign w:val="bottom"/>
          </w:tcPr>
          <w:p>
            <w:pPr>
              <w:jc w:val="center"/>
              <w:ind w:left="1"/>
              <w:spacing w:after="0"/>
              <w:rPr>
                <w:sz w:val="20"/>
                <w:szCs w:val="20"/>
                <w:color w:val="auto"/>
              </w:rPr>
            </w:pPr>
            <w:r>
              <w:rPr>
                <w:rFonts w:ascii="Times New Roman" w:cs="Times New Roman" w:eastAsia="Times New Roman" w:hAnsi="Times New Roman"/>
                <w:sz w:val="12"/>
                <w:szCs w:val="12"/>
                <w:b w:val="1"/>
                <w:bCs w:val="1"/>
                <w:color w:val="auto"/>
                <w:w w:val="96"/>
              </w:rPr>
              <w:t>3.0%</w:t>
            </w:r>
          </w:p>
        </w:tc>
        <w:tc>
          <w:tcPr>
            <w:tcW w:w="6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13.1%</w:t>
            </w:r>
          </w:p>
        </w:tc>
      </w:tr>
      <w:tr>
        <w:trPr>
          <w:trHeight w:val="225"/>
        </w:trPr>
        <w:tc>
          <w:tcPr>
            <w:tcW w:w="5320" w:type="dxa"/>
            <w:vAlign w:val="bottom"/>
          </w:tcPr>
          <w:p>
            <w:pPr>
              <w:ind w:left="160"/>
              <w:spacing w:after="0"/>
              <w:rPr>
                <w:sz w:val="20"/>
                <w:szCs w:val="20"/>
                <w:color w:val="auto"/>
              </w:rPr>
            </w:pPr>
            <w:r>
              <w:rPr>
                <w:rFonts w:ascii="Times New Roman" w:cs="Times New Roman" w:eastAsia="Times New Roman" w:hAnsi="Times New Roman"/>
                <w:sz w:val="12"/>
                <w:szCs w:val="12"/>
                <w:b w:val="1"/>
                <w:bCs w:val="1"/>
                <w:color w:val="auto"/>
              </w:rPr>
              <w:t>Fair value through profit or loss investments</w:t>
            </w:r>
          </w:p>
        </w:tc>
        <w:tc>
          <w:tcPr>
            <w:tcW w:w="2340" w:type="dxa"/>
            <w:vAlign w:val="bottom"/>
          </w:tcPr>
          <w:p>
            <w:pPr>
              <w:jc w:val="center"/>
              <w:ind w:left="1141"/>
              <w:spacing w:after="0"/>
              <w:rPr>
                <w:sz w:val="20"/>
                <w:szCs w:val="20"/>
                <w:color w:val="auto"/>
              </w:rPr>
            </w:pPr>
            <w:r>
              <w:rPr>
                <w:rFonts w:ascii="Times New Roman" w:cs="Times New Roman" w:eastAsia="Times New Roman" w:hAnsi="Times New Roman"/>
                <w:sz w:val="12"/>
                <w:szCs w:val="12"/>
                <w:b w:val="1"/>
                <w:bCs w:val="1"/>
                <w:color w:val="auto"/>
                <w:w w:val="97"/>
              </w:rPr>
              <w:t>537,503</w:t>
            </w: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641,157</w:t>
            </w:r>
          </w:p>
        </w:tc>
        <w:tc>
          <w:tcPr>
            <w:tcW w:w="10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551,864</w:t>
            </w:r>
          </w:p>
        </w:tc>
        <w:tc>
          <w:tcPr>
            <w:tcW w:w="720" w:type="dxa"/>
            <w:vAlign w:val="bottom"/>
          </w:tcPr>
          <w:p>
            <w:pPr>
              <w:jc w:val="center"/>
              <w:ind w:left="1"/>
              <w:spacing w:after="0"/>
              <w:rPr>
                <w:sz w:val="20"/>
                <w:szCs w:val="20"/>
                <w:color w:val="auto"/>
              </w:rPr>
            </w:pPr>
            <w:r>
              <w:rPr>
                <w:rFonts w:ascii="Times New Roman" w:cs="Times New Roman" w:eastAsia="Times New Roman" w:hAnsi="Times New Roman"/>
                <w:sz w:val="12"/>
                <w:szCs w:val="12"/>
                <w:b w:val="1"/>
                <w:bCs w:val="1"/>
                <w:color w:val="auto"/>
              </w:rPr>
              <w:t>-13.9%</w:t>
            </w:r>
          </w:p>
        </w:tc>
        <w:tc>
          <w:tcPr>
            <w:tcW w:w="6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2.7%</w:t>
            </w:r>
          </w:p>
        </w:tc>
      </w:tr>
      <w:tr>
        <w:trPr>
          <w:trHeight w:val="127"/>
        </w:trPr>
        <w:tc>
          <w:tcPr>
            <w:tcW w:w="5320" w:type="dxa"/>
            <w:vAlign w:val="bottom"/>
          </w:tcPr>
          <w:p>
            <w:pPr>
              <w:ind w:left="160"/>
              <w:spacing w:after="0" w:line="127" w:lineRule="exact"/>
              <w:rPr>
                <w:sz w:val="20"/>
                <w:szCs w:val="20"/>
                <w:color w:val="auto"/>
              </w:rPr>
            </w:pPr>
            <w:r>
              <w:rPr>
                <w:rFonts w:ascii="Times New Roman" w:cs="Times New Roman" w:eastAsia="Times New Roman" w:hAnsi="Times New Roman"/>
                <w:sz w:val="12"/>
                <w:szCs w:val="12"/>
                <w:b w:val="1"/>
                <w:bCs w:val="1"/>
                <w:color w:val="auto"/>
              </w:rPr>
              <w:t>Fair value through other comprehensive income investments</w:t>
            </w:r>
          </w:p>
        </w:tc>
        <w:tc>
          <w:tcPr>
            <w:tcW w:w="2340" w:type="dxa"/>
            <w:vAlign w:val="bottom"/>
          </w:tcPr>
          <w:p>
            <w:pPr>
              <w:jc w:val="center"/>
              <w:ind w:left="1161"/>
              <w:spacing w:after="0" w:line="127" w:lineRule="exact"/>
              <w:rPr>
                <w:sz w:val="20"/>
                <w:szCs w:val="20"/>
                <w:color w:val="auto"/>
              </w:rPr>
            </w:pPr>
            <w:r>
              <w:rPr>
                <w:rFonts w:ascii="Times New Roman" w:cs="Times New Roman" w:eastAsia="Times New Roman" w:hAnsi="Times New Roman"/>
                <w:sz w:val="12"/>
                <w:szCs w:val="12"/>
                <w:b w:val="1"/>
                <w:bCs w:val="1"/>
                <w:color w:val="auto"/>
                <w:w w:val="96"/>
              </w:rPr>
              <w:t>21,877,682</w:t>
            </w:r>
          </w:p>
        </w:tc>
        <w:tc>
          <w:tcPr>
            <w:tcW w:w="112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b w:val="1"/>
                <w:bCs w:val="1"/>
                <w:color w:val="auto"/>
                <w:w w:val="99"/>
              </w:rPr>
              <w:t>20,080,093</w:t>
            </w:r>
          </w:p>
        </w:tc>
        <w:tc>
          <w:tcPr>
            <w:tcW w:w="106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b w:val="1"/>
                <w:bCs w:val="1"/>
                <w:color w:val="auto"/>
                <w:w w:val="99"/>
              </w:rPr>
              <w:t>24,896,990</w:t>
            </w:r>
          </w:p>
        </w:tc>
        <w:tc>
          <w:tcPr>
            <w:tcW w:w="720" w:type="dxa"/>
            <w:vAlign w:val="bottom"/>
          </w:tcPr>
          <w:p>
            <w:pPr>
              <w:jc w:val="center"/>
              <w:ind w:left="1"/>
              <w:spacing w:after="0" w:line="127" w:lineRule="exact"/>
              <w:rPr>
                <w:sz w:val="20"/>
                <w:szCs w:val="20"/>
                <w:color w:val="auto"/>
              </w:rPr>
            </w:pPr>
            <w:r>
              <w:rPr>
                <w:rFonts w:ascii="Times New Roman" w:cs="Times New Roman" w:eastAsia="Times New Roman" w:hAnsi="Times New Roman"/>
                <w:sz w:val="12"/>
                <w:szCs w:val="12"/>
                <w:b w:val="1"/>
                <w:bCs w:val="1"/>
                <w:color w:val="auto"/>
              </w:rPr>
              <w:t>24.0%</w:t>
            </w:r>
          </w:p>
        </w:tc>
        <w:tc>
          <w:tcPr>
            <w:tcW w:w="68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b w:val="1"/>
                <w:bCs w:val="1"/>
                <w:color w:val="auto"/>
                <w:w w:val="96"/>
              </w:rPr>
              <w:t>13.8%</w:t>
            </w:r>
          </w:p>
        </w:tc>
      </w:tr>
      <w:tr>
        <w:trPr>
          <w:trHeight w:val="156"/>
        </w:trPr>
        <w:tc>
          <w:tcPr>
            <w:tcW w:w="5320" w:type="dxa"/>
            <w:vAlign w:val="bottom"/>
          </w:tcPr>
          <w:p>
            <w:pPr>
              <w:ind w:left="160"/>
              <w:spacing w:after="0"/>
              <w:rPr>
                <w:sz w:val="20"/>
                <w:szCs w:val="20"/>
                <w:color w:val="auto"/>
              </w:rPr>
            </w:pPr>
            <w:r>
              <w:rPr>
                <w:rFonts w:ascii="Times New Roman" w:cs="Times New Roman" w:eastAsia="Times New Roman" w:hAnsi="Times New Roman"/>
                <w:sz w:val="12"/>
                <w:szCs w:val="12"/>
                <w:b w:val="1"/>
                <w:bCs w:val="1"/>
                <w:color w:val="auto"/>
              </w:rPr>
              <w:t>Amortized cost investments</w:t>
            </w:r>
          </w:p>
        </w:tc>
        <w:tc>
          <w:tcPr>
            <w:tcW w:w="2340" w:type="dxa"/>
            <w:vAlign w:val="bottom"/>
          </w:tcPr>
          <w:p>
            <w:pPr>
              <w:jc w:val="center"/>
              <w:ind w:left="1161"/>
              <w:spacing w:after="0"/>
              <w:rPr>
                <w:sz w:val="20"/>
                <w:szCs w:val="20"/>
                <w:color w:val="auto"/>
              </w:rPr>
            </w:pPr>
            <w:r>
              <w:rPr>
                <w:rFonts w:ascii="Times New Roman" w:cs="Times New Roman" w:eastAsia="Times New Roman" w:hAnsi="Times New Roman"/>
                <w:sz w:val="12"/>
                <w:szCs w:val="12"/>
                <w:b w:val="1"/>
                <w:bCs w:val="1"/>
                <w:color w:val="auto"/>
                <w:w w:val="99"/>
              </w:rPr>
              <w:t>8,072,234</w:t>
            </w: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8,126,661</w:t>
            </w:r>
          </w:p>
        </w:tc>
        <w:tc>
          <w:tcPr>
            <w:tcW w:w="10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7,991,186</w:t>
            </w:r>
          </w:p>
        </w:tc>
        <w:tc>
          <w:tcPr>
            <w:tcW w:w="720" w:type="dxa"/>
            <w:vAlign w:val="bottom"/>
          </w:tcPr>
          <w:p>
            <w:pPr>
              <w:jc w:val="center"/>
              <w:ind w:left="1"/>
              <w:spacing w:after="0"/>
              <w:rPr>
                <w:sz w:val="20"/>
                <w:szCs w:val="20"/>
                <w:color w:val="auto"/>
              </w:rPr>
            </w:pPr>
            <w:r>
              <w:rPr>
                <w:rFonts w:ascii="Times New Roman" w:cs="Times New Roman" w:eastAsia="Times New Roman" w:hAnsi="Times New Roman"/>
                <w:sz w:val="12"/>
                <w:szCs w:val="12"/>
                <w:b w:val="1"/>
                <w:bCs w:val="1"/>
                <w:color w:val="auto"/>
                <w:w w:val="96"/>
              </w:rPr>
              <w:t>-1.7%</w:t>
            </w:r>
          </w:p>
        </w:tc>
        <w:tc>
          <w:tcPr>
            <w:tcW w:w="6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-1.0%</w:t>
            </w:r>
          </w:p>
        </w:tc>
      </w:tr>
      <w:tr>
        <w:trPr>
          <w:trHeight w:val="227"/>
        </w:trPr>
        <w:tc>
          <w:tcPr>
            <w:tcW w:w="5320" w:type="dxa"/>
            <w:vAlign w:val="bottom"/>
          </w:tcPr>
          <w:p>
            <w:pPr>
              <w:ind w:left="160"/>
              <w:spacing w:after="0"/>
              <w:rPr>
                <w:sz w:val="20"/>
                <w:szCs w:val="20"/>
                <w:color w:val="auto"/>
              </w:rPr>
            </w:pPr>
            <w:r>
              <w:rPr>
                <w:rFonts w:ascii="Times New Roman" w:cs="Times New Roman" w:eastAsia="Times New Roman" w:hAnsi="Times New Roman"/>
                <w:sz w:val="12"/>
                <w:szCs w:val="12"/>
                <w:b w:val="1"/>
                <w:bCs w:val="1"/>
                <w:color w:val="auto"/>
              </w:rPr>
              <w:t>Loans</w:t>
            </w:r>
          </w:p>
        </w:tc>
        <w:tc>
          <w:tcPr>
            <w:tcW w:w="2340" w:type="dxa"/>
            <w:vAlign w:val="bottom"/>
          </w:tcPr>
          <w:p>
            <w:pPr>
              <w:jc w:val="center"/>
              <w:ind w:left="1141"/>
              <w:spacing w:after="0"/>
              <w:rPr>
                <w:sz w:val="20"/>
                <w:szCs w:val="20"/>
                <w:color w:val="auto"/>
              </w:rPr>
            </w:pPr>
            <w:r>
              <w:rPr>
                <w:rFonts w:ascii="Times New Roman" w:cs="Times New Roman" w:eastAsia="Times New Roman" w:hAnsi="Times New Roman"/>
                <w:sz w:val="12"/>
                <w:szCs w:val="12"/>
                <w:b w:val="1"/>
                <w:bCs w:val="1"/>
                <w:color w:val="auto"/>
                <w:w w:val="96"/>
              </w:rPr>
              <w:t>119,378,598</w:t>
            </w: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125,200,572</w:t>
            </w:r>
          </w:p>
        </w:tc>
        <w:tc>
          <w:tcPr>
            <w:tcW w:w="10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128,142,162</w:t>
            </w:r>
          </w:p>
        </w:tc>
        <w:tc>
          <w:tcPr>
            <w:tcW w:w="720" w:type="dxa"/>
            <w:vAlign w:val="bottom"/>
          </w:tcPr>
          <w:p>
            <w:pPr>
              <w:jc w:val="center"/>
              <w:ind w:left="1"/>
              <w:spacing w:after="0"/>
              <w:rPr>
                <w:sz w:val="20"/>
                <w:szCs w:val="20"/>
                <w:color w:val="auto"/>
              </w:rPr>
            </w:pPr>
            <w:r>
              <w:rPr>
                <w:rFonts w:ascii="Times New Roman" w:cs="Times New Roman" w:eastAsia="Times New Roman" w:hAnsi="Times New Roman"/>
                <w:sz w:val="12"/>
                <w:szCs w:val="12"/>
                <w:b w:val="1"/>
                <w:bCs w:val="1"/>
                <w:color w:val="auto"/>
                <w:w w:val="96"/>
              </w:rPr>
              <w:t>2.3%</w:t>
            </w:r>
          </w:p>
        </w:tc>
        <w:tc>
          <w:tcPr>
            <w:tcW w:w="6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7.3%</w:t>
            </w:r>
          </w:p>
        </w:tc>
      </w:tr>
      <w:tr>
        <w:trPr>
          <w:trHeight w:val="127"/>
        </w:trPr>
        <w:tc>
          <w:tcPr>
            <w:tcW w:w="5320" w:type="dxa"/>
            <w:vAlign w:val="bottom"/>
          </w:tcPr>
          <w:p>
            <w:pPr>
              <w:ind w:left="320"/>
              <w:spacing w:after="0" w:line="127" w:lineRule="exact"/>
              <w:rPr>
                <w:sz w:val="20"/>
                <w:szCs w:val="20"/>
                <w:color w:val="auto"/>
              </w:rPr>
            </w:pPr>
            <w:r>
              <w:rPr>
                <w:rFonts w:ascii="Times New Roman" w:cs="Times New Roman" w:eastAsia="Times New Roman" w:hAnsi="Times New Roman"/>
                <w:sz w:val="12"/>
                <w:szCs w:val="12"/>
                <w:color w:val="auto"/>
              </w:rPr>
              <w:t>Current</w:t>
            </w:r>
          </w:p>
        </w:tc>
        <w:tc>
          <w:tcPr>
            <w:tcW w:w="2340" w:type="dxa"/>
            <w:vAlign w:val="bottom"/>
          </w:tcPr>
          <w:p>
            <w:pPr>
              <w:jc w:val="center"/>
              <w:ind w:left="1161"/>
              <w:spacing w:after="0" w:line="127" w:lineRule="exact"/>
              <w:rPr>
                <w:sz w:val="20"/>
                <w:szCs w:val="20"/>
                <w:color w:val="auto"/>
              </w:rPr>
            </w:pPr>
            <w:r>
              <w:rPr>
                <w:rFonts w:ascii="Times New Roman" w:cs="Times New Roman" w:eastAsia="Times New Roman" w:hAnsi="Times New Roman"/>
                <w:sz w:val="12"/>
                <w:szCs w:val="12"/>
                <w:color w:val="auto"/>
                <w:w w:val="99"/>
              </w:rPr>
              <w:t>115,180,766</w:t>
            </w:r>
          </w:p>
        </w:tc>
        <w:tc>
          <w:tcPr>
            <w:tcW w:w="112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6"/>
              </w:rPr>
              <w:t>121,306,169</w:t>
            </w:r>
          </w:p>
        </w:tc>
        <w:tc>
          <w:tcPr>
            <w:tcW w:w="106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6"/>
              </w:rPr>
              <w:t>124,556,355</w:t>
            </w:r>
          </w:p>
        </w:tc>
        <w:tc>
          <w:tcPr>
            <w:tcW w:w="720" w:type="dxa"/>
            <w:vAlign w:val="bottom"/>
          </w:tcPr>
          <w:p>
            <w:pPr>
              <w:jc w:val="center"/>
              <w:ind w:left="1"/>
              <w:spacing w:after="0" w:line="127" w:lineRule="exact"/>
              <w:rPr>
                <w:sz w:val="20"/>
                <w:szCs w:val="20"/>
                <w:color w:val="auto"/>
              </w:rPr>
            </w:pPr>
            <w:r>
              <w:rPr>
                <w:rFonts w:ascii="Times New Roman" w:cs="Times New Roman" w:eastAsia="Times New Roman" w:hAnsi="Times New Roman"/>
                <w:sz w:val="12"/>
                <w:szCs w:val="12"/>
                <w:color w:val="auto"/>
              </w:rPr>
              <w:t>2.7%</w:t>
            </w:r>
          </w:p>
        </w:tc>
        <w:tc>
          <w:tcPr>
            <w:tcW w:w="68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5"/>
              </w:rPr>
              <w:t>8.1%</w:t>
            </w:r>
          </w:p>
        </w:tc>
      </w:tr>
      <w:tr>
        <w:trPr>
          <w:trHeight w:val="127"/>
        </w:trPr>
        <w:tc>
          <w:tcPr>
            <w:tcW w:w="5320" w:type="dxa"/>
            <w:vAlign w:val="bottom"/>
          </w:tcPr>
          <w:p>
            <w:pPr>
              <w:ind w:left="320"/>
              <w:spacing w:after="0" w:line="127" w:lineRule="exact"/>
              <w:rPr>
                <w:sz w:val="20"/>
                <w:szCs w:val="20"/>
                <w:color w:val="auto"/>
              </w:rPr>
            </w:pPr>
            <w:r>
              <w:rPr>
                <w:rFonts w:ascii="Times New Roman" w:cs="Times New Roman" w:eastAsia="Times New Roman" w:hAnsi="Times New Roman"/>
                <w:sz w:val="12"/>
                <w:szCs w:val="12"/>
                <w:color w:val="auto"/>
              </w:rPr>
              <w:t>Internal overdue loans</w:t>
            </w:r>
          </w:p>
        </w:tc>
        <w:tc>
          <w:tcPr>
            <w:tcW w:w="2340" w:type="dxa"/>
            <w:vAlign w:val="bottom"/>
          </w:tcPr>
          <w:p>
            <w:pPr>
              <w:jc w:val="center"/>
              <w:ind w:left="1161"/>
              <w:spacing w:after="0" w:line="127" w:lineRule="exact"/>
              <w:rPr>
                <w:sz w:val="20"/>
                <w:szCs w:val="20"/>
                <w:color w:val="auto"/>
              </w:rPr>
            </w:pPr>
            <w:r>
              <w:rPr>
                <w:rFonts w:ascii="Times New Roman" w:cs="Times New Roman" w:eastAsia="Times New Roman" w:hAnsi="Times New Roman"/>
                <w:sz w:val="12"/>
                <w:szCs w:val="12"/>
                <w:color w:val="auto"/>
                <w:w w:val="99"/>
              </w:rPr>
              <w:t>4,197,832</w:t>
            </w:r>
          </w:p>
        </w:tc>
        <w:tc>
          <w:tcPr>
            <w:tcW w:w="112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9"/>
              </w:rPr>
              <w:t>3,894,403</w:t>
            </w:r>
          </w:p>
        </w:tc>
        <w:tc>
          <w:tcPr>
            <w:tcW w:w="106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5"/>
              </w:rPr>
              <w:t>3,585,807</w:t>
            </w:r>
          </w:p>
        </w:tc>
        <w:tc>
          <w:tcPr>
            <w:tcW w:w="720" w:type="dxa"/>
            <w:vAlign w:val="bottom"/>
          </w:tcPr>
          <w:p>
            <w:pPr>
              <w:jc w:val="center"/>
              <w:ind w:left="1"/>
              <w:spacing w:after="0" w:line="127" w:lineRule="exact"/>
              <w:rPr>
                <w:sz w:val="20"/>
                <w:szCs w:val="20"/>
                <w:color w:val="auto"/>
              </w:rPr>
            </w:pPr>
            <w:r>
              <w:rPr>
                <w:rFonts w:ascii="Times New Roman" w:cs="Times New Roman" w:eastAsia="Times New Roman" w:hAnsi="Times New Roman"/>
                <w:sz w:val="12"/>
                <w:szCs w:val="12"/>
                <w:color w:val="auto"/>
              </w:rPr>
              <w:t>-7.9%</w:t>
            </w:r>
          </w:p>
        </w:tc>
        <w:tc>
          <w:tcPr>
            <w:tcW w:w="68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rPr>
              <w:t>-14.6%</w:t>
            </w:r>
          </w:p>
        </w:tc>
      </w:tr>
      <w:tr>
        <w:trPr>
          <w:trHeight w:val="125"/>
        </w:trPr>
        <w:tc>
          <w:tcPr>
            <w:tcW w:w="5320" w:type="dxa"/>
            <w:vAlign w:val="bottom"/>
          </w:tcPr>
          <w:p>
            <w:pPr>
              <w:ind w:left="320"/>
              <w:spacing w:after="0" w:line="125" w:lineRule="exact"/>
              <w:rPr>
                <w:sz w:val="20"/>
                <w:szCs w:val="20"/>
                <w:color w:val="auto"/>
              </w:rPr>
            </w:pPr>
            <w:r>
              <w:rPr>
                <w:rFonts w:ascii="Times New Roman" w:cs="Times New Roman" w:eastAsia="Times New Roman" w:hAnsi="Times New Roman"/>
                <w:sz w:val="12"/>
                <w:szCs w:val="12"/>
                <w:color w:val="auto"/>
              </w:rPr>
              <w:t>Less - allowance for loan losses</w:t>
            </w:r>
          </w:p>
        </w:tc>
        <w:tc>
          <w:tcPr>
            <w:tcW w:w="2340" w:type="dxa"/>
            <w:vAlign w:val="bottom"/>
          </w:tcPr>
          <w:p>
            <w:pPr>
              <w:jc w:val="center"/>
              <w:ind w:left="1161"/>
              <w:spacing w:after="0" w:line="125" w:lineRule="exact"/>
              <w:rPr>
                <w:sz w:val="20"/>
                <w:szCs w:val="20"/>
                <w:color w:val="auto"/>
              </w:rPr>
            </w:pPr>
            <w:r>
              <w:rPr>
                <w:rFonts w:ascii="Times New Roman" w:cs="Times New Roman" w:eastAsia="Times New Roman" w:hAnsi="Times New Roman"/>
                <w:sz w:val="12"/>
                <w:szCs w:val="12"/>
                <w:color w:val="auto"/>
                <w:w w:val="99"/>
              </w:rPr>
              <w:t>(6,453,864)</w:t>
            </w:r>
          </w:p>
        </w:tc>
        <w:tc>
          <w:tcPr>
            <w:tcW w:w="112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auto"/>
                <w:w w:val="96"/>
              </w:rPr>
              <w:t>(6,294,039)</w:t>
            </w:r>
          </w:p>
        </w:tc>
        <w:tc>
          <w:tcPr>
            <w:tcW w:w="106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auto"/>
                <w:w w:val="96"/>
              </w:rPr>
              <w:t>(5,986,238)</w:t>
            </w:r>
          </w:p>
        </w:tc>
        <w:tc>
          <w:tcPr>
            <w:tcW w:w="720" w:type="dxa"/>
            <w:vAlign w:val="bottom"/>
          </w:tcPr>
          <w:p>
            <w:pPr>
              <w:jc w:val="center"/>
              <w:ind w:left="1"/>
              <w:spacing w:after="0" w:line="125" w:lineRule="exact"/>
              <w:rPr>
                <w:sz w:val="20"/>
                <w:szCs w:val="20"/>
                <w:color w:val="auto"/>
              </w:rPr>
            </w:pPr>
            <w:r>
              <w:rPr>
                <w:rFonts w:ascii="Times New Roman" w:cs="Times New Roman" w:eastAsia="Times New Roman" w:hAnsi="Times New Roman"/>
                <w:sz w:val="12"/>
                <w:szCs w:val="12"/>
                <w:color w:val="auto"/>
              </w:rPr>
              <w:t>-4.9%</w:t>
            </w:r>
          </w:p>
        </w:tc>
        <w:tc>
          <w:tcPr>
            <w:tcW w:w="68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auto"/>
                <w:w w:val="96"/>
              </w:rPr>
              <w:t>-7.2%</w:t>
            </w:r>
          </w:p>
        </w:tc>
      </w:tr>
      <w:tr>
        <w:trPr>
          <w:trHeight w:val="156"/>
        </w:trPr>
        <w:tc>
          <w:tcPr>
            <w:tcW w:w="532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Loans, net</w:t>
            </w:r>
          </w:p>
        </w:tc>
        <w:tc>
          <w:tcPr>
            <w:tcW w:w="2340" w:type="dxa"/>
            <w:vAlign w:val="bottom"/>
          </w:tcPr>
          <w:p>
            <w:pPr>
              <w:jc w:val="center"/>
              <w:ind w:left="1141"/>
              <w:spacing w:after="0"/>
              <w:rPr>
                <w:sz w:val="20"/>
                <w:szCs w:val="20"/>
                <w:color w:val="auto"/>
              </w:rPr>
            </w:pPr>
            <w:r>
              <w:rPr>
                <w:rFonts w:ascii="Times New Roman" w:cs="Times New Roman" w:eastAsia="Times New Roman" w:hAnsi="Times New Roman"/>
                <w:sz w:val="12"/>
                <w:szCs w:val="12"/>
                <w:b w:val="1"/>
                <w:bCs w:val="1"/>
                <w:color w:val="auto"/>
                <w:w w:val="96"/>
              </w:rPr>
              <w:t>112,924,734</w:t>
            </w: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118,906,533</w:t>
            </w:r>
          </w:p>
        </w:tc>
        <w:tc>
          <w:tcPr>
            <w:tcW w:w="10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122,155,924</w:t>
            </w:r>
          </w:p>
        </w:tc>
        <w:tc>
          <w:tcPr>
            <w:tcW w:w="720" w:type="dxa"/>
            <w:vAlign w:val="bottom"/>
          </w:tcPr>
          <w:p>
            <w:pPr>
              <w:jc w:val="center"/>
              <w:ind w:left="1"/>
              <w:spacing w:after="0"/>
              <w:rPr>
                <w:sz w:val="20"/>
                <w:szCs w:val="20"/>
                <w:color w:val="auto"/>
              </w:rPr>
            </w:pPr>
            <w:r>
              <w:rPr>
                <w:rFonts w:ascii="Times New Roman" w:cs="Times New Roman" w:eastAsia="Times New Roman" w:hAnsi="Times New Roman"/>
                <w:sz w:val="12"/>
                <w:szCs w:val="12"/>
                <w:b w:val="1"/>
                <w:bCs w:val="1"/>
                <w:color w:val="auto"/>
                <w:w w:val="96"/>
              </w:rPr>
              <w:t>2.7%</w:t>
            </w:r>
          </w:p>
        </w:tc>
        <w:tc>
          <w:tcPr>
            <w:tcW w:w="6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8.2%</w:t>
            </w:r>
          </w:p>
        </w:tc>
      </w:tr>
      <w:tr>
        <w:trPr>
          <w:trHeight w:val="225"/>
        </w:trPr>
        <w:tc>
          <w:tcPr>
            <w:tcW w:w="5320" w:type="dxa"/>
            <w:vAlign w:val="bottom"/>
          </w:tcPr>
          <w:p>
            <w:pPr>
              <w:ind w:left="160"/>
              <w:spacing w:after="0"/>
              <w:rPr>
                <w:sz w:val="20"/>
                <w:szCs w:val="20"/>
                <w:color w:val="auto"/>
              </w:rPr>
            </w:pPr>
            <w:r>
              <w:rPr>
                <w:rFonts w:ascii="Times New Roman" w:cs="Times New Roman" w:eastAsia="Times New Roman" w:hAnsi="Times New Roman"/>
                <w:sz w:val="12"/>
                <w:szCs w:val="12"/>
                <w:b w:val="1"/>
                <w:bCs w:val="1"/>
                <w:color w:val="auto"/>
              </w:rPr>
              <w:t xml:space="preserve">Property, furniture and equipment, net </w:t>
            </w:r>
            <w:r>
              <w:rPr>
                <w:rFonts w:ascii="Times New Roman" w:cs="Times New Roman" w:eastAsia="Times New Roman" w:hAnsi="Times New Roman"/>
                <w:sz w:val="19"/>
                <w:szCs w:val="19"/>
                <w:b w:val="1"/>
                <w:bCs w:val="1"/>
                <w:color w:val="auto"/>
                <w:vertAlign w:val="superscript"/>
              </w:rPr>
              <w:t>(1)</w:t>
            </w:r>
          </w:p>
        </w:tc>
        <w:tc>
          <w:tcPr>
            <w:tcW w:w="2340" w:type="dxa"/>
            <w:vAlign w:val="bottom"/>
          </w:tcPr>
          <w:p>
            <w:pPr>
              <w:jc w:val="center"/>
              <w:ind w:left="1161"/>
              <w:spacing w:after="0"/>
              <w:rPr>
                <w:sz w:val="20"/>
                <w:szCs w:val="20"/>
                <w:color w:val="auto"/>
              </w:rPr>
            </w:pPr>
            <w:r>
              <w:rPr>
                <w:rFonts w:ascii="Times New Roman" w:cs="Times New Roman" w:eastAsia="Times New Roman" w:hAnsi="Times New Roman"/>
                <w:sz w:val="12"/>
                <w:szCs w:val="12"/>
                <w:b w:val="1"/>
                <w:bCs w:val="1"/>
                <w:color w:val="auto"/>
                <w:w w:val="99"/>
              </w:rPr>
              <w:t>1,428,475</w:t>
            </w: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1,375,263</w:t>
            </w:r>
          </w:p>
        </w:tc>
        <w:tc>
          <w:tcPr>
            <w:tcW w:w="10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1,332,154</w:t>
            </w:r>
          </w:p>
        </w:tc>
        <w:tc>
          <w:tcPr>
            <w:tcW w:w="720" w:type="dxa"/>
            <w:vAlign w:val="bottom"/>
          </w:tcPr>
          <w:p>
            <w:pPr>
              <w:jc w:val="center"/>
              <w:ind w:left="1"/>
              <w:spacing w:after="0"/>
              <w:rPr>
                <w:sz w:val="20"/>
                <w:szCs w:val="20"/>
                <w:color w:val="auto"/>
              </w:rPr>
            </w:pPr>
            <w:r>
              <w:rPr>
                <w:rFonts w:ascii="Times New Roman" w:cs="Times New Roman" w:eastAsia="Times New Roman" w:hAnsi="Times New Roman"/>
                <w:sz w:val="12"/>
                <w:szCs w:val="12"/>
                <w:b w:val="1"/>
                <w:bCs w:val="1"/>
                <w:color w:val="auto"/>
                <w:w w:val="96"/>
              </w:rPr>
              <w:t>-3.1%</w:t>
            </w:r>
          </w:p>
        </w:tc>
        <w:tc>
          <w:tcPr>
            <w:tcW w:w="6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-6.7%</w:t>
            </w:r>
          </w:p>
        </w:tc>
      </w:tr>
      <w:tr>
        <w:trPr>
          <w:trHeight w:val="127"/>
        </w:trPr>
        <w:tc>
          <w:tcPr>
            <w:tcW w:w="5320" w:type="dxa"/>
            <w:vAlign w:val="bottom"/>
          </w:tcPr>
          <w:p>
            <w:pPr>
              <w:ind w:left="160"/>
              <w:spacing w:after="0" w:line="127" w:lineRule="exact"/>
              <w:rPr>
                <w:sz w:val="20"/>
                <w:szCs w:val="20"/>
                <w:color w:val="auto"/>
              </w:rPr>
            </w:pPr>
            <w:r>
              <w:rPr>
                <w:rFonts w:ascii="Times New Roman" w:cs="Times New Roman" w:eastAsia="Times New Roman" w:hAnsi="Times New Roman"/>
                <w:sz w:val="12"/>
                <w:szCs w:val="12"/>
                <w:b w:val="1"/>
                <w:bCs w:val="1"/>
                <w:color w:val="auto"/>
              </w:rPr>
              <w:t>Due from customers on acceptances</w:t>
            </w:r>
          </w:p>
        </w:tc>
        <w:tc>
          <w:tcPr>
            <w:tcW w:w="2340" w:type="dxa"/>
            <w:vAlign w:val="bottom"/>
          </w:tcPr>
          <w:p>
            <w:pPr>
              <w:jc w:val="center"/>
              <w:ind w:left="1141"/>
              <w:spacing w:after="0" w:line="127" w:lineRule="exact"/>
              <w:rPr>
                <w:sz w:val="20"/>
                <w:szCs w:val="20"/>
                <w:color w:val="auto"/>
              </w:rPr>
            </w:pPr>
            <w:r>
              <w:rPr>
                <w:rFonts w:ascii="Times New Roman" w:cs="Times New Roman" w:eastAsia="Times New Roman" w:hAnsi="Times New Roman"/>
                <w:sz w:val="12"/>
                <w:szCs w:val="12"/>
                <w:b w:val="1"/>
                <w:bCs w:val="1"/>
                <w:color w:val="auto"/>
                <w:w w:val="97"/>
              </w:rPr>
              <w:t>639,749</w:t>
            </w:r>
          </w:p>
        </w:tc>
        <w:tc>
          <w:tcPr>
            <w:tcW w:w="112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b w:val="1"/>
                <w:bCs w:val="1"/>
                <w:color w:val="auto"/>
                <w:w w:val="97"/>
              </w:rPr>
              <w:t>346,540</w:t>
            </w:r>
          </w:p>
        </w:tc>
        <w:tc>
          <w:tcPr>
            <w:tcW w:w="106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b w:val="1"/>
                <w:bCs w:val="1"/>
                <w:color w:val="auto"/>
                <w:w w:val="97"/>
              </w:rPr>
              <w:t>608,592</w:t>
            </w:r>
          </w:p>
        </w:tc>
        <w:tc>
          <w:tcPr>
            <w:tcW w:w="720" w:type="dxa"/>
            <w:vAlign w:val="bottom"/>
          </w:tcPr>
          <w:p>
            <w:pPr>
              <w:jc w:val="center"/>
              <w:ind w:left="1"/>
              <w:spacing w:after="0" w:line="127" w:lineRule="exact"/>
              <w:rPr>
                <w:sz w:val="20"/>
                <w:szCs w:val="20"/>
                <w:color w:val="auto"/>
              </w:rPr>
            </w:pPr>
            <w:r>
              <w:rPr>
                <w:rFonts w:ascii="Times New Roman" w:cs="Times New Roman" w:eastAsia="Times New Roman" w:hAnsi="Times New Roman"/>
                <w:sz w:val="12"/>
                <w:szCs w:val="12"/>
                <w:b w:val="1"/>
                <w:bCs w:val="1"/>
                <w:color w:val="auto"/>
              </w:rPr>
              <w:t>75.6%</w:t>
            </w:r>
          </w:p>
        </w:tc>
        <w:tc>
          <w:tcPr>
            <w:tcW w:w="68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b w:val="1"/>
                <w:bCs w:val="1"/>
                <w:color w:val="auto"/>
              </w:rPr>
              <w:t>-4.9%</w:t>
            </w:r>
          </w:p>
        </w:tc>
      </w:tr>
      <w:tr>
        <w:trPr>
          <w:trHeight w:val="121"/>
        </w:trPr>
        <w:tc>
          <w:tcPr>
            <w:tcW w:w="5320" w:type="dxa"/>
            <w:vAlign w:val="bottom"/>
          </w:tcPr>
          <w:p>
            <w:pPr>
              <w:ind w:left="160"/>
              <w:spacing w:after="0" w:line="121" w:lineRule="exact"/>
              <w:rPr>
                <w:sz w:val="20"/>
                <w:szCs w:val="20"/>
                <w:color w:val="auto"/>
              </w:rPr>
            </w:pPr>
            <w:r>
              <w:rPr>
                <w:rFonts w:ascii="Times New Roman" w:cs="Times New Roman" w:eastAsia="Times New Roman" w:hAnsi="Times New Roman"/>
                <w:sz w:val="12"/>
                <w:szCs w:val="12"/>
                <w:b w:val="1"/>
                <w:bCs w:val="1"/>
                <w:color w:val="auto"/>
              </w:rPr>
              <w:t>Investments in associates</w:t>
            </w:r>
          </w:p>
        </w:tc>
        <w:tc>
          <w:tcPr>
            <w:tcW w:w="2340" w:type="dxa"/>
            <w:vAlign w:val="bottom"/>
          </w:tcPr>
          <w:p>
            <w:pPr>
              <w:jc w:val="center"/>
              <w:ind w:left="1161"/>
              <w:spacing w:after="0" w:line="121" w:lineRule="exact"/>
              <w:rPr>
                <w:sz w:val="20"/>
                <w:szCs w:val="20"/>
                <w:color w:val="auto"/>
              </w:rPr>
            </w:pPr>
            <w:r>
              <w:rPr>
                <w:rFonts w:ascii="Times New Roman" w:cs="Times New Roman" w:eastAsia="Times New Roman" w:hAnsi="Times New Roman"/>
                <w:sz w:val="12"/>
                <w:szCs w:val="12"/>
                <w:b w:val="1"/>
                <w:bCs w:val="1"/>
                <w:color w:val="auto"/>
                <w:w w:val="99"/>
              </w:rPr>
              <w:t>2,431,259</w:t>
            </w:r>
          </w:p>
        </w:tc>
        <w:tc>
          <w:tcPr>
            <w:tcW w:w="1120" w:type="dxa"/>
            <w:vAlign w:val="bottom"/>
          </w:tcPr>
          <w:p>
            <w:pPr>
              <w:jc w:val="center"/>
              <w:spacing w:after="0" w:line="121" w:lineRule="exact"/>
              <w:rPr>
                <w:sz w:val="20"/>
                <w:szCs w:val="20"/>
                <w:color w:val="auto"/>
              </w:rPr>
            </w:pPr>
            <w:r>
              <w:rPr>
                <w:rFonts w:ascii="Times New Roman" w:cs="Times New Roman" w:eastAsia="Times New Roman" w:hAnsi="Times New Roman"/>
                <w:sz w:val="12"/>
                <w:szCs w:val="12"/>
                <w:b w:val="1"/>
                <w:bCs w:val="1"/>
                <w:color w:val="auto"/>
                <w:w w:val="99"/>
              </w:rPr>
              <w:t>2,740,803</w:t>
            </w:r>
          </w:p>
        </w:tc>
        <w:tc>
          <w:tcPr>
            <w:tcW w:w="1060" w:type="dxa"/>
            <w:vAlign w:val="bottom"/>
          </w:tcPr>
          <w:p>
            <w:pPr>
              <w:jc w:val="center"/>
              <w:spacing w:after="0" w:line="121" w:lineRule="exact"/>
              <w:rPr>
                <w:sz w:val="20"/>
                <w:szCs w:val="20"/>
                <w:color w:val="auto"/>
              </w:rPr>
            </w:pPr>
            <w:r>
              <w:rPr>
                <w:rFonts w:ascii="Times New Roman" w:cs="Times New Roman" w:eastAsia="Times New Roman" w:hAnsi="Times New Roman"/>
                <w:sz w:val="12"/>
                <w:szCs w:val="12"/>
                <w:b w:val="1"/>
                <w:bCs w:val="1"/>
                <w:color w:val="auto"/>
                <w:w w:val="95"/>
              </w:rPr>
              <w:t>2,569,443</w:t>
            </w:r>
          </w:p>
        </w:tc>
        <w:tc>
          <w:tcPr>
            <w:tcW w:w="720" w:type="dxa"/>
            <w:vAlign w:val="bottom"/>
          </w:tcPr>
          <w:p>
            <w:pPr>
              <w:jc w:val="center"/>
              <w:ind w:left="1"/>
              <w:spacing w:after="0" w:line="121" w:lineRule="exact"/>
              <w:rPr>
                <w:sz w:val="20"/>
                <w:szCs w:val="20"/>
                <w:color w:val="auto"/>
              </w:rPr>
            </w:pPr>
            <w:r>
              <w:rPr>
                <w:rFonts w:ascii="Times New Roman" w:cs="Times New Roman" w:eastAsia="Times New Roman" w:hAnsi="Times New Roman"/>
                <w:sz w:val="12"/>
                <w:szCs w:val="12"/>
                <w:b w:val="1"/>
                <w:bCs w:val="1"/>
                <w:color w:val="auto"/>
                <w:w w:val="96"/>
              </w:rPr>
              <w:t>-6.3%</w:t>
            </w:r>
          </w:p>
        </w:tc>
        <w:tc>
          <w:tcPr>
            <w:tcW w:w="680" w:type="dxa"/>
            <w:vAlign w:val="bottom"/>
          </w:tcPr>
          <w:p>
            <w:pPr>
              <w:jc w:val="center"/>
              <w:spacing w:after="0" w:line="121" w:lineRule="exact"/>
              <w:rPr>
                <w:sz w:val="20"/>
                <w:szCs w:val="20"/>
                <w:color w:val="auto"/>
              </w:rPr>
            </w:pPr>
            <w:r>
              <w:rPr>
                <w:rFonts w:ascii="Times New Roman" w:cs="Times New Roman" w:eastAsia="Times New Roman" w:hAnsi="Times New Roman"/>
                <w:sz w:val="12"/>
                <w:szCs w:val="12"/>
                <w:b w:val="1"/>
                <w:bCs w:val="1"/>
                <w:color w:val="auto"/>
              </w:rPr>
              <w:t>5.7%</w:t>
            </w:r>
          </w:p>
        </w:tc>
      </w:tr>
      <w:tr>
        <w:trPr>
          <w:trHeight w:val="260"/>
        </w:trPr>
        <w:tc>
          <w:tcPr>
            <w:tcW w:w="5320" w:type="dxa"/>
            <w:vAlign w:val="bottom"/>
          </w:tcPr>
          <w:p>
            <w:pPr>
              <w:ind w:left="160"/>
              <w:spacing w:after="0"/>
              <w:rPr>
                <w:sz w:val="20"/>
                <w:szCs w:val="20"/>
                <w:color w:val="auto"/>
              </w:rPr>
            </w:pPr>
            <w:r>
              <w:rPr>
                <w:rFonts w:ascii="Times New Roman" w:cs="Times New Roman" w:eastAsia="Times New Roman" w:hAnsi="Times New Roman"/>
                <w:sz w:val="12"/>
                <w:szCs w:val="12"/>
                <w:b w:val="1"/>
                <w:bCs w:val="1"/>
                <w:color w:val="auto"/>
              </w:rPr>
              <w:t xml:space="preserve">Other assets </w:t>
            </w:r>
            <w:r>
              <w:rPr>
                <w:rFonts w:ascii="Times New Roman" w:cs="Times New Roman" w:eastAsia="Times New Roman" w:hAnsi="Times New Roman"/>
                <w:sz w:val="19"/>
                <w:szCs w:val="19"/>
                <w:b w:val="1"/>
                <w:bCs w:val="1"/>
                <w:color w:val="auto"/>
                <w:vertAlign w:val="superscript"/>
              </w:rPr>
              <w:t>(2)</w:t>
            </w:r>
          </w:p>
        </w:tc>
        <w:tc>
          <w:tcPr>
            <w:tcW w:w="2340" w:type="dxa"/>
            <w:vAlign w:val="bottom"/>
          </w:tcPr>
          <w:p>
            <w:pPr>
              <w:jc w:val="center"/>
              <w:ind w:left="1161"/>
              <w:spacing w:after="0"/>
              <w:rPr>
                <w:sz w:val="20"/>
                <w:szCs w:val="20"/>
                <w:color w:val="auto"/>
              </w:rPr>
            </w:pPr>
            <w:r>
              <w:rPr>
                <w:rFonts w:ascii="Times New Roman" w:cs="Times New Roman" w:eastAsia="Times New Roman" w:hAnsi="Times New Roman"/>
                <w:sz w:val="12"/>
                <w:szCs w:val="12"/>
                <w:b w:val="1"/>
                <w:bCs w:val="1"/>
                <w:color w:val="auto"/>
                <w:w w:val="99"/>
              </w:rPr>
              <w:t>7,642,354</w:t>
            </w: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8,750,924</w:t>
            </w:r>
          </w:p>
        </w:tc>
        <w:tc>
          <w:tcPr>
            <w:tcW w:w="10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9,485,856</w:t>
            </w:r>
          </w:p>
        </w:tc>
        <w:tc>
          <w:tcPr>
            <w:tcW w:w="720" w:type="dxa"/>
            <w:vAlign w:val="bottom"/>
          </w:tcPr>
          <w:p>
            <w:pPr>
              <w:jc w:val="center"/>
              <w:ind w:left="1"/>
              <w:spacing w:after="0"/>
              <w:rPr>
                <w:sz w:val="20"/>
                <w:szCs w:val="20"/>
                <w:color w:val="auto"/>
              </w:rPr>
            </w:pPr>
            <w:r>
              <w:rPr>
                <w:rFonts w:ascii="Times New Roman" w:cs="Times New Roman" w:eastAsia="Times New Roman" w:hAnsi="Times New Roman"/>
                <w:sz w:val="12"/>
                <w:szCs w:val="12"/>
                <w:b w:val="1"/>
                <w:bCs w:val="1"/>
                <w:color w:val="auto"/>
                <w:w w:val="96"/>
              </w:rPr>
              <w:t>8.4%</w:t>
            </w:r>
          </w:p>
        </w:tc>
        <w:tc>
          <w:tcPr>
            <w:tcW w:w="6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24.1%</w:t>
            </w:r>
          </w:p>
        </w:tc>
      </w:tr>
      <w:tr>
        <w:trPr>
          <w:trHeight w:val="156"/>
        </w:trPr>
        <w:tc>
          <w:tcPr>
            <w:tcW w:w="5320" w:type="dxa"/>
            <w:vAlign w:val="bottom"/>
          </w:tcPr>
          <w:p>
            <w:pPr>
              <w:jc w:val="center"/>
              <w:ind w:left="1381"/>
              <w:spacing w:after="0"/>
              <w:rPr>
                <w:sz w:val="20"/>
                <w:szCs w:val="20"/>
                <w:color w:val="auto"/>
              </w:rPr>
            </w:pPr>
            <w:r>
              <w:rPr>
                <w:rFonts w:ascii="Times New Roman" w:cs="Times New Roman" w:eastAsia="Times New Roman" w:hAnsi="Times New Roman"/>
                <w:sz w:val="12"/>
                <w:szCs w:val="12"/>
                <w:b w:val="1"/>
                <w:bCs w:val="1"/>
                <w:color w:val="auto"/>
                <w:w w:val="96"/>
              </w:rPr>
              <w:t>Total Assets</w:t>
            </w:r>
          </w:p>
        </w:tc>
        <w:tc>
          <w:tcPr>
            <w:tcW w:w="2340" w:type="dxa"/>
            <w:vAlign w:val="bottom"/>
          </w:tcPr>
          <w:p>
            <w:pPr>
              <w:jc w:val="center"/>
              <w:ind w:left="1161"/>
              <w:spacing w:after="0"/>
              <w:rPr>
                <w:sz w:val="20"/>
                <w:szCs w:val="20"/>
                <w:color w:val="auto"/>
              </w:rPr>
            </w:pPr>
            <w:r>
              <w:rPr>
                <w:rFonts w:ascii="Times New Roman" w:cs="Times New Roman" w:eastAsia="Times New Roman" w:hAnsi="Times New Roman"/>
                <w:sz w:val="12"/>
                <w:szCs w:val="12"/>
                <w:b w:val="1"/>
                <w:bCs w:val="1"/>
                <w:color w:val="auto"/>
                <w:w w:val="99"/>
              </w:rPr>
              <w:t>195,815,652</w:t>
            </w: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204,892,307</w:t>
            </w:r>
          </w:p>
        </w:tc>
        <w:tc>
          <w:tcPr>
            <w:tcW w:w="10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214,082,044</w:t>
            </w:r>
          </w:p>
        </w:tc>
        <w:tc>
          <w:tcPr>
            <w:tcW w:w="720" w:type="dxa"/>
            <w:vAlign w:val="bottom"/>
          </w:tcPr>
          <w:p>
            <w:pPr>
              <w:jc w:val="center"/>
              <w:ind w:left="1"/>
              <w:spacing w:after="0"/>
              <w:rPr>
                <w:sz w:val="20"/>
                <w:szCs w:val="20"/>
                <w:color w:val="auto"/>
              </w:rPr>
            </w:pPr>
            <w:r>
              <w:rPr>
                <w:rFonts w:ascii="Times New Roman" w:cs="Times New Roman" w:eastAsia="Times New Roman" w:hAnsi="Times New Roman"/>
                <w:sz w:val="12"/>
                <w:szCs w:val="12"/>
                <w:b w:val="1"/>
                <w:bCs w:val="1"/>
                <w:color w:val="auto"/>
                <w:w w:val="96"/>
              </w:rPr>
              <w:t>4.5%</w:t>
            </w:r>
          </w:p>
        </w:tc>
        <w:tc>
          <w:tcPr>
            <w:tcW w:w="6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9.3%</w:t>
            </w:r>
          </w:p>
        </w:tc>
      </w:tr>
      <w:tr>
        <w:trPr>
          <w:trHeight w:val="225"/>
        </w:trPr>
        <w:tc>
          <w:tcPr>
            <w:tcW w:w="5320" w:type="dxa"/>
            <w:vAlign w:val="bottom"/>
          </w:tcPr>
          <w:p>
            <w:pPr>
              <w:ind w:left="160"/>
              <w:spacing w:after="0"/>
              <w:rPr>
                <w:sz w:val="20"/>
                <w:szCs w:val="20"/>
                <w:color w:val="auto"/>
              </w:rPr>
            </w:pPr>
            <w:r>
              <w:rPr>
                <w:rFonts w:ascii="Times New Roman" w:cs="Times New Roman" w:eastAsia="Times New Roman" w:hAnsi="Times New Roman"/>
                <w:sz w:val="12"/>
                <w:szCs w:val="12"/>
                <w:b w:val="1"/>
                <w:bCs w:val="1"/>
                <w:color w:val="auto"/>
              </w:rPr>
              <w:t>Liabilities and Equity</w:t>
            </w:r>
          </w:p>
        </w:tc>
        <w:tc>
          <w:tcPr>
            <w:tcW w:w="2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129"/>
        </w:trPr>
        <w:tc>
          <w:tcPr>
            <w:tcW w:w="5320" w:type="dxa"/>
            <w:vAlign w:val="bottom"/>
          </w:tcPr>
          <w:p>
            <w:pPr>
              <w:ind w:left="160"/>
              <w:spacing w:after="0" w:line="129" w:lineRule="exact"/>
              <w:rPr>
                <w:sz w:val="20"/>
                <w:szCs w:val="20"/>
                <w:color w:val="auto"/>
              </w:rPr>
            </w:pPr>
            <w:r>
              <w:rPr>
                <w:rFonts w:ascii="Times New Roman" w:cs="Times New Roman" w:eastAsia="Times New Roman" w:hAnsi="Times New Roman"/>
                <w:sz w:val="12"/>
                <w:szCs w:val="12"/>
                <w:b w:val="1"/>
                <w:bCs w:val="1"/>
                <w:color w:val="auto"/>
              </w:rPr>
              <w:t>Deposits and obligations</w:t>
            </w:r>
          </w:p>
        </w:tc>
        <w:tc>
          <w:tcPr>
            <w:tcW w:w="2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27"/>
        </w:trPr>
        <w:tc>
          <w:tcPr>
            <w:tcW w:w="5320" w:type="dxa"/>
            <w:vAlign w:val="bottom"/>
          </w:tcPr>
          <w:p>
            <w:pPr>
              <w:ind w:left="320"/>
              <w:spacing w:after="0" w:line="127" w:lineRule="exact"/>
              <w:rPr>
                <w:sz w:val="20"/>
                <w:szCs w:val="20"/>
                <w:color w:val="auto"/>
              </w:rPr>
            </w:pPr>
            <w:r>
              <w:rPr>
                <w:rFonts w:ascii="Times New Roman" w:cs="Times New Roman" w:eastAsia="Times New Roman" w:hAnsi="Times New Roman"/>
                <w:sz w:val="12"/>
                <w:szCs w:val="12"/>
                <w:color w:val="auto"/>
              </w:rPr>
              <w:t>Non-interest bearing</w:t>
            </w:r>
          </w:p>
        </w:tc>
        <w:tc>
          <w:tcPr>
            <w:tcW w:w="2340" w:type="dxa"/>
            <w:vAlign w:val="bottom"/>
          </w:tcPr>
          <w:p>
            <w:pPr>
              <w:jc w:val="center"/>
              <w:ind w:left="1161"/>
              <w:spacing w:after="0" w:line="127" w:lineRule="exact"/>
              <w:rPr>
                <w:sz w:val="20"/>
                <w:szCs w:val="20"/>
                <w:color w:val="auto"/>
              </w:rPr>
            </w:pPr>
            <w:r>
              <w:rPr>
                <w:rFonts w:ascii="Times New Roman" w:cs="Times New Roman" w:eastAsia="Times New Roman" w:hAnsi="Times New Roman"/>
                <w:sz w:val="12"/>
                <w:szCs w:val="12"/>
                <w:color w:val="auto"/>
                <w:w w:val="96"/>
              </w:rPr>
              <w:t>46,158,361</w:t>
            </w:r>
          </w:p>
        </w:tc>
        <w:tc>
          <w:tcPr>
            <w:tcW w:w="112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9"/>
              </w:rPr>
              <w:t>47,965,701</w:t>
            </w:r>
          </w:p>
        </w:tc>
        <w:tc>
          <w:tcPr>
            <w:tcW w:w="106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9"/>
              </w:rPr>
              <w:t>53,394,140</w:t>
            </w:r>
          </w:p>
        </w:tc>
        <w:tc>
          <w:tcPr>
            <w:tcW w:w="720" w:type="dxa"/>
            <w:vAlign w:val="bottom"/>
          </w:tcPr>
          <w:p>
            <w:pPr>
              <w:jc w:val="center"/>
              <w:ind w:left="1"/>
              <w:spacing w:after="0" w:line="127" w:lineRule="exact"/>
              <w:rPr>
                <w:sz w:val="20"/>
                <w:szCs w:val="20"/>
                <w:color w:val="auto"/>
              </w:rPr>
            </w:pPr>
            <w:r>
              <w:rPr>
                <w:rFonts w:ascii="Times New Roman" w:cs="Times New Roman" w:eastAsia="Times New Roman" w:hAnsi="Times New Roman"/>
                <w:sz w:val="12"/>
                <w:szCs w:val="12"/>
                <w:color w:val="auto"/>
                <w:w w:val="96"/>
              </w:rPr>
              <w:t>11.3%</w:t>
            </w:r>
          </w:p>
        </w:tc>
        <w:tc>
          <w:tcPr>
            <w:tcW w:w="68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rPr>
              <w:t>15.7%</w:t>
            </w:r>
          </w:p>
        </w:tc>
      </w:tr>
      <w:tr>
        <w:trPr>
          <w:trHeight w:val="125"/>
        </w:trPr>
        <w:tc>
          <w:tcPr>
            <w:tcW w:w="5320" w:type="dxa"/>
            <w:vAlign w:val="bottom"/>
          </w:tcPr>
          <w:p>
            <w:pPr>
              <w:ind w:left="320"/>
              <w:spacing w:after="0" w:line="125" w:lineRule="exact"/>
              <w:rPr>
                <w:sz w:val="20"/>
                <w:szCs w:val="20"/>
                <w:color w:val="auto"/>
              </w:rPr>
            </w:pPr>
            <w:r>
              <w:rPr>
                <w:rFonts w:ascii="Times New Roman" w:cs="Times New Roman" w:eastAsia="Times New Roman" w:hAnsi="Times New Roman"/>
                <w:sz w:val="12"/>
                <w:szCs w:val="12"/>
                <w:color w:val="auto"/>
              </w:rPr>
              <w:t>Interest bearing</w:t>
            </w:r>
          </w:p>
        </w:tc>
        <w:tc>
          <w:tcPr>
            <w:tcW w:w="2340" w:type="dxa"/>
            <w:vAlign w:val="bottom"/>
          </w:tcPr>
          <w:p>
            <w:pPr>
              <w:jc w:val="center"/>
              <w:ind w:left="1161"/>
              <w:spacing w:after="0" w:line="125" w:lineRule="exact"/>
              <w:rPr>
                <w:sz w:val="20"/>
                <w:szCs w:val="20"/>
                <w:color w:val="auto"/>
              </w:rPr>
            </w:pPr>
            <w:r>
              <w:rPr>
                <w:rFonts w:ascii="Times New Roman" w:cs="Times New Roman" w:eastAsia="Times New Roman" w:hAnsi="Times New Roman"/>
                <w:sz w:val="12"/>
                <w:szCs w:val="12"/>
                <w:color w:val="auto"/>
                <w:w w:val="96"/>
              </w:rPr>
              <w:t>89,206,307</w:t>
            </w:r>
          </w:p>
        </w:tc>
        <w:tc>
          <w:tcPr>
            <w:tcW w:w="112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auto"/>
                <w:w w:val="99"/>
              </w:rPr>
              <w:t>98,156,445</w:t>
            </w:r>
          </w:p>
        </w:tc>
        <w:tc>
          <w:tcPr>
            <w:tcW w:w="106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auto"/>
                <w:w w:val="96"/>
              </w:rPr>
              <w:t>101,116,887</w:t>
            </w:r>
          </w:p>
        </w:tc>
        <w:tc>
          <w:tcPr>
            <w:tcW w:w="720" w:type="dxa"/>
            <w:vAlign w:val="bottom"/>
          </w:tcPr>
          <w:p>
            <w:pPr>
              <w:jc w:val="center"/>
              <w:ind w:left="1"/>
              <w:spacing w:after="0" w:line="125" w:lineRule="exact"/>
              <w:rPr>
                <w:sz w:val="20"/>
                <w:szCs w:val="20"/>
                <w:color w:val="auto"/>
              </w:rPr>
            </w:pPr>
            <w:r>
              <w:rPr>
                <w:rFonts w:ascii="Times New Roman" w:cs="Times New Roman" w:eastAsia="Times New Roman" w:hAnsi="Times New Roman"/>
                <w:sz w:val="12"/>
                <w:szCs w:val="12"/>
                <w:color w:val="auto"/>
              </w:rPr>
              <w:t>3.0%</w:t>
            </w:r>
          </w:p>
        </w:tc>
        <w:tc>
          <w:tcPr>
            <w:tcW w:w="68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auto"/>
              </w:rPr>
              <w:t>13.4%</w:t>
            </w:r>
          </w:p>
        </w:tc>
      </w:tr>
      <w:tr>
        <w:trPr>
          <w:trHeight w:val="156"/>
        </w:trPr>
        <w:tc>
          <w:tcPr>
            <w:tcW w:w="532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Total deposits and obligations</w:t>
            </w:r>
          </w:p>
        </w:tc>
        <w:tc>
          <w:tcPr>
            <w:tcW w:w="2340" w:type="dxa"/>
            <w:vAlign w:val="bottom"/>
          </w:tcPr>
          <w:p>
            <w:pPr>
              <w:jc w:val="center"/>
              <w:ind w:left="1161"/>
              <w:spacing w:after="0"/>
              <w:rPr>
                <w:sz w:val="20"/>
                <w:szCs w:val="20"/>
                <w:color w:val="auto"/>
              </w:rPr>
            </w:pPr>
            <w:r>
              <w:rPr>
                <w:rFonts w:ascii="Times New Roman" w:cs="Times New Roman" w:eastAsia="Times New Roman" w:hAnsi="Times New Roman"/>
                <w:sz w:val="12"/>
                <w:szCs w:val="12"/>
                <w:b w:val="1"/>
                <w:bCs w:val="1"/>
                <w:color w:val="auto"/>
                <w:w w:val="99"/>
              </w:rPr>
              <w:t>135,364,668</w:t>
            </w: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146,122,146</w:t>
            </w:r>
          </w:p>
        </w:tc>
        <w:tc>
          <w:tcPr>
            <w:tcW w:w="10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154,511,027</w:t>
            </w:r>
          </w:p>
        </w:tc>
        <w:tc>
          <w:tcPr>
            <w:tcW w:w="720" w:type="dxa"/>
            <w:vAlign w:val="bottom"/>
          </w:tcPr>
          <w:p>
            <w:pPr>
              <w:jc w:val="center"/>
              <w:ind w:left="1"/>
              <w:spacing w:after="0"/>
              <w:rPr>
                <w:sz w:val="20"/>
                <w:szCs w:val="20"/>
                <w:color w:val="auto"/>
              </w:rPr>
            </w:pPr>
            <w:r>
              <w:rPr>
                <w:rFonts w:ascii="Times New Roman" w:cs="Times New Roman" w:eastAsia="Times New Roman" w:hAnsi="Times New Roman"/>
                <w:sz w:val="12"/>
                <w:szCs w:val="12"/>
                <w:b w:val="1"/>
                <w:bCs w:val="1"/>
                <w:color w:val="auto"/>
                <w:w w:val="96"/>
              </w:rPr>
              <w:t>5.7%</w:t>
            </w:r>
          </w:p>
        </w:tc>
        <w:tc>
          <w:tcPr>
            <w:tcW w:w="6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14.1%</w:t>
            </w:r>
          </w:p>
        </w:tc>
      </w:tr>
      <w:tr>
        <w:trPr>
          <w:trHeight w:val="227"/>
        </w:trPr>
        <w:tc>
          <w:tcPr>
            <w:tcW w:w="5320" w:type="dxa"/>
            <w:vAlign w:val="bottom"/>
          </w:tcPr>
          <w:p>
            <w:pPr>
              <w:ind w:left="160"/>
              <w:spacing w:after="0"/>
              <w:rPr>
                <w:sz w:val="20"/>
                <w:szCs w:val="20"/>
                <w:color w:val="auto"/>
              </w:rPr>
            </w:pPr>
            <w:r>
              <w:rPr>
                <w:rFonts w:ascii="Times New Roman" w:cs="Times New Roman" w:eastAsia="Times New Roman" w:hAnsi="Times New Roman"/>
                <w:sz w:val="12"/>
                <w:szCs w:val="12"/>
                <w:b w:val="1"/>
                <w:bCs w:val="1"/>
                <w:color w:val="auto"/>
              </w:rPr>
              <w:t>Payables from repurchase agreements and securities lending</w:t>
            </w:r>
          </w:p>
        </w:tc>
        <w:tc>
          <w:tcPr>
            <w:tcW w:w="2340" w:type="dxa"/>
            <w:vAlign w:val="bottom"/>
          </w:tcPr>
          <w:p>
            <w:pPr>
              <w:jc w:val="center"/>
              <w:ind w:left="1161"/>
              <w:spacing w:after="0"/>
              <w:rPr>
                <w:sz w:val="20"/>
                <w:szCs w:val="20"/>
                <w:color w:val="auto"/>
              </w:rPr>
            </w:pPr>
            <w:r>
              <w:rPr>
                <w:rFonts w:ascii="Times New Roman" w:cs="Times New Roman" w:eastAsia="Times New Roman" w:hAnsi="Times New Roman"/>
                <w:sz w:val="12"/>
                <w:szCs w:val="12"/>
                <w:b w:val="1"/>
                <w:bCs w:val="1"/>
                <w:color w:val="auto"/>
                <w:w w:val="99"/>
              </w:rPr>
              <w:t>7,070,379</w:t>
            </w: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5,012,782</w:t>
            </w:r>
          </w:p>
        </w:tc>
        <w:tc>
          <w:tcPr>
            <w:tcW w:w="10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2,734,061</w:t>
            </w:r>
          </w:p>
        </w:tc>
        <w:tc>
          <w:tcPr>
            <w:tcW w:w="720" w:type="dxa"/>
            <w:vAlign w:val="bottom"/>
          </w:tcPr>
          <w:p>
            <w:pPr>
              <w:jc w:val="center"/>
              <w:ind w:left="1"/>
              <w:spacing w:after="0"/>
              <w:rPr>
                <w:sz w:val="20"/>
                <w:szCs w:val="20"/>
                <w:color w:val="auto"/>
              </w:rPr>
            </w:pPr>
            <w:r>
              <w:rPr>
                <w:rFonts w:ascii="Times New Roman" w:cs="Times New Roman" w:eastAsia="Times New Roman" w:hAnsi="Times New Roman"/>
                <w:sz w:val="12"/>
                <w:szCs w:val="12"/>
                <w:b w:val="1"/>
                <w:bCs w:val="1"/>
                <w:color w:val="auto"/>
              </w:rPr>
              <w:t>-45.5%</w:t>
            </w:r>
          </w:p>
        </w:tc>
        <w:tc>
          <w:tcPr>
            <w:tcW w:w="6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-61.3%</w:t>
            </w:r>
          </w:p>
        </w:tc>
      </w:tr>
      <w:tr>
        <w:trPr>
          <w:trHeight w:val="127"/>
        </w:trPr>
        <w:tc>
          <w:tcPr>
            <w:tcW w:w="5320" w:type="dxa"/>
            <w:vAlign w:val="bottom"/>
          </w:tcPr>
          <w:p>
            <w:pPr>
              <w:ind w:left="320"/>
              <w:spacing w:after="0" w:line="127" w:lineRule="exact"/>
              <w:rPr>
                <w:sz w:val="20"/>
                <w:szCs w:val="20"/>
                <w:color w:val="auto"/>
              </w:rPr>
            </w:pPr>
            <w:r>
              <w:rPr>
                <w:rFonts w:ascii="Times New Roman" w:cs="Times New Roman" w:eastAsia="Times New Roman" w:hAnsi="Times New Roman"/>
                <w:sz w:val="12"/>
                <w:szCs w:val="12"/>
                <w:color w:val="auto"/>
              </w:rPr>
              <w:t>BCRP instruments</w:t>
            </w:r>
          </w:p>
        </w:tc>
        <w:tc>
          <w:tcPr>
            <w:tcW w:w="2340" w:type="dxa"/>
            <w:vAlign w:val="bottom"/>
          </w:tcPr>
          <w:p>
            <w:pPr>
              <w:jc w:val="center"/>
              <w:ind w:left="1161"/>
              <w:spacing w:after="0" w:line="127" w:lineRule="exact"/>
              <w:rPr>
                <w:sz w:val="20"/>
                <w:szCs w:val="20"/>
                <w:color w:val="auto"/>
              </w:rPr>
            </w:pPr>
            <w:r>
              <w:rPr>
                <w:rFonts w:ascii="Times New Roman" w:cs="Times New Roman" w:eastAsia="Times New Roman" w:hAnsi="Times New Roman"/>
                <w:sz w:val="12"/>
                <w:szCs w:val="12"/>
                <w:color w:val="auto"/>
                <w:w w:val="99"/>
              </w:rPr>
              <w:t>6,241,943</w:t>
            </w:r>
          </w:p>
        </w:tc>
        <w:tc>
          <w:tcPr>
            <w:tcW w:w="112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9"/>
              </w:rPr>
              <w:t>3,775,808</w:t>
            </w:r>
          </w:p>
        </w:tc>
        <w:tc>
          <w:tcPr>
            <w:tcW w:w="106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5"/>
              </w:rPr>
              <w:t>1,577,445</w:t>
            </w:r>
          </w:p>
        </w:tc>
        <w:tc>
          <w:tcPr>
            <w:tcW w:w="720" w:type="dxa"/>
            <w:vAlign w:val="bottom"/>
          </w:tcPr>
          <w:p>
            <w:pPr>
              <w:jc w:val="center"/>
              <w:ind w:left="1"/>
              <w:spacing w:after="0" w:line="127" w:lineRule="exact"/>
              <w:rPr>
                <w:sz w:val="20"/>
                <w:szCs w:val="20"/>
                <w:color w:val="auto"/>
              </w:rPr>
            </w:pPr>
            <w:r>
              <w:rPr>
                <w:rFonts w:ascii="Times New Roman" w:cs="Times New Roman" w:eastAsia="Times New Roman" w:hAnsi="Times New Roman"/>
                <w:sz w:val="12"/>
                <w:szCs w:val="12"/>
                <w:color w:val="auto"/>
                <w:w w:val="97"/>
              </w:rPr>
              <w:t>-58.2%</w:t>
            </w:r>
          </w:p>
        </w:tc>
        <w:tc>
          <w:tcPr>
            <w:tcW w:w="68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rPr>
              <w:t>-74.7%</w:t>
            </w:r>
          </w:p>
        </w:tc>
      </w:tr>
      <w:tr>
        <w:trPr>
          <w:trHeight w:val="154"/>
        </w:trPr>
        <w:tc>
          <w:tcPr>
            <w:tcW w:w="532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Repurchase agreements with third parties</w:t>
            </w:r>
          </w:p>
        </w:tc>
        <w:tc>
          <w:tcPr>
            <w:tcW w:w="2340" w:type="dxa"/>
            <w:vAlign w:val="bottom"/>
          </w:tcPr>
          <w:p>
            <w:pPr>
              <w:jc w:val="center"/>
              <w:ind w:left="1141"/>
              <w:spacing w:after="0"/>
              <w:rPr>
                <w:sz w:val="20"/>
                <w:szCs w:val="20"/>
                <w:color w:val="auto"/>
              </w:rPr>
            </w:pPr>
            <w:r>
              <w:rPr>
                <w:rFonts w:ascii="Times New Roman" w:cs="Times New Roman" w:eastAsia="Times New Roman" w:hAnsi="Times New Roman"/>
                <w:sz w:val="12"/>
                <w:szCs w:val="12"/>
                <w:color w:val="auto"/>
                <w:w w:val="97"/>
              </w:rPr>
              <w:t>828,436</w:t>
            </w: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1,236,974</w:t>
            </w:r>
          </w:p>
        </w:tc>
        <w:tc>
          <w:tcPr>
            <w:tcW w:w="10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1,156,616</w:t>
            </w:r>
          </w:p>
        </w:tc>
        <w:tc>
          <w:tcPr>
            <w:tcW w:w="720" w:type="dxa"/>
            <w:vAlign w:val="bottom"/>
          </w:tcPr>
          <w:p>
            <w:pPr>
              <w:jc w:val="center"/>
              <w:ind w:left="1"/>
              <w:spacing w:after="0"/>
              <w:rPr>
                <w:sz w:val="20"/>
                <w:szCs w:val="20"/>
                <w:color w:val="auto"/>
              </w:rPr>
            </w:pPr>
            <w:r>
              <w:rPr>
                <w:rFonts w:ascii="Times New Roman" w:cs="Times New Roman" w:eastAsia="Times New Roman" w:hAnsi="Times New Roman"/>
                <w:sz w:val="12"/>
                <w:szCs w:val="12"/>
                <w:color w:val="auto"/>
              </w:rPr>
              <w:t>-6.5%</w:t>
            </w:r>
          </w:p>
        </w:tc>
        <w:tc>
          <w:tcPr>
            <w:tcW w:w="6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39.6%</w:t>
            </w:r>
          </w:p>
        </w:tc>
      </w:tr>
      <w:tr>
        <w:trPr>
          <w:trHeight w:val="225"/>
        </w:trPr>
        <w:tc>
          <w:tcPr>
            <w:tcW w:w="5320" w:type="dxa"/>
            <w:vAlign w:val="bottom"/>
          </w:tcPr>
          <w:p>
            <w:pPr>
              <w:ind w:left="160"/>
              <w:spacing w:after="0"/>
              <w:rPr>
                <w:sz w:val="20"/>
                <w:szCs w:val="20"/>
                <w:color w:val="auto"/>
              </w:rPr>
            </w:pPr>
            <w:r>
              <w:rPr>
                <w:rFonts w:ascii="Times New Roman" w:cs="Times New Roman" w:eastAsia="Times New Roman" w:hAnsi="Times New Roman"/>
                <w:sz w:val="12"/>
                <w:szCs w:val="12"/>
                <w:b w:val="1"/>
                <w:bCs w:val="1"/>
                <w:color w:val="auto"/>
              </w:rPr>
              <w:t>Due to banks and correspondents</w:t>
            </w:r>
          </w:p>
        </w:tc>
        <w:tc>
          <w:tcPr>
            <w:tcW w:w="2340" w:type="dxa"/>
            <w:vAlign w:val="bottom"/>
          </w:tcPr>
          <w:p>
            <w:pPr>
              <w:jc w:val="center"/>
              <w:ind w:left="1161"/>
              <w:spacing w:after="0"/>
              <w:rPr>
                <w:sz w:val="20"/>
                <w:szCs w:val="20"/>
                <w:color w:val="auto"/>
              </w:rPr>
            </w:pPr>
            <w:r>
              <w:rPr>
                <w:rFonts w:ascii="Times New Roman" w:cs="Times New Roman" w:eastAsia="Times New Roman" w:hAnsi="Times New Roman"/>
                <w:sz w:val="12"/>
                <w:szCs w:val="12"/>
                <w:b w:val="1"/>
                <w:bCs w:val="1"/>
                <w:color w:val="auto"/>
                <w:w w:val="99"/>
              </w:rPr>
              <w:t>9,007,034</w:t>
            </w: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8,025,742</w:t>
            </w:r>
          </w:p>
        </w:tc>
        <w:tc>
          <w:tcPr>
            <w:tcW w:w="10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7,563,884</w:t>
            </w:r>
          </w:p>
        </w:tc>
        <w:tc>
          <w:tcPr>
            <w:tcW w:w="720" w:type="dxa"/>
            <w:vAlign w:val="bottom"/>
          </w:tcPr>
          <w:p>
            <w:pPr>
              <w:jc w:val="center"/>
              <w:ind w:left="1"/>
              <w:spacing w:after="0"/>
              <w:rPr>
                <w:sz w:val="20"/>
                <w:szCs w:val="20"/>
                <w:color w:val="auto"/>
              </w:rPr>
            </w:pPr>
            <w:r>
              <w:rPr>
                <w:rFonts w:ascii="Times New Roman" w:cs="Times New Roman" w:eastAsia="Times New Roman" w:hAnsi="Times New Roman"/>
                <w:sz w:val="12"/>
                <w:szCs w:val="12"/>
                <w:b w:val="1"/>
                <w:bCs w:val="1"/>
                <w:color w:val="auto"/>
                <w:w w:val="96"/>
              </w:rPr>
              <w:t>-5.8%</w:t>
            </w:r>
          </w:p>
        </w:tc>
        <w:tc>
          <w:tcPr>
            <w:tcW w:w="6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-16.0%</w:t>
            </w:r>
          </w:p>
        </w:tc>
      </w:tr>
      <w:tr>
        <w:trPr>
          <w:trHeight w:val="127"/>
        </w:trPr>
        <w:tc>
          <w:tcPr>
            <w:tcW w:w="5320" w:type="dxa"/>
            <w:vAlign w:val="bottom"/>
          </w:tcPr>
          <w:p>
            <w:pPr>
              <w:ind w:left="160"/>
              <w:spacing w:after="0" w:line="127" w:lineRule="exact"/>
              <w:rPr>
                <w:sz w:val="20"/>
                <w:szCs w:val="20"/>
                <w:color w:val="auto"/>
              </w:rPr>
            </w:pPr>
            <w:r>
              <w:rPr>
                <w:rFonts w:ascii="Times New Roman" w:cs="Times New Roman" w:eastAsia="Times New Roman" w:hAnsi="Times New Roman"/>
                <w:sz w:val="12"/>
                <w:szCs w:val="12"/>
                <w:b w:val="1"/>
                <w:bCs w:val="1"/>
                <w:color w:val="auto"/>
              </w:rPr>
              <w:t>Bonds and notes issued</w:t>
            </w:r>
          </w:p>
        </w:tc>
        <w:tc>
          <w:tcPr>
            <w:tcW w:w="2340" w:type="dxa"/>
            <w:vAlign w:val="bottom"/>
          </w:tcPr>
          <w:p>
            <w:pPr>
              <w:jc w:val="center"/>
              <w:ind w:left="1161"/>
              <w:spacing w:after="0" w:line="127" w:lineRule="exact"/>
              <w:rPr>
                <w:sz w:val="20"/>
                <w:szCs w:val="20"/>
                <w:color w:val="auto"/>
              </w:rPr>
            </w:pPr>
            <w:r>
              <w:rPr>
                <w:rFonts w:ascii="Times New Roman" w:cs="Times New Roman" w:eastAsia="Times New Roman" w:hAnsi="Times New Roman"/>
                <w:sz w:val="12"/>
                <w:szCs w:val="12"/>
                <w:b w:val="1"/>
                <w:bCs w:val="1"/>
                <w:color w:val="auto"/>
                <w:w w:val="96"/>
              </w:rPr>
              <w:t>10,350,044</w:t>
            </w:r>
          </w:p>
        </w:tc>
        <w:tc>
          <w:tcPr>
            <w:tcW w:w="112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b w:val="1"/>
                <w:bCs w:val="1"/>
                <w:color w:val="auto"/>
                <w:w w:val="92"/>
              </w:rPr>
              <w:t>11,004,111</w:t>
            </w:r>
          </w:p>
        </w:tc>
        <w:tc>
          <w:tcPr>
            <w:tcW w:w="106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b w:val="1"/>
                <w:bCs w:val="1"/>
                <w:color w:val="auto"/>
                <w:w w:val="99"/>
              </w:rPr>
              <w:t>11,246,413</w:t>
            </w:r>
          </w:p>
        </w:tc>
        <w:tc>
          <w:tcPr>
            <w:tcW w:w="720" w:type="dxa"/>
            <w:vAlign w:val="bottom"/>
          </w:tcPr>
          <w:p>
            <w:pPr>
              <w:jc w:val="center"/>
              <w:ind w:left="1"/>
              <w:spacing w:after="0" w:line="127" w:lineRule="exact"/>
              <w:rPr>
                <w:sz w:val="20"/>
                <w:szCs w:val="20"/>
                <w:color w:val="auto"/>
              </w:rPr>
            </w:pPr>
            <w:r>
              <w:rPr>
                <w:rFonts w:ascii="Times New Roman" w:cs="Times New Roman" w:eastAsia="Times New Roman" w:hAnsi="Times New Roman"/>
                <w:sz w:val="12"/>
                <w:szCs w:val="12"/>
                <w:b w:val="1"/>
                <w:bCs w:val="1"/>
                <w:color w:val="auto"/>
                <w:w w:val="96"/>
              </w:rPr>
              <w:t>2.2%</w:t>
            </w:r>
          </w:p>
        </w:tc>
        <w:tc>
          <w:tcPr>
            <w:tcW w:w="68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b w:val="1"/>
                <w:bCs w:val="1"/>
                <w:color w:val="auto"/>
              </w:rPr>
              <w:t>8.7%</w:t>
            </w:r>
          </w:p>
        </w:tc>
      </w:tr>
      <w:tr>
        <w:trPr>
          <w:trHeight w:val="127"/>
        </w:trPr>
        <w:tc>
          <w:tcPr>
            <w:tcW w:w="5320" w:type="dxa"/>
            <w:vAlign w:val="bottom"/>
          </w:tcPr>
          <w:p>
            <w:pPr>
              <w:ind w:left="160"/>
              <w:spacing w:after="0" w:line="127" w:lineRule="exact"/>
              <w:rPr>
                <w:sz w:val="20"/>
                <w:szCs w:val="20"/>
                <w:color w:val="auto"/>
              </w:rPr>
            </w:pPr>
            <w:r>
              <w:rPr>
                <w:rFonts w:ascii="Times New Roman" w:cs="Times New Roman" w:eastAsia="Times New Roman" w:hAnsi="Times New Roman"/>
                <w:sz w:val="12"/>
                <w:szCs w:val="12"/>
                <w:b w:val="1"/>
                <w:bCs w:val="1"/>
                <w:color w:val="auto"/>
              </w:rPr>
              <w:t>Due from customers on acceptances</w:t>
            </w:r>
          </w:p>
        </w:tc>
        <w:tc>
          <w:tcPr>
            <w:tcW w:w="2340" w:type="dxa"/>
            <w:vAlign w:val="bottom"/>
          </w:tcPr>
          <w:p>
            <w:pPr>
              <w:jc w:val="center"/>
              <w:ind w:left="1141"/>
              <w:spacing w:after="0" w:line="127" w:lineRule="exact"/>
              <w:rPr>
                <w:sz w:val="20"/>
                <w:szCs w:val="20"/>
                <w:color w:val="auto"/>
              </w:rPr>
            </w:pPr>
            <w:r>
              <w:rPr>
                <w:rFonts w:ascii="Times New Roman" w:cs="Times New Roman" w:eastAsia="Times New Roman" w:hAnsi="Times New Roman"/>
                <w:sz w:val="12"/>
                <w:szCs w:val="12"/>
                <w:b w:val="1"/>
                <w:bCs w:val="1"/>
                <w:color w:val="auto"/>
                <w:w w:val="97"/>
              </w:rPr>
              <w:t>639,749</w:t>
            </w:r>
          </w:p>
        </w:tc>
        <w:tc>
          <w:tcPr>
            <w:tcW w:w="112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b w:val="1"/>
                <w:bCs w:val="1"/>
                <w:color w:val="auto"/>
                <w:w w:val="97"/>
              </w:rPr>
              <w:t>346,540</w:t>
            </w:r>
          </w:p>
        </w:tc>
        <w:tc>
          <w:tcPr>
            <w:tcW w:w="106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b w:val="1"/>
                <w:bCs w:val="1"/>
                <w:color w:val="auto"/>
                <w:w w:val="97"/>
              </w:rPr>
              <w:t>608,592</w:t>
            </w:r>
          </w:p>
        </w:tc>
        <w:tc>
          <w:tcPr>
            <w:tcW w:w="720" w:type="dxa"/>
            <w:vAlign w:val="bottom"/>
          </w:tcPr>
          <w:p>
            <w:pPr>
              <w:jc w:val="center"/>
              <w:ind w:left="1"/>
              <w:spacing w:after="0" w:line="127" w:lineRule="exact"/>
              <w:rPr>
                <w:sz w:val="20"/>
                <w:szCs w:val="20"/>
                <w:color w:val="auto"/>
              </w:rPr>
            </w:pPr>
            <w:r>
              <w:rPr>
                <w:rFonts w:ascii="Times New Roman" w:cs="Times New Roman" w:eastAsia="Times New Roman" w:hAnsi="Times New Roman"/>
                <w:sz w:val="12"/>
                <w:szCs w:val="12"/>
                <w:b w:val="1"/>
                <w:bCs w:val="1"/>
                <w:color w:val="auto"/>
              </w:rPr>
              <w:t>75.6%</w:t>
            </w:r>
          </w:p>
        </w:tc>
        <w:tc>
          <w:tcPr>
            <w:tcW w:w="68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b w:val="1"/>
                <w:bCs w:val="1"/>
                <w:color w:val="auto"/>
              </w:rPr>
              <w:t>-4.9%</w:t>
            </w:r>
          </w:p>
        </w:tc>
      </w:tr>
      <w:tr>
        <w:trPr>
          <w:trHeight w:val="123"/>
        </w:trPr>
        <w:tc>
          <w:tcPr>
            <w:tcW w:w="5320" w:type="dxa"/>
            <w:vAlign w:val="bottom"/>
          </w:tcPr>
          <w:p>
            <w:pPr>
              <w:ind w:left="160"/>
              <w:spacing w:after="0" w:line="124" w:lineRule="exact"/>
              <w:rPr>
                <w:sz w:val="20"/>
                <w:szCs w:val="20"/>
                <w:color w:val="auto"/>
              </w:rPr>
            </w:pPr>
            <w:r>
              <w:rPr>
                <w:rFonts w:ascii="Times New Roman" w:cs="Times New Roman" w:eastAsia="Times New Roman" w:hAnsi="Times New Roman"/>
                <w:sz w:val="12"/>
                <w:szCs w:val="12"/>
                <w:b w:val="1"/>
                <w:bCs w:val="1"/>
                <w:color w:val="auto"/>
              </w:rPr>
              <w:t>Financial liabilities at fair value through profit or loss</w:t>
            </w:r>
          </w:p>
        </w:tc>
        <w:tc>
          <w:tcPr>
            <w:tcW w:w="2340" w:type="dxa"/>
            <w:vAlign w:val="bottom"/>
          </w:tcPr>
          <w:p>
            <w:pPr>
              <w:jc w:val="center"/>
              <w:ind w:left="1141"/>
              <w:spacing w:after="0" w:line="124" w:lineRule="exact"/>
              <w:rPr>
                <w:sz w:val="20"/>
                <w:szCs w:val="20"/>
                <w:color w:val="auto"/>
              </w:rPr>
            </w:pPr>
            <w:r>
              <w:rPr>
                <w:rFonts w:ascii="Times New Roman" w:cs="Times New Roman" w:eastAsia="Times New Roman" w:hAnsi="Times New Roman"/>
                <w:sz w:val="12"/>
                <w:szCs w:val="12"/>
                <w:b w:val="1"/>
                <w:bCs w:val="1"/>
                <w:color w:val="auto"/>
                <w:w w:val="97"/>
              </w:rPr>
              <w:t>367,988</w:t>
            </w:r>
          </w:p>
        </w:tc>
        <w:tc>
          <w:tcPr>
            <w:tcW w:w="1120" w:type="dxa"/>
            <w:vAlign w:val="bottom"/>
          </w:tcPr>
          <w:p>
            <w:pPr>
              <w:jc w:val="center"/>
              <w:spacing w:after="0" w:line="124" w:lineRule="exact"/>
              <w:rPr>
                <w:sz w:val="20"/>
                <w:szCs w:val="20"/>
                <w:color w:val="auto"/>
              </w:rPr>
            </w:pPr>
            <w:r>
              <w:rPr>
                <w:rFonts w:ascii="Times New Roman" w:cs="Times New Roman" w:eastAsia="Times New Roman" w:hAnsi="Times New Roman"/>
                <w:sz w:val="12"/>
                <w:szCs w:val="12"/>
                <w:b w:val="1"/>
                <w:bCs w:val="1"/>
                <w:color w:val="auto"/>
                <w:w w:val="97"/>
              </w:rPr>
              <w:t>578,541</w:t>
            </w:r>
          </w:p>
        </w:tc>
        <w:tc>
          <w:tcPr>
            <w:tcW w:w="1060" w:type="dxa"/>
            <w:vAlign w:val="bottom"/>
          </w:tcPr>
          <w:p>
            <w:pPr>
              <w:jc w:val="center"/>
              <w:spacing w:after="0" w:line="124" w:lineRule="exact"/>
              <w:rPr>
                <w:sz w:val="20"/>
                <w:szCs w:val="20"/>
                <w:color w:val="auto"/>
              </w:rPr>
            </w:pPr>
            <w:r>
              <w:rPr>
                <w:rFonts w:ascii="Times New Roman" w:cs="Times New Roman" w:eastAsia="Times New Roman" w:hAnsi="Times New Roman"/>
                <w:sz w:val="12"/>
                <w:szCs w:val="12"/>
                <w:b w:val="1"/>
                <w:bCs w:val="1"/>
                <w:color w:val="auto"/>
                <w:w w:val="97"/>
              </w:rPr>
              <w:t>784,502</w:t>
            </w:r>
          </w:p>
        </w:tc>
        <w:tc>
          <w:tcPr>
            <w:tcW w:w="720" w:type="dxa"/>
            <w:vAlign w:val="bottom"/>
          </w:tcPr>
          <w:p>
            <w:pPr>
              <w:jc w:val="center"/>
              <w:ind w:left="1"/>
              <w:spacing w:after="0" w:line="124" w:lineRule="exact"/>
              <w:rPr>
                <w:sz w:val="20"/>
                <w:szCs w:val="20"/>
                <w:color w:val="auto"/>
              </w:rPr>
            </w:pPr>
            <w:r>
              <w:rPr>
                <w:rFonts w:ascii="Times New Roman" w:cs="Times New Roman" w:eastAsia="Times New Roman" w:hAnsi="Times New Roman"/>
                <w:sz w:val="12"/>
                <w:szCs w:val="12"/>
                <w:b w:val="1"/>
                <w:bCs w:val="1"/>
                <w:color w:val="auto"/>
              </w:rPr>
              <w:t>35.6%</w:t>
            </w:r>
          </w:p>
        </w:tc>
        <w:tc>
          <w:tcPr>
            <w:tcW w:w="680" w:type="dxa"/>
            <w:vAlign w:val="bottom"/>
          </w:tcPr>
          <w:p>
            <w:pPr>
              <w:jc w:val="center"/>
              <w:spacing w:after="0" w:line="124" w:lineRule="exact"/>
              <w:rPr>
                <w:sz w:val="20"/>
                <w:szCs w:val="20"/>
                <w:color w:val="auto"/>
              </w:rPr>
            </w:pPr>
            <w:r>
              <w:rPr>
                <w:rFonts w:ascii="Times New Roman" w:cs="Times New Roman" w:eastAsia="Times New Roman" w:hAnsi="Times New Roman"/>
                <w:sz w:val="12"/>
                <w:szCs w:val="12"/>
                <w:b w:val="1"/>
                <w:bCs w:val="1"/>
                <w:color w:val="auto"/>
                <w:w w:val="97"/>
              </w:rPr>
              <w:t>113.2%</w:t>
            </w:r>
          </w:p>
        </w:tc>
      </w:tr>
      <w:tr>
        <w:trPr>
          <w:trHeight w:val="258"/>
        </w:trPr>
        <w:tc>
          <w:tcPr>
            <w:tcW w:w="53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 xml:space="preserve">Other liabilities </w:t>
            </w:r>
            <w:r>
              <w:rPr>
                <w:rFonts w:ascii="Times New Roman" w:cs="Times New Roman" w:eastAsia="Times New Roman" w:hAnsi="Times New Roman"/>
                <w:sz w:val="19"/>
                <w:szCs w:val="19"/>
                <w:color w:val="auto"/>
                <w:vertAlign w:val="superscript"/>
              </w:rPr>
              <w:t>(3)</w:t>
            </w:r>
          </w:p>
        </w:tc>
        <w:tc>
          <w:tcPr>
            <w:tcW w:w="2340" w:type="dxa"/>
            <w:vAlign w:val="bottom"/>
          </w:tcPr>
          <w:p>
            <w:pPr>
              <w:jc w:val="center"/>
              <w:ind w:left="1161"/>
              <w:spacing w:after="0"/>
              <w:rPr>
                <w:sz w:val="20"/>
                <w:szCs w:val="20"/>
                <w:color w:val="auto"/>
              </w:rPr>
            </w:pPr>
            <w:r>
              <w:rPr>
                <w:rFonts w:ascii="Times New Roman" w:cs="Times New Roman" w:eastAsia="Times New Roman" w:hAnsi="Times New Roman"/>
                <w:sz w:val="12"/>
                <w:szCs w:val="12"/>
                <w:b w:val="1"/>
                <w:bCs w:val="1"/>
                <w:color w:val="auto"/>
                <w:w w:val="96"/>
              </w:rPr>
              <w:t>10,113,924</w:t>
            </w: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5,501,938</w:t>
            </w:r>
          </w:p>
        </w:tc>
        <w:tc>
          <w:tcPr>
            <w:tcW w:w="10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12,263,753</w:t>
            </w:r>
          </w:p>
        </w:tc>
        <w:tc>
          <w:tcPr>
            <w:tcW w:w="720" w:type="dxa"/>
            <w:vAlign w:val="bottom"/>
          </w:tcPr>
          <w:p>
            <w:pPr>
              <w:jc w:val="center"/>
              <w:ind w:left="1"/>
              <w:spacing w:after="0"/>
              <w:rPr>
                <w:sz w:val="20"/>
                <w:szCs w:val="20"/>
                <w:color w:val="auto"/>
              </w:rPr>
            </w:pPr>
            <w:r>
              <w:rPr>
                <w:rFonts w:ascii="Times New Roman" w:cs="Times New Roman" w:eastAsia="Times New Roman" w:hAnsi="Times New Roman"/>
                <w:sz w:val="12"/>
                <w:szCs w:val="12"/>
                <w:b w:val="1"/>
                <w:bCs w:val="1"/>
                <w:color w:val="auto"/>
                <w:w w:val="97"/>
              </w:rPr>
              <w:t>122.9%</w:t>
            </w:r>
          </w:p>
        </w:tc>
        <w:tc>
          <w:tcPr>
            <w:tcW w:w="6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21.3%</w:t>
            </w:r>
          </w:p>
        </w:tc>
      </w:tr>
      <w:tr>
        <w:trPr>
          <w:trHeight w:val="156"/>
        </w:trPr>
        <w:tc>
          <w:tcPr>
            <w:tcW w:w="5320" w:type="dxa"/>
            <w:vAlign w:val="bottom"/>
          </w:tcPr>
          <w:p>
            <w:pPr>
              <w:jc w:val="center"/>
              <w:ind w:left="1381"/>
              <w:spacing w:after="0"/>
              <w:rPr>
                <w:sz w:val="20"/>
                <w:szCs w:val="20"/>
                <w:color w:val="auto"/>
              </w:rPr>
            </w:pPr>
            <w:r>
              <w:rPr>
                <w:rFonts w:ascii="Times New Roman" w:cs="Times New Roman" w:eastAsia="Times New Roman" w:hAnsi="Times New Roman"/>
                <w:sz w:val="12"/>
                <w:szCs w:val="12"/>
                <w:b w:val="1"/>
                <w:bCs w:val="1"/>
                <w:color w:val="auto"/>
                <w:w w:val="97"/>
              </w:rPr>
              <w:t>Total Liabilities</w:t>
            </w:r>
          </w:p>
        </w:tc>
        <w:tc>
          <w:tcPr>
            <w:tcW w:w="2340" w:type="dxa"/>
            <w:vAlign w:val="bottom"/>
          </w:tcPr>
          <w:p>
            <w:pPr>
              <w:jc w:val="center"/>
              <w:ind w:left="1161"/>
              <w:spacing w:after="0"/>
              <w:rPr>
                <w:sz w:val="20"/>
                <w:szCs w:val="20"/>
                <w:color w:val="auto"/>
              </w:rPr>
            </w:pPr>
            <w:r>
              <w:rPr>
                <w:rFonts w:ascii="Times New Roman" w:cs="Times New Roman" w:eastAsia="Times New Roman" w:hAnsi="Times New Roman"/>
                <w:sz w:val="12"/>
                <w:szCs w:val="12"/>
                <w:b w:val="1"/>
                <w:bCs w:val="1"/>
                <w:color w:val="auto"/>
                <w:w w:val="99"/>
              </w:rPr>
              <w:t>172,913,786</w:t>
            </w: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176,591,800</w:t>
            </w:r>
          </w:p>
        </w:tc>
        <w:tc>
          <w:tcPr>
            <w:tcW w:w="10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189,712,232</w:t>
            </w:r>
          </w:p>
        </w:tc>
        <w:tc>
          <w:tcPr>
            <w:tcW w:w="720" w:type="dxa"/>
            <w:vAlign w:val="bottom"/>
          </w:tcPr>
          <w:p>
            <w:pPr>
              <w:jc w:val="center"/>
              <w:ind w:left="1"/>
              <w:spacing w:after="0"/>
              <w:rPr>
                <w:sz w:val="20"/>
                <w:szCs w:val="20"/>
                <w:color w:val="auto"/>
              </w:rPr>
            </w:pPr>
            <w:r>
              <w:rPr>
                <w:rFonts w:ascii="Times New Roman" w:cs="Times New Roman" w:eastAsia="Times New Roman" w:hAnsi="Times New Roman"/>
                <w:sz w:val="12"/>
                <w:szCs w:val="12"/>
                <w:b w:val="1"/>
                <w:bCs w:val="1"/>
                <w:color w:val="auto"/>
                <w:w w:val="96"/>
              </w:rPr>
              <w:t>7.4%</w:t>
            </w:r>
          </w:p>
        </w:tc>
        <w:tc>
          <w:tcPr>
            <w:tcW w:w="6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9.7%</w:t>
            </w:r>
          </w:p>
        </w:tc>
      </w:tr>
      <w:tr>
        <w:trPr>
          <w:trHeight w:val="227"/>
        </w:trPr>
        <w:tc>
          <w:tcPr>
            <w:tcW w:w="532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Net equity</w:t>
            </w:r>
          </w:p>
        </w:tc>
        <w:tc>
          <w:tcPr>
            <w:tcW w:w="2340" w:type="dxa"/>
            <w:vAlign w:val="bottom"/>
          </w:tcPr>
          <w:p>
            <w:pPr>
              <w:jc w:val="center"/>
              <w:ind w:left="1161"/>
              <w:spacing w:after="0"/>
              <w:rPr>
                <w:sz w:val="20"/>
                <w:szCs w:val="20"/>
                <w:color w:val="auto"/>
              </w:rPr>
            </w:pPr>
            <w:r>
              <w:rPr>
                <w:rFonts w:ascii="Times New Roman" w:cs="Times New Roman" w:eastAsia="Times New Roman" w:hAnsi="Times New Roman"/>
                <w:sz w:val="12"/>
                <w:szCs w:val="12"/>
                <w:b w:val="1"/>
                <w:bCs w:val="1"/>
                <w:color w:val="auto"/>
                <w:w w:val="96"/>
              </w:rPr>
              <w:t>22,901,866</w:t>
            </w: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28,300,507</w:t>
            </w:r>
          </w:p>
        </w:tc>
        <w:tc>
          <w:tcPr>
            <w:tcW w:w="1060" w:type="dxa"/>
            <w:vAlign w:val="bottom"/>
          </w:tcPr>
          <w:p>
            <w:pPr>
              <w:jc w:val="center"/>
              <w:ind w:left="1"/>
              <w:spacing w:after="0"/>
              <w:rPr>
                <w:sz w:val="20"/>
                <w:szCs w:val="20"/>
                <w:color w:val="auto"/>
              </w:rPr>
            </w:pPr>
            <w:r>
              <w:rPr>
                <w:rFonts w:ascii="Times New Roman" w:cs="Times New Roman" w:eastAsia="Times New Roman" w:hAnsi="Times New Roman"/>
                <w:sz w:val="12"/>
                <w:szCs w:val="12"/>
                <w:b w:val="1"/>
                <w:bCs w:val="1"/>
                <w:color w:val="auto"/>
                <w:w w:val="96"/>
              </w:rPr>
              <w:t>24,369,812</w:t>
            </w:r>
          </w:p>
        </w:tc>
        <w:tc>
          <w:tcPr>
            <w:tcW w:w="720" w:type="dxa"/>
            <w:vAlign w:val="bottom"/>
          </w:tcPr>
          <w:p>
            <w:pPr>
              <w:jc w:val="center"/>
              <w:ind w:left="21"/>
              <w:spacing w:after="0"/>
              <w:rPr>
                <w:sz w:val="20"/>
                <w:szCs w:val="20"/>
                <w:color w:val="auto"/>
              </w:rPr>
            </w:pPr>
            <w:r>
              <w:rPr>
                <w:rFonts w:ascii="Times New Roman" w:cs="Times New Roman" w:eastAsia="Times New Roman" w:hAnsi="Times New Roman"/>
                <w:sz w:val="12"/>
                <w:szCs w:val="12"/>
                <w:b w:val="1"/>
                <w:bCs w:val="1"/>
                <w:color w:val="auto"/>
                <w:w w:val="97"/>
              </w:rPr>
              <w:t>-13.9%</w:t>
            </w:r>
          </w:p>
        </w:tc>
        <w:tc>
          <w:tcPr>
            <w:tcW w:w="6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6.4%</w:t>
            </w:r>
          </w:p>
        </w:tc>
      </w:tr>
      <w:tr>
        <w:trPr>
          <w:trHeight w:val="127"/>
        </w:trPr>
        <w:tc>
          <w:tcPr>
            <w:tcW w:w="5320" w:type="dxa"/>
            <w:vAlign w:val="bottom"/>
          </w:tcPr>
          <w:p>
            <w:pPr>
              <w:ind w:left="320"/>
              <w:spacing w:after="0" w:line="127" w:lineRule="exact"/>
              <w:rPr>
                <w:sz w:val="20"/>
                <w:szCs w:val="20"/>
                <w:color w:val="auto"/>
              </w:rPr>
            </w:pPr>
            <w:r>
              <w:rPr>
                <w:rFonts w:ascii="Times New Roman" w:cs="Times New Roman" w:eastAsia="Times New Roman" w:hAnsi="Times New Roman"/>
                <w:sz w:val="12"/>
                <w:szCs w:val="12"/>
                <w:color w:val="auto"/>
              </w:rPr>
              <w:t>Capital stock</w:t>
            </w:r>
          </w:p>
        </w:tc>
        <w:tc>
          <w:tcPr>
            <w:tcW w:w="2340" w:type="dxa"/>
            <w:vAlign w:val="bottom"/>
          </w:tcPr>
          <w:p>
            <w:pPr>
              <w:jc w:val="center"/>
              <w:ind w:left="1161"/>
              <w:spacing w:after="0" w:line="127" w:lineRule="exact"/>
              <w:rPr>
                <w:sz w:val="20"/>
                <w:szCs w:val="20"/>
                <w:color w:val="auto"/>
              </w:rPr>
            </w:pPr>
            <w:r>
              <w:rPr>
                <w:rFonts w:ascii="Times New Roman" w:cs="Times New Roman" w:eastAsia="Times New Roman" w:hAnsi="Times New Roman"/>
                <w:sz w:val="12"/>
                <w:szCs w:val="12"/>
                <w:color w:val="auto"/>
                <w:w w:val="96"/>
              </w:rPr>
              <w:t>12,679,794</w:t>
            </w:r>
          </w:p>
        </w:tc>
        <w:tc>
          <w:tcPr>
            <w:tcW w:w="112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9"/>
              </w:rPr>
              <w:t>12,679,794</w:t>
            </w:r>
          </w:p>
        </w:tc>
        <w:tc>
          <w:tcPr>
            <w:tcW w:w="106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9"/>
              </w:rPr>
              <w:t>12,679,794</w:t>
            </w:r>
          </w:p>
        </w:tc>
        <w:tc>
          <w:tcPr>
            <w:tcW w:w="720" w:type="dxa"/>
            <w:vAlign w:val="bottom"/>
          </w:tcPr>
          <w:p>
            <w:pPr>
              <w:jc w:val="center"/>
              <w:ind w:left="1"/>
              <w:spacing w:after="0" w:line="127" w:lineRule="exact"/>
              <w:rPr>
                <w:sz w:val="20"/>
                <w:szCs w:val="20"/>
                <w:color w:val="auto"/>
              </w:rPr>
            </w:pPr>
            <w:r>
              <w:rPr>
                <w:rFonts w:ascii="Times New Roman" w:cs="Times New Roman" w:eastAsia="Times New Roman" w:hAnsi="Times New Roman"/>
                <w:sz w:val="12"/>
                <w:szCs w:val="12"/>
                <w:color w:val="auto"/>
              </w:rPr>
              <w:t>0.0%</w:t>
            </w:r>
          </w:p>
        </w:tc>
        <w:tc>
          <w:tcPr>
            <w:tcW w:w="68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5"/>
              </w:rPr>
              <w:t>0.0%</w:t>
            </w:r>
          </w:p>
        </w:tc>
      </w:tr>
      <w:tr>
        <w:trPr>
          <w:trHeight w:val="127"/>
        </w:trPr>
        <w:tc>
          <w:tcPr>
            <w:tcW w:w="5320" w:type="dxa"/>
            <w:vAlign w:val="bottom"/>
          </w:tcPr>
          <w:p>
            <w:pPr>
              <w:ind w:left="320"/>
              <w:spacing w:after="0" w:line="127" w:lineRule="exact"/>
              <w:rPr>
                <w:sz w:val="20"/>
                <w:szCs w:val="20"/>
                <w:color w:val="auto"/>
              </w:rPr>
            </w:pPr>
            <w:r>
              <w:rPr>
                <w:rFonts w:ascii="Times New Roman" w:cs="Times New Roman" w:eastAsia="Times New Roman" w:hAnsi="Times New Roman"/>
                <w:sz w:val="12"/>
                <w:szCs w:val="12"/>
                <w:color w:val="auto"/>
              </w:rPr>
              <w:t>Reserves</w:t>
            </w:r>
          </w:p>
        </w:tc>
        <w:tc>
          <w:tcPr>
            <w:tcW w:w="2340" w:type="dxa"/>
            <w:vAlign w:val="bottom"/>
          </w:tcPr>
          <w:p>
            <w:pPr>
              <w:jc w:val="center"/>
              <w:ind w:left="1161"/>
              <w:spacing w:after="0" w:line="127" w:lineRule="exact"/>
              <w:rPr>
                <w:sz w:val="20"/>
                <w:szCs w:val="20"/>
                <w:color w:val="auto"/>
              </w:rPr>
            </w:pPr>
            <w:r>
              <w:rPr>
                <w:rFonts w:ascii="Times New Roman" w:cs="Times New Roman" w:eastAsia="Times New Roman" w:hAnsi="Times New Roman"/>
                <w:sz w:val="12"/>
                <w:szCs w:val="12"/>
                <w:color w:val="auto"/>
                <w:w w:val="99"/>
              </w:rPr>
              <w:t>5,905,440</w:t>
            </w:r>
          </w:p>
        </w:tc>
        <w:tc>
          <w:tcPr>
            <w:tcW w:w="112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9"/>
              </w:rPr>
              <w:t>5,906,590</w:t>
            </w:r>
          </w:p>
        </w:tc>
        <w:tc>
          <w:tcPr>
            <w:tcW w:w="106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5"/>
              </w:rPr>
              <w:t>5,906,590</w:t>
            </w:r>
          </w:p>
        </w:tc>
        <w:tc>
          <w:tcPr>
            <w:tcW w:w="720" w:type="dxa"/>
            <w:vAlign w:val="bottom"/>
          </w:tcPr>
          <w:p>
            <w:pPr>
              <w:jc w:val="center"/>
              <w:ind w:left="1"/>
              <w:spacing w:after="0" w:line="127" w:lineRule="exact"/>
              <w:rPr>
                <w:sz w:val="20"/>
                <w:szCs w:val="20"/>
                <w:color w:val="auto"/>
              </w:rPr>
            </w:pPr>
            <w:r>
              <w:rPr>
                <w:rFonts w:ascii="Times New Roman" w:cs="Times New Roman" w:eastAsia="Times New Roman" w:hAnsi="Times New Roman"/>
                <w:sz w:val="12"/>
                <w:szCs w:val="12"/>
                <w:color w:val="auto"/>
              </w:rPr>
              <w:t>0.0%</w:t>
            </w:r>
          </w:p>
        </w:tc>
        <w:tc>
          <w:tcPr>
            <w:tcW w:w="68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5"/>
              </w:rPr>
              <w:t>0.0%</w:t>
            </w:r>
          </w:p>
        </w:tc>
      </w:tr>
      <w:tr>
        <w:trPr>
          <w:trHeight w:val="127"/>
        </w:trPr>
        <w:tc>
          <w:tcPr>
            <w:tcW w:w="5320" w:type="dxa"/>
            <w:vAlign w:val="bottom"/>
          </w:tcPr>
          <w:p>
            <w:pPr>
              <w:ind w:left="320"/>
              <w:spacing w:after="0" w:line="127" w:lineRule="exact"/>
              <w:rPr>
                <w:sz w:val="20"/>
                <w:szCs w:val="20"/>
                <w:color w:val="auto"/>
              </w:rPr>
            </w:pPr>
            <w:r>
              <w:rPr>
                <w:rFonts w:ascii="Times New Roman" w:cs="Times New Roman" w:eastAsia="Times New Roman" w:hAnsi="Times New Roman"/>
                <w:sz w:val="12"/>
                <w:szCs w:val="12"/>
                <w:color w:val="auto"/>
              </w:rPr>
              <w:t>Unrealized gains and losses</w:t>
            </w:r>
          </w:p>
        </w:tc>
        <w:tc>
          <w:tcPr>
            <w:tcW w:w="2340" w:type="dxa"/>
            <w:vAlign w:val="bottom"/>
          </w:tcPr>
          <w:p>
            <w:pPr>
              <w:jc w:val="center"/>
              <w:ind w:left="1141"/>
              <w:spacing w:after="0" w:line="127" w:lineRule="exact"/>
              <w:rPr>
                <w:sz w:val="20"/>
                <w:szCs w:val="20"/>
                <w:color w:val="auto"/>
              </w:rPr>
            </w:pPr>
            <w:r>
              <w:rPr>
                <w:rFonts w:ascii="Times New Roman" w:cs="Times New Roman" w:eastAsia="Times New Roman" w:hAnsi="Times New Roman"/>
                <w:sz w:val="12"/>
                <w:szCs w:val="12"/>
                <w:color w:val="auto"/>
                <w:w w:val="97"/>
              </w:rPr>
              <w:t>140,002</w:t>
            </w:r>
          </w:p>
        </w:tc>
        <w:tc>
          <w:tcPr>
            <w:tcW w:w="112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7"/>
              </w:rPr>
              <w:t>636,199</w:t>
            </w:r>
          </w:p>
        </w:tc>
        <w:tc>
          <w:tcPr>
            <w:tcW w:w="106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7"/>
              </w:rPr>
              <w:t>196,962</w:t>
            </w:r>
          </w:p>
        </w:tc>
        <w:tc>
          <w:tcPr>
            <w:tcW w:w="720" w:type="dxa"/>
            <w:vAlign w:val="bottom"/>
          </w:tcPr>
          <w:p>
            <w:pPr>
              <w:jc w:val="center"/>
              <w:ind w:left="1"/>
              <w:spacing w:after="0" w:line="127" w:lineRule="exact"/>
              <w:rPr>
                <w:sz w:val="20"/>
                <w:szCs w:val="20"/>
                <w:color w:val="auto"/>
              </w:rPr>
            </w:pPr>
            <w:r>
              <w:rPr>
                <w:rFonts w:ascii="Times New Roman" w:cs="Times New Roman" w:eastAsia="Times New Roman" w:hAnsi="Times New Roman"/>
                <w:sz w:val="12"/>
                <w:szCs w:val="12"/>
                <w:color w:val="auto"/>
                <w:w w:val="97"/>
              </w:rPr>
              <w:t>-69.0%</w:t>
            </w:r>
          </w:p>
        </w:tc>
        <w:tc>
          <w:tcPr>
            <w:tcW w:w="68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rPr>
              <w:t>40.7%</w:t>
            </w:r>
          </w:p>
        </w:tc>
      </w:tr>
      <w:tr>
        <w:trPr>
          <w:trHeight w:val="125"/>
        </w:trPr>
        <w:tc>
          <w:tcPr>
            <w:tcW w:w="5320" w:type="dxa"/>
            <w:vAlign w:val="bottom"/>
          </w:tcPr>
          <w:p>
            <w:pPr>
              <w:ind w:left="320"/>
              <w:spacing w:after="0" w:line="125" w:lineRule="exact"/>
              <w:rPr>
                <w:sz w:val="20"/>
                <w:szCs w:val="20"/>
                <w:color w:val="auto"/>
              </w:rPr>
            </w:pPr>
            <w:r>
              <w:rPr>
                <w:rFonts w:ascii="Times New Roman" w:cs="Times New Roman" w:eastAsia="Times New Roman" w:hAnsi="Times New Roman"/>
                <w:sz w:val="12"/>
                <w:szCs w:val="12"/>
                <w:color w:val="auto"/>
              </w:rPr>
              <w:t>Retained earnings</w:t>
            </w:r>
          </w:p>
        </w:tc>
        <w:tc>
          <w:tcPr>
            <w:tcW w:w="2340" w:type="dxa"/>
            <w:vAlign w:val="bottom"/>
          </w:tcPr>
          <w:p>
            <w:pPr>
              <w:jc w:val="center"/>
              <w:ind w:left="1161"/>
              <w:spacing w:after="0" w:line="125" w:lineRule="exact"/>
              <w:rPr>
                <w:sz w:val="20"/>
                <w:szCs w:val="20"/>
                <w:color w:val="auto"/>
              </w:rPr>
            </w:pPr>
            <w:r>
              <w:rPr>
                <w:rFonts w:ascii="Times New Roman" w:cs="Times New Roman" w:eastAsia="Times New Roman" w:hAnsi="Times New Roman"/>
                <w:sz w:val="12"/>
                <w:szCs w:val="12"/>
                <w:color w:val="auto"/>
                <w:w w:val="99"/>
              </w:rPr>
              <w:t>4,176,630</w:t>
            </w:r>
          </w:p>
        </w:tc>
        <w:tc>
          <w:tcPr>
            <w:tcW w:w="112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auto"/>
                <w:w w:val="99"/>
              </w:rPr>
              <w:t>9,077,924</w:t>
            </w:r>
          </w:p>
        </w:tc>
        <w:tc>
          <w:tcPr>
            <w:tcW w:w="106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auto"/>
                <w:w w:val="95"/>
              </w:rPr>
              <w:t>5,586,466</w:t>
            </w:r>
          </w:p>
        </w:tc>
        <w:tc>
          <w:tcPr>
            <w:tcW w:w="720" w:type="dxa"/>
            <w:vAlign w:val="bottom"/>
          </w:tcPr>
          <w:p>
            <w:pPr>
              <w:jc w:val="center"/>
              <w:ind w:left="1"/>
              <w:spacing w:after="0" w:line="125" w:lineRule="exact"/>
              <w:rPr>
                <w:sz w:val="20"/>
                <w:szCs w:val="20"/>
                <w:color w:val="auto"/>
              </w:rPr>
            </w:pPr>
            <w:r>
              <w:rPr>
                <w:rFonts w:ascii="Times New Roman" w:cs="Times New Roman" w:eastAsia="Times New Roman" w:hAnsi="Times New Roman"/>
                <w:sz w:val="12"/>
                <w:szCs w:val="12"/>
                <w:color w:val="auto"/>
                <w:w w:val="97"/>
              </w:rPr>
              <w:t>-38.5%</w:t>
            </w:r>
          </w:p>
        </w:tc>
        <w:tc>
          <w:tcPr>
            <w:tcW w:w="68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auto"/>
              </w:rPr>
              <w:t>33.8%</w:t>
            </w:r>
          </w:p>
        </w:tc>
      </w:tr>
      <w:tr>
        <w:trPr>
          <w:trHeight w:val="156"/>
        </w:trPr>
        <w:tc>
          <w:tcPr>
            <w:tcW w:w="5320" w:type="dxa"/>
            <w:vAlign w:val="bottom"/>
          </w:tcPr>
          <w:p>
            <w:pPr>
              <w:jc w:val="center"/>
              <w:ind w:left="1341"/>
              <w:spacing w:after="0"/>
              <w:rPr>
                <w:sz w:val="20"/>
                <w:szCs w:val="20"/>
                <w:color w:val="auto"/>
              </w:rPr>
            </w:pPr>
            <w:r>
              <w:rPr>
                <w:rFonts w:ascii="Times New Roman" w:cs="Times New Roman" w:eastAsia="Times New Roman" w:hAnsi="Times New Roman"/>
                <w:sz w:val="12"/>
                <w:szCs w:val="12"/>
                <w:b w:val="1"/>
                <w:bCs w:val="1"/>
                <w:color w:val="auto"/>
                <w:w w:val="97"/>
              </w:rPr>
              <w:t>Total Net Equity</w:t>
            </w:r>
          </w:p>
        </w:tc>
        <w:tc>
          <w:tcPr>
            <w:tcW w:w="2340" w:type="dxa"/>
            <w:vAlign w:val="bottom"/>
          </w:tcPr>
          <w:p>
            <w:pPr>
              <w:jc w:val="center"/>
              <w:ind w:left="1141"/>
              <w:spacing w:after="0"/>
              <w:rPr>
                <w:sz w:val="20"/>
                <w:szCs w:val="20"/>
                <w:color w:val="auto"/>
              </w:rPr>
            </w:pPr>
            <w:r>
              <w:rPr>
                <w:rFonts w:ascii="Times New Roman" w:cs="Times New Roman" w:eastAsia="Times New Roman" w:hAnsi="Times New Roman"/>
                <w:sz w:val="12"/>
                <w:szCs w:val="12"/>
                <w:b w:val="1"/>
                <w:bCs w:val="1"/>
                <w:color w:val="auto"/>
                <w:w w:val="99"/>
              </w:rPr>
              <w:t>22,901,866</w:t>
            </w: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28,300,507</w:t>
            </w:r>
          </w:p>
        </w:tc>
        <w:tc>
          <w:tcPr>
            <w:tcW w:w="1060" w:type="dxa"/>
            <w:vAlign w:val="bottom"/>
          </w:tcPr>
          <w:p>
            <w:pPr>
              <w:jc w:val="center"/>
              <w:ind w:left="1"/>
              <w:spacing w:after="0"/>
              <w:rPr>
                <w:sz w:val="20"/>
                <w:szCs w:val="20"/>
                <w:color w:val="auto"/>
              </w:rPr>
            </w:pPr>
            <w:r>
              <w:rPr>
                <w:rFonts w:ascii="Times New Roman" w:cs="Times New Roman" w:eastAsia="Times New Roman" w:hAnsi="Times New Roman"/>
                <w:sz w:val="12"/>
                <w:szCs w:val="12"/>
                <w:b w:val="1"/>
                <w:bCs w:val="1"/>
                <w:color w:val="auto"/>
                <w:w w:val="96"/>
              </w:rPr>
              <w:t>24,369,812</w:t>
            </w:r>
          </w:p>
        </w:tc>
        <w:tc>
          <w:tcPr>
            <w:tcW w:w="720" w:type="dxa"/>
            <w:vAlign w:val="bottom"/>
          </w:tcPr>
          <w:p>
            <w:pPr>
              <w:jc w:val="right"/>
              <w:ind w:right="101"/>
              <w:spacing w:after="0"/>
              <w:rPr>
                <w:sz w:val="20"/>
                <w:szCs w:val="20"/>
                <w:color w:val="auto"/>
              </w:rPr>
            </w:pPr>
            <w:r>
              <w:rPr>
                <w:rFonts w:ascii="Times New Roman" w:cs="Times New Roman" w:eastAsia="Times New Roman" w:hAnsi="Times New Roman"/>
                <w:sz w:val="12"/>
                <w:szCs w:val="12"/>
                <w:b w:val="1"/>
                <w:bCs w:val="1"/>
                <w:color w:val="auto"/>
              </w:rPr>
              <w:t>-13.9%</w:t>
            </w:r>
          </w:p>
        </w:tc>
        <w:tc>
          <w:tcPr>
            <w:tcW w:w="6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6.4%</w:t>
            </w:r>
          </w:p>
        </w:tc>
      </w:tr>
      <w:tr>
        <w:trPr>
          <w:trHeight w:val="254"/>
        </w:trPr>
        <w:tc>
          <w:tcPr>
            <w:tcW w:w="5320" w:type="dxa"/>
            <w:vAlign w:val="bottom"/>
          </w:tcPr>
          <w:p>
            <w:pPr>
              <w:ind w:left="160"/>
              <w:spacing w:after="0"/>
              <w:rPr>
                <w:sz w:val="20"/>
                <w:szCs w:val="20"/>
                <w:color w:val="auto"/>
              </w:rPr>
            </w:pPr>
            <w:r>
              <w:rPr>
                <w:rFonts w:ascii="Times New Roman" w:cs="Times New Roman" w:eastAsia="Times New Roman" w:hAnsi="Times New Roman"/>
                <w:sz w:val="12"/>
                <w:szCs w:val="12"/>
                <w:b w:val="1"/>
                <w:bCs w:val="1"/>
                <w:color w:val="auto"/>
              </w:rPr>
              <w:t>Total liabilities and equity</w:t>
            </w:r>
          </w:p>
        </w:tc>
        <w:tc>
          <w:tcPr>
            <w:tcW w:w="2340" w:type="dxa"/>
            <w:vAlign w:val="bottom"/>
          </w:tcPr>
          <w:p>
            <w:pPr>
              <w:jc w:val="center"/>
              <w:ind w:left="1161"/>
              <w:spacing w:after="0"/>
              <w:rPr>
                <w:sz w:val="20"/>
                <w:szCs w:val="20"/>
                <w:color w:val="auto"/>
              </w:rPr>
            </w:pPr>
            <w:r>
              <w:rPr>
                <w:rFonts w:ascii="Times New Roman" w:cs="Times New Roman" w:eastAsia="Times New Roman" w:hAnsi="Times New Roman"/>
                <w:sz w:val="12"/>
                <w:szCs w:val="12"/>
                <w:b w:val="1"/>
                <w:bCs w:val="1"/>
                <w:color w:val="auto"/>
                <w:w w:val="99"/>
              </w:rPr>
              <w:t>195,815,652</w:t>
            </w: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204,892,307</w:t>
            </w:r>
          </w:p>
        </w:tc>
        <w:tc>
          <w:tcPr>
            <w:tcW w:w="10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214,082,044</w:t>
            </w:r>
          </w:p>
        </w:tc>
        <w:tc>
          <w:tcPr>
            <w:tcW w:w="720" w:type="dxa"/>
            <w:vAlign w:val="bottom"/>
          </w:tcPr>
          <w:p>
            <w:pPr>
              <w:jc w:val="center"/>
              <w:ind w:left="1"/>
              <w:spacing w:after="0"/>
              <w:rPr>
                <w:sz w:val="20"/>
                <w:szCs w:val="20"/>
                <w:color w:val="auto"/>
              </w:rPr>
            </w:pPr>
            <w:r>
              <w:rPr>
                <w:rFonts w:ascii="Times New Roman" w:cs="Times New Roman" w:eastAsia="Times New Roman" w:hAnsi="Times New Roman"/>
                <w:sz w:val="12"/>
                <w:szCs w:val="12"/>
                <w:b w:val="1"/>
                <w:bCs w:val="1"/>
                <w:color w:val="auto"/>
                <w:w w:val="96"/>
              </w:rPr>
              <w:t>4.5%</w:t>
            </w:r>
          </w:p>
        </w:tc>
        <w:tc>
          <w:tcPr>
            <w:tcW w:w="6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9.3%</w:t>
            </w:r>
          </w:p>
        </w:tc>
      </w:tr>
      <w:tr>
        <w:trPr>
          <w:trHeight w:val="227"/>
        </w:trPr>
        <w:tc>
          <w:tcPr>
            <w:tcW w:w="5320" w:type="dxa"/>
            <w:vAlign w:val="bottom"/>
          </w:tcPr>
          <w:p>
            <w:pPr>
              <w:ind w:left="160"/>
              <w:spacing w:after="0"/>
              <w:rPr>
                <w:sz w:val="20"/>
                <w:szCs w:val="20"/>
                <w:color w:val="auto"/>
              </w:rPr>
            </w:pPr>
            <w:r>
              <w:rPr>
                <w:rFonts w:ascii="Times New Roman" w:cs="Times New Roman" w:eastAsia="Times New Roman" w:hAnsi="Times New Roman"/>
                <w:sz w:val="12"/>
                <w:szCs w:val="12"/>
                <w:b w:val="1"/>
                <w:bCs w:val="1"/>
                <w:color w:val="auto"/>
              </w:rPr>
              <w:t>Off-balance sheet</w:t>
            </w:r>
          </w:p>
        </w:tc>
        <w:tc>
          <w:tcPr>
            <w:tcW w:w="2340" w:type="dxa"/>
            <w:vAlign w:val="bottom"/>
          </w:tcPr>
          <w:p>
            <w:pPr>
              <w:jc w:val="center"/>
              <w:ind w:left="1161"/>
              <w:spacing w:after="0"/>
              <w:rPr>
                <w:sz w:val="20"/>
                <w:szCs w:val="20"/>
                <w:color w:val="auto"/>
              </w:rPr>
            </w:pPr>
            <w:r>
              <w:rPr>
                <w:rFonts w:ascii="Times New Roman" w:cs="Times New Roman" w:eastAsia="Times New Roman" w:hAnsi="Times New Roman"/>
                <w:sz w:val="12"/>
                <w:szCs w:val="12"/>
                <w:b w:val="1"/>
                <w:bCs w:val="1"/>
                <w:color w:val="auto"/>
                <w:w w:val="99"/>
              </w:rPr>
              <w:t>133,060,043</w:t>
            </w: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129,206,284</w:t>
            </w:r>
          </w:p>
        </w:tc>
        <w:tc>
          <w:tcPr>
            <w:tcW w:w="10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142,330,825</w:t>
            </w:r>
          </w:p>
        </w:tc>
        <w:tc>
          <w:tcPr>
            <w:tcW w:w="720" w:type="dxa"/>
            <w:vAlign w:val="bottom"/>
          </w:tcPr>
          <w:p>
            <w:pPr>
              <w:jc w:val="center"/>
              <w:ind w:left="1"/>
              <w:spacing w:after="0"/>
              <w:rPr>
                <w:sz w:val="20"/>
                <w:szCs w:val="20"/>
                <w:color w:val="auto"/>
              </w:rPr>
            </w:pPr>
            <w:r>
              <w:rPr>
                <w:rFonts w:ascii="Times New Roman" w:cs="Times New Roman" w:eastAsia="Times New Roman" w:hAnsi="Times New Roman"/>
                <w:sz w:val="12"/>
                <w:szCs w:val="12"/>
                <w:b w:val="1"/>
                <w:bCs w:val="1"/>
                <w:color w:val="auto"/>
              </w:rPr>
              <w:t>10.2%</w:t>
            </w:r>
          </w:p>
        </w:tc>
        <w:tc>
          <w:tcPr>
            <w:tcW w:w="6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7.0%</w:t>
            </w:r>
          </w:p>
        </w:tc>
      </w:tr>
      <w:tr>
        <w:trPr>
          <w:trHeight w:val="127"/>
        </w:trPr>
        <w:tc>
          <w:tcPr>
            <w:tcW w:w="5320" w:type="dxa"/>
            <w:vAlign w:val="bottom"/>
          </w:tcPr>
          <w:p>
            <w:pPr>
              <w:ind w:left="160"/>
              <w:spacing w:after="0" w:line="127" w:lineRule="exact"/>
              <w:rPr>
                <w:sz w:val="20"/>
                <w:szCs w:val="20"/>
                <w:color w:val="auto"/>
              </w:rPr>
            </w:pPr>
            <w:r>
              <w:rPr>
                <w:rFonts w:ascii="Times New Roman" w:cs="Times New Roman" w:eastAsia="Times New Roman" w:hAnsi="Times New Roman"/>
                <w:sz w:val="12"/>
                <w:szCs w:val="12"/>
                <w:color w:val="auto"/>
              </w:rPr>
              <w:t>Total performance bonds, stand-by and L/Cs.</w:t>
            </w:r>
          </w:p>
        </w:tc>
        <w:tc>
          <w:tcPr>
            <w:tcW w:w="2340" w:type="dxa"/>
            <w:vAlign w:val="bottom"/>
          </w:tcPr>
          <w:p>
            <w:pPr>
              <w:jc w:val="center"/>
              <w:ind w:left="1161"/>
              <w:spacing w:after="0" w:line="127" w:lineRule="exact"/>
              <w:rPr>
                <w:sz w:val="20"/>
                <w:szCs w:val="20"/>
                <w:color w:val="auto"/>
              </w:rPr>
            </w:pPr>
            <w:r>
              <w:rPr>
                <w:rFonts w:ascii="Times New Roman" w:cs="Times New Roman" w:eastAsia="Times New Roman" w:hAnsi="Times New Roman"/>
                <w:sz w:val="12"/>
                <w:szCs w:val="12"/>
                <w:color w:val="auto"/>
                <w:w w:val="96"/>
              </w:rPr>
              <w:t>20,571,287</w:t>
            </w:r>
          </w:p>
        </w:tc>
        <w:tc>
          <w:tcPr>
            <w:tcW w:w="112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9"/>
              </w:rPr>
              <w:t>20,991,000</w:t>
            </w:r>
          </w:p>
        </w:tc>
        <w:tc>
          <w:tcPr>
            <w:tcW w:w="106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9"/>
              </w:rPr>
              <w:t>21,519,458</w:t>
            </w:r>
          </w:p>
        </w:tc>
        <w:tc>
          <w:tcPr>
            <w:tcW w:w="720" w:type="dxa"/>
            <w:vAlign w:val="bottom"/>
          </w:tcPr>
          <w:p>
            <w:pPr>
              <w:jc w:val="center"/>
              <w:ind w:left="1"/>
              <w:spacing w:after="0" w:line="127" w:lineRule="exact"/>
              <w:rPr>
                <w:sz w:val="20"/>
                <w:szCs w:val="20"/>
                <w:color w:val="auto"/>
              </w:rPr>
            </w:pPr>
            <w:r>
              <w:rPr>
                <w:rFonts w:ascii="Times New Roman" w:cs="Times New Roman" w:eastAsia="Times New Roman" w:hAnsi="Times New Roman"/>
                <w:sz w:val="12"/>
                <w:szCs w:val="12"/>
                <w:color w:val="auto"/>
              </w:rPr>
              <w:t>2.5%</w:t>
            </w:r>
          </w:p>
        </w:tc>
        <w:tc>
          <w:tcPr>
            <w:tcW w:w="68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5"/>
              </w:rPr>
              <w:t>4.6%</w:t>
            </w:r>
          </w:p>
        </w:tc>
      </w:tr>
      <w:tr>
        <w:trPr>
          <w:trHeight w:val="127"/>
        </w:trPr>
        <w:tc>
          <w:tcPr>
            <w:tcW w:w="5320" w:type="dxa"/>
            <w:vAlign w:val="bottom"/>
          </w:tcPr>
          <w:p>
            <w:pPr>
              <w:ind w:left="160"/>
              <w:spacing w:after="0" w:line="127" w:lineRule="exact"/>
              <w:rPr>
                <w:sz w:val="20"/>
                <w:szCs w:val="20"/>
                <w:color w:val="auto"/>
              </w:rPr>
            </w:pPr>
            <w:r>
              <w:rPr>
                <w:rFonts w:ascii="Times New Roman" w:cs="Times New Roman" w:eastAsia="Times New Roman" w:hAnsi="Times New Roman"/>
                <w:sz w:val="12"/>
                <w:szCs w:val="12"/>
                <w:color w:val="auto"/>
              </w:rPr>
              <w:t>Undrawn credit lines, advised but not committed</w:t>
            </w:r>
          </w:p>
        </w:tc>
        <w:tc>
          <w:tcPr>
            <w:tcW w:w="2340" w:type="dxa"/>
            <w:vAlign w:val="bottom"/>
          </w:tcPr>
          <w:p>
            <w:pPr>
              <w:jc w:val="center"/>
              <w:ind w:left="1161"/>
              <w:spacing w:after="0" w:line="127" w:lineRule="exact"/>
              <w:rPr>
                <w:sz w:val="20"/>
                <w:szCs w:val="20"/>
                <w:color w:val="auto"/>
              </w:rPr>
            </w:pPr>
            <w:r>
              <w:rPr>
                <w:rFonts w:ascii="Times New Roman" w:cs="Times New Roman" w:eastAsia="Times New Roman" w:hAnsi="Times New Roman"/>
                <w:sz w:val="12"/>
                <w:szCs w:val="12"/>
                <w:color w:val="auto"/>
                <w:w w:val="96"/>
              </w:rPr>
              <w:t>69,917,928</w:t>
            </w:r>
          </w:p>
        </w:tc>
        <w:tc>
          <w:tcPr>
            <w:tcW w:w="112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9"/>
              </w:rPr>
              <w:t>67,739,850</w:t>
            </w:r>
          </w:p>
        </w:tc>
        <w:tc>
          <w:tcPr>
            <w:tcW w:w="106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9"/>
              </w:rPr>
              <w:t>72,715,349</w:t>
            </w:r>
          </w:p>
        </w:tc>
        <w:tc>
          <w:tcPr>
            <w:tcW w:w="720" w:type="dxa"/>
            <w:vAlign w:val="bottom"/>
          </w:tcPr>
          <w:p>
            <w:pPr>
              <w:jc w:val="center"/>
              <w:ind w:left="1"/>
              <w:spacing w:after="0" w:line="127" w:lineRule="exact"/>
              <w:rPr>
                <w:sz w:val="20"/>
                <w:szCs w:val="20"/>
                <w:color w:val="auto"/>
              </w:rPr>
            </w:pPr>
            <w:r>
              <w:rPr>
                <w:rFonts w:ascii="Times New Roman" w:cs="Times New Roman" w:eastAsia="Times New Roman" w:hAnsi="Times New Roman"/>
                <w:sz w:val="12"/>
                <w:szCs w:val="12"/>
                <w:color w:val="auto"/>
              </w:rPr>
              <w:t>7.3%</w:t>
            </w:r>
          </w:p>
        </w:tc>
        <w:tc>
          <w:tcPr>
            <w:tcW w:w="68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5"/>
              </w:rPr>
              <w:t>4.0%</w:t>
            </w:r>
          </w:p>
        </w:tc>
      </w:tr>
      <w:tr>
        <w:trPr>
          <w:trHeight w:val="152"/>
        </w:trPr>
        <w:tc>
          <w:tcPr>
            <w:tcW w:w="53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Total derivatives (notional) and others</w:t>
            </w:r>
          </w:p>
        </w:tc>
        <w:tc>
          <w:tcPr>
            <w:tcW w:w="2340" w:type="dxa"/>
            <w:vAlign w:val="bottom"/>
          </w:tcPr>
          <w:p>
            <w:pPr>
              <w:jc w:val="center"/>
              <w:ind w:left="1161"/>
              <w:spacing w:after="0"/>
              <w:rPr>
                <w:sz w:val="20"/>
                <w:szCs w:val="20"/>
                <w:color w:val="auto"/>
              </w:rPr>
            </w:pPr>
            <w:r>
              <w:rPr>
                <w:rFonts w:ascii="Times New Roman" w:cs="Times New Roman" w:eastAsia="Times New Roman" w:hAnsi="Times New Roman"/>
                <w:sz w:val="12"/>
                <w:szCs w:val="12"/>
                <w:color w:val="auto"/>
                <w:w w:val="96"/>
              </w:rPr>
              <w:t>42,570,828</w:t>
            </w: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40,475,434</w:t>
            </w:r>
          </w:p>
        </w:tc>
        <w:tc>
          <w:tcPr>
            <w:tcW w:w="10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48,096,018</w:t>
            </w:r>
          </w:p>
        </w:tc>
        <w:tc>
          <w:tcPr>
            <w:tcW w:w="720" w:type="dxa"/>
            <w:vAlign w:val="bottom"/>
          </w:tcPr>
          <w:p>
            <w:pPr>
              <w:jc w:val="center"/>
              <w:ind w:left="1"/>
              <w:spacing w:after="0"/>
              <w:rPr>
                <w:sz w:val="20"/>
                <w:szCs w:val="20"/>
                <w:color w:val="auto"/>
              </w:rPr>
            </w:pPr>
            <w:r>
              <w:rPr>
                <w:rFonts w:ascii="Times New Roman" w:cs="Times New Roman" w:eastAsia="Times New Roman" w:hAnsi="Times New Roman"/>
                <w:sz w:val="12"/>
                <w:szCs w:val="12"/>
                <w:color w:val="auto"/>
                <w:w w:val="96"/>
              </w:rPr>
              <w:t>18.8%</w:t>
            </w:r>
          </w:p>
        </w:tc>
        <w:tc>
          <w:tcPr>
            <w:tcW w:w="6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13.0%</w:t>
            </w:r>
          </w:p>
        </w:tc>
      </w:tr>
    </w:tbl>
    <w:p>
      <w:pPr>
        <w:ind w:left="1300" w:hanging="194"/>
        <w:spacing w:after="0" w:line="220" w:lineRule="auto"/>
        <w:tabs>
          <w:tab w:leader="none" w:pos="1300"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Right of use asset of lease contracts is included by application of IFRS 16.</w:t>
      </w:r>
    </w:p>
    <w:p>
      <w:pPr>
        <w:ind w:left="1300" w:hanging="194"/>
        <w:spacing w:after="0" w:line="220" w:lineRule="auto"/>
        <w:tabs>
          <w:tab w:leader="none" w:pos="1300"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Mainly includes intangible assets, other receivable accounts, trading derivatives receivable accounts and tax credit</w:t>
      </w:r>
    </w:p>
    <w:p>
      <w:pPr>
        <w:ind w:left="1300" w:hanging="194"/>
        <w:spacing w:after="0"/>
        <w:tabs>
          <w:tab w:leader="none" w:pos="1300"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Mainly includes other payable accounts, trading derivatives payable accounts and taxes for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817245</wp:posOffset>
            </wp:positionV>
            <wp:extent cx="7140575" cy="1587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40575" cy="15875"/>
                    </a:xfrm>
                    <a:prstGeom prst="rect">
                      <a:avLst/>
                    </a:prstGeom>
                    <a:noFill/>
                  </pic:spPr>
                </pic:pic>
              </a:graphicData>
            </a:graphic>
          </wp:anchor>
        </w:drawing>
        <w:drawing>
          <wp:anchor simplePos="0" relativeHeight="251657728" behindDoc="1" locked="0" layoutInCell="0" allowOverlap="1">
            <wp:simplePos x="0" y="0"/>
            <wp:positionH relativeFrom="column">
              <wp:posOffset>363855</wp:posOffset>
            </wp:positionH>
            <wp:positionV relativeFrom="paragraph">
              <wp:posOffset>124460</wp:posOffset>
            </wp:positionV>
            <wp:extent cx="6447155" cy="55626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447155" cy="556260"/>
                    </a:xfrm>
                    <a:prstGeom prst="rect">
                      <a:avLst/>
                    </a:prstGeom>
                    <a:noFill/>
                  </pic:spPr>
                </pic:pic>
              </a:graphicData>
            </a:graphic>
          </wp:anchor>
        </w:drawing>
      </w:r>
    </w:p>
    <w:p>
      <w:pPr>
        <w:sectPr>
          <w:pgSz w:w="11900" w:h="16838" w:orient="portrait"/>
          <w:cols w:equalWidth="0" w:num="1">
            <w:col w:w="11240"/>
          </w:cols>
          <w:pgMar w:left="320" w:top="745" w:right="339" w:bottom="1440" w:gutter="0" w:footer="0" w:header="0"/>
        </w:sectPr>
      </w:pPr>
    </w:p>
    <w:bookmarkStart w:id="61" w:name="page62"/>
    <w:bookmarkEnd w:id="61"/>
    <w:p>
      <w:pPr>
        <w:ind w:left="3160"/>
        <w:spacing w:after="0"/>
        <w:tabs>
          <w:tab w:leader="none" w:pos="3380" w:val="left"/>
          <w:tab w:leader="none" w:pos="9060" w:val="left"/>
        </w:tabs>
        <w:rPr>
          <w:sz w:val="20"/>
          <w:szCs w:val="20"/>
          <w:color w:val="auto"/>
        </w:rPr>
      </w:pPr>
      <w:r>
        <w:rPr>
          <w:rFonts w:ascii="Times New Roman" w:cs="Times New Roman" w:eastAsia="Times New Roman" w:hAnsi="Times New Roman"/>
          <w:sz w:val="17"/>
          <w:szCs w:val="17"/>
          <w:b w:val="1"/>
          <w:bCs w:val="1"/>
          <w:color w:val="A6A6A6"/>
        </w:rPr>
        <w:drawing>
          <wp:anchor simplePos="0" relativeHeight="251657728" behindDoc="1" locked="0" layoutInCell="0" allowOverlap="1">
            <wp:simplePos x="0" y="0"/>
            <wp:positionH relativeFrom="page">
              <wp:posOffset>204470</wp:posOffset>
            </wp:positionH>
            <wp:positionV relativeFrom="page">
              <wp:posOffset>217805</wp:posOffset>
            </wp:positionV>
            <wp:extent cx="7140575" cy="62865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40575" cy="628650"/>
                    </a:xfrm>
                    <a:prstGeom prst="rect">
                      <a:avLst/>
                    </a:prstGeom>
                    <a:noFill/>
                  </pic:spPr>
                </pic:pic>
              </a:graphicData>
            </a:graphic>
          </wp:anchor>
        </w:drawing>
        <w:t>|</w:t>
      </w:r>
      <w:r>
        <w:rPr>
          <w:sz w:val="20"/>
          <w:szCs w:val="20"/>
          <w:color w:val="auto"/>
        </w:rPr>
        <w:tab/>
      </w:r>
      <w:r>
        <w:rPr>
          <w:rFonts w:ascii="Times New Roman" w:cs="Times New Roman" w:eastAsia="Times New Roman" w:hAnsi="Times New Roman"/>
          <w:sz w:val="14"/>
          <w:szCs w:val="14"/>
          <w:color w:val="FFFFFF"/>
        </w:rPr>
        <w:t>Earnings Release 1Q / 2026</w:t>
      </w:r>
      <w:r>
        <w:rPr>
          <w:sz w:val="20"/>
          <w:szCs w:val="20"/>
          <w:color w:val="auto"/>
        </w:rPr>
        <w:tab/>
      </w:r>
      <w:r>
        <w:rPr>
          <w:rFonts w:ascii="Times New Roman" w:cs="Times New Roman" w:eastAsia="Times New Roman" w:hAnsi="Times New Roman"/>
          <w:sz w:val="12"/>
          <w:szCs w:val="12"/>
          <w:color w:val="FF00FF"/>
        </w:rPr>
        <w:t>Analysis of 1Q26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280670</wp:posOffset>
            </wp:positionV>
            <wp:extent cx="7140575" cy="25781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40575" cy="25781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FFFFFF"/>
        </w:rPr>
        <w:t>12. Appendix</w:t>
      </w:r>
    </w:p>
    <w:p>
      <w:pPr>
        <w:spacing w:after="0" w:line="30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5"/>
          <w:szCs w:val="15"/>
          <w:b w:val="1"/>
          <w:bCs w:val="1"/>
          <w:color w:val="auto"/>
        </w:rPr>
        <w:t>Statement of Income</w:t>
      </w:r>
    </w:p>
    <w:p>
      <w:pPr>
        <w:spacing w:after="0" w:line="2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5"/>
          <w:szCs w:val="15"/>
          <w:b w:val="1"/>
          <w:bCs w:val="1"/>
          <w:color w:val="auto"/>
        </w:rPr>
        <w:t>(S/ Thousands, IFRS)</w:t>
      </w: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122"/>
        </w:trPr>
        <w:tc>
          <w:tcPr>
            <w:tcW w:w="6440" w:type="dxa"/>
            <w:vAlign w:val="bottom"/>
            <w:tcBorders>
              <w:top w:val="single" w:sz="8" w:color="auto"/>
              <w:left w:val="single" w:sz="8" w:color="auto"/>
              <w:right w:val="single" w:sz="8" w:color="auto"/>
            </w:tcBorders>
            <w:shd w:val="clear" w:color="auto" w:fill="2AD2C9"/>
          </w:tcPr>
          <w:p>
            <w:pPr>
              <w:spacing w:after="0"/>
              <w:rPr>
                <w:sz w:val="10"/>
                <w:szCs w:val="10"/>
                <w:color w:val="auto"/>
              </w:rPr>
            </w:pPr>
          </w:p>
        </w:tc>
        <w:tc>
          <w:tcPr>
            <w:tcW w:w="980" w:type="dxa"/>
            <w:vAlign w:val="bottom"/>
            <w:tcBorders>
              <w:top w:val="single" w:sz="8" w:color="auto"/>
            </w:tcBorders>
            <w:shd w:val="clear" w:color="auto" w:fill="2AD2C9"/>
          </w:tcPr>
          <w:p>
            <w:pPr>
              <w:spacing w:after="0"/>
              <w:rPr>
                <w:sz w:val="10"/>
                <w:szCs w:val="10"/>
                <w:color w:val="auto"/>
              </w:rPr>
            </w:pPr>
          </w:p>
        </w:tc>
        <w:tc>
          <w:tcPr>
            <w:tcW w:w="1020" w:type="dxa"/>
            <w:vAlign w:val="bottom"/>
            <w:tcBorders>
              <w:top w:val="single" w:sz="8" w:color="auto"/>
            </w:tcBorders>
            <w:shd w:val="clear" w:color="auto" w:fill="2AD2C9"/>
          </w:tcPr>
          <w:p>
            <w:pPr>
              <w:ind w:left="320"/>
              <w:spacing w:after="0" w:line="122" w:lineRule="exact"/>
              <w:rPr>
                <w:sz w:val="20"/>
                <w:szCs w:val="20"/>
                <w:color w:val="auto"/>
              </w:rPr>
            </w:pPr>
            <w:r>
              <w:rPr>
                <w:rFonts w:ascii="Times New Roman" w:cs="Times New Roman" w:eastAsia="Times New Roman" w:hAnsi="Times New Roman"/>
                <w:sz w:val="12"/>
                <w:szCs w:val="12"/>
                <w:b w:val="1"/>
                <w:bCs w:val="1"/>
                <w:color w:val="FFFFFF"/>
              </w:rPr>
              <w:t>Quarter</w:t>
            </w:r>
          </w:p>
        </w:tc>
        <w:tc>
          <w:tcPr>
            <w:tcW w:w="1040" w:type="dxa"/>
            <w:vAlign w:val="bottom"/>
            <w:tcBorders>
              <w:top w:val="single" w:sz="8" w:color="auto"/>
              <w:right w:val="single" w:sz="8" w:color="auto"/>
            </w:tcBorders>
            <w:shd w:val="clear" w:color="auto" w:fill="2AD2C9"/>
          </w:tcPr>
          <w:p>
            <w:pPr>
              <w:spacing w:after="0"/>
              <w:rPr>
                <w:sz w:val="10"/>
                <w:szCs w:val="10"/>
                <w:color w:val="auto"/>
              </w:rPr>
            </w:pPr>
          </w:p>
        </w:tc>
        <w:tc>
          <w:tcPr>
            <w:tcW w:w="1780" w:type="dxa"/>
            <w:vAlign w:val="bottom"/>
            <w:tcBorders>
              <w:top w:val="single" w:sz="8" w:color="auto"/>
              <w:right w:val="single" w:sz="8" w:color="auto"/>
            </w:tcBorders>
            <w:gridSpan w:val="2"/>
            <w:shd w:val="clear" w:color="auto" w:fill="2AD2C9"/>
          </w:tcPr>
          <w:p>
            <w:pPr>
              <w:ind w:left="600"/>
              <w:spacing w:after="0" w:line="122" w:lineRule="exact"/>
              <w:rPr>
                <w:sz w:val="20"/>
                <w:szCs w:val="20"/>
                <w:color w:val="auto"/>
              </w:rPr>
            </w:pPr>
            <w:r>
              <w:rPr>
                <w:rFonts w:ascii="Times New Roman" w:cs="Times New Roman" w:eastAsia="Times New Roman" w:hAnsi="Times New Roman"/>
                <w:sz w:val="12"/>
                <w:szCs w:val="12"/>
                <w:b w:val="1"/>
                <w:bCs w:val="1"/>
                <w:color w:val="FFFFFF"/>
              </w:rPr>
              <w:t>% Change</w:t>
            </w:r>
          </w:p>
        </w:tc>
      </w:tr>
      <w:tr>
        <w:trPr>
          <w:trHeight w:val="145"/>
        </w:trPr>
        <w:tc>
          <w:tcPr>
            <w:tcW w:w="6440" w:type="dxa"/>
            <w:vAlign w:val="bottom"/>
            <w:tcBorders>
              <w:left w:val="single" w:sz="8" w:color="auto"/>
              <w:bottom w:val="single" w:sz="8" w:color="auto"/>
              <w:right w:val="single" w:sz="8" w:color="auto"/>
            </w:tcBorders>
            <w:shd w:val="clear" w:color="auto" w:fill="2AD2C9"/>
          </w:tcPr>
          <w:p>
            <w:pPr>
              <w:spacing w:after="0"/>
              <w:rPr>
                <w:sz w:val="12"/>
                <w:szCs w:val="12"/>
                <w:color w:val="auto"/>
              </w:rPr>
            </w:pPr>
          </w:p>
        </w:tc>
        <w:tc>
          <w:tcPr>
            <w:tcW w:w="980" w:type="dxa"/>
            <w:vAlign w:val="bottom"/>
            <w:tcBorders>
              <w:bottom w:val="single" w:sz="8" w:color="auto"/>
            </w:tcBorders>
            <w:shd w:val="clear" w:color="auto" w:fill="2AD2C9"/>
          </w:tcPr>
          <w:p>
            <w:pPr>
              <w:jc w:val="center"/>
              <w:spacing w:after="0"/>
              <w:rPr>
                <w:sz w:val="20"/>
                <w:szCs w:val="20"/>
                <w:color w:val="auto"/>
              </w:rPr>
            </w:pPr>
            <w:r>
              <w:rPr>
                <w:rFonts w:ascii="Times New Roman" w:cs="Times New Roman" w:eastAsia="Times New Roman" w:hAnsi="Times New Roman"/>
                <w:sz w:val="12"/>
                <w:szCs w:val="12"/>
                <w:b w:val="1"/>
                <w:bCs w:val="1"/>
                <w:color w:val="FFFFFF"/>
                <w:w w:val="94"/>
              </w:rPr>
              <w:t>1Q25</w:t>
            </w:r>
          </w:p>
        </w:tc>
        <w:tc>
          <w:tcPr>
            <w:tcW w:w="1020" w:type="dxa"/>
            <w:vAlign w:val="bottom"/>
            <w:tcBorders>
              <w:bottom w:val="single" w:sz="8" w:color="auto"/>
            </w:tcBorders>
            <w:shd w:val="clear" w:color="auto" w:fill="2AD2C9"/>
          </w:tcPr>
          <w:p>
            <w:pPr>
              <w:jc w:val="center"/>
              <w:spacing w:after="0"/>
              <w:rPr>
                <w:sz w:val="20"/>
                <w:szCs w:val="20"/>
                <w:color w:val="auto"/>
              </w:rPr>
            </w:pPr>
            <w:r>
              <w:rPr>
                <w:rFonts w:ascii="Times New Roman" w:cs="Times New Roman" w:eastAsia="Times New Roman" w:hAnsi="Times New Roman"/>
                <w:sz w:val="12"/>
                <w:szCs w:val="12"/>
                <w:b w:val="1"/>
                <w:bCs w:val="1"/>
                <w:color w:val="FFFFFF"/>
                <w:w w:val="94"/>
              </w:rPr>
              <w:t>4Q25</w:t>
            </w:r>
          </w:p>
        </w:tc>
        <w:tc>
          <w:tcPr>
            <w:tcW w:w="104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Times New Roman" w:cs="Times New Roman" w:eastAsia="Times New Roman" w:hAnsi="Times New Roman"/>
                <w:sz w:val="12"/>
                <w:szCs w:val="12"/>
                <w:b w:val="1"/>
                <w:bCs w:val="1"/>
                <w:color w:val="FFFFFF"/>
                <w:w w:val="94"/>
              </w:rPr>
              <w:t>1Q26</w:t>
            </w:r>
          </w:p>
        </w:tc>
        <w:tc>
          <w:tcPr>
            <w:tcW w:w="860" w:type="dxa"/>
            <w:vAlign w:val="bottom"/>
            <w:tcBorders>
              <w:bottom w:val="single" w:sz="8" w:color="auto"/>
            </w:tcBorders>
            <w:shd w:val="clear" w:color="auto" w:fill="2AD2C9"/>
          </w:tcPr>
          <w:p>
            <w:pPr>
              <w:jc w:val="center"/>
              <w:spacing w:after="0"/>
              <w:rPr>
                <w:sz w:val="20"/>
                <w:szCs w:val="20"/>
                <w:color w:val="auto"/>
              </w:rPr>
            </w:pPr>
            <w:r>
              <w:rPr>
                <w:rFonts w:ascii="Times New Roman" w:cs="Times New Roman" w:eastAsia="Times New Roman" w:hAnsi="Times New Roman"/>
                <w:sz w:val="12"/>
                <w:szCs w:val="12"/>
                <w:b w:val="1"/>
                <w:bCs w:val="1"/>
                <w:color w:val="FFFFFF"/>
                <w:w w:val="97"/>
              </w:rPr>
              <w:t>QoQ</w:t>
            </w:r>
          </w:p>
        </w:tc>
        <w:tc>
          <w:tcPr>
            <w:tcW w:w="92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Times New Roman" w:cs="Times New Roman" w:eastAsia="Times New Roman" w:hAnsi="Times New Roman"/>
                <w:sz w:val="12"/>
                <w:szCs w:val="12"/>
                <w:b w:val="1"/>
                <w:bCs w:val="1"/>
                <w:color w:val="FFFFFF"/>
                <w:w w:val="94"/>
              </w:rPr>
              <w:t>YoY</w:t>
            </w:r>
          </w:p>
        </w:tc>
      </w:tr>
      <w:tr>
        <w:trPr>
          <w:trHeight w:val="104"/>
        </w:trPr>
        <w:tc>
          <w:tcPr>
            <w:tcW w:w="6440" w:type="dxa"/>
            <w:vAlign w:val="bottom"/>
            <w:tcBorders>
              <w:left w:val="single" w:sz="8" w:color="auto"/>
              <w:right w:val="single" w:sz="8" w:color="auto"/>
            </w:tcBorders>
          </w:tcPr>
          <w:p>
            <w:pPr>
              <w:ind w:left="100"/>
              <w:spacing w:after="0" w:line="104" w:lineRule="exact"/>
              <w:rPr>
                <w:sz w:val="20"/>
                <w:szCs w:val="20"/>
                <w:color w:val="auto"/>
              </w:rPr>
            </w:pPr>
            <w:r>
              <w:rPr>
                <w:rFonts w:ascii="Times New Roman" w:cs="Times New Roman" w:eastAsia="Times New Roman" w:hAnsi="Times New Roman"/>
                <w:sz w:val="12"/>
                <w:szCs w:val="12"/>
                <w:b w:val="1"/>
                <w:bCs w:val="1"/>
                <w:color w:val="auto"/>
              </w:rPr>
              <w:t>Interest income and expense</w:t>
            </w:r>
          </w:p>
        </w:tc>
        <w:tc>
          <w:tcPr>
            <w:tcW w:w="9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40" w:type="dxa"/>
            <w:vAlign w:val="bottom"/>
            <w:tcBorders>
              <w:right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r>
      <w:tr>
        <w:trPr>
          <w:trHeight w:val="121"/>
        </w:trPr>
        <w:tc>
          <w:tcPr>
            <w:tcW w:w="6440" w:type="dxa"/>
            <w:vAlign w:val="bottom"/>
            <w:tcBorders>
              <w:left w:val="single" w:sz="8" w:color="auto"/>
              <w:right w:val="single" w:sz="8" w:color="auto"/>
            </w:tcBorders>
          </w:tcPr>
          <w:p>
            <w:pPr>
              <w:ind w:left="280"/>
              <w:spacing w:after="0" w:line="121" w:lineRule="exact"/>
              <w:rPr>
                <w:sz w:val="20"/>
                <w:szCs w:val="20"/>
                <w:color w:val="auto"/>
              </w:rPr>
            </w:pPr>
            <w:r>
              <w:rPr>
                <w:rFonts w:ascii="Times New Roman" w:cs="Times New Roman" w:eastAsia="Times New Roman" w:hAnsi="Times New Roman"/>
                <w:sz w:val="12"/>
                <w:szCs w:val="12"/>
                <w:color w:val="auto"/>
              </w:rPr>
              <w:t>Interest and similar income</w:t>
            </w:r>
          </w:p>
        </w:tc>
        <w:tc>
          <w:tcPr>
            <w:tcW w:w="980" w:type="dxa"/>
            <w:vAlign w:val="bottom"/>
          </w:tcPr>
          <w:p>
            <w:pPr>
              <w:jc w:val="center"/>
              <w:spacing w:after="0" w:line="121" w:lineRule="exact"/>
              <w:rPr>
                <w:sz w:val="20"/>
                <w:szCs w:val="20"/>
                <w:color w:val="auto"/>
              </w:rPr>
            </w:pPr>
            <w:r>
              <w:rPr>
                <w:rFonts w:ascii="Times New Roman" w:cs="Times New Roman" w:eastAsia="Times New Roman" w:hAnsi="Times New Roman"/>
                <w:sz w:val="12"/>
                <w:szCs w:val="12"/>
                <w:color w:val="auto"/>
                <w:w w:val="99"/>
              </w:rPr>
              <w:t>3,519,001</w:t>
            </w:r>
          </w:p>
        </w:tc>
        <w:tc>
          <w:tcPr>
            <w:tcW w:w="1020" w:type="dxa"/>
            <w:vAlign w:val="bottom"/>
          </w:tcPr>
          <w:p>
            <w:pPr>
              <w:jc w:val="center"/>
              <w:spacing w:after="0" w:line="121" w:lineRule="exact"/>
              <w:rPr>
                <w:sz w:val="20"/>
                <w:szCs w:val="20"/>
                <w:color w:val="auto"/>
              </w:rPr>
            </w:pPr>
            <w:r>
              <w:rPr>
                <w:rFonts w:ascii="Times New Roman" w:cs="Times New Roman" w:eastAsia="Times New Roman" w:hAnsi="Times New Roman"/>
                <w:sz w:val="12"/>
                <w:szCs w:val="12"/>
                <w:color w:val="auto"/>
                <w:w w:val="99"/>
              </w:rPr>
              <w:t>3,663,268</w:t>
            </w:r>
          </w:p>
        </w:tc>
        <w:tc>
          <w:tcPr>
            <w:tcW w:w="1040" w:type="dxa"/>
            <w:vAlign w:val="bottom"/>
            <w:tcBorders>
              <w:right w:val="single" w:sz="8" w:color="auto"/>
            </w:tcBorders>
          </w:tcPr>
          <w:p>
            <w:pPr>
              <w:jc w:val="center"/>
              <w:spacing w:after="0" w:line="121" w:lineRule="exact"/>
              <w:rPr>
                <w:sz w:val="20"/>
                <w:szCs w:val="20"/>
                <w:color w:val="auto"/>
              </w:rPr>
            </w:pPr>
            <w:r>
              <w:rPr>
                <w:rFonts w:ascii="Times New Roman" w:cs="Times New Roman" w:eastAsia="Times New Roman" w:hAnsi="Times New Roman"/>
                <w:sz w:val="12"/>
                <w:szCs w:val="12"/>
                <w:color w:val="auto"/>
                <w:w w:val="95"/>
              </w:rPr>
              <w:t>3,655,168</w:t>
            </w:r>
          </w:p>
        </w:tc>
        <w:tc>
          <w:tcPr>
            <w:tcW w:w="860" w:type="dxa"/>
            <w:vAlign w:val="bottom"/>
          </w:tcPr>
          <w:p>
            <w:pPr>
              <w:jc w:val="center"/>
              <w:spacing w:after="0" w:line="121" w:lineRule="exact"/>
              <w:rPr>
                <w:sz w:val="20"/>
                <w:szCs w:val="20"/>
                <w:color w:val="auto"/>
              </w:rPr>
            </w:pPr>
            <w:r>
              <w:rPr>
                <w:rFonts w:ascii="Times New Roman" w:cs="Times New Roman" w:eastAsia="Times New Roman" w:hAnsi="Times New Roman"/>
                <w:sz w:val="12"/>
                <w:szCs w:val="12"/>
                <w:color w:val="auto"/>
              </w:rPr>
              <w:t>-0.2%</w:t>
            </w:r>
          </w:p>
        </w:tc>
        <w:tc>
          <w:tcPr>
            <w:tcW w:w="920" w:type="dxa"/>
            <w:vAlign w:val="bottom"/>
            <w:tcBorders>
              <w:right w:val="single" w:sz="8" w:color="auto"/>
            </w:tcBorders>
          </w:tcPr>
          <w:p>
            <w:pPr>
              <w:jc w:val="center"/>
              <w:spacing w:after="0" w:line="121" w:lineRule="exact"/>
              <w:rPr>
                <w:sz w:val="20"/>
                <w:szCs w:val="20"/>
                <w:color w:val="auto"/>
              </w:rPr>
            </w:pPr>
            <w:r>
              <w:rPr>
                <w:rFonts w:ascii="Times New Roman" w:cs="Times New Roman" w:eastAsia="Times New Roman" w:hAnsi="Times New Roman"/>
                <w:sz w:val="12"/>
                <w:szCs w:val="12"/>
                <w:color w:val="auto"/>
              </w:rPr>
              <w:t>3.9%</w:t>
            </w:r>
          </w:p>
        </w:tc>
      </w:tr>
      <w:tr>
        <w:trPr>
          <w:trHeight w:val="131"/>
        </w:trPr>
        <w:tc>
          <w:tcPr>
            <w:tcW w:w="6440" w:type="dxa"/>
            <w:vAlign w:val="bottom"/>
            <w:tcBorders>
              <w:left w:val="single" w:sz="8" w:color="auto"/>
              <w:right w:val="single" w:sz="8" w:color="auto"/>
            </w:tcBorders>
          </w:tcPr>
          <w:p>
            <w:pPr>
              <w:ind w:left="280"/>
              <w:spacing w:after="0" w:line="131" w:lineRule="exact"/>
              <w:rPr>
                <w:sz w:val="20"/>
                <w:szCs w:val="20"/>
                <w:color w:val="auto"/>
              </w:rPr>
            </w:pPr>
            <w:r>
              <w:rPr>
                <w:rFonts w:ascii="Times New Roman" w:cs="Times New Roman" w:eastAsia="Times New Roman" w:hAnsi="Times New Roman"/>
                <w:sz w:val="10"/>
                <w:szCs w:val="10"/>
                <w:color w:val="auto"/>
              </w:rPr>
              <w:t xml:space="preserve">Interest and similar expenses </w:t>
            </w:r>
            <w:r>
              <w:rPr>
                <w:rFonts w:ascii="Times New Roman" w:cs="Times New Roman" w:eastAsia="Times New Roman" w:hAnsi="Times New Roman"/>
                <w:sz w:val="15"/>
                <w:szCs w:val="15"/>
                <w:color w:val="auto"/>
                <w:vertAlign w:val="superscript"/>
              </w:rPr>
              <w:t>(1)</w:t>
            </w:r>
          </w:p>
        </w:tc>
        <w:tc>
          <w:tcPr>
            <w:tcW w:w="980" w:type="dxa"/>
            <w:vAlign w:val="bottom"/>
          </w:tcPr>
          <w:p>
            <w:pPr>
              <w:jc w:val="center"/>
              <w:spacing w:after="0" w:line="131" w:lineRule="exact"/>
              <w:rPr>
                <w:sz w:val="20"/>
                <w:szCs w:val="20"/>
                <w:color w:val="auto"/>
              </w:rPr>
            </w:pPr>
            <w:r>
              <w:rPr>
                <w:rFonts w:ascii="Times New Roman" w:cs="Times New Roman" w:eastAsia="Times New Roman" w:hAnsi="Times New Roman"/>
                <w:sz w:val="12"/>
                <w:szCs w:val="12"/>
                <w:color w:val="auto"/>
                <w:w w:val="97"/>
              </w:rPr>
              <w:t>(814,465)</w:t>
            </w:r>
          </w:p>
        </w:tc>
        <w:tc>
          <w:tcPr>
            <w:tcW w:w="1020" w:type="dxa"/>
            <w:vAlign w:val="bottom"/>
          </w:tcPr>
          <w:p>
            <w:pPr>
              <w:jc w:val="center"/>
              <w:spacing w:after="0" w:line="131" w:lineRule="exact"/>
              <w:rPr>
                <w:sz w:val="20"/>
                <w:szCs w:val="20"/>
                <w:color w:val="auto"/>
              </w:rPr>
            </w:pPr>
            <w:r>
              <w:rPr>
                <w:rFonts w:ascii="Times New Roman" w:cs="Times New Roman" w:eastAsia="Times New Roman" w:hAnsi="Times New Roman"/>
                <w:sz w:val="12"/>
                <w:szCs w:val="12"/>
                <w:color w:val="auto"/>
                <w:w w:val="97"/>
              </w:rPr>
              <w:t>(776,688)</w:t>
            </w:r>
          </w:p>
        </w:tc>
        <w:tc>
          <w:tcPr>
            <w:tcW w:w="1040" w:type="dxa"/>
            <w:vAlign w:val="bottom"/>
            <w:tcBorders>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2"/>
                <w:szCs w:val="12"/>
                <w:color w:val="auto"/>
                <w:w w:val="97"/>
              </w:rPr>
              <w:t>(705,611)</w:t>
            </w:r>
          </w:p>
        </w:tc>
        <w:tc>
          <w:tcPr>
            <w:tcW w:w="860" w:type="dxa"/>
            <w:vAlign w:val="bottom"/>
          </w:tcPr>
          <w:p>
            <w:pPr>
              <w:jc w:val="center"/>
              <w:spacing w:after="0" w:line="131" w:lineRule="exact"/>
              <w:rPr>
                <w:sz w:val="20"/>
                <w:szCs w:val="20"/>
                <w:color w:val="auto"/>
              </w:rPr>
            </w:pPr>
            <w:r>
              <w:rPr>
                <w:rFonts w:ascii="Times New Roman" w:cs="Times New Roman" w:eastAsia="Times New Roman" w:hAnsi="Times New Roman"/>
                <w:sz w:val="12"/>
                <w:szCs w:val="12"/>
                <w:color w:val="auto"/>
              </w:rPr>
              <w:t>-9.2%</w:t>
            </w:r>
          </w:p>
        </w:tc>
        <w:tc>
          <w:tcPr>
            <w:tcW w:w="920" w:type="dxa"/>
            <w:vAlign w:val="bottom"/>
            <w:tcBorders>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2"/>
                <w:szCs w:val="12"/>
                <w:color w:val="auto"/>
                <w:w w:val="97"/>
              </w:rPr>
              <w:t>-13.4%</w:t>
            </w:r>
          </w:p>
        </w:tc>
      </w:tr>
      <w:tr>
        <w:trPr>
          <w:trHeight w:val="156"/>
        </w:trPr>
        <w:tc>
          <w:tcPr>
            <w:tcW w:w="6440" w:type="dxa"/>
            <w:vAlign w:val="bottom"/>
            <w:tcBorders>
              <w:left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2"/>
                <w:szCs w:val="12"/>
                <w:b w:val="1"/>
                <w:bCs w:val="1"/>
                <w:color w:val="auto"/>
              </w:rPr>
              <w:t>Interest income and expense</w:t>
            </w: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2,704,536</w:t>
            </w:r>
          </w:p>
        </w:tc>
        <w:tc>
          <w:tcPr>
            <w:tcW w:w="10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2,886,580</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2,949,557</w:t>
            </w:r>
          </w:p>
        </w:tc>
        <w:tc>
          <w:tcPr>
            <w:tcW w:w="8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2.2%</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9.1%</w:t>
            </w:r>
          </w:p>
        </w:tc>
      </w:tr>
      <w:tr>
        <w:trPr>
          <w:trHeight w:val="227"/>
        </w:trPr>
        <w:tc>
          <w:tcPr>
            <w:tcW w:w="64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2"/>
                <w:szCs w:val="12"/>
                <w:color w:val="auto"/>
              </w:rPr>
              <w:t>Provision for credit losses on loan portfolio</w:t>
            </w: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(467,002)</w:t>
            </w:r>
          </w:p>
        </w:tc>
        <w:tc>
          <w:tcPr>
            <w:tcW w:w="10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(532,684)</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(352,577)</w:t>
            </w:r>
          </w:p>
        </w:tc>
        <w:tc>
          <w:tcPr>
            <w:tcW w:w="8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-33.8%</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-24.5%</w:t>
            </w:r>
          </w:p>
        </w:tc>
      </w:tr>
      <w:tr>
        <w:trPr>
          <w:trHeight w:val="125"/>
        </w:trPr>
        <w:tc>
          <w:tcPr>
            <w:tcW w:w="6440" w:type="dxa"/>
            <w:vAlign w:val="bottom"/>
            <w:tcBorders>
              <w:left w:val="single" w:sz="8" w:color="auto"/>
              <w:right w:val="single" w:sz="8" w:color="auto"/>
            </w:tcBorders>
          </w:tcPr>
          <w:p>
            <w:pPr>
              <w:ind w:left="100"/>
              <w:spacing w:after="0" w:line="125" w:lineRule="exact"/>
              <w:rPr>
                <w:sz w:val="20"/>
                <w:szCs w:val="20"/>
                <w:color w:val="auto"/>
              </w:rPr>
            </w:pPr>
            <w:r>
              <w:rPr>
                <w:rFonts w:ascii="Times New Roman" w:cs="Times New Roman" w:eastAsia="Times New Roman" w:hAnsi="Times New Roman"/>
                <w:sz w:val="12"/>
                <w:szCs w:val="12"/>
                <w:color w:val="auto"/>
              </w:rPr>
              <w:t>Recoveries of written-off loans</w:t>
            </w:r>
          </w:p>
        </w:tc>
        <w:tc>
          <w:tcPr>
            <w:tcW w:w="98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auto"/>
                <w:w w:val="96"/>
              </w:rPr>
              <w:t>84,839</w:t>
            </w:r>
          </w:p>
        </w:tc>
        <w:tc>
          <w:tcPr>
            <w:tcW w:w="102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auto"/>
                <w:w w:val="96"/>
              </w:rPr>
              <w:t>99,511</w:t>
            </w:r>
          </w:p>
        </w:tc>
        <w:tc>
          <w:tcPr>
            <w:tcW w:w="1040" w:type="dxa"/>
            <w:vAlign w:val="bottom"/>
            <w:tcBorders>
              <w:right w:val="single" w:sz="8" w:color="auto"/>
            </w:tcBorders>
          </w:tcPr>
          <w:p>
            <w:pPr>
              <w:jc w:val="center"/>
              <w:spacing w:after="0" w:line="125" w:lineRule="exact"/>
              <w:rPr>
                <w:sz w:val="20"/>
                <w:szCs w:val="20"/>
                <w:color w:val="auto"/>
              </w:rPr>
            </w:pPr>
            <w:r>
              <w:rPr>
                <w:rFonts w:ascii="Times New Roman" w:cs="Times New Roman" w:eastAsia="Times New Roman" w:hAnsi="Times New Roman"/>
                <w:sz w:val="12"/>
                <w:szCs w:val="12"/>
                <w:color w:val="auto"/>
                <w:w w:val="97"/>
              </w:rPr>
              <w:t>104,411</w:t>
            </w:r>
          </w:p>
        </w:tc>
        <w:tc>
          <w:tcPr>
            <w:tcW w:w="86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auto"/>
              </w:rPr>
              <w:t>4.9%</w:t>
            </w:r>
          </w:p>
        </w:tc>
        <w:tc>
          <w:tcPr>
            <w:tcW w:w="920" w:type="dxa"/>
            <w:vAlign w:val="bottom"/>
            <w:tcBorders>
              <w:right w:val="single" w:sz="8" w:color="auto"/>
            </w:tcBorders>
          </w:tcPr>
          <w:p>
            <w:pPr>
              <w:jc w:val="center"/>
              <w:spacing w:after="0" w:line="125" w:lineRule="exact"/>
              <w:rPr>
                <w:sz w:val="20"/>
                <w:szCs w:val="20"/>
                <w:color w:val="auto"/>
              </w:rPr>
            </w:pPr>
            <w:r>
              <w:rPr>
                <w:rFonts w:ascii="Times New Roman" w:cs="Times New Roman" w:eastAsia="Times New Roman" w:hAnsi="Times New Roman"/>
                <w:sz w:val="12"/>
                <w:szCs w:val="12"/>
                <w:color w:val="auto"/>
                <w:w w:val="96"/>
              </w:rPr>
              <w:t>23.1%</w:t>
            </w:r>
          </w:p>
        </w:tc>
      </w:tr>
      <w:tr>
        <w:trPr>
          <w:trHeight w:val="156"/>
        </w:trPr>
        <w:tc>
          <w:tcPr>
            <w:tcW w:w="64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2"/>
                <w:szCs w:val="12"/>
                <w:b w:val="1"/>
                <w:bCs w:val="1"/>
                <w:color w:val="auto"/>
              </w:rPr>
              <w:t>Provision for credit losses on loan portfolio, net of recoveries</w:t>
            </w: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(382,163)</w:t>
            </w:r>
          </w:p>
        </w:tc>
        <w:tc>
          <w:tcPr>
            <w:tcW w:w="10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(433,173)</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(248,166)</w:t>
            </w:r>
          </w:p>
        </w:tc>
        <w:tc>
          <w:tcPr>
            <w:tcW w:w="8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-42.7%</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-35.1%</w:t>
            </w:r>
          </w:p>
        </w:tc>
      </w:tr>
      <w:tr>
        <w:trPr>
          <w:trHeight w:val="254"/>
        </w:trPr>
        <w:tc>
          <w:tcPr>
            <w:tcW w:w="64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2"/>
                <w:szCs w:val="12"/>
                <w:b w:val="1"/>
                <w:bCs w:val="1"/>
                <w:color w:val="auto"/>
              </w:rPr>
              <w:t>Net interest, similar income and expenses, after provision for credit losses on loan portfolio</w:t>
            </w: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2,322,373</w:t>
            </w:r>
          </w:p>
        </w:tc>
        <w:tc>
          <w:tcPr>
            <w:tcW w:w="10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2,453,407</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2,701,391</w:t>
            </w:r>
          </w:p>
        </w:tc>
        <w:tc>
          <w:tcPr>
            <w:tcW w:w="8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10.1%</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16.3%</w:t>
            </w:r>
          </w:p>
        </w:tc>
      </w:tr>
      <w:tr>
        <w:trPr>
          <w:trHeight w:val="227"/>
        </w:trPr>
        <w:tc>
          <w:tcPr>
            <w:tcW w:w="64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2"/>
                <w:szCs w:val="12"/>
                <w:b w:val="1"/>
                <w:bCs w:val="1"/>
                <w:color w:val="auto"/>
              </w:rPr>
              <w:t>Other income</w:t>
            </w:r>
          </w:p>
        </w:tc>
        <w:tc>
          <w:tcPr>
            <w:tcW w:w="9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c>
          <w:tcPr>
            <w:tcW w:w="860" w:type="dxa"/>
            <w:vAlign w:val="bottom"/>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r>
      <w:tr>
        <w:trPr>
          <w:trHeight w:val="127"/>
        </w:trPr>
        <w:tc>
          <w:tcPr>
            <w:tcW w:w="6440" w:type="dxa"/>
            <w:vAlign w:val="bottom"/>
            <w:tcBorders>
              <w:left w:val="single" w:sz="8" w:color="auto"/>
              <w:right w:val="single" w:sz="8" w:color="auto"/>
            </w:tcBorders>
          </w:tcPr>
          <w:p>
            <w:pPr>
              <w:ind w:left="140"/>
              <w:spacing w:after="0" w:line="127" w:lineRule="exact"/>
              <w:rPr>
                <w:sz w:val="20"/>
                <w:szCs w:val="20"/>
                <w:color w:val="auto"/>
              </w:rPr>
            </w:pPr>
            <w:r>
              <w:rPr>
                <w:rFonts w:ascii="Times New Roman" w:cs="Times New Roman" w:eastAsia="Times New Roman" w:hAnsi="Times New Roman"/>
                <w:sz w:val="12"/>
                <w:szCs w:val="12"/>
                <w:color w:val="auto"/>
              </w:rPr>
              <w:t>Fee income</w:t>
            </w:r>
          </w:p>
        </w:tc>
        <w:tc>
          <w:tcPr>
            <w:tcW w:w="98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7"/>
              </w:rPr>
              <w:t>831,427</w:t>
            </w:r>
          </w:p>
        </w:tc>
        <w:tc>
          <w:tcPr>
            <w:tcW w:w="102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7"/>
              </w:rPr>
              <w:t>924,682</w:t>
            </w:r>
          </w:p>
        </w:tc>
        <w:tc>
          <w:tcPr>
            <w:tcW w:w="1040" w:type="dxa"/>
            <w:vAlign w:val="bottom"/>
            <w:tcBorders>
              <w:right w:val="single" w:sz="8" w:color="auto"/>
            </w:tcBorders>
          </w:tcPr>
          <w:p>
            <w:pPr>
              <w:jc w:val="center"/>
              <w:spacing w:after="0" w:line="127" w:lineRule="exact"/>
              <w:rPr>
                <w:sz w:val="20"/>
                <w:szCs w:val="20"/>
                <w:color w:val="auto"/>
              </w:rPr>
            </w:pPr>
            <w:r>
              <w:rPr>
                <w:rFonts w:ascii="Times New Roman" w:cs="Times New Roman" w:eastAsia="Times New Roman" w:hAnsi="Times New Roman"/>
                <w:sz w:val="12"/>
                <w:szCs w:val="12"/>
                <w:color w:val="auto"/>
                <w:w w:val="97"/>
              </w:rPr>
              <w:t>961,546</w:t>
            </w:r>
          </w:p>
        </w:tc>
        <w:tc>
          <w:tcPr>
            <w:tcW w:w="86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rPr>
              <w:t>4.0%</w:t>
            </w:r>
          </w:p>
        </w:tc>
        <w:tc>
          <w:tcPr>
            <w:tcW w:w="920" w:type="dxa"/>
            <w:vAlign w:val="bottom"/>
            <w:tcBorders>
              <w:right w:val="single" w:sz="8" w:color="auto"/>
            </w:tcBorders>
          </w:tcPr>
          <w:p>
            <w:pPr>
              <w:jc w:val="center"/>
              <w:spacing w:after="0" w:line="127" w:lineRule="exact"/>
              <w:rPr>
                <w:sz w:val="20"/>
                <w:szCs w:val="20"/>
                <w:color w:val="auto"/>
              </w:rPr>
            </w:pPr>
            <w:r>
              <w:rPr>
                <w:rFonts w:ascii="Times New Roman" w:cs="Times New Roman" w:eastAsia="Times New Roman" w:hAnsi="Times New Roman"/>
                <w:sz w:val="12"/>
                <w:szCs w:val="12"/>
                <w:color w:val="auto"/>
                <w:w w:val="96"/>
              </w:rPr>
              <w:t>15.7%</w:t>
            </w:r>
          </w:p>
        </w:tc>
      </w:tr>
      <w:tr>
        <w:trPr>
          <w:trHeight w:val="127"/>
        </w:trPr>
        <w:tc>
          <w:tcPr>
            <w:tcW w:w="6440" w:type="dxa"/>
            <w:vAlign w:val="bottom"/>
            <w:tcBorders>
              <w:left w:val="single" w:sz="8" w:color="auto"/>
              <w:right w:val="single" w:sz="8" w:color="auto"/>
            </w:tcBorders>
          </w:tcPr>
          <w:p>
            <w:pPr>
              <w:ind w:left="100"/>
              <w:spacing w:after="0" w:line="127" w:lineRule="exact"/>
              <w:rPr>
                <w:sz w:val="20"/>
                <w:szCs w:val="20"/>
                <w:color w:val="auto"/>
              </w:rPr>
            </w:pPr>
            <w:r>
              <w:rPr>
                <w:rFonts w:ascii="Times New Roman" w:cs="Times New Roman" w:eastAsia="Times New Roman" w:hAnsi="Times New Roman"/>
                <w:sz w:val="12"/>
                <w:szCs w:val="12"/>
                <w:color w:val="auto"/>
              </w:rPr>
              <w:t>Net gain on foreign exchange transactions</w:t>
            </w:r>
          </w:p>
        </w:tc>
        <w:tc>
          <w:tcPr>
            <w:tcW w:w="98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7"/>
              </w:rPr>
              <w:t>303,693</w:t>
            </w:r>
          </w:p>
        </w:tc>
        <w:tc>
          <w:tcPr>
            <w:tcW w:w="102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7"/>
              </w:rPr>
              <w:t>371,917</w:t>
            </w:r>
          </w:p>
        </w:tc>
        <w:tc>
          <w:tcPr>
            <w:tcW w:w="1040" w:type="dxa"/>
            <w:vAlign w:val="bottom"/>
            <w:tcBorders>
              <w:right w:val="single" w:sz="8" w:color="auto"/>
            </w:tcBorders>
          </w:tcPr>
          <w:p>
            <w:pPr>
              <w:jc w:val="center"/>
              <w:spacing w:after="0" w:line="127" w:lineRule="exact"/>
              <w:rPr>
                <w:sz w:val="20"/>
                <w:szCs w:val="20"/>
                <w:color w:val="auto"/>
              </w:rPr>
            </w:pPr>
            <w:r>
              <w:rPr>
                <w:rFonts w:ascii="Times New Roman" w:cs="Times New Roman" w:eastAsia="Times New Roman" w:hAnsi="Times New Roman"/>
                <w:sz w:val="12"/>
                <w:szCs w:val="12"/>
                <w:color w:val="auto"/>
                <w:w w:val="97"/>
              </w:rPr>
              <w:t>386,255</w:t>
            </w:r>
          </w:p>
        </w:tc>
        <w:tc>
          <w:tcPr>
            <w:tcW w:w="86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rPr>
              <w:t>3.9%</w:t>
            </w:r>
          </w:p>
        </w:tc>
        <w:tc>
          <w:tcPr>
            <w:tcW w:w="920" w:type="dxa"/>
            <w:vAlign w:val="bottom"/>
            <w:tcBorders>
              <w:right w:val="single" w:sz="8" w:color="auto"/>
            </w:tcBorders>
          </w:tcPr>
          <w:p>
            <w:pPr>
              <w:jc w:val="center"/>
              <w:spacing w:after="0" w:line="127" w:lineRule="exact"/>
              <w:rPr>
                <w:sz w:val="20"/>
                <w:szCs w:val="20"/>
                <w:color w:val="auto"/>
              </w:rPr>
            </w:pPr>
            <w:r>
              <w:rPr>
                <w:rFonts w:ascii="Times New Roman" w:cs="Times New Roman" w:eastAsia="Times New Roman" w:hAnsi="Times New Roman"/>
                <w:sz w:val="12"/>
                <w:szCs w:val="12"/>
                <w:color w:val="auto"/>
                <w:w w:val="96"/>
              </w:rPr>
              <w:t>27.2%</w:t>
            </w:r>
          </w:p>
        </w:tc>
      </w:tr>
      <w:tr>
        <w:trPr>
          <w:trHeight w:val="127"/>
        </w:trPr>
        <w:tc>
          <w:tcPr>
            <w:tcW w:w="6440" w:type="dxa"/>
            <w:vAlign w:val="bottom"/>
            <w:tcBorders>
              <w:left w:val="single" w:sz="8" w:color="auto"/>
              <w:right w:val="single" w:sz="8" w:color="auto"/>
            </w:tcBorders>
          </w:tcPr>
          <w:p>
            <w:pPr>
              <w:ind w:left="100"/>
              <w:spacing w:after="0" w:line="127" w:lineRule="exact"/>
              <w:rPr>
                <w:sz w:val="20"/>
                <w:szCs w:val="20"/>
                <w:color w:val="auto"/>
              </w:rPr>
            </w:pPr>
            <w:r>
              <w:rPr>
                <w:rFonts w:ascii="Times New Roman" w:cs="Times New Roman" w:eastAsia="Times New Roman" w:hAnsi="Times New Roman"/>
                <w:sz w:val="12"/>
                <w:szCs w:val="12"/>
                <w:color w:val="auto"/>
              </w:rPr>
              <w:t>Net gain on securities</w:t>
            </w:r>
          </w:p>
        </w:tc>
        <w:tc>
          <w:tcPr>
            <w:tcW w:w="98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7"/>
              </w:rPr>
              <w:t>100,397</w:t>
            </w:r>
          </w:p>
        </w:tc>
        <w:tc>
          <w:tcPr>
            <w:tcW w:w="102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7"/>
              </w:rPr>
              <w:t>150,134</w:t>
            </w:r>
          </w:p>
        </w:tc>
        <w:tc>
          <w:tcPr>
            <w:tcW w:w="1040" w:type="dxa"/>
            <w:vAlign w:val="bottom"/>
            <w:tcBorders>
              <w:right w:val="single" w:sz="8" w:color="auto"/>
            </w:tcBorders>
          </w:tcPr>
          <w:p>
            <w:pPr>
              <w:jc w:val="center"/>
              <w:spacing w:after="0" w:line="127" w:lineRule="exact"/>
              <w:rPr>
                <w:sz w:val="20"/>
                <w:szCs w:val="20"/>
                <w:color w:val="auto"/>
              </w:rPr>
            </w:pPr>
            <w:r>
              <w:rPr>
                <w:rFonts w:ascii="Times New Roman" w:cs="Times New Roman" w:eastAsia="Times New Roman" w:hAnsi="Times New Roman"/>
                <w:sz w:val="12"/>
                <w:szCs w:val="12"/>
                <w:color w:val="auto"/>
                <w:w w:val="97"/>
              </w:rPr>
              <w:t>201,491</w:t>
            </w:r>
          </w:p>
        </w:tc>
        <w:tc>
          <w:tcPr>
            <w:tcW w:w="86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6"/>
              </w:rPr>
              <w:t>34.2%</w:t>
            </w:r>
          </w:p>
        </w:tc>
        <w:tc>
          <w:tcPr>
            <w:tcW w:w="920" w:type="dxa"/>
            <w:vAlign w:val="bottom"/>
            <w:tcBorders>
              <w:right w:val="single" w:sz="8" w:color="auto"/>
            </w:tcBorders>
          </w:tcPr>
          <w:p>
            <w:pPr>
              <w:jc w:val="center"/>
              <w:spacing w:after="0" w:line="127" w:lineRule="exact"/>
              <w:rPr>
                <w:sz w:val="20"/>
                <w:szCs w:val="20"/>
                <w:color w:val="auto"/>
              </w:rPr>
            </w:pPr>
            <w:r>
              <w:rPr>
                <w:rFonts w:ascii="Times New Roman" w:cs="Times New Roman" w:eastAsia="Times New Roman" w:hAnsi="Times New Roman"/>
                <w:sz w:val="12"/>
                <w:szCs w:val="12"/>
                <w:color w:val="auto"/>
              </w:rPr>
              <w:t>100.7%</w:t>
            </w:r>
          </w:p>
        </w:tc>
      </w:tr>
      <w:tr>
        <w:trPr>
          <w:trHeight w:val="127"/>
        </w:trPr>
        <w:tc>
          <w:tcPr>
            <w:tcW w:w="6440" w:type="dxa"/>
            <w:vAlign w:val="bottom"/>
            <w:tcBorders>
              <w:left w:val="single" w:sz="8" w:color="auto"/>
              <w:right w:val="single" w:sz="8" w:color="auto"/>
            </w:tcBorders>
          </w:tcPr>
          <w:p>
            <w:pPr>
              <w:ind w:left="100"/>
              <w:spacing w:after="0" w:line="127" w:lineRule="exact"/>
              <w:rPr>
                <w:sz w:val="20"/>
                <w:szCs w:val="20"/>
                <w:color w:val="auto"/>
              </w:rPr>
            </w:pPr>
            <w:r>
              <w:rPr>
                <w:rFonts w:ascii="Times New Roman" w:cs="Times New Roman" w:eastAsia="Times New Roman" w:hAnsi="Times New Roman"/>
                <w:sz w:val="12"/>
                <w:szCs w:val="12"/>
                <w:color w:val="auto"/>
              </w:rPr>
              <w:t>Net gain (loss) from associates</w:t>
            </w:r>
          </w:p>
        </w:tc>
        <w:tc>
          <w:tcPr>
            <w:tcW w:w="98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6"/>
              </w:rPr>
              <w:t>1,509</w:t>
            </w:r>
          </w:p>
        </w:tc>
        <w:tc>
          <w:tcPr>
            <w:tcW w:w="102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6"/>
              </w:rPr>
              <w:t>1,413</w:t>
            </w:r>
          </w:p>
        </w:tc>
        <w:tc>
          <w:tcPr>
            <w:tcW w:w="1040" w:type="dxa"/>
            <w:vAlign w:val="bottom"/>
            <w:tcBorders>
              <w:right w:val="single" w:sz="8" w:color="auto"/>
            </w:tcBorders>
          </w:tcPr>
          <w:p>
            <w:pPr>
              <w:jc w:val="center"/>
              <w:spacing w:after="0" w:line="127" w:lineRule="exact"/>
              <w:rPr>
                <w:sz w:val="20"/>
                <w:szCs w:val="20"/>
                <w:color w:val="auto"/>
              </w:rPr>
            </w:pPr>
            <w:r>
              <w:rPr>
                <w:rFonts w:ascii="Times New Roman" w:cs="Times New Roman" w:eastAsia="Times New Roman" w:hAnsi="Times New Roman"/>
                <w:sz w:val="12"/>
                <w:szCs w:val="12"/>
                <w:color w:val="auto"/>
                <w:w w:val="96"/>
              </w:rPr>
              <w:t>3,556</w:t>
            </w:r>
          </w:p>
        </w:tc>
        <w:tc>
          <w:tcPr>
            <w:tcW w:w="86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rPr>
              <w:t>151.7%</w:t>
            </w:r>
          </w:p>
        </w:tc>
        <w:tc>
          <w:tcPr>
            <w:tcW w:w="920" w:type="dxa"/>
            <w:vAlign w:val="bottom"/>
            <w:tcBorders>
              <w:right w:val="single" w:sz="8" w:color="auto"/>
            </w:tcBorders>
          </w:tcPr>
          <w:p>
            <w:pPr>
              <w:jc w:val="center"/>
              <w:spacing w:after="0" w:line="127" w:lineRule="exact"/>
              <w:rPr>
                <w:sz w:val="20"/>
                <w:szCs w:val="20"/>
                <w:color w:val="auto"/>
              </w:rPr>
            </w:pPr>
            <w:r>
              <w:rPr>
                <w:rFonts w:ascii="Times New Roman" w:cs="Times New Roman" w:eastAsia="Times New Roman" w:hAnsi="Times New Roman"/>
                <w:sz w:val="12"/>
                <w:szCs w:val="12"/>
                <w:color w:val="auto"/>
              </w:rPr>
              <w:t>135.7%</w:t>
            </w:r>
          </w:p>
        </w:tc>
      </w:tr>
      <w:tr>
        <w:trPr>
          <w:trHeight w:val="127"/>
        </w:trPr>
        <w:tc>
          <w:tcPr>
            <w:tcW w:w="6440" w:type="dxa"/>
            <w:vAlign w:val="bottom"/>
            <w:tcBorders>
              <w:left w:val="single" w:sz="8" w:color="auto"/>
              <w:right w:val="single" w:sz="8" w:color="auto"/>
            </w:tcBorders>
          </w:tcPr>
          <w:p>
            <w:pPr>
              <w:ind w:left="100"/>
              <w:spacing w:after="0" w:line="127" w:lineRule="exact"/>
              <w:rPr>
                <w:sz w:val="20"/>
                <w:szCs w:val="20"/>
                <w:color w:val="auto"/>
              </w:rPr>
            </w:pPr>
            <w:r>
              <w:rPr>
                <w:rFonts w:ascii="Times New Roman" w:cs="Times New Roman" w:eastAsia="Times New Roman" w:hAnsi="Times New Roman"/>
                <w:sz w:val="12"/>
                <w:szCs w:val="12"/>
                <w:color w:val="auto"/>
              </w:rPr>
              <w:t>Net gain on derivatives held for trading</w:t>
            </w:r>
          </w:p>
        </w:tc>
        <w:tc>
          <w:tcPr>
            <w:tcW w:w="98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6"/>
              </w:rPr>
              <w:t>13,752</w:t>
            </w:r>
          </w:p>
        </w:tc>
        <w:tc>
          <w:tcPr>
            <w:tcW w:w="102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6"/>
              </w:rPr>
              <w:t>17,605</w:t>
            </w:r>
          </w:p>
        </w:tc>
        <w:tc>
          <w:tcPr>
            <w:tcW w:w="1040" w:type="dxa"/>
            <w:vAlign w:val="bottom"/>
            <w:tcBorders>
              <w:right w:val="single" w:sz="8" w:color="auto"/>
            </w:tcBorders>
          </w:tcPr>
          <w:p>
            <w:pPr>
              <w:jc w:val="center"/>
              <w:spacing w:after="0" w:line="127" w:lineRule="exact"/>
              <w:rPr>
                <w:sz w:val="20"/>
                <w:szCs w:val="20"/>
                <w:color w:val="auto"/>
              </w:rPr>
            </w:pPr>
            <w:r>
              <w:rPr>
                <w:rFonts w:ascii="Times New Roman" w:cs="Times New Roman" w:eastAsia="Times New Roman" w:hAnsi="Times New Roman"/>
                <w:sz w:val="12"/>
                <w:szCs w:val="12"/>
                <w:color w:val="auto"/>
                <w:w w:val="96"/>
              </w:rPr>
              <w:t>11,669</w:t>
            </w:r>
          </w:p>
        </w:tc>
        <w:tc>
          <w:tcPr>
            <w:tcW w:w="86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7"/>
              </w:rPr>
              <w:t>-33.7%</w:t>
            </w:r>
          </w:p>
        </w:tc>
        <w:tc>
          <w:tcPr>
            <w:tcW w:w="920" w:type="dxa"/>
            <w:vAlign w:val="bottom"/>
            <w:tcBorders>
              <w:right w:val="single" w:sz="8" w:color="auto"/>
            </w:tcBorders>
          </w:tcPr>
          <w:p>
            <w:pPr>
              <w:jc w:val="center"/>
              <w:spacing w:after="0" w:line="127" w:lineRule="exact"/>
              <w:rPr>
                <w:sz w:val="20"/>
                <w:szCs w:val="20"/>
                <w:color w:val="auto"/>
              </w:rPr>
            </w:pPr>
            <w:r>
              <w:rPr>
                <w:rFonts w:ascii="Times New Roman" w:cs="Times New Roman" w:eastAsia="Times New Roman" w:hAnsi="Times New Roman"/>
                <w:sz w:val="12"/>
                <w:szCs w:val="12"/>
                <w:color w:val="auto"/>
                <w:w w:val="97"/>
              </w:rPr>
              <w:t>-15.1%</w:t>
            </w:r>
          </w:p>
        </w:tc>
      </w:tr>
      <w:tr>
        <w:trPr>
          <w:trHeight w:val="127"/>
        </w:trPr>
        <w:tc>
          <w:tcPr>
            <w:tcW w:w="6440" w:type="dxa"/>
            <w:vAlign w:val="bottom"/>
            <w:tcBorders>
              <w:left w:val="single" w:sz="8" w:color="auto"/>
              <w:right w:val="single" w:sz="8" w:color="auto"/>
            </w:tcBorders>
          </w:tcPr>
          <w:p>
            <w:pPr>
              <w:ind w:left="100"/>
              <w:spacing w:after="0" w:line="127" w:lineRule="exact"/>
              <w:rPr>
                <w:sz w:val="20"/>
                <w:szCs w:val="20"/>
                <w:color w:val="auto"/>
              </w:rPr>
            </w:pPr>
            <w:r>
              <w:rPr>
                <w:rFonts w:ascii="Times New Roman" w:cs="Times New Roman" w:eastAsia="Times New Roman" w:hAnsi="Times New Roman"/>
                <w:sz w:val="12"/>
                <w:szCs w:val="12"/>
                <w:color w:val="auto"/>
              </w:rPr>
              <w:t>Net loss (gain) from exchange differences</w:t>
            </w:r>
          </w:p>
        </w:tc>
        <w:tc>
          <w:tcPr>
            <w:tcW w:w="98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6"/>
              </w:rPr>
              <w:t>1,549</w:t>
            </w:r>
          </w:p>
        </w:tc>
        <w:tc>
          <w:tcPr>
            <w:tcW w:w="102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7"/>
              </w:rPr>
              <w:t>(1,847)</w:t>
            </w:r>
          </w:p>
        </w:tc>
        <w:tc>
          <w:tcPr>
            <w:tcW w:w="1040" w:type="dxa"/>
            <w:vAlign w:val="bottom"/>
            <w:tcBorders>
              <w:right w:val="single" w:sz="8" w:color="auto"/>
            </w:tcBorders>
          </w:tcPr>
          <w:p>
            <w:pPr>
              <w:jc w:val="center"/>
              <w:spacing w:after="0" w:line="127" w:lineRule="exact"/>
              <w:rPr>
                <w:sz w:val="20"/>
                <w:szCs w:val="20"/>
                <w:color w:val="auto"/>
              </w:rPr>
            </w:pPr>
            <w:r>
              <w:rPr>
                <w:rFonts w:ascii="Times New Roman" w:cs="Times New Roman" w:eastAsia="Times New Roman" w:hAnsi="Times New Roman"/>
                <w:sz w:val="12"/>
                <w:szCs w:val="12"/>
                <w:color w:val="auto"/>
              </w:rPr>
              <w:t>18,682</w:t>
            </w:r>
          </w:p>
        </w:tc>
        <w:tc>
          <w:tcPr>
            <w:tcW w:w="86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rPr>
              <w:t>n.a.</w:t>
            </w:r>
          </w:p>
        </w:tc>
        <w:tc>
          <w:tcPr>
            <w:tcW w:w="920" w:type="dxa"/>
            <w:vAlign w:val="bottom"/>
            <w:tcBorders>
              <w:right w:val="single" w:sz="8" w:color="auto"/>
            </w:tcBorders>
          </w:tcPr>
          <w:p>
            <w:pPr>
              <w:jc w:val="center"/>
              <w:spacing w:after="0" w:line="127" w:lineRule="exact"/>
              <w:rPr>
                <w:sz w:val="20"/>
                <w:szCs w:val="20"/>
                <w:color w:val="auto"/>
              </w:rPr>
            </w:pPr>
            <w:r>
              <w:rPr>
                <w:rFonts w:ascii="Times New Roman" w:cs="Times New Roman" w:eastAsia="Times New Roman" w:hAnsi="Times New Roman"/>
                <w:sz w:val="12"/>
                <w:szCs w:val="12"/>
                <w:color w:val="auto"/>
              </w:rPr>
              <w:t>n.a.</w:t>
            </w:r>
          </w:p>
        </w:tc>
      </w:tr>
      <w:tr>
        <w:trPr>
          <w:trHeight w:val="125"/>
        </w:trPr>
        <w:tc>
          <w:tcPr>
            <w:tcW w:w="6440" w:type="dxa"/>
            <w:vAlign w:val="bottom"/>
            <w:tcBorders>
              <w:left w:val="single" w:sz="8" w:color="auto"/>
              <w:right w:val="single" w:sz="8" w:color="auto"/>
            </w:tcBorders>
          </w:tcPr>
          <w:p>
            <w:pPr>
              <w:ind w:left="100"/>
              <w:spacing w:after="0" w:line="125" w:lineRule="exact"/>
              <w:rPr>
                <w:sz w:val="20"/>
                <w:szCs w:val="20"/>
                <w:color w:val="auto"/>
              </w:rPr>
            </w:pPr>
            <w:r>
              <w:rPr>
                <w:rFonts w:ascii="Times New Roman" w:cs="Times New Roman" w:eastAsia="Times New Roman" w:hAnsi="Times New Roman"/>
                <w:sz w:val="12"/>
                <w:szCs w:val="12"/>
                <w:color w:val="auto"/>
              </w:rPr>
              <w:t>Others</w:t>
            </w:r>
          </w:p>
        </w:tc>
        <w:tc>
          <w:tcPr>
            <w:tcW w:w="98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auto"/>
                <w:w w:val="96"/>
              </w:rPr>
              <w:t>23,180</w:t>
            </w:r>
          </w:p>
        </w:tc>
        <w:tc>
          <w:tcPr>
            <w:tcW w:w="102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auto"/>
                <w:w w:val="96"/>
              </w:rPr>
              <w:t>58,607</w:t>
            </w:r>
          </w:p>
        </w:tc>
        <w:tc>
          <w:tcPr>
            <w:tcW w:w="1040" w:type="dxa"/>
            <w:vAlign w:val="bottom"/>
            <w:tcBorders>
              <w:right w:val="single" w:sz="8" w:color="auto"/>
            </w:tcBorders>
          </w:tcPr>
          <w:p>
            <w:pPr>
              <w:jc w:val="center"/>
              <w:spacing w:after="0" w:line="125" w:lineRule="exact"/>
              <w:rPr>
                <w:sz w:val="20"/>
                <w:szCs w:val="20"/>
                <w:color w:val="auto"/>
              </w:rPr>
            </w:pPr>
            <w:r>
              <w:rPr>
                <w:rFonts w:ascii="Times New Roman" w:cs="Times New Roman" w:eastAsia="Times New Roman" w:hAnsi="Times New Roman"/>
                <w:sz w:val="12"/>
                <w:szCs w:val="12"/>
                <w:color w:val="auto"/>
              </w:rPr>
              <w:t>17,534</w:t>
            </w:r>
          </w:p>
        </w:tc>
        <w:tc>
          <w:tcPr>
            <w:tcW w:w="86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auto"/>
                <w:w w:val="97"/>
              </w:rPr>
              <w:t>-70.1%</w:t>
            </w:r>
          </w:p>
        </w:tc>
        <w:tc>
          <w:tcPr>
            <w:tcW w:w="920" w:type="dxa"/>
            <w:vAlign w:val="bottom"/>
            <w:tcBorders>
              <w:right w:val="single" w:sz="8" w:color="auto"/>
            </w:tcBorders>
          </w:tcPr>
          <w:p>
            <w:pPr>
              <w:jc w:val="center"/>
              <w:spacing w:after="0" w:line="125" w:lineRule="exact"/>
              <w:rPr>
                <w:sz w:val="20"/>
                <w:szCs w:val="20"/>
                <w:color w:val="auto"/>
              </w:rPr>
            </w:pPr>
            <w:r>
              <w:rPr>
                <w:rFonts w:ascii="Times New Roman" w:cs="Times New Roman" w:eastAsia="Times New Roman" w:hAnsi="Times New Roman"/>
                <w:sz w:val="12"/>
                <w:szCs w:val="12"/>
                <w:color w:val="auto"/>
                <w:w w:val="97"/>
              </w:rPr>
              <w:t>-24.4%</w:t>
            </w:r>
          </w:p>
        </w:tc>
      </w:tr>
      <w:tr>
        <w:trPr>
          <w:trHeight w:val="156"/>
        </w:trPr>
        <w:tc>
          <w:tcPr>
            <w:tcW w:w="64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2"/>
                <w:szCs w:val="12"/>
                <w:b w:val="1"/>
                <w:bCs w:val="1"/>
                <w:color w:val="auto"/>
              </w:rPr>
              <w:t>Total other income</w:t>
            </w: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1,275,507</w:t>
            </w:r>
          </w:p>
        </w:tc>
        <w:tc>
          <w:tcPr>
            <w:tcW w:w="10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1,522,511</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1,600,733</w:t>
            </w:r>
          </w:p>
        </w:tc>
        <w:tc>
          <w:tcPr>
            <w:tcW w:w="8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5.1%</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25.5%</w:t>
            </w:r>
          </w:p>
        </w:tc>
      </w:tr>
      <w:tr>
        <w:trPr>
          <w:trHeight w:val="227"/>
        </w:trPr>
        <w:tc>
          <w:tcPr>
            <w:tcW w:w="64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2"/>
                <w:szCs w:val="12"/>
                <w:b w:val="1"/>
                <w:bCs w:val="1"/>
                <w:color w:val="auto"/>
              </w:rPr>
              <w:t>Total expenses</w:t>
            </w:r>
          </w:p>
        </w:tc>
        <w:tc>
          <w:tcPr>
            <w:tcW w:w="9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c>
          <w:tcPr>
            <w:tcW w:w="860" w:type="dxa"/>
            <w:vAlign w:val="bottom"/>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r>
      <w:tr>
        <w:trPr>
          <w:trHeight w:val="127"/>
        </w:trPr>
        <w:tc>
          <w:tcPr>
            <w:tcW w:w="6440" w:type="dxa"/>
            <w:vAlign w:val="bottom"/>
            <w:tcBorders>
              <w:left w:val="single" w:sz="8" w:color="auto"/>
              <w:right w:val="single" w:sz="8" w:color="auto"/>
            </w:tcBorders>
          </w:tcPr>
          <w:p>
            <w:pPr>
              <w:ind w:left="280"/>
              <w:spacing w:after="0" w:line="127" w:lineRule="exact"/>
              <w:rPr>
                <w:sz w:val="20"/>
                <w:szCs w:val="20"/>
                <w:color w:val="auto"/>
              </w:rPr>
            </w:pPr>
            <w:r>
              <w:rPr>
                <w:rFonts w:ascii="Times New Roman" w:cs="Times New Roman" w:eastAsia="Times New Roman" w:hAnsi="Times New Roman"/>
                <w:sz w:val="12"/>
                <w:szCs w:val="12"/>
                <w:color w:val="auto"/>
              </w:rPr>
              <w:t>Salaries and employee benefits</w:t>
            </w:r>
          </w:p>
        </w:tc>
        <w:tc>
          <w:tcPr>
            <w:tcW w:w="98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7"/>
              </w:rPr>
              <w:t>(745,935)</w:t>
            </w:r>
          </w:p>
        </w:tc>
        <w:tc>
          <w:tcPr>
            <w:tcW w:w="102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7"/>
              </w:rPr>
              <w:t>(790,252)</w:t>
            </w:r>
          </w:p>
        </w:tc>
        <w:tc>
          <w:tcPr>
            <w:tcW w:w="1040" w:type="dxa"/>
            <w:vAlign w:val="bottom"/>
            <w:tcBorders>
              <w:right w:val="single" w:sz="8" w:color="auto"/>
            </w:tcBorders>
          </w:tcPr>
          <w:p>
            <w:pPr>
              <w:jc w:val="center"/>
              <w:spacing w:after="0" w:line="127" w:lineRule="exact"/>
              <w:rPr>
                <w:sz w:val="20"/>
                <w:szCs w:val="20"/>
                <w:color w:val="auto"/>
              </w:rPr>
            </w:pPr>
            <w:r>
              <w:rPr>
                <w:rFonts w:ascii="Times New Roman" w:cs="Times New Roman" w:eastAsia="Times New Roman" w:hAnsi="Times New Roman"/>
                <w:sz w:val="12"/>
                <w:szCs w:val="12"/>
                <w:color w:val="auto"/>
                <w:w w:val="97"/>
              </w:rPr>
              <w:t>(817,495)</w:t>
            </w:r>
          </w:p>
        </w:tc>
        <w:tc>
          <w:tcPr>
            <w:tcW w:w="86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rPr>
              <w:t>3.4%</w:t>
            </w:r>
          </w:p>
        </w:tc>
        <w:tc>
          <w:tcPr>
            <w:tcW w:w="920" w:type="dxa"/>
            <w:vAlign w:val="bottom"/>
            <w:tcBorders>
              <w:right w:val="single" w:sz="8" w:color="auto"/>
            </w:tcBorders>
          </w:tcPr>
          <w:p>
            <w:pPr>
              <w:jc w:val="center"/>
              <w:spacing w:after="0" w:line="127" w:lineRule="exact"/>
              <w:rPr>
                <w:sz w:val="20"/>
                <w:szCs w:val="20"/>
                <w:color w:val="auto"/>
              </w:rPr>
            </w:pPr>
            <w:r>
              <w:rPr>
                <w:rFonts w:ascii="Times New Roman" w:cs="Times New Roman" w:eastAsia="Times New Roman" w:hAnsi="Times New Roman"/>
                <w:sz w:val="12"/>
                <w:szCs w:val="12"/>
                <w:color w:val="auto"/>
              </w:rPr>
              <w:t>9.6%</w:t>
            </w:r>
          </w:p>
        </w:tc>
      </w:tr>
      <w:tr>
        <w:trPr>
          <w:trHeight w:val="121"/>
        </w:trPr>
        <w:tc>
          <w:tcPr>
            <w:tcW w:w="6440" w:type="dxa"/>
            <w:vAlign w:val="bottom"/>
            <w:tcBorders>
              <w:left w:val="single" w:sz="8" w:color="auto"/>
              <w:right w:val="single" w:sz="8" w:color="auto"/>
            </w:tcBorders>
          </w:tcPr>
          <w:p>
            <w:pPr>
              <w:ind w:left="280"/>
              <w:spacing w:after="0" w:line="121" w:lineRule="exact"/>
              <w:rPr>
                <w:sz w:val="20"/>
                <w:szCs w:val="20"/>
                <w:color w:val="auto"/>
              </w:rPr>
            </w:pPr>
            <w:r>
              <w:rPr>
                <w:rFonts w:ascii="Times New Roman" w:cs="Times New Roman" w:eastAsia="Times New Roman" w:hAnsi="Times New Roman"/>
                <w:sz w:val="12"/>
                <w:szCs w:val="12"/>
                <w:color w:val="auto"/>
              </w:rPr>
              <w:t>Administrative expenses</w:t>
            </w:r>
          </w:p>
        </w:tc>
        <w:tc>
          <w:tcPr>
            <w:tcW w:w="980" w:type="dxa"/>
            <w:vAlign w:val="bottom"/>
          </w:tcPr>
          <w:p>
            <w:pPr>
              <w:jc w:val="center"/>
              <w:spacing w:after="0" w:line="121" w:lineRule="exact"/>
              <w:rPr>
                <w:sz w:val="20"/>
                <w:szCs w:val="20"/>
                <w:color w:val="auto"/>
              </w:rPr>
            </w:pPr>
            <w:r>
              <w:rPr>
                <w:rFonts w:ascii="Times New Roman" w:cs="Times New Roman" w:eastAsia="Times New Roman" w:hAnsi="Times New Roman"/>
                <w:sz w:val="12"/>
                <w:szCs w:val="12"/>
                <w:color w:val="auto"/>
                <w:w w:val="97"/>
              </w:rPr>
              <w:t>(562,439)</w:t>
            </w:r>
          </w:p>
        </w:tc>
        <w:tc>
          <w:tcPr>
            <w:tcW w:w="1020" w:type="dxa"/>
            <w:vAlign w:val="bottom"/>
          </w:tcPr>
          <w:p>
            <w:pPr>
              <w:jc w:val="center"/>
              <w:spacing w:after="0" w:line="121" w:lineRule="exact"/>
              <w:rPr>
                <w:sz w:val="20"/>
                <w:szCs w:val="20"/>
                <w:color w:val="auto"/>
              </w:rPr>
            </w:pPr>
            <w:r>
              <w:rPr>
                <w:rFonts w:ascii="Times New Roman" w:cs="Times New Roman" w:eastAsia="Times New Roman" w:hAnsi="Times New Roman"/>
                <w:sz w:val="12"/>
                <w:szCs w:val="12"/>
                <w:color w:val="auto"/>
                <w:w w:val="97"/>
              </w:rPr>
              <w:t>(840,548)</w:t>
            </w:r>
          </w:p>
        </w:tc>
        <w:tc>
          <w:tcPr>
            <w:tcW w:w="1040" w:type="dxa"/>
            <w:vAlign w:val="bottom"/>
            <w:tcBorders>
              <w:right w:val="single" w:sz="8" w:color="auto"/>
            </w:tcBorders>
          </w:tcPr>
          <w:p>
            <w:pPr>
              <w:jc w:val="center"/>
              <w:spacing w:after="0" w:line="121" w:lineRule="exact"/>
              <w:rPr>
                <w:sz w:val="20"/>
                <w:szCs w:val="20"/>
                <w:color w:val="auto"/>
              </w:rPr>
            </w:pPr>
            <w:r>
              <w:rPr>
                <w:rFonts w:ascii="Times New Roman" w:cs="Times New Roman" w:eastAsia="Times New Roman" w:hAnsi="Times New Roman"/>
                <w:sz w:val="12"/>
                <w:szCs w:val="12"/>
                <w:color w:val="auto"/>
                <w:w w:val="97"/>
              </w:rPr>
              <w:t>(686,749)</w:t>
            </w:r>
          </w:p>
        </w:tc>
        <w:tc>
          <w:tcPr>
            <w:tcW w:w="860" w:type="dxa"/>
            <w:vAlign w:val="bottom"/>
          </w:tcPr>
          <w:p>
            <w:pPr>
              <w:jc w:val="center"/>
              <w:spacing w:after="0" w:line="121" w:lineRule="exact"/>
              <w:rPr>
                <w:sz w:val="20"/>
                <w:szCs w:val="20"/>
                <w:color w:val="auto"/>
              </w:rPr>
            </w:pPr>
            <w:r>
              <w:rPr>
                <w:rFonts w:ascii="Times New Roman" w:cs="Times New Roman" w:eastAsia="Times New Roman" w:hAnsi="Times New Roman"/>
                <w:sz w:val="12"/>
                <w:szCs w:val="12"/>
                <w:color w:val="auto"/>
                <w:w w:val="97"/>
              </w:rPr>
              <w:t>-18.3%</w:t>
            </w:r>
          </w:p>
        </w:tc>
        <w:tc>
          <w:tcPr>
            <w:tcW w:w="920" w:type="dxa"/>
            <w:vAlign w:val="bottom"/>
            <w:tcBorders>
              <w:right w:val="single" w:sz="8" w:color="auto"/>
            </w:tcBorders>
          </w:tcPr>
          <w:p>
            <w:pPr>
              <w:jc w:val="center"/>
              <w:spacing w:after="0" w:line="121" w:lineRule="exact"/>
              <w:rPr>
                <w:sz w:val="20"/>
                <w:szCs w:val="20"/>
                <w:color w:val="auto"/>
              </w:rPr>
            </w:pPr>
            <w:r>
              <w:rPr>
                <w:rFonts w:ascii="Times New Roman" w:cs="Times New Roman" w:eastAsia="Times New Roman" w:hAnsi="Times New Roman"/>
                <w:sz w:val="12"/>
                <w:szCs w:val="12"/>
                <w:color w:val="auto"/>
                <w:w w:val="96"/>
              </w:rPr>
              <w:t>22.1%</w:t>
            </w:r>
          </w:p>
        </w:tc>
      </w:tr>
      <w:tr>
        <w:trPr>
          <w:trHeight w:val="133"/>
        </w:trPr>
        <w:tc>
          <w:tcPr>
            <w:tcW w:w="6440" w:type="dxa"/>
            <w:vAlign w:val="bottom"/>
            <w:tcBorders>
              <w:left w:val="single" w:sz="8" w:color="auto"/>
              <w:right w:val="single" w:sz="8" w:color="auto"/>
            </w:tcBorders>
          </w:tcPr>
          <w:p>
            <w:pPr>
              <w:ind w:left="280"/>
              <w:spacing w:after="0" w:line="133" w:lineRule="exact"/>
              <w:rPr>
                <w:sz w:val="20"/>
                <w:szCs w:val="20"/>
                <w:color w:val="auto"/>
              </w:rPr>
            </w:pPr>
            <w:r>
              <w:rPr>
                <w:rFonts w:ascii="Times New Roman" w:cs="Times New Roman" w:eastAsia="Times New Roman" w:hAnsi="Times New Roman"/>
                <w:sz w:val="10"/>
                <w:szCs w:val="10"/>
                <w:color w:val="auto"/>
              </w:rPr>
              <w:t xml:space="preserve">Depreciation and amortization </w:t>
            </w:r>
            <w:r>
              <w:rPr>
                <w:rFonts w:ascii="Times New Roman" w:cs="Times New Roman" w:eastAsia="Times New Roman" w:hAnsi="Times New Roman"/>
                <w:sz w:val="15"/>
                <w:szCs w:val="15"/>
                <w:color w:val="auto"/>
                <w:vertAlign w:val="superscript"/>
              </w:rPr>
              <w:t>(2)</w:t>
            </w:r>
          </w:p>
        </w:tc>
        <w:tc>
          <w:tcPr>
            <w:tcW w:w="98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7"/>
              </w:rPr>
              <w:t>(145,142)</w:t>
            </w:r>
          </w:p>
        </w:tc>
        <w:tc>
          <w:tcPr>
            <w:tcW w:w="102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7"/>
              </w:rPr>
              <w:t>(164,073)</w:t>
            </w:r>
          </w:p>
        </w:tc>
        <w:tc>
          <w:tcPr>
            <w:tcW w:w="1040" w:type="dxa"/>
            <w:vAlign w:val="bottom"/>
            <w:tcBorders>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7"/>
              </w:rPr>
              <w:t>(168,601)</w:t>
            </w:r>
          </w:p>
        </w:tc>
        <w:tc>
          <w:tcPr>
            <w:tcW w:w="86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2.8%</w:t>
            </w:r>
          </w:p>
        </w:tc>
        <w:tc>
          <w:tcPr>
            <w:tcW w:w="920" w:type="dxa"/>
            <w:vAlign w:val="bottom"/>
            <w:tcBorders>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6"/>
              </w:rPr>
              <w:t>16.2%</w:t>
            </w:r>
          </w:p>
        </w:tc>
      </w:tr>
      <w:tr>
        <w:trPr>
          <w:trHeight w:val="125"/>
        </w:trPr>
        <w:tc>
          <w:tcPr>
            <w:tcW w:w="6440" w:type="dxa"/>
            <w:vAlign w:val="bottom"/>
            <w:tcBorders>
              <w:left w:val="single" w:sz="8" w:color="auto"/>
              <w:right w:val="single" w:sz="8" w:color="auto"/>
            </w:tcBorders>
          </w:tcPr>
          <w:p>
            <w:pPr>
              <w:ind w:left="280"/>
              <w:spacing w:after="0" w:line="125" w:lineRule="exact"/>
              <w:rPr>
                <w:sz w:val="20"/>
                <w:szCs w:val="20"/>
                <w:color w:val="auto"/>
              </w:rPr>
            </w:pPr>
            <w:r>
              <w:rPr>
                <w:rFonts w:ascii="Times New Roman" w:cs="Times New Roman" w:eastAsia="Times New Roman" w:hAnsi="Times New Roman"/>
                <w:sz w:val="12"/>
                <w:szCs w:val="12"/>
                <w:color w:val="auto"/>
              </w:rPr>
              <w:t>Other expenses</w:t>
            </w:r>
          </w:p>
        </w:tc>
        <w:tc>
          <w:tcPr>
            <w:tcW w:w="98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auto"/>
                <w:w w:val="97"/>
              </w:rPr>
              <w:t>(48,353)</w:t>
            </w:r>
          </w:p>
        </w:tc>
        <w:tc>
          <w:tcPr>
            <w:tcW w:w="102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auto"/>
                <w:w w:val="97"/>
              </w:rPr>
              <w:t>(64,624)</w:t>
            </w:r>
          </w:p>
        </w:tc>
        <w:tc>
          <w:tcPr>
            <w:tcW w:w="1040" w:type="dxa"/>
            <w:vAlign w:val="bottom"/>
            <w:tcBorders>
              <w:right w:val="single" w:sz="8" w:color="auto"/>
            </w:tcBorders>
          </w:tcPr>
          <w:p>
            <w:pPr>
              <w:jc w:val="center"/>
              <w:spacing w:after="0" w:line="125" w:lineRule="exact"/>
              <w:rPr>
                <w:sz w:val="20"/>
                <w:szCs w:val="20"/>
                <w:color w:val="auto"/>
              </w:rPr>
            </w:pPr>
            <w:r>
              <w:rPr>
                <w:rFonts w:ascii="Times New Roman" w:cs="Times New Roman" w:eastAsia="Times New Roman" w:hAnsi="Times New Roman"/>
                <w:sz w:val="12"/>
                <w:szCs w:val="12"/>
                <w:color w:val="auto"/>
              </w:rPr>
              <w:t>(51,904)</w:t>
            </w:r>
          </w:p>
        </w:tc>
        <w:tc>
          <w:tcPr>
            <w:tcW w:w="86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auto"/>
                <w:w w:val="97"/>
              </w:rPr>
              <w:t>-19.7%</w:t>
            </w:r>
          </w:p>
        </w:tc>
        <w:tc>
          <w:tcPr>
            <w:tcW w:w="920" w:type="dxa"/>
            <w:vAlign w:val="bottom"/>
            <w:tcBorders>
              <w:right w:val="single" w:sz="8" w:color="auto"/>
            </w:tcBorders>
          </w:tcPr>
          <w:p>
            <w:pPr>
              <w:jc w:val="center"/>
              <w:spacing w:after="0" w:line="125" w:lineRule="exact"/>
              <w:rPr>
                <w:sz w:val="20"/>
                <w:szCs w:val="20"/>
                <w:color w:val="auto"/>
              </w:rPr>
            </w:pPr>
            <w:r>
              <w:rPr>
                <w:rFonts w:ascii="Times New Roman" w:cs="Times New Roman" w:eastAsia="Times New Roman" w:hAnsi="Times New Roman"/>
                <w:sz w:val="12"/>
                <w:szCs w:val="12"/>
                <w:color w:val="auto"/>
              </w:rPr>
              <w:t>7.3%</w:t>
            </w:r>
          </w:p>
        </w:tc>
      </w:tr>
      <w:tr>
        <w:trPr>
          <w:trHeight w:val="156"/>
        </w:trPr>
        <w:tc>
          <w:tcPr>
            <w:tcW w:w="64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2"/>
                <w:szCs w:val="12"/>
                <w:b w:val="1"/>
                <w:bCs w:val="1"/>
                <w:color w:val="auto"/>
              </w:rPr>
              <w:t>Total expenses</w:t>
            </w: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(1,501,869)</w:t>
            </w:r>
          </w:p>
        </w:tc>
        <w:tc>
          <w:tcPr>
            <w:tcW w:w="10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(1,859,497)</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(1,724,749)</w:t>
            </w:r>
          </w:p>
        </w:tc>
        <w:tc>
          <w:tcPr>
            <w:tcW w:w="8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-7.2%</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14.8%</w:t>
            </w:r>
          </w:p>
        </w:tc>
      </w:tr>
      <w:tr>
        <w:trPr>
          <w:trHeight w:val="227"/>
        </w:trPr>
        <w:tc>
          <w:tcPr>
            <w:tcW w:w="64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2"/>
                <w:szCs w:val="12"/>
                <w:b w:val="1"/>
                <w:bCs w:val="1"/>
                <w:color w:val="auto"/>
              </w:rPr>
              <w:t>Profit before income tax</w:t>
            </w: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2,096,011</w:t>
            </w:r>
          </w:p>
        </w:tc>
        <w:tc>
          <w:tcPr>
            <w:tcW w:w="10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2,116,421</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2,577,375</w:t>
            </w:r>
          </w:p>
        </w:tc>
        <w:tc>
          <w:tcPr>
            <w:tcW w:w="8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21.8%</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23.0%</w:t>
            </w:r>
          </w:p>
        </w:tc>
      </w:tr>
      <w:tr>
        <w:trPr>
          <w:trHeight w:val="125"/>
        </w:trPr>
        <w:tc>
          <w:tcPr>
            <w:tcW w:w="6440" w:type="dxa"/>
            <w:vAlign w:val="bottom"/>
            <w:tcBorders>
              <w:left w:val="single" w:sz="8" w:color="auto"/>
              <w:right w:val="single" w:sz="8" w:color="auto"/>
            </w:tcBorders>
          </w:tcPr>
          <w:p>
            <w:pPr>
              <w:ind w:left="100"/>
              <w:spacing w:after="0" w:line="125" w:lineRule="exact"/>
              <w:rPr>
                <w:sz w:val="20"/>
                <w:szCs w:val="20"/>
                <w:color w:val="auto"/>
              </w:rPr>
            </w:pPr>
            <w:r>
              <w:rPr>
                <w:rFonts w:ascii="Times New Roman" w:cs="Times New Roman" w:eastAsia="Times New Roman" w:hAnsi="Times New Roman"/>
                <w:sz w:val="12"/>
                <w:szCs w:val="12"/>
                <w:color w:val="auto"/>
              </w:rPr>
              <w:t>Income tax</w:t>
            </w:r>
          </w:p>
        </w:tc>
        <w:tc>
          <w:tcPr>
            <w:tcW w:w="98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auto"/>
                <w:w w:val="97"/>
              </w:rPr>
              <w:t>(517,741)</w:t>
            </w:r>
          </w:p>
        </w:tc>
        <w:tc>
          <w:tcPr>
            <w:tcW w:w="102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auto"/>
                <w:w w:val="97"/>
              </w:rPr>
              <w:t>(562,559)</w:t>
            </w:r>
          </w:p>
        </w:tc>
        <w:tc>
          <w:tcPr>
            <w:tcW w:w="1040" w:type="dxa"/>
            <w:vAlign w:val="bottom"/>
            <w:tcBorders>
              <w:right w:val="single" w:sz="8" w:color="auto"/>
            </w:tcBorders>
          </w:tcPr>
          <w:p>
            <w:pPr>
              <w:jc w:val="center"/>
              <w:spacing w:after="0" w:line="125" w:lineRule="exact"/>
              <w:rPr>
                <w:sz w:val="20"/>
                <w:szCs w:val="20"/>
                <w:color w:val="auto"/>
              </w:rPr>
            </w:pPr>
            <w:r>
              <w:rPr>
                <w:rFonts w:ascii="Times New Roman" w:cs="Times New Roman" w:eastAsia="Times New Roman" w:hAnsi="Times New Roman"/>
                <w:sz w:val="12"/>
                <w:szCs w:val="12"/>
                <w:color w:val="auto"/>
                <w:w w:val="97"/>
              </w:rPr>
              <w:t>(626,588)</w:t>
            </w:r>
          </w:p>
        </w:tc>
        <w:tc>
          <w:tcPr>
            <w:tcW w:w="86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auto"/>
                <w:w w:val="96"/>
              </w:rPr>
              <w:t>11.4%</w:t>
            </w:r>
          </w:p>
        </w:tc>
        <w:tc>
          <w:tcPr>
            <w:tcW w:w="920" w:type="dxa"/>
            <w:vAlign w:val="bottom"/>
            <w:tcBorders>
              <w:right w:val="single" w:sz="8" w:color="auto"/>
            </w:tcBorders>
          </w:tcPr>
          <w:p>
            <w:pPr>
              <w:jc w:val="center"/>
              <w:spacing w:after="0" w:line="125" w:lineRule="exact"/>
              <w:rPr>
                <w:sz w:val="20"/>
                <w:szCs w:val="20"/>
                <w:color w:val="auto"/>
              </w:rPr>
            </w:pPr>
            <w:r>
              <w:rPr>
                <w:rFonts w:ascii="Times New Roman" w:cs="Times New Roman" w:eastAsia="Times New Roman" w:hAnsi="Times New Roman"/>
                <w:sz w:val="12"/>
                <w:szCs w:val="12"/>
                <w:color w:val="auto"/>
                <w:w w:val="96"/>
              </w:rPr>
              <w:t>21.0%</w:t>
            </w:r>
          </w:p>
        </w:tc>
      </w:tr>
      <w:tr>
        <w:trPr>
          <w:trHeight w:val="129"/>
        </w:trPr>
        <w:tc>
          <w:tcPr>
            <w:tcW w:w="6440" w:type="dxa"/>
            <w:vAlign w:val="bottom"/>
            <w:tcBorders>
              <w:left w:val="single" w:sz="8" w:color="auto"/>
              <w:right w:val="single" w:sz="8" w:color="auto"/>
            </w:tcBorders>
          </w:tcPr>
          <w:p>
            <w:pPr>
              <w:ind w:left="100"/>
              <w:spacing w:after="0" w:line="129" w:lineRule="exact"/>
              <w:rPr>
                <w:sz w:val="20"/>
                <w:szCs w:val="20"/>
                <w:color w:val="auto"/>
              </w:rPr>
            </w:pPr>
            <w:r>
              <w:rPr>
                <w:rFonts w:ascii="Times New Roman" w:cs="Times New Roman" w:eastAsia="Times New Roman" w:hAnsi="Times New Roman"/>
                <w:sz w:val="12"/>
                <w:szCs w:val="12"/>
                <w:b w:val="1"/>
                <w:bCs w:val="1"/>
                <w:color w:val="auto"/>
              </w:rPr>
              <w:t>Net profit</w:t>
            </w:r>
          </w:p>
        </w:tc>
        <w:tc>
          <w:tcPr>
            <w:tcW w:w="980" w:type="dxa"/>
            <w:vAlign w:val="bottom"/>
          </w:tcPr>
          <w:p>
            <w:pPr>
              <w:jc w:val="center"/>
              <w:spacing w:after="0" w:line="129" w:lineRule="exact"/>
              <w:rPr>
                <w:sz w:val="20"/>
                <w:szCs w:val="20"/>
                <w:color w:val="auto"/>
              </w:rPr>
            </w:pPr>
            <w:r>
              <w:rPr>
                <w:rFonts w:ascii="Times New Roman" w:cs="Times New Roman" w:eastAsia="Times New Roman" w:hAnsi="Times New Roman"/>
                <w:sz w:val="12"/>
                <w:szCs w:val="12"/>
                <w:color w:val="auto"/>
                <w:w w:val="99"/>
              </w:rPr>
              <w:t>1,578,270</w:t>
            </w:r>
          </w:p>
        </w:tc>
        <w:tc>
          <w:tcPr>
            <w:tcW w:w="1020" w:type="dxa"/>
            <w:vAlign w:val="bottom"/>
          </w:tcPr>
          <w:p>
            <w:pPr>
              <w:jc w:val="center"/>
              <w:spacing w:after="0" w:line="129" w:lineRule="exact"/>
              <w:rPr>
                <w:sz w:val="20"/>
                <w:szCs w:val="20"/>
                <w:color w:val="auto"/>
              </w:rPr>
            </w:pPr>
            <w:r>
              <w:rPr>
                <w:rFonts w:ascii="Times New Roman" w:cs="Times New Roman" w:eastAsia="Times New Roman" w:hAnsi="Times New Roman"/>
                <w:sz w:val="12"/>
                <w:szCs w:val="12"/>
                <w:color w:val="auto"/>
                <w:w w:val="99"/>
              </w:rPr>
              <w:t>1,553,862</w:t>
            </w:r>
          </w:p>
        </w:tc>
        <w:tc>
          <w:tcPr>
            <w:tcW w:w="1040" w:type="dxa"/>
            <w:vAlign w:val="bottom"/>
            <w:tcBorders>
              <w:right w:val="single" w:sz="8" w:color="auto"/>
            </w:tcBorders>
          </w:tcPr>
          <w:p>
            <w:pPr>
              <w:jc w:val="center"/>
              <w:spacing w:after="0" w:line="129" w:lineRule="exact"/>
              <w:rPr>
                <w:sz w:val="20"/>
                <w:szCs w:val="20"/>
                <w:color w:val="auto"/>
              </w:rPr>
            </w:pPr>
            <w:r>
              <w:rPr>
                <w:rFonts w:ascii="Times New Roman" w:cs="Times New Roman" w:eastAsia="Times New Roman" w:hAnsi="Times New Roman"/>
                <w:sz w:val="12"/>
                <w:szCs w:val="12"/>
                <w:color w:val="auto"/>
                <w:w w:val="95"/>
              </w:rPr>
              <w:t>1,950,787</w:t>
            </w:r>
          </w:p>
        </w:tc>
        <w:tc>
          <w:tcPr>
            <w:tcW w:w="860" w:type="dxa"/>
            <w:vAlign w:val="bottom"/>
          </w:tcPr>
          <w:p>
            <w:pPr>
              <w:jc w:val="center"/>
              <w:spacing w:after="0" w:line="129" w:lineRule="exact"/>
              <w:rPr>
                <w:sz w:val="20"/>
                <w:szCs w:val="20"/>
                <w:color w:val="auto"/>
              </w:rPr>
            </w:pPr>
            <w:r>
              <w:rPr>
                <w:rFonts w:ascii="Times New Roman" w:cs="Times New Roman" w:eastAsia="Times New Roman" w:hAnsi="Times New Roman"/>
                <w:sz w:val="12"/>
                <w:szCs w:val="12"/>
                <w:color w:val="auto"/>
                <w:w w:val="96"/>
              </w:rPr>
              <w:t>25.5%</w:t>
            </w:r>
          </w:p>
        </w:tc>
        <w:tc>
          <w:tcPr>
            <w:tcW w:w="920" w:type="dxa"/>
            <w:vAlign w:val="bottom"/>
            <w:tcBorders>
              <w:right w:val="single" w:sz="8" w:color="auto"/>
            </w:tcBorders>
          </w:tcPr>
          <w:p>
            <w:pPr>
              <w:jc w:val="center"/>
              <w:spacing w:after="0" w:line="129" w:lineRule="exact"/>
              <w:rPr>
                <w:sz w:val="20"/>
                <w:szCs w:val="20"/>
                <w:color w:val="auto"/>
              </w:rPr>
            </w:pPr>
            <w:r>
              <w:rPr>
                <w:rFonts w:ascii="Times New Roman" w:cs="Times New Roman" w:eastAsia="Times New Roman" w:hAnsi="Times New Roman"/>
                <w:sz w:val="12"/>
                <w:szCs w:val="12"/>
                <w:color w:val="auto"/>
                <w:w w:val="96"/>
              </w:rPr>
              <w:t>23.6%</w:t>
            </w:r>
          </w:p>
        </w:tc>
      </w:tr>
      <w:tr>
        <w:trPr>
          <w:trHeight w:val="125"/>
        </w:trPr>
        <w:tc>
          <w:tcPr>
            <w:tcW w:w="6440" w:type="dxa"/>
            <w:vAlign w:val="bottom"/>
            <w:tcBorders>
              <w:left w:val="single" w:sz="8" w:color="auto"/>
              <w:right w:val="single" w:sz="8" w:color="auto"/>
            </w:tcBorders>
          </w:tcPr>
          <w:p>
            <w:pPr>
              <w:ind w:left="280"/>
              <w:spacing w:after="0" w:line="125" w:lineRule="exact"/>
              <w:rPr>
                <w:sz w:val="20"/>
                <w:szCs w:val="20"/>
                <w:color w:val="auto"/>
              </w:rPr>
            </w:pPr>
            <w:r>
              <w:rPr>
                <w:rFonts w:ascii="Times New Roman" w:cs="Times New Roman" w:eastAsia="Times New Roman" w:hAnsi="Times New Roman"/>
                <w:sz w:val="12"/>
                <w:szCs w:val="12"/>
                <w:color w:val="auto"/>
              </w:rPr>
              <w:t>Non-controlling interest</w:t>
            </w:r>
          </w:p>
        </w:tc>
        <w:tc>
          <w:tcPr>
            <w:tcW w:w="9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tcBorders>
              <w:right w:val="single" w:sz="8" w:color="auto"/>
            </w:tcBorders>
          </w:tcPr>
          <w:p>
            <w:pPr>
              <w:spacing w:after="0"/>
              <w:rPr>
                <w:sz w:val="10"/>
                <w:szCs w:val="10"/>
                <w:color w:val="auto"/>
              </w:rPr>
            </w:pPr>
          </w:p>
        </w:tc>
        <w:tc>
          <w:tcPr>
            <w:tcW w:w="860" w:type="dxa"/>
            <w:vAlign w:val="bottom"/>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r>
      <w:tr>
        <w:trPr>
          <w:trHeight w:val="145"/>
        </w:trPr>
        <w:tc>
          <w:tcPr>
            <w:tcW w:w="64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2"/>
                <w:szCs w:val="12"/>
                <w:b w:val="1"/>
                <w:bCs w:val="1"/>
                <w:color w:val="auto"/>
              </w:rPr>
              <w:t>Net profit attributable to BCP</w:t>
            </w: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1,578,270</w:t>
            </w: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1,553,862</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1,950,787</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25.5%</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23.6%</w:t>
            </w:r>
          </w:p>
        </w:tc>
      </w:tr>
    </w:tbl>
    <w:p>
      <w:pPr>
        <w:spacing w:after="0" w:line="187" w:lineRule="exact"/>
        <w:rPr>
          <w:sz w:val="20"/>
          <w:szCs w:val="20"/>
          <w:color w:val="auto"/>
        </w:rPr>
      </w:pPr>
    </w:p>
    <w:p>
      <w:pPr>
        <w:ind w:left="1380" w:hanging="249"/>
        <w:spacing w:after="0"/>
        <w:tabs>
          <w:tab w:leader="none" w:pos="1380"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Financing expenses related to lease agreements are included according to the application of IFRS 16.</w:t>
      </w:r>
    </w:p>
    <w:p>
      <w:pPr>
        <w:ind w:left="1380" w:hanging="249"/>
        <w:spacing w:after="0"/>
        <w:tabs>
          <w:tab w:leader="none" w:pos="1380"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effect of the application of IFRS 16 is included, which corresponds to a greater depreciation for the asset for right-of-use”.</w:t>
      </w:r>
    </w:p>
    <w:p>
      <w:pPr>
        <w:spacing w:after="0" w:line="180"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Selected Financial Indicators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1073150</wp:posOffset>
            </wp:positionH>
            <wp:positionV relativeFrom="paragraph">
              <wp:posOffset>142240</wp:posOffset>
            </wp:positionV>
            <wp:extent cx="4996815" cy="155575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4996815" cy="1555750"/>
                    </a:xfrm>
                    <a:prstGeom prst="rect">
                      <a:avLst/>
                    </a:prstGeom>
                    <a:noFill/>
                  </pic:spPr>
                </pic:pic>
              </a:graphicData>
            </a:graphic>
          </wp:anchor>
        </w:drawing>
      </w:r>
    </w:p>
    <w:p>
      <w:pPr>
        <w:spacing w:after="0" w:line="184" w:lineRule="exact"/>
        <w:rPr>
          <w:sz w:val="20"/>
          <w:szCs w:val="20"/>
          <w:color w:val="auto"/>
        </w:rPr>
      </w:pPr>
    </w:p>
    <w:tbl>
      <w:tblPr>
        <w:tblLayout w:type="fixed"/>
        <w:tblInd w:w="1680" w:type="dxa"/>
        <w:tblCellMar>
          <w:top w:w="0" w:type="dxa"/>
          <w:left w:w="0" w:type="dxa"/>
          <w:bottom w:w="0" w:type="dxa"/>
          <w:right w:w="0" w:type="dxa"/>
        </w:tblCellMar>
      </w:tblPr>
      <w:tr>
        <w:trPr>
          <w:trHeight w:val="122"/>
        </w:trPr>
        <w:tc>
          <w:tcPr>
            <w:tcW w:w="3580" w:type="dxa"/>
            <w:vAlign w:val="bottom"/>
            <w:tcBorders>
              <w:top w:val="single" w:sz="8" w:color="auto"/>
            </w:tcBorders>
            <w:shd w:val="clear" w:color="auto" w:fill="2AD2C9"/>
          </w:tcPr>
          <w:p>
            <w:pPr>
              <w:spacing w:after="0"/>
              <w:rPr>
                <w:sz w:val="10"/>
                <w:szCs w:val="10"/>
                <w:color w:val="auto"/>
              </w:rPr>
            </w:pPr>
          </w:p>
        </w:tc>
        <w:tc>
          <w:tcPr>
            <w:tcW w:w="860" w:type="dxa"/>
            <w:vAlign w:val="bottom"/>
            <w:tcBorders>
              <w:top w:val="single" w:sz="8" w:color="auto"/>
            </w:tcBorders>
            <w:shd w:val="clear" w:color="auto" w:fill="2AD2C9"/>
          </w:tcPr>
          <w:p>
            <w:pPr>
              <w:spacing w:after="0"/>
              <w:rPr>
                <w:sz w:val="10"/>
                <w:szCs w:val="10"/>
                <w:color w:val="auto"/>
              </w:rPr>
            </w:pPr>
          </w:p>
        </w:tc>
        <w:tc>
          <w:tcPr>
            <w:tcW w:w="860" w:type="dxa"/>
            <w:vAlign w:val="bottom"/>
            <w:tcBorders>
              <w:top w:val="single" w:sz="8" w:color="auto"/>
            </w:tcBorders>
            <w:shd w:val="clear" w:color="auto" w:fill="2AD2C9"/>
          </w:tcPr>
          <w:p>
            <w:pPr>
              <w:ind w:left="220"/>
              <w:spacing w:after="0" w:line="122" w:lineRule="exact"/>
              <w:rPr>
                <w:sz w:val="20"/>
                <w:szCs w:val="20"/>
                <w:color w:val="auto"/>
              </w:rPr>
            </w:pPr>
            <w:r>
              <w:rPr>
                <w:rFonts w:ascii="Times New Roman" w:cs="Times New Roman" w:eastAsia="Times New Roman" w:hAnsi="Times New Roman"/>
                <w:sz w:val="12"/>
                <w:szCs w:val="12"/>
                <w:b w:val="1"/>
                <w:bCs w:val="1"/>
                <w:color w:val="FFFFFF"/>
              </w:rPr>
              <w:t>Quarter</w:t>
            </w:r>
          </w:p>
        </w:tc>
        <w:tc>
          <w:tcPr>
            <w:tcW w:w="840" w:type="dxa"/>
            <w:vAlign w:val="bottom"/>
            <w:tcBorders>
              <w:top w:val="single" w:sz="8" w:color="auto"/>
            </w:tcBorders>
            <w:shd w:val="clear" w:color="auto" w:fill="2AD2C9"/>
          </w:tcPr>
          <w:p>
            <w:pPr>
              <w:spacing w:after="0"/>
              <w:rPr>
                <w:sz w:val="10"/>
                <w:szCs w:val="10"/>
                <w:color w:val="auto"/>
              </w:rPr>
            </w:pPr>
          </w:p>
        </w:tc>
        <w:tc>
          <w:tcPr>
            <w:tcW w:w="660" w:type="dxa"/>
            <w:vAlign w:val="bottom"/>
            <w:tcBorders>
              <w:top w:val="single" w:sz="8" w:color="auto"/>
            </w:tcBorders>
            <w:shd w:val="clear" w:color="auto" w:fill="2AD2C9"/>
          </w:tcPr>
          <w:p>
            <w:pPr>
              <w:spacing w:after="0"/>
              <w:rPr>
                <w:sz w:val="10"/>
                <w:szCs w:val="10"/>
                <w:color w:val="auto"/>
              </w:rPr>
            </w:pPr>
          </w:p>
        </w:tc>
        <w:tc>
          <w:tcPr>
            <w:tcW w:w="1060" w:type="dxa"/>
            <w:vAlign w:val="bottom"/>
            <w:tcBorders>
              <w:top w:val="single" w:sz="8" w:color="auto"/>
            </w:tcBorders>
            <w:shd w:val="clear" w:color="auto" w:fill="2AD2C9"/>
          </w:tcPr>
          <w:p>
            <w:pPr>
              <w:ind w:left="20"/>
              <w:spacing w:after="0" w:line="122" w:lineRule="exact"/>
              <w:rPr>
                <w:sz w:val="20"/>
                <w:szCs w:val="20"/>
                <w:color w:val="auto"/>
              </w:rPr>
            </w:pPr>
            <w:r>
              <w:rPr>
                <w:rFonts w:ascii="Times New Roman" w:cs="Times New Roman" w:eastAsia="Times New Roman" w:hAnsi="Times New Roman"/>
                <w:sz w:val="12"/>
                <w:szCs w:val="12"/>
                <w:b w:val="1"/>
                <w:bCs w:val="1"/>
                <w:color w:val="FFFFFF"/>
              </w:rPr>
              <w:t>Change</w:t>
            </w:r>
          </w:p>
        </w:tc>
        <w:tc>
          <w:tcPr>
            <w:tcW w:w="20" w:type="dxa"/>
            <w:vAlign w:val="bottom"/>
            <w:tcBorders>
              <w:top w:val="single" w:sz="8" w:color="auto"/>
            </w:tcBorders>
          </w:tcPr>
          <w:p>
            <w:pPr>
              <w:spacing w:after="0"/>
              <w:rPr>
                <w:sz w:val="10"/>
                <w:szCs w:val="10"/>
                <w:color w:val="auto"/>
              </w:rPr>
            </w:pPr>
          </w:p>
        </w:tc>
      </w:tr>
      <w:tr>
        <w:trPr>
          <w:trHeight w:val="145"/>
        </w:trPr>
        <w:tc>
          <w:tcPr>
            <w:tcW w:w="3580" w:type="dxa"/>
            <w:vAlign w:val="bottom"/>
            <w:tcBorders>
              <w:bottom w:val="single" w:sz="8" w:color="auto"/>
            </w:tcBorders>
            <w:shd w:val="clear" w:color="auto" w:fill="2AD2C9"/>
          </w:tcPr>
          <w:p>
            <w:pPr>
              <w:spacing w:after="0"/>
              <w:rPr>
                <w:sz w:val="12"/>
                <w:szCs w:val="12"/>
                <w:color w:val="auto"/>
              </w:rPr>
            </w:pPr>
          </w:p>
        </w:tc>
        <w:tc>
          <w:tcPr>
            <w:tcW w:w="860" w:type="dxa"/>
            <w:vAlign w:val="bottom"/>
            <w:tcBorders>
              <w:bottom w:val="single" w:sz="8" w:color="auto"/>
            </w:tcBorders>
            <w:shd w:val="clear" w:color="auto" w:fill="2AD2C9"/>
          </w:tcPr>
          <w:p>
            <w:pPr>
              <w:jc w:val="center"/>
              <w:spacing w:after="0"/>
              <w:rPr>
                <w:sz w:val="20"/>
                <w:szCs w:val="20"/>
                <w:color w:val="auto"/>
              </w:rPr>
            </w:pPr>
            <w:r>
              <w:rPr>
                <w:rFonts w:ascii="Times New Roman" w:cs="Times New Roman" w:eastAsia="Times New Roman" w:hAnsi="Times New Roman"/>
                <w:sz w:val="12"/>
                <w:szCs w:val="12"/>
                <w:b w:val="1"/>
                <w:bCs w:val="1"/>
                <w:color w:val="FFFFFF"/>
              </w:rPr>
              <w:t>1Q25</w:t>
            </w:r>
          </w:p>
        </w:tc>
        <w:tc>
          <w:tcPr>
            <w:tcW w:w="860" w:type="dxa"/>
            <w:vAlign w:val="bottom"/>
            <w:tcBorders>
              <w:bottom w:val="single" w:sz="8" w:color="auto"/>
            </w:tcBorders>
            <w:shd w:val="clear" w:color="auto" w:fill="2AD2C9"/>
          </w:tcPr>
          <w:p>
            <w:pPr>
              <w:jc w:val="center"/>
              <w:spacing w:after="0"/>
              <w:rPr>
                <w:sz w:val="20"/>
                <w:szCs w:val="20"/>
                <w:color w:val="auto"/>
              </w:rPr>
            </w:pPr>
            <w:r>
              <w:rPr>
                <w:rFonts w:ascii="Times New Roman" w:cs="Times New Roman" w:eastAsia="Times New Roman" w:hAnsi="Times New Roman"/>
                <w:sz w:val="12"/>
                <w:szCs w:val="12"/>
                <w:b w:val="1"/>
                <w:bCs w:val="1"/>
                <w:color w:val="FFFFFF"/>
              </w:rPr>
              <w:t>4Q25</w:t>
            </w:r>
          </w:p>
        </w:tc>
        <w:tc>
          <w:tcPr>
            <w:tcW w:w="840" w:type="dxa"/>
            <w:vAlign w:val="bottom"/>
            <w:tcBorders>
              <w:bottom w:val="single" w:sz="8" w:color="auto"/>
            </w:tcBorders>
            <w:shd w:val="clear" w:color="auto" w:fill="2AD2C9"/>
          </w:tcPr>
          <w:p>
            <w:pPr>
              <w:jc w:val="center"/>
              <w:spacing w:after="0"/>
              <w:rPr>
                <w:sz w:val="20"/>
                <w:szCs w:val="20"/>
                <w:color w:val="auto"/>
              </w:rPr>
            </w:pPr>
            <w:r>
              <w:rPr>
                <w:rFonts w:ascii="Times New Roman" w:cs="Times New Roman" w:eastAsia="Times New Roman" w:hAnsi="Times New Roman"/>
                <w:sz w:val="12"/>
                <w:szCs w:val="12"/>
                <w:b w:val="1"/>
                <w:bCs w:val="1"/>
                <w:color w:val="FFFFFF"/>
                <w:w w:val="94"/>
              </w:rPr>
              <w:t>1Q26</w:t>
            </w:r>
          </w:p>
        </w:tc>
        <w:tc>
          <w:tcPr>
            <w:tcW w:w="660" w:type="dxa"/>
            <w:vAlign w:val="bottom"/>
            <w:tcBorders>
              <w:bottom w:val="single" w:sz="8" w:color="auto"/>
            </w:tcBorders>
            <w:shd w:val="clear" w:color="auto" w:fill="2AD2C9"/>
          </w:tcPr>
          <w:p>
            <w:pPr>
              <w:jc w:val="center"/>
              <w:ind w:left="161"/>
              <w:spacing w:after="0"/>
              <w:rPr>
                <w:sz w:val="20"/>
                <w:szCs w:val="20"/>
                <w:color w:val="auto"/>
              </w:rPr>
            </w:pPr>
            <w:r>
              <w:rPr>
                <w:rFonts w:ascii="Times New Roman" w:cs="Times New Roman" w:eastAsia="Times New Roman" w:hAnsi="Times New Roman"/>
                <w:sz w:val="12"/>
                <w:szCs w:val="12"/>
                <w:b w:val="1"/>
                <w:bCs w:val="1"/>
                <w:color w:val="FFFFFF"/>
                <w:w w:val="97"/>
              </w:rPr>
              <w:t>QoQ</w:t>
            </w:r>
          </w:p>
        </w:tc>
        <w:tc>
          <w:tcPr>
            <w:tcW w:w="1060" w:type="dxa"/>
            <w:vAlign w:val="bottom"/>
            <w:tcBorders>
              <w:bottom w:val="single" w:sz="8" w:color="auto"/>
            </w:tcBorders>
            <w:shd w:val="clear" w:color="auto" w:fill="2AD2C9"/>
          </w:tcPr>
          <w:p>
            <w:pPr>
              <w:jc w:val="center"/>
              <w:ind w:left="141"/>
              <w:spacing w:after="0"/>
              <w:rPr>
                <w:sz w:val="20"/>
                <w:szCs w:val="20"/>
                <w:color w:val="auto"/>
              </w:rPr>
            </w:pPr>
            <w:r>
              <w:rPr>
                <w:rFonts w:ascii="Times New Roman" w:cs="Times New Roman" w:eastAsia="Times New Roman" w:hAnsi="Times New Roman"/>
                <w:sz w:val="12"/>
                <w:szCs w:val="12"/>
                <w:b w:val="1"/>
                <w:bCs w:val="1"/>
                <w:color w:val="FFFFFF"/>
                <w:w w:val="94"/>
              </w:rPr>
              <w:t>YoY</w:t>
            </w:r>
          </w:p>
        </w:tc>
        <w:tc>
          <w:tcPr>
            <w:tcW w:w="20" w:type="dxa"/>
            <w:vAlign w:val="bottom"/>
            <w:tcBorders>
              <w:bottom w:val="single" w:sz="8" w:color="auto"/>
            </w:tcBorders>
          </w:tcPr>
          <w:p>
            <w:pPr>
              <w:spacing w:after="0"/>
              <w:rPr>
                <w:sz w:val="12"/>
                <w:szCs w:val="12"/>
                <w:color w:val="auto"/>
              </w:rPr>
            </w:pPr>
          </w:p>
        </w:tc>
      </w:tr>
      <w:tr>
        <w:trPr>
          <w:trHeight w:val="98"/>
        </w:trPr>
        <w:tc>
          <w:tcPr>
            <w:tcW w:w="3580" w:type="dxa"/>
            <w:vAlign w:val="bottom"/>
          </w:tcPr>
          <w:p>
            <w:pPr>
              <w:ind w:left="140"/>
              <w:spacing w:after="0" w:line="98" w:lineRule="exact"/>
              <w:rPr>
                <w:sz w:val="20"/>
                <w:szCs w:val="20"/>
                <w:color w:val="auto"/>
              </w:rPr>
            </w:pPr>
            <w:r>
              <w:rPr>
                <w:rFonts w:ascii="Times New Roman" w:cs="Times New Roman" w:eastAsia="Times New Roman" w:hAnsi="Times New Roman"/>
                <w:sz w:val="11"/>
                <w:szCs w:val="11"/>
                <w:b w:val="1"/>
                <w:bCs w:val="1"/>
                <w:color w:val="auto"/>
              </w:rPr>
              <w:t>Profitability</w:t>
            </w:r>
          </w:p>
        </w:tc>
        <w:tc>
          <w:tcPr>
            <w:tcW w:w="8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27"/>
        </w:trPr>
        <w:tc>
          <w:tcPr>
            <w:tcW w:w="3580" w:type="dxa"/>
            <w:vAlign w:val="bottom"/>
          </w:tcPr>
          <w:p>
            <w:pPr>
              <w:ind w:left="280"/>
              <w:spacing w:after="0" w:line="127" w:lineRule="exact"/>
              <w:rPr>
                <w:sz w:val="20"/>
                <w:szCs w:val="20"/>
                <w:color w:val="auto"/>
              </w:rPr>
            </w:pPr>
            <w:r>
              <w:rPr>
                <w:rFonts w:ascii="Times New Roman" w:cs="Times New Roman" w:eastAsia="Times New Roman" w:hAnsi="Times New Roman"/>
                <w:sz w:val="14"/>
                <w:szCs w:val="14"/>
                <w:color w:val="auto"/>
                <w:vertAlign w:val="subscript"/>
              </w:rPr>
              <w:t>ROAA</w:t>
            </w:r>
            <w:r>
              <w:rPr>
                <w:rFonts w:ascii="Times New Roman" w:cs="Times New Roman" w:eastAsia="Times New Roman" w:hAnsi="Times New Roman"/>
                <w:sz w:val="7"/>
                <w:szCs w:val="7"/>
                <w:color w:val="auto"/>
              </w:rPr>
              <w:t xml:space="preserve"> (1)(2)</w:t>
            </w:r>
          </w:p>
        </w:tc>
        <w:tc>
          <w:tcPr>
            <w:tcW w:w="86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5"/>
              </w:rPr>
              <w:t>3.2%</w:t>
            </w:r>
          </w:p>
        </w:tc>
        <w:tc>
          <w:tcPr>
            <w:tcW w:w="86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5"/>
              </w:rPr>
              <w:t>3.1%</w:t>
            </w:r>
          </w:p>
        </w:tc>
        <w:tc>
          <w:tcPr>
            <w:tcW w:w="84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5"/>
              </w:rPr>
              <w:t>3.7%</w:t>
            </w:r>
          </w:p>
        </w:tc>
        <w:tc>
          <w:tcPr>
            <w:tcW w:w="660" w:type="dxa"/>
            <w:vAlign w:val="bottom"/>
          </w:tcPr>
          <w:p>
            <w:pPr>
              <w:jc w:val="center"/>
              <w:ind w:left="161"/>
              <w:spacing w:after="0" w:line="127" w:lineRule="exact"/>
              <w:rPr>
                <w:sz w:val="20"/>
                <w:szCs w:val="20"/>
                <w:color w:val="auto"/>
              </w:rPr>
            </w:pPr>
            <w:r>
              <w:rPr>
                <w:rFonts w:ascii="Times New Roman" w:cs="Times New Roman" w:eastAsia="Times New Roman" w:hAnsi="Times New Roman"/>
                <w:sz w:val="12"/>
                <w:szCs w:val="12"/>
                <w:color w:val="auto"/>
              </w:rPr>
              <w:t>62 bps</w:t>
            </w:r>
          </w:p>
        </w:tc>
        <w:tc>
          <w:tcPr>
            <w:tcW w:w="1060" w:type="dxa"/>
            <w:vAlign w:val="bottom"/>
          </w:tcPr>
          <w:p>
            <w:pPr>
              <w:jc w:val="center"/>
              <w:ind w:left="161"/>
              <w:spacing w:after="0" w:line="127" w:lineRule="exact"/>
              <w:rPr>
                <w:sz w:val="20"/>
                <w:szCs w:val="20"/>
                <w:color w:val="auto"/>
              </w:rPr>
            </w:pPr>
            <w:r>
              <w:rPr>
                <w:rFonts w:ascii="Times New Roman" w:cs="Times New Roman" w:eastAsia="Times New Roman" w:hAnsi="Times New Roman"/>
                <w:sz w:val="12"/>
                <w:szCs w:val="12"/>
                <w:color w:val="auto"/>
              </w:rPr>
              <w:t>51 bps</w:t>
            </w:r>
          </w:p>
        </w:tc>
        <w:tc>
          <w:tcPr>
            <w:tcW w:w="20" w:type="dxa"/>
            <w:vAlign w:val="bottom"/>
          </w:tcPr>
          <w:p>
            <w:pPr>
              <w:spacing w:after="0"/>
              <w:rPr>
                <w:sz w:val="11"/>
                <w:szCs w:val="11"/>
                <w:color w:val="auto"/>
              </w:rPr>
            </w:pPr>
          </w:p>
        </w:tc>
      </w:tr>
      <w:tr>
        <w:trPr>
          <w:trHeight w:val="127"/>
        </w:trPr>
        <w:tc>
          <w:tcPr>
            <w:tcW w:w="3580" w:type="dxa"/>
            <w:vAlign w:val="bottom"/>
          </w:tcPr>
          <w:p>
            <w:pPr>
              <w:ind w:left="280"/>
              <w:spacing w:after="0" w:line="127" w:lineRule="exact"/>
              <w:rPr>
                <w:sz w:val="20"/>
                <w:szCs w:val="20"/>
                <w:color w:val="auto"/>
              </w:rPr>
            </w:pPr>
            <w:r>
              <w:rPr>
                <w:rFonts w:ascii="Times New Roman" w:cs="Times New Roman" w:eastAsia="Times New Roman" w:hAnsi="Times New Roman"/>
                <w:sz w:val="14"/>
                <w:szCs w:val="14"/>
                <w:color w:val="auto"/>
                <w:vertAlign w:val="subscript"/>
              </w:rPr>
              <w:t>ROAE</w:t>
            </w:r>
            <w:r>
              <w:rPr>
                <w:rFonts w:ascii="Times New Roman" w:cs="Times New Roman" w:eastAsia="Times New Roman" w:hAnsi="Times New Roman"/>
                <w:sz w:val="7"/>
                <w:szCs w:val="7"/>
                <w:color w:val="auto"/>
              </w:rPr>
              <w:t xml:space="preserve"> (1)(2)</w:t>
            </w:r>
          </w:p>
        </w:tc>
        <w:tc>
          <w:tcPr>
            <w:tcW w:w="86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rPr>
              <w:t>25.8%</w:t>
            </w:r>
          </w:p>
        </w:tc>
        <w:tc>
          <w:tcPr>
            <w:tcW w:w="86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6"/>
              </w:rPr>
              <w:t>22.6%</w:t>
            </w:r>
          </w:p>
        </w:tc>
        <w:tc>
          <w:tcPr>
            <w:tcW w:w="84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6"/>
              </w:rPr>
              <w:t>29.6%</w:t>
            </w:r>
          </w:p>
        </w:tc>
        <w:tc>
          <w:tcPr>
            <w:tcW w:w="660" w:type="dxa"/>
            <w:vAlign w:val="bottom"/>
          </w:tcPr>
          <w:p>
            <w:pPr>
              <w:jc w:val="center"/>
              <w:ind w:left="161"/>
              <w:spacing w:after="0" w:line="127" w:lineRule="exact"/>
              <w:rPr>
                <w:sz w:val="20"/>
                <w:szCs w:val="20"/>
                <w:color w:val="auto"/>
              </w:rPr>
            </w:pPr>
            <w:r>
              <w:rPr>
                <w:rFonts w:ascii="Times New Roman" w:cs="Times New Roman" w:eastAsia="Times New Roman" w:hAnsi="Times New Roman"/>
                <w:sz w:val="12"/>
                <w:szCs w:val="12"/>
                <w:color w:val="auto"/>
                <w:w w:val="95"/>
              </w:rPr>
              <w:t>699 bps</w:t>
            </w:r>
          </w:p>
        </w:tc>
        <w:tc>
          <w:tcPr>
            <w:tcW w:w="1060" w:type="dxa"/>
            <w:vAlign w:val="bottom"/>
          </w:tcPr>
          <w:p>
            <w:pPr>
              <w:jc w:val="center"/>
              <w:ind w:left="141"/>
              <w:spacing w:after="0" w:line="127" w:lineRule="exact"/>
              <w:rPr>
                <w:sz w:val="20"/>
                <w:szCs w:val="20"/>
                <w:color w:val="auto"/>
              </w:rPr>
            </w:pPr>
            <w:r>
              <w:rPr>
                <w:rFonts w:ascii="Times New Roman" w:cs="Times New Roman" w:eastAsia="Times New Roman" w:hAnsi="Times New Roman"/>
                <w:sz w:val="12"/>
                <w:szCs w:val="12"/>
                <w:color w:val="auto"/>
              </w:rPr>
              <w:t>382 bps</w:t>
            </w:r>
          </w:p>
        </w:tc>
        <w:tc>
          <w:tcPr>
            <w:tcW w:w="20" w:type="dxa"/>
            <w:vAlign w:val="bottom"/>
          </w:tcPr>
          <w:p>
            <w:pPr>
              <w:spacing w:after="0"/>
              <w:rPr>
                <w:sz w:val="11"/>
                <w:szCs w:val="11"/>
                <w:color w:val="auto"/>
              </w:rPr>
            </w:pPr>
          </w:p>
        </w:tc>
      </w:tr>
      <w:tr>
        <w:trPr>
          <w:trHeight w:val="127"/>
        </w:trPr>
        <w:tc>
          <w:tcPr>
            <w:tcW w:w="3580" w:type="dxa"/>
            <w:vAlign w:val="bottom"/>
          </w:tcPr>
          <w:p>
            <w:pPr>
              <w:ind w:left="280"/>
              <w:spacing w:after="0" w:line="127" w:lineRule="exact"/>
              <w:rPr>
                <w:sz w:val="20"/>
                <w:szCs w:val="20"/>
                <w:color w:val="auto"/>
              </w:rPr>
            </w:pPr>
            <w:r>
              <w:rPr>
                <w:rFonts w:ascii="Times New Roman" w:cs="Times New Roman" w:eastAsia="Times New Roman" w:hAnsi="Times New Roman"/>
                <w:sz w:val="9"/>
                <w:szCs w:val="9"/>
                <w:color w:val="auto"/>
              </w:rPr>
              <w:t xml:space="preserve">Net interest margin </w:t>
            </w:r>
            <w:r>
              <w:rPr>
                <w:rFonts w:ascii="Times New Roman" w:cs="Times New Roman" w:eastAsia="Times New Roman" w:hAnsi="Times New Roman"/>
                <w:sz w:val="14"/>
                <w:szCs w:val="14"/>
                <w:color w:val="auto"/>
                <w:vertAlign w:val="superscript"/>
              </w:rPr>
              <w:t>(1)(2)</w:t>
            </w:r>
          </w:p>
        </w:tc>
        <w:tc>
          <w:tcPr>
            <w:tcW w:w="86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rPr>
              <w:t>5.80%</w:t>
            </w:r>
          </w:p>
        </w:tc>
        <w:tc>
          <w:tcPr>
            <w:tcW w:w="86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6"/>
              </w:rPr>
              <w:t>6.11%</w:t>
            </w:r>
          </w:p>
        </w:tc>
        <w:tc>
          <w:tcPr>
            <w:tcW w:w="84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6"/>
              </w:rPr>
              <w:t>6.00%</w:t>
            </w:r>
          </w:p>
        </w:tc>
        <w:tc>
          <w:tcPr>
            <w:tcW w:w="660" w:type="dxa"/>
            <w:vAlign w:val="bottom"/>
          </w:tcPr>
          <w:p>
            <w:pPr>
              <w:jc w:val="center"/>
              <w:ind w:left="161"/>
              <w:spacing w:after="0" w:line="127" w:lineRule="exact"/>
              <w:rPr>
                <w:sz w:val="20"/>
                <w:szCs w:val="20"/>
                <w:color w:val="auto"/>
              </w:rPr>
            </w:pPr>
            <w:r>
              <w:rPr>
                <w:rFonts w:ascii="Times New Roman" w:cs="Times New Roman" w:eastAsia="Times New Roman" w:hAnsi="Times New Roman"/>
                <w:sz w:val="12"/>
                <w:szCs w:val="12"/>
                <w:color w:val="auto"/>
              </w:rPr>
              <w:t>-10 bps</w:t>
            </w:r>
          </w:p>
        </w:tc>
        <w:tc>
          <w:tcPr>
            <w:tcW w:w="1060" w:type="dxa"/>
            <w:vAlign w:val="bottom"/>
          </w:tcPr>
          <w:p>
            <w:pPr>
              <w:jc w:val="center"/>
              <w:ind w:left="161"/>
              <w:spacing w:after="0" w:line="127" w:lineRule="exact"/>
              <w:rPr>
                <w:sz w:val="20"/>
                <w:szCs w:val="20"/>
                <w:color w:val="auto"/>
              </w:rPr>
            </w:pPr>
            <w:r>
              <w:rPr>
                <w:rFonts w:ascii="Times New Roman" w:cs="Times New Roman" w:eastAsia="Times New Roman" w:hAnsi="Times New Roman"/>
                <w:sz w:val="12"/>
                <w:szCs w:val="12"/>
                <w:color w:val="auto"/>
              </w:rPr>
              <w:t>21 bps</w:t>
            </w:r>
          </w:p>
        </w:tc>
        <w:tc>
          <w:tcPr>
            <w:tcW w:w="20" w:type="dxa"/>
            <w:vAlign w:val="bottom"/>
          </w:tcPr>
          <w:p>
            <w:pPr>
              <w:spacing w:after="0"/>
              <w:rPr>
                <w:sz w:val="11"/>
                <w:szCs w:val="11"/>
                <w:color w:val="auto"/>
              </w:rPr>
            </w:pPr>
          </w:p>
        </w:tc>
      </w:tr>
      <w:tr>
        <w:trPr>
          <w:trHeight w:val="127"/>
        </w:trPr>
        <w:tc>
          <w:tcPr>
            <w:tcW w:w="3580" w:type="dxa"/>
            <w:vAlign w:val="bottom"/>
          </w:tcPr>
          <w:p>
            <w:pPr>
              <w:ind w:left="280"/>
              <w:spacing w:after="0" w:line="127" w:lineRule="exact"/>
              <w:rPr>
                <w:sz w:val="20"/>
                <w:szCs w:val="20"/>
                <w:color w:val="auto"/>
              </w:rPr>
            </w:pPr>
            <w:r>
              <w:rPr>
                <w:rFonts w:ascii="Times New Roman" w:cs="Times New Roman" w:eastAsia="Times New Roman" w:hAnsi="Times New Roman"/>
                <w:sz w:val="9"/>
                <w:szCs w:val="9"/>
                <w:color w:val="auto"/>
              </w:rPr>
              <w:t xml:space="preserve">Risk-adjusted Net interest margin </w:t>
            </w:r>
            <w:r>
              <w:rPr>
                <w:rFonts w:ascii="Times New Roman" w:cs="Times New Roman" w:eastAsia="Times New Roman" w:hAnsi="Times New Roman"/>
                <w:sz w:val="14"/>
                <w:szCs w:val="14"/>
                <w:color w:val="auto"/>
                <w:vertAlign w:val="superscript"/>
              </w:rPr>
              <w:t>(1)(2)</w:t>
            </w:r>
          </w:p>
        </w:tc>
        <w:tc>
          <w:tcPr>
            <w:tcW w:w="86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rPr>
              <w:t>4.98%</w:t>
            </w:r>
          </w:p>
        </w:tc>
        <w:tc>
          <w:tcPr>
            <w:tcW w:w="86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6"/>
              </w:rPr>
              <w:t>5.19%</w:t>
            </w:r>
          </w:p>
        </w:tc>
        <w:tc>
          <w:tcPr>
            <w:tcW w:w="84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6"/>
              </w:rPr>
              <w:t>5.50%</w:t>
            </w:r>
          </w:p>
        </w:tc>
        <w:tc>
          <w:tcPr>
            <w:tcW w:w="660" w:type="dxa"/>
            <w:vAlign w:val="bottom"/>
          </w:tcPr>
          <w:p>
            <w:pPr>
              <w:jc w:val="center"/>
              <w:ind w:left="161"/>
              <w:spacing w:after="0" w:line="127" w:lineRule="exact"/>
              <w:rPr>
                <w:sz w:val="20"/>
                <w:szCs w:val="20"/>
                <w:color w:val="auto"/>
              </w:rPr>
            </w:pPr>
            <w:r>
              <w:rPr>
                <w:rFonts w:ascii="Times New Roman" w:cs="Times New Roman" w:eastAsia="Times New Roman" w:hAnsi="Times New Roman"/>
                <w:sz w:val="12"/>
                <w:szCs w:val="12"/>
                <w:color w:val="auto"/>
              </w:rPr>
              <w:t>31 bps</w:t>
            </w:r>
          </w:p>
        </w:tc>
        <w:tc>
          <w:tcPr>
            <w:tcW w:w="1060" w:type="dxa"/>
            <w:vAlign w:val="bottom"/>
          </w:tcPr>
          <w:p>
            <w:pPr>
              <w:jc w:val="center"/>
              <w:ind w:left="161"/>
              <w:spacing w:after="0" w:line="127" w:lineRule="exact"/>
              <w:rPr>
                <w:sz w:val="20"/>
                <w:szCs w:val="20"/>
                <w:color w:val="auto"/>
              </w:rPr>
            </w:pPr>
            <w:r>
              <w:rPr>
                <w:rFonts w:ascii="Times New Roman" w:cs="Times New Roman" w:eastAsia="Times New Roman" w:hAnsi="Times New Roman"/>
                <w:sz w:val="12"/>
                <w:szCs w:val="12"/>
                <w:color w:val="auto"/>
              </w:rPr>
              <w:t>52 bps</w:t>
            </w:r>
          </w:p>
        </w:tc>
        <w:tc>
          <w:tcPr>
            <w:tcW w:w="20" w:type="dxa"/>
            <w:vAlign w:val="bottom"/>
          </w:tcPr>
          <w:p>
            <w:pPr>
              <w:spacing w:after="0"/>
              <w:rPr>
                <w:sz w:val="11"/>
                <w:szCs w:val="11"/>
                <w:color w:val="auto"/>
              </w:rPr>
            </w:pPr>
          </w:p>
        </w:tc>
      </w:tr>
      <w:tr>
        <w:trPr>
          <w:trHeight w:val="258"/>
        </w:trPr>
        <w:tc>
          <w:tcPr>
            <w:tcW w:w="358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 xml:space="preserve">Funding cost </w:t>
            </w:r>
            <w:r>
              <w:rPr>
                <w:rFonts w:ascii="Times New Roman" w:cs="Times New Roman" w:eastAsia="Times New Roman" w:hAnsi="Times New Roman"/>
                <w:sz w:val="19"/>
                <w:szCs w:val="19"/>
                <w:color w:val="auto"/>
                <w:vertAlign w:val="superscript"/>
              </w:rPr>
              <w:t>(1)(2)(3)</w:t>
            </w:r>
          </w:p>
        </w:tc>
        <w:tc>
          <w:tcPr>
            <w:tcW w:w="8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1.99%</w:t>
            </w:r>
          </w:p>
        </w:tc>
        <w:tc>
          <w:tcPr>
            <w:tcW w:w="8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1.87%</w:t>
            </w:r>
          </w:p>
        </w:tc>
        <w:tc>
          <w:tcPr>
            <w:tcW w:w="8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1.63%</w:t>
            </w:r>
          </w:p>
        </w:tc>
        <w:tc>
          <w:tcPr>
            <w:tcW w:w="660" w:type="dxa"/>
            <w:vAlign w:val="bottom"/>
          </w:tcPr>
          <w:p>
            <w:pPr>
              <w:jc w:val="center"/>
              <w:ind w:left="161"/>
              <w:spacing w:after="0"/>
              <w:rPr>
                <w:sz w:val="20"/>
                <w:szCs w:val="20"/>
                <w:color w:val="auto"/>
              </w:rPr>
            </w:pPr>
            <w:r>
              <w:rPr>
                <w:rFonts w:ascii="Times New Roman" w:cs="Times New Roman" w:eastAsia="Times New Roman" w:hAnsi="Times New Roman"/>
                <w:sz w:val="12"/>
                <w:szCs w:val="12"/>
                <w:color w:val="auto"/>
              </w:rPr>
              <w:t>-24 bps</w:t>
            </w:r>
          </w:p>
        </w:tc>
        <w:tc>
          <w:tcPr>
            <w:tcW w:w="1060" w:type="dxa"/>
            <w:vAlign w:val="bottom"/>
          </w:tcPr>
          <w:p>
            <w:pPr>
              <w:jc w:val="center"/>
              <w:ind w:left="161"/>
              <w:spacing w:after="0"/>
              <w:rPr>
                <w:sz w:val="20"/>
                <w:szCs w:val="20"/>
                <w:color w:val="auto"/>
              </w:rPr>
            </w:pPr>
            <w:r>
              <w:rPr>
                <w:rFonts w:ascii="Times New Roman" w:cs="Times New Roman" w:eastAsia="Times New Roman" w:hAnsi="Times New Roman"/>
                <w:sz w:val="12"/>
                <w:szCs w:val="12"/>
                <w:color w:val="auto"/>
              </w:rPr>
              <w:t>-36 bps</w:t>
            </w:r>
          </w:p>
        </w:tc>
        <w:tc>
          <w:tcPr>
            <w:tcW w:w="20" w:type="dxa"/>
            <w:vAlign w:val="bottom"/>
          </w:tcPr>
          <w:p>
            <w:pPr>
              <w:spacing w:after="0"/>
              <w:rPr>
                <w:sz w:val="22"/>
                <w:szCs w:val="22"/>
                <w:color w:val="auto"/>
              </w:rPr>
            </w:pPr>
          </w:p>
        </w:tc>
      </w:tr>
      <w:tr>
        <w:trPr>
          <w:trHeight w:val="129"/>
        </w:trPr>
        <w:tc>
          <w:tcPr>
            <w:tcW w:w="3580" w:type="dxa"/>
            <w:vAlign w:val="bottom"/>
          </w:tcPr>
          <w:p>
            <w:pPr>
              <w:ind w:left="120"/>
              <w:spacing w:after="0" w:line="129" w:lineRule="exact"/>
              <w:rPr>
                <w:sz w:val="20"/>
                <w:szCs w:val="20"/>
                <w:color w:val="auto"/>
              </w:rPr>
            </w:pPr>
            <w:r>
              <w:rPr>
                <w:rFonts w:ascii="Times New Roman" w:cs="Times New Roman" w:eastAsia="Times New Roman" w:hAnsi="Times New Roman"/>
                <w:sz w:val="12"/>
                <w:szCs w:val="12"/>
                <w:b w:val="1"/>
                <w:bCs w:val="1"/>
                <w:color w:val="auto"/>
              </w:rPr>
              <w:t>Loan portfolio quality</w:t>
            </w: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27"/>
        </w:trPr>
        <w:tc>
          <w:tcPr>
            <w:tcW w:w="3580" w:type="dxa"/>
            <w:vAlign w:val="bottom"/>
          </w:tcPr>
          <w:p>
            <w:pPr>
              <w:ind w:left="280"/>
              <w:spacing w:after="0" w:line="127" w:lineRule="exact"/>
              <w:rPr>
                <w:sz w:val="20"/>
                <w:szCs w:val="20"/>
                <w:color w:val="auto"/>
              </w:rPr>
            </w:pPr>
            <w:r>
              <w:rPr>
                <w:rFonts w:ascii="Times New Roman" w:cs="Times New Roman" w:eastAsia="Times New Roman" w:hAnsi="Times New Roman"/>
                <w:sz w:val="12"/>
                <w:szCs w:val="12"/>
                <w:color w:val="auto"/>
              </w:rPr>
              <w:t>Internal overdue ratio</w:t>
            </w:r>
          </w:p>
        </w:tc>
        <w:tc>
          <w:tcPr>
            <w:tcW w:w="86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5"/>
              </w:rPr>
              <w:t>3.5%</w:t>
            </w:r>
          </w:p>
        </w:tc>
        <w:tc>
          <w:tcPr>
            <w:tcW w:w="86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5"/>
              </w:rPr>
              <w:t>3.1%</w:t>
            </w:r>
          </w:p>
        </w:tc>
        <w:tc>
          <w:tcPr>
            <w:tcW w:w="84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5"/>
              </w:rPr>
              <w:t>2.8%</w:t>
            </w:r>
          </w:p>
        </w:tc>
        <w:tc>
          <w:tcPr>
            <w:tcW w:w="660" w:type="dxa"/>
            <w:vAlign w:val="bottom"/>
          </w:tcPr>
          <w:p>
            <w:pPr>
              <w:jc w:val="center"/>
              <w:ind w:left="161"/>
              <w:spacing w:after="0" w:line="127" w:lineRule="exact"/>
              <w:rPr>
                <w:sz w:val="20"/>
                <w:szCs w:val="20"/>
                <w:color w:val="auto"/>
              </w:rPr>
            </w:pPr>
            <w:r>
              <w:rPr>
                <w:rFonts w:ascii="Times New Roman" w:cs="Times New Roman" w:eastAsia="Times New Roman" w:hAnsi="Times New Roman"/>
                <w:sz w:val="12"/>
                <w:szCs w:val="12"/>
                <w:color w:val="auto"/>
              </w:rPr>
              <w:t>-31 bps</w:t>
            </w:r>
          </w:p>
        </w:tc>
        <w:tc>
          <w:tcPr>
            <w:tcW w:w="1060" w:type="dxa"/>
            <w:vAlign w:val="bottom"/>
          </w:tcPr>
          <w:p>
            <w:pPr>
              <w:jc w:val="center"/>
              <w:ind w:left="161"/>
              <w:spacing w:after="0" w:line="127" w:lineRule="exact"/>
              <w:rPr>
                <w:sz w:val="20"/>
                <w:szCs w:val="20"/>
                <w:color w:val="auto"/>
              </w:rPr>
            </w:pPr>
            <w:r>
              <w:rPr>
                <w:rFonts w:ascii="Times New Roman" w:cs="Times New Roman" w:eastAsia="Times New Roman" w:hAnsi="Times New Roman"/>
                <w:sz w:val="12"/>
                <w:szCs w:val="12"/>
                <w:color w:val="auto"/>
              </w:rPr>
              <w:t>-72 bps</w:t>
            </w:r>
          </w:p>
        </w:tc>
        <w:tc>
          <w:tcPr>
            <w:tcW w:w="20" w:type="dxa"/>
            <w:vAlign w:val="bottom"/>
          </w:tcPr>
          <w:p>
            <w:pPr>
              <w:spacing w:after="0"/>
              <w:rPr>
                <w:sz w:val="11"/>
                <w:szCs w:val="11"/>
                <w:color w:val="auto"/>
              </w:rPr>
            </w:pPr>
          </w:p>
        </w:tc>
      </w:tr>
      <w:tr>
        <w:trPr>
          <w:trHeight w:val="127"/>
        </w:trPr>
        <w:tc>
          <w:tcPr>
            <w:tcW w:w="3580" w:type="dxa"/>
            <w:vAlign w:val="bottom"/>
          </w:tcPr>
          <w:p>
            <w:pPr>
              <w:ind w:left="280"/>
              <w:spacing w:after="0" w:line="127" w:lineRule="exact"/>
              <w:rPr>
                <w:sz w:val="20"/>
                <w:szCs w:val="20"/>
                <w:color w:val="auto"/>
              </w:rPr>
            </w:pPr>
            <w:r>
              <w:rPr>
                <w:rFonts w:ascii="Times New Roman" w:cs="Times New Roman" w:eastAsia="Times New Roman" w:hAnsi="Times New Roman"/>
                <w:sz w:val="12"/>
                <w:szCs w:val="12"/>
                <w:color w:val="auto"/>
              </w:rPr>
              <w:t>NPL ratio</w:t>
            </w:r>
          </w:p>
        </w:tc>
        <w:tc>
          <w:tcPr>
            <w:tcW w:w="86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5"/>
              </w:rPr>
              <w:t>5.0%</w:t>
            </w:r>
          </w:p>
        </w:tc>
        <w:tc>
          <w:tcPr>
            <w:tcW w:w="86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5"/>
              </w:rPr>
              <w:t>4.5%</w:t>
            </w:r>
          </w:p>
        </w:tc>
        <w:tc>
          <w:tcPr>
            <w:tcW w:w="84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5"/>
              </w:rPr>
              <w:t>4.2%</w:t>
            </w:r>
          </w:p>
        </w:tc>
        <w:tc>
          <w:tcPr>
            <w:tcW w:w="660" w:type="dxa"/>
            <w:vAlign w:val="bottom"/>
          </w:tcPr>
          <w:p>
            <w:pPr>
              <w:jc w:val="center"/>
              <w:ind w:left="161"/>
              <w:spacing w:after="0" w:line="127" w:lineRule="exact"/>
              <w:rPr>
                <w:sz w:val="20"/>
                <w:szCs w:val="20"/>
                <w:color w:val="auto"/>
              </w:rPr>
            </w:pPr>
            <w:r>
              <w:rPr>
                <w:rFonts w:ascii="Times New Roman" w:cs="Times New Roman" w:eastAsia="Times New Roman" w:hAnsi="Times New Roman"/>
                <w:sz w:val="12"/>
                <w:szCs w:val="12"/>
                <w:color w:val="auto"/>
              </w:rPr>
              <w:t>-32 bps</w:t>
            </w:r>
          </w:p>
        </w:tc>
        <w:tc>
          <w:tcPr>
            <w:tcW w:w="1060" w:type="dxa"/>
            <w:vAlign w:val="bottom"/>
          </w:tcPr>
          <w:p>
            <w:pPr>
              <w:jc w:val="center"/>
              <w:ind w:left="161"/>
              <w:spacing w:after="0" w:line="127" w:lineRule="exact"/>
              <w:rPr>
                <w:sz w:val="20"/>
                <w:szCs w:val="20"/>
                <w:color w:val="auto"/>
              </w:rPr>
            </w:pPr>
            <w:r>
              <w:rPr>
                <w:rFonts w:ascii="Times New Roman" w:cs="Times New Roman" w:eastAsia="Times New Roman" w:hAnsi="Times New Roman"/>
                <w:sz w:val="12"/>
                <w:szCs w:val="12"/>
                <w:color w:val="auto"/>
              </w:rPr>
              <w:t>-86 bps</w:t>
            </w:r>
          </w:p>
        </w:tc>
        <w:tc>
          <w:tcPr>
            <w:tcW w:w="20" w:type="dxa"/>
            <w:vAlign w:val="bottom"/>
          </w:tcPr>
          <w:p>
            <w:pPr>
              <w:spacing w:after="0"/>
              <w:rPr>
                <w:sz w:val="11"/>
                <w:szCs w:val="11"/>
                <w:color w:val="auto"/>
              </w:rPr>
            </w:pPr>
          </w:p>
        </w:tc>
      </w:tr>
      <w:tr>
        <w:trPr>
          <w:trHeight w:val="127"/>
        </w:trPr>
        <w:tc>
          <w:tcPr>
            <w:tcW w:w="3580" w:type="dxa"/>
            <w:vAlign w:val="bottom"/>
          </w:tcPr>
          <w:p>
            <w:pPr>
              <w:ind w:left="280"/>
              <w:spacing w:after="0" w:line="127" w:lineRule="exact"/>
              <w:rPr>
                <w:sz w:val="20"/>
                <w:szCs w:val="20"/>
                <w:color w:val="auto"/>
              </w:rPr>
            </w:pPr>
            <w:r>
              <w:rPr>
                <w:rFonts w:ascii="Times New Roman" w:cs="Times New Roman" w:eastAsia="Times New Roman" w:hAnsi="Times New Roman"/>
                <w:sz w:val="12"/>
                <w:szCs w:val="12"/>
                <w:color w:val="auto"/>
              </w:rPr>
              <w:t>Coverage ratio of IOLs</w:t>
            </w:r>
          </w:p>
        </w:tc>
        <w:tc>
          <w:tcPr>
            <w:tcW w:w="86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7"/>
              </w:rPr>
              <w:t>153.7%</w:t>
            </w:r>
          </w:p>
        </w:tc>
        <w:tc>
          <w:tcPr>
            <w:tcW w:w="86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7"/>
              </w:rPr>
              <w:t>161.6%</w:t>
            </w:r>
          </w:p>
        </w:tc>
        <w:tc>
          <w:tcPr>
            <w:tcW w:w="84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7"/>
              </w:rPr>
              <w:t>166.9%</w:t>
            </w:r>
          </w:p>
        </w:tc>
        <w:tc>
          <w:tcPr>
            <w:tcW w:w="660" w:type="dxa"/>
            <w:vAlign w:val="bottom"/>
          </w:tcPr>
          <w:p>
            <w:pPr>
              <w:jc w:val="center"/>
              <w:ind w:left="161"/>
              <w:spacing w:after="0" w:line="127" w:lineRule="exact"/>
              <w:rPr>
                <w:sz w:val="20"/>
                <w:szCs w:val="20"/>
                <w:color w:val="auto"/>
              </w:rPr>
            </w:pPr>
            <w:r>
              <w:rPr>
                <w:rFonts w:ascii="Times New Roman" w:cs="Times New Roman" w:eastAsia="Times New Roman" w:hAnsi="Times New Roman"/>
                <w:sz w:val="12"/>
                <w:szCs w:val="12"/>
                <w:color w:val="auto"/>
                <w:w w:val="95"/>
              </w:rPr>
              <w:t>533 bps</w:t>
            </w:r>
          </w:p>
        </w:tc>
        <w:tc>
          <w:tcPr>
            <w:tcW w:w="1060" w:type="dxa"/>
            <w:vAlign w:val="bottom"/>
          </w:tcPr>
          <w:p>
            <w:pPr>
              <w:jc w:val="center"/>
              <w:ind w:left="141"/>
              <w:spacing w:after="0" w:line="127" w:lineRule="exact"/>
              <w:rPr>
                <w:sz w:val="20"/>
                <w:szCs w:val="20"/>
                <w:color w:val="auto"/>
              </w:rPr>
            </w:pPr>
            <w:r>
              <w:rPr>
                <w:rFonts w:ascii="Times New Roman" w:cs="Times New Roman" w:eastAsia="Times New Roman" w:hAnsi="Times New Roman"/>
                <w:sz w:val="12"/>
                <w:szCs w:val="12"/>
                <w:color w:val="auto"/>
                <w:w w:val="96"/>
              </w:rPr>
              <w:t>1320 bps</w:t>
            </w:r>
          </w:p>
        </w:tc>
        <w:tc>
          <w:tcPr>
            <w:tcW w:w="20" w:type="dxa"/>
            <w:vAlign w:val="bottom"/>
          </w:tcPr>
          <w:p>
            <w:pPr>
              <w:spacing w:after="0"/>
              <w:rPr>
                <w:sz w:val="11"/>
                <w:szCs w:val="11"/>
                <w:color w:val="auto"/>
              </w:rPr>
            </w:pPr>
          </w:p>
        </w:tc>
      </w:tr>
      <w:tr>
        <w:trPr>
          <w:trHeight w:val="121"/>
        </w:trPr>
        <w:tc>
          <w:tcPr>
            <w:tcW w:w="3580" w:type="dxa"/>
            <w:vAlign w:val="bottom"/>
          </w:tcPr>
          <w:p>
            <w:pPr>
              <w:ind w:left="280"/>
              <w:spacing w:after="0" w:line="121" w:lineRule="exact"/>
              <w:rPr>
                <w:sz w:val="20"/>
                <w:szCs w:val="20"/>
                <w:color w:val="auto"/>
              </w:rPr>
            </w:pPr>
            <w:r>
              <w:rPr>
                <w:rFonts w:ascii="Times New Roman" w:cs="Times New Roman" w:eastAsia="Times New Roman" w:hAnsi="Times New Roman"/>
                <w:sz w:val="12"/>
                <w:szCs w:val="12"/>
                <w:color w:val="auto"/>
              </w:rPr>
              <w:t>Coverage ratio of NPLs</w:t>
            </w:r>
          </w:p>
        </w:tc>
        <w:tc>
          <w:tcPr>
            <w:tcW w:w="860" w:type="dxa"/>
            <w:vAlign w:val="bottom"/>
          </w:tcPr>
          <w:p>
            <w:pPr>
              <w:jc w:val="center"/>
              <w:spacing w:after="0" w:line="121" w:lineRule="exact"/>
              <w:rPr>
                <w:sz w:val="20"/>
                <w:szCs w:val="20"/>
                <w:color w:val="auto"/>
              </w:rPr>
            </w:pPr>
            <w:r>
              <w:rPr>
                <w:rFonts w:ascii="Times New Roman" w:cs="Times New Roman" w:eastAsia="Times New Roman" w:hAnsi="Times New Roman"/>
                <w:sz w:val="12"/>
                <w:szCs w:val="12"/>
                <w:color w:val="auto"/>
                <w:w w:val="97"/>
              </w:rPr>
              <w:t>107.6%</w:t>
            </w:r>
          </w:p>
        </w:tc>
        <w:tc>
          <w:tcPr>
            <w:tcW w:w="860" w:type="dxa"/>
            <w:vAlign w:val="bottom"/>
          </w:tcPr>
          <w:p>
            <w:pPr>
              <w:jc w:val="center"/>
              <w:spacing w:after="0" w:line="121" w:lineRule="exact"/>
              <w:rPr>
                <w:sz w:val="20"/>
                <w:szCs w:val="20"/>
                <w:color w:val="auto"/>
              </w:rPr>
            </w:pPr>
            <w:r>
              <w:rPr>
                <w:rFonts w:ascii="Times New Roman" w:cs="Times New Roman" w:eastAsia="Times New Roman" w:hAnsi="Times New Roman"/>
                <w:sz w:val="12"/>
                <w:szCs w:val="12"/>
                <w:color w:val="auto"/>
                <w:w w:val="97"/>
              </w:rPr>
              <w:t>112.2%</w:t>
            </w:r>
          </w:p>
        </w:tc>
        <w:tc>
          <w:tcPr>
            <w:tcW w:w="840" w:type="dxa"/>
            <w:vAlign w:val="bottom"/>
          </w:tcPr>
          <w:p>
            <w:pPr>
              <w:jc w:val="center"/>
              <w:spacing w:after="0" w:line="121" w:lineRule="exact"/>
              <w:rPr>
                <w:sz w:val="20"/>
                <w:szCs w:val="20"/>
                <w:color w:val="auto"/>
              </w:rPr>
            </w:pPr>
            <w:r>
              <w:rPr>
                <w:rFonts w:ascii="Times New Roman" w:cs="Times New Roman" w:eastAsia="Times New Roman" w:hAnsi="Times New Roman"/>
                <w:sz w:val="12"/>
                <w:szCs w:val="12"/>
                <w:color w:val="auto"/>
                <w:w w:val="97"/>
              </w:rPr>
              <w:t>112.2%</w:t>
            </w:r>
          </w:p>
        </w:tc>
        <w:tc>
          <w:tcPr>
            <w:tcW w:w="660" w:type="dxa"/>
            <w:vAlign w:val="bottom"/>
          </w:tcPr>
          <w:p>
            <w:pPr>
              <w:jc w:val="center"/>
              <w:ind w:left="161"/>
              <w:spacing w:after="0" w:line="121" w:lineRule="exact"/>
              <w:rPr>
                <w:sz w:val="20"/>
                <w:szCs w:val="20"/>
                <w:color w:val="auto"/>
              </w:rPr>
            </w:pPr>
            <w:r>
              <w:rPr>
                <w:rFonts w:ascii="Times New Roman" w:cs="Times New Roman" w:eastAsia="Times New Roman" w:hAnsi="Times New Roman"/>
                <w:sz w:val="12"/>
                <w:szCs w:val="12"/>
                <w:color w:val="auto"/>
                <w:w w:val="93"/>
              </w:rPr>
              <w:t>4 bps</w:t>
            </w:r>
          </w:p>
        </w:tc>
        <w:tc>
          <w:tcPr>
            <w:tcW w:w="1060" w:type="dxa"/>
            <w:vAlign w:val="bottom"/>
          </w:tcPr>
          <w:p>
            <w:pPr>
              <w:jc w:val="center"/>
              <w:ind w:left="141"/>
              <w:spacing w:after="0" w:line="121" w:lineRule="exact"/>
              <w:rPr>
                <w:sz w:val="20"/>
                <w:szCs w:val="20"/>
                <w:color w:val="auto"/>
              </w:rPr>
            </w:pPr>
            <w:r>
              <w:rPr>
                <w:rFonts w:ascii="Times New Roman" w:cs="Times New Roman" w:eastAsia="Times New Roman" w:hAnsi="Times New Roman"/>
                <w:sz w:val="12"/>
                <w:szCs w:val="12"/>
                <w:color w:val="auto"/>
              </w:rPr>
              <w:t>467 bps</w:t>
            </w:r>
          </w:p>
        </w:tc>
        <w:tc>
          <w:tcPr>
            <w:tcW w:w="20" w:type="dxa"/>
            <w:vAlign w:val="bottom"/>
          </w:tcPr>
          <w:p>
            <w:pPr>
              <w:spacing w:after="0"/>
              <w:rPr>
                <w:sz w:val="10"/>
                <w:szCs w:val="10"/>
                <w:color w:val="auto"/>
              </w:rPr>
            </w:pPr>
          </w:p>
        </w:tc>
      </w:tr>
      <w:tr>
        <w:trPr>
          <w:trHeight w:val="258"/>
        </w:trPr>
        <w:tc>
          <w:tcPr>
            <w:tcW w:w="358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 xml:space="preserve">Cost of risk </w:t>
            </w:r>
            <w:r>
              <w:rPr>
                <w:rFonts w:ascii="Times New Roman" w:cs="Times New Roman" w:eastAsia="Times New Roman" w:hAnsi="Times New Roman"/>
                <w:sz w:val="19"/>
                <w:szCs w:val="19"/>
                <w:color w:val="auto"/>
                <w:vertAlign w:val="superscript"/>
              </w:rPr>
              <w:t>(4)</w:t>
            </w:r>
          </w:p>
        </w:tc>
        <w:tc>
          <w:tcPr>
            <w:tcW w:w="8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1.3%</w:t>
            </w:r>
          </w:p>
        </w:tc>
        <w:tc>
          <w:tcPr>
            <w:tcW w:w="8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1.4%</w:t>
            </w:r>
          </w:p>
        </w:tc>
        <w:tc>
          <w:tcPr>
            <w:tcW w:w="8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0.8%</w:t>
            </w:r>
          </w:p>
        </w:tc>
        <w:tc>
          <w:tcPr>
            <w:tcW w:w="660" w:type="dxa"/>
            <w:vAlign w:val="bottom"/>
          </w:tcPr>
          <w:p>
            <w:pPr>
              <w:jc w:val="center"/>
              <w:ind w:left="161"/>
              <w:spacing w:after="0"/>
              <w:rPr>
                <w:sz w:val="20"/>
                <w:szCs w:val="20"/>
                <w:color w:val="auto"/>
              </w:rPr>
            </w:pPr>
            <w:r>
              <w:rPr>
                <w:rFonts w:ascii="Times New Roman" w:cs="Times New Roman" w:eastAsia="Times New Roman" w:hAnsi="Times New Roman"/>
                <w:sz w:val="12"/>
                <w:szCs w:val="12"/>
                <w:color w:val="auto"/>
              </w:rPr>
              <w:t>-61 bps</w:t>
            </w:r>
          </w:p>
        </w:tc>
        <w:tc>
          <w:tcPr>
            <w:tcW w:w="1060" w:type="dxa"/>
            <w:vAlign w:val="bottom"/>
          </w:tcPr>
          <w:p>
            <w:pPr>
              <w:jc w:val="center"/>
              <w:ind w:left="161"/>
              <w:spacing w:after="0"/>
              <w:rPr>
                <w:sz w:val="20"/>
                <w:szCs w:val="20"/>
                <w:color w:val="auto"/>
              </w:rPr>
            </w:pPr>
            <w:r>
              <w:rPr>
                <w:rFonts w:ascii="Times New Roman" w:cs="Times New Roman" w:eastAsia="Times New Roman" w:hAnsi="Times New Roman"/>
                <w:sz w:val="12"/>
                <w:szCs w:val="12"/>
                <w:color w:val="auto"/>
              </w:rPr>
              <w:t>-49 bps</w:t>
            </w:r>
          </w:p>
        </w:tc>
        <w:tc>
          <w:tcPr>
            <w:tcW w:w="20" w:type="dxa"/>
            <w:vAlign w:val="bottom"/>
          </w:tcPr>
          <w:p>
            <w:pPr>
              <w:spacing w:after="0"/>
              <w:rPr>
                <w:sz w:val="22"/>
                <w:szCs w:val="22"/>
                <w:color w:val="auto"/>
              </w:rPr>
            </w:pPr>
          </w:p>
        </w:tc>
      </w:tr>
      <w:tr>
        <w:trPr>
          <w:trHeight w:val="123"/>
        </w:trPr>
        <w:tc>
          <w:tcPr>
            <w:tcW w:w="3580" w:type="dxa"/>
            <w:vAlign w:val="bottom"/>
          </w:tcPr>
          <w:p>
            <w:pPr>
              <w:ind w:left="140"/>
              <w:spacing w:after="0" w:line="124" w:lineRule="exact"/>
              <w:rPr>
                <w:sz w:val="20"/>
                <w:szCs w:val="20"/>
                <w:color w:val="auto"/>
              </w:rPr>
            </w:pPr>
            <w:r>
              <w:rPr>
                <w:rFonts w:ascii="Times New Roman" w:cs="Times New Roman" w:eastAsia="Times New Roman" w:hAnsi="Times New Roman"/>
                <w:sz w:val="12"/>
                <w:szCs w:val="12"/>
                <w:b w:val="1"/>
                <w:bCs w:val="1"/>
                <w:color w:val="auto"/>
              </w:rPr>
              <w:t>Operating efficiency</w:t>
            </w:r>
          </w:p>
        </w:tc>
        <w:tc>
          <w:tcPr>
            <w:tcW w:w="8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7"/>
        </w:trPr>
        <w:tc>
          <w:tcPr>
            <w:tcW w:w="3580" w:type="dxa"/>
            <w:vAlign w:val="bottom"/>
          </w:tcPr>
          <w:p>
            <w:pPr>
              <w:ind w:left="280"/>
              <w:spacing w:after="0" w:line="127" w:lineRule="exact"/>
              <w:rPr>
                <w:sz w:val="20"/>
                <w:szCs w:val="20"/>
                <w:color w:val="auto"/>
              </w:rPr>
            </w:pPr>
            <w:r>
              <w:rPr>
                <w:rFonts w:ascii="Times New Roman" w:cs="Times New Roman" w:eastAsia="Times New Roman" w:hAnsi="Times New Roman"/>
                <w:sz w:val="9"/>
                <w:szCs w:val="9"/>
                <w:color w:val="auto"/>
              </w:rPr>
              <w:t xml:space="preserve">Operating expenses / Total income </w:t>
            </w:r>
            <w:r>
              <w:rPr>
                <w:rFonts w:ascii="Times New Roman" w:cs="Times New Roman" w:eastAsia="Times New Roman" w:hAnsi="Times New Roman"/>
                <w:sz w:val="14"/>
                <w:szCs w:val="14"/>
                <w:color w:val="auto"/>
                <w:vertAlign w:val="superscript"/>
              </w:rPr>
              <w:t>(5)</w:t>
            </w:r>
          </w:p>
        </w:tc>
        <w:tc>
          <w:tcPr>
            <w:tcW w:w="86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rPr>
              <w:t>37.7%</w:t>
            </w:r>
          </w:p>
        </w:tc>
        <w:tc>
          <w:tcPr>
            <w:tcW w:w="86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6"/>
              </w:rPr>
              <w:t>42.7%</w:t>
            </w:r>
          </w:p>
        </w:tc>
        <w:tc>
          <w:tcPr>
            <w:tcW w:w="84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6"/>
              </w:rPr>
              <w:t>38.6%</w:t>
            </w:r>
          </w:p>
        </w:tc>
        <w:tc>
          <w:tcPr>
            <w:tcW w:w="660" w:type="dxa"/>
            <w:vAlign w:val="bottom"/>
          </w:tcPr>
          <w:p>
            <w:pPr>
              <w:jc w:val="center"/>
              <w:ind w:left="161"/>
              <w:spacing w:after="0" w:line="127" w:lineRule="exact"/>
              <w:rPr>
                <w:sz w:val="20"/>
                <w:szCs w:val="20"/>
                <w:color w:val="auto"/>
              </w:rPr>
            </w:pPr>
            <w:r>
              <w:rPr>
                <w:rFonts w:ascii="Times New Roman" w:cs="Times New Roman" w:eastAsia="Times New Roman" w:hAnsi="Times New Roman"/>
                <w:sz w:val="12"/>
                <w:szCs w:val="12"/>
                <w:color w:val="auto"/>
                <w:w w:val="95"/>
              </w:rPr>
              <w:t>-411 bps</w:t>
            </w:r>
          </w:p>
        </w:tc>
        <w:tc>
          <w:tcPr>
            <w:tcW w:w="1060" w:type="dxa"/>
            <w:vAlign w:val="bottom"/>
          </w:tcPr>
          <w:p>
            <w:pPr>
              <w:jc w:val="center"/>
              <w:ind w:left="161"/>
              <w:spacing w:after="0" w:line="127" w:lineRule="exact"/>
              <w:rPr>
                <w:sz w:val="20"/>
                <w:szCs w:val="20"/>
                <w:color w:val="auto"/>
              </w:rPr>
            </w:pPr>
            <w:r>
              <w:rPr>
                <w:rFonts w:ascii="Times New Roman" w:cs="Times New Roman" w:eastAsia="Times New Roman" w:hAnsi="Times New Roman"/>
                <w:sz w:val="12"/>
                <w:szCs w:val="12"/>
                <w:color w:val="auto"/>
              </w:rPr>
              <w:t>93 bps</w:t>
            </w:r>
          </w:p>
        </w:tc>
        <w:tc>
          <w:tcPr>
            <w:tcW w:w="20" w:type="dxa"/>
            <w:vAlign w:val="bottom"/>
          </w:tcPr>
          <w:p>
            <w:pPr>
              <w:spacing w:after="0"/>
              <w:rPr>
                <w:sz w:val="11"/>
                <w:szCs w:val="11"/>
                <w:color w:val="auto"/>
              </w:rPr>
            </w:pPr>
          </w:p>
        </w:tc>
      </w:tr>
      <w:tr>
        <w:trPr>
          <w:trHeight w:val="157"/>
        </w:trPr>
        <w:tc>
          <w:tcPr>
            <w:tcW w:w="3580" w:type="dxa"/>
            <w:vAlign w:val="bottom"/>
          </w:tcPr>
          <w:p>
            <w:pPr>
              <w:ind w:left="280"/>
              <w:spacing w:after="0" w:line="157" w:lineRule="exact"/>
              <w:rPr>
                <w:sz w:val="20"/>
                <w:szCs w:val="20"/>
                <w:color w:val="auto"/>
              </w:rPr>
            </w:pPr>
            <w:r>
              <w:rPr>
                <w:rFonts w:ascii="Times New Roman" w:cs="Times New Roman" w:eastAsia="Times New Roman" w:hAnsi="Times New Roman"/>
                <w:sz w:val="11"/>
                <w:szCs w:val="11"/>
                <w:color w:val="auto"/>
              </w:rPr>
              <w:t xml:space="preserve">Operating expenses / Total average assets </w:t>
            </w:r>
            <w:r>
              <w:rPr>
                <w:rFonts w:ascii="Times New Roman" w:cs="Times New Roman" w:eastAsia="Times New Roman" w:hAnsi="Times New Roman"/>
                <w:sz w:val="18"/>
                <w:szCs w:val="18"/>
                <w:color w:val="auto"/>
                <w:vertAlign w:val="superscript"/>
              </w:rPr>
              <w:t>(1)(2)(5)</w:t>
            </w:r>
          </w:p>
        </w:tc>
        <w:tc>
          <w:tcPr>
            <w:tcW w:w="8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3.0%</w:t>
            </w:r>
          </w:p>
        </w:tc>
        <w:tc>
          <w:tcPr>
            <w:tcW w:w="8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3.6%</w:t>
            </w:r>
          </w:p>
        </w:tc>
        <w:tc>
          <w:tcPr>
            <w:tcW w:w="8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3.2%</w:t>
            </w:r>
          </w:p>
        </w:tc>
        <w:tc>
          <w:tcPr>
            <w:tcW w:w="660" w:type="dxa"/>
            <w:vAlign w:val="bottom"/>
          </w:tcPr>
          <w:p>
            <w:pPr>
              <w:jc w:val="center"/>
              <w:ind w:left="161"/>
              <w:spacing w:after="0"/>
              <w:rPr>
                <w:sz w:val="20"/>
                <w:szCs w:val="20"/>
                <w:color w:val="auto"/>
              </w:rPr>
            </w:pPr>
            <w:r>
              <w:rPr>
                <w:rFonts w:ascii="Times New Roman" w:cs="Times New Roman" w:eastAsia="Times New Roman" w:hAnsi="Times New Roman"/>
                <w:sz w:val="12"/>
                <w:szCs w:val="12"/>
                <w:color w:val="auto"/>
              </w:rPr>
              <w:t>-39 bps</w:t>
            </w:r>
          </w:p>
        </w:tc>
        <w:tc>
          <w:tcPr>
            <w:tcW w:w="1060" w:type="dxa"/>
            <w:vAlign w:val="bottom"/>
          </w:tcPr>
          <w:p>
            <w:pPr>
              <w:jc w:val="center"/>
              <w:ind w:left="161"/>
              <w:spacing w:after="0"/>
              <w:rPr>
                <w:sz w:val="20"/>
                <w:szCs w:val="20"/>
                <w:color w:val="auto"/>
              </w:rPr>
            </w:pPr>
            <w:r>
              <w:rPr>
                <w:rFonts w:ascii="Times New Roman" w:cs="Times New Roman" w:eastAsia="Times New Roman" w:hAnsi="Times New Roman"/>
                <w:sz w:val="12"/>
                <w:szCs w:val="12"/>
                <w:color w:val="auto"/>
              </w:rPr>
              <w:t>24 bps</w:t>
            </w:r>
          </w:p>
        </w:tc>
        <w:tc>
          <w:tcPr>
            <w:tcW w:w="20" w:type="dxa"/>
            <w:vAlign w:val="bottom"/>
          </w:tcPr>
          <w:p>
            <w:pPr>
              <w:spacing w:after="0"/>
              <w:rPr>
                <w:sz w:val="13"/>
                <w:szCs w:val="13"/>
                <w:color w:val="auto"/>
              </w:rPr>
            </w:pPr>
          </w:p>
        </w:tc>
      </w:tr>
    </w:tbl>
    <w:p>
      <w:pPr>
        <w:ind w:left="1940" w:hanging="250"/>
        <w:spacing w:after="0" w:line="220" w:lineRule="auto"/>
        <w:tabs>
          <w:tab w:leader="none" w:pos="1940"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Ratios are annualized.</w:t>
      </w:r>
    </w:p>
    <w:p>
      <w:pPr>
        <w:ind w:left="1940" w:hanging="250"/>
        <w:spacing w:after="0" w:line="220" w:lineRule="auto"/>
        <w:tabs>
          <w:tab w:leader="none" w:pos="1940"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Averages are determined as the average of period-beginning and period-ending balances.</w:t>
      </w:r>
    </w:p>
    <w:p>
      <w:pPr>
        <w:ind w:left="1940" w:right="1700" w:hanging="250"/>
        <w:spacing w:after="0" w:line="220" w:lineRule="auto"/>
        <w:tabs>
          <w:tab w:leader="none" w:pos="1940"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funding costs differs from previously reported due to a methodology change in the denominator, which no longer includes the following accounts: acceptances outstanding, reserves for property and casualty claims, reserve for unearned premiums, reinsurance payable and other liabilities.</w:t>
      </w:r>
    </w:p>
    <w:p>
      <w:pPr>
        <w:ind w:left="1940" w:hanging="250"/>
        <w:spacing w:after="0" w:line="220" w:lineRule="auto"/>
        <w:tabs>
          <w:tab w:leader="none" w:pos="1940"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Cost of risk: Annualized provision for loan losses / Average total loans.</w:t>
      </w:r>
    </w:p>
    <w:p>
      <w:pPr>
        <w:ind w:left="1940" w:right="1680" w:hanging="250"/>
        <w:spacing w:after="0" w:line="233" w:lineRule="auto"/>
        <w:tabs>
          <w:tab w:leader="none" w:pos="1940"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Total income includes net interest income, fee income, net gain on foreign exchange transactions, result on exchange difference and net gain on derivatives. Operating expenses includes Salaries and social benefits, administrative, general and tax expenses and 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920115</wp:posOffset>
            </wp:positionV>
            <wp:extent cx="7140575" cy="1587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40575" cy="15875"/>
                    </a:xfrm>
                    <a:prstGeom prst="rect">
                      <a:avLst/>
                    </a:prstGeom>
                    <a:noFill/>
                  </pic:spPr>
                </pic:pic>
              </a:graphicData>
            </a:graphic>
          </wp:anchor>
        </w:drawing>
        <w:drawing>
          <wp:anchor simplePos="0" relativeHeight="251657728" behindDoc="1" locked="0" layoutInCell="0" allowOverlap="1">
            <wp:simplePos x="0" y="0"/>
            <wp:positionH relativeFrom="column">
              <wp:posOffset>331470</wp:posOffset>
            </wp:positionH>
            <wp:positionV relativeFrom="paragraph">
              <wp:posOffset>122555</wp:posOffset>
            </wp:positionV>
            <wp:extent cx="6447155" cy="53213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447155" cy="532130"/>
                    </a:xfrm>
                    <a:prstGeom prst="rect">
                      <a:avLst/>
                    </a:prstGeom>
                    <a:noFill/>
                  </pic:spPr>
                </pic:pic>
              </a:graphicData>
            </a:graphic>
          </wp:anchor>
        </w:drawing>
      </w:r>
    </w:p>
    <w:p>
      <w:pPr>
        <w:sectPr>
          <w:pgSz w:w="11900" w:h="16838" w:orient="portrait"/>
          <w:cols w:equalWidth="0" w:num="1">
            <w:col w:w="11240"/>
          </w:cols>
          <w:pgMar w:left="320" w:top="695" w:right="339" w:bottom="1440" w:gutter="0" w:footer="0" w:header="0"/>
        </w:sectPr>
      </w:pPr>
    </w:p>
    <w:bookmarkStart w:id="62" w:name="page63"/>
    <w:bookmarkEnd w:id="62"/>
    <w:p>
      <w:pPr>
        <w:ind w:left="3160"/>
        <w:spacing w:after="0"/>
        <w:tabs>
          <w:tab w:leader="none" w:pos="3380" w:val="left"/>
          <w:tab w:leader="none" w:pos="9060" w:val="left"/>
        </w:tabs>
        <w:rPr>
          <w:sz w:val="20"/>
          <w:szCs w:val="20"/>
          <w:color w:val="auto"/>
        </w:rPr>
      </w:pPr>
      <w:r>
        <w:rPr>
          <w:rFonts w:ascii="Times New Roman" w:cs="Times New Roman" w:eastAsia="Times New Roman" w:hAnsi="Times New Roman"/>
          <w:sz w:val="17"/>
          <w:szCs w:val="17"/>
          <w:b w:val="1"/>
          <w:bCs w:val="1"/>
          <w:color w:val="A6A6A6"/>
        </w:rPr>
        <w:drawing>
          <wp:anchor simplePos="0" relativeHeight="251657728" behindDoc="1" locked="0" layoutInCell="0" allowOverlap="1">
            <wp:simplePos x="0" y="0"/>
            <wp:positionH relativeFrom="page">
              <wp:posOffset>204470</wp:posOffset>
            </wp:positionH>
            <wp:positionV relativeFrom="page">
              <wp:posOffset>217805</wp:posOffset>
            </wp:positionV>
            <wp:extent cx="7140575" cy="62865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40575" cy="628650"/>
                    </a:xfrm>
                    <a:prstGeom prst="rect">
                      <a:avLst/>
                    </a:prstGeom>
                    <a:noFill/>
                  </pic:spPr>
                </pic:pic>
              </a:graphicData>
            </a:graphic>
          </wp:anchor>
        </w:drawing>
        <w:t>|</w:t>
      </w:r>
      <w:r>
        <w:rPr>
          <w:sz w:val="20"/>
          <w:szCs w:val="20"/>
          <w:color w:val="auto"/>
        </w:rPr>
        <w:tab/>
      </w:r>
      <w:r>
        <w:rPr>
          <w:rFonts w:ascii="Times New Roman" w:cs="Times New Roman" w:eastAsia="Times New Roman" w:hAnsi="Times New Roman"/>
          <w:sz w:val="14"/>
          <w:szCs w:val="14"/>
          <w:color w:val="FFFFFF"/>
        </w:rPr>
        <w:t>Earnings Release 1Q / 2026</w:t>
      </w:r>
      <w:r>
        <w:rPr>
          <w:sz w:val="20"/>
          <w:szCs w:val="20"/>
          <w:color w:val="auto"/>
        </w:rPr>
        <w:tab/>
      </w:r>
      <w:r>
        <w:rPr>
          <w:rFonts w:ascii="Times New Roman" w:cs="Times New Roman" w:eastAsia="Times New Roman" w:hAnsi="Times New Roman"/>
          <w:sz w:val="12"/>
          <w:szCs w:val="12"/>
          <w:color w:val="FF00FF"/>
        </w:rPr>
        <w:t>Analysis of 1Q26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280670</wp:posOffset>
            </wp:positionV>
            <wp:extent cx="7140575" cy="25781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40575" cy="25781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FFFFFF"/>
        </w:rPr>
        <w:t>12. Appendix</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12.7.5. BCP Bolivia</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Statement of Financial Position</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 Thousands, IFRS)</w:t>
      </w: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128"/>
        </w:trPr>
        <w:tc>
          <w:tcPr>
            <w:tcW w:w="4980" w:type="dxa"/>
            <w:vAlign w:val="bottom"/>
            <w:tcBorders>
              <w:top w:val="single" w:sz="8" w:color="auto"/>
              <w:left w:val="single" w:sz="8" w:color="auto"/>
              <w:right w:val="single" w:sz="8" w:color="auto"/>
            </w:tcBorders>
            <w:shd w:val="clear" w:color="auto" w:fill="2AD2C9"/>
          </w:tcPr>
          <w:p>
            <w:pPr>
              <w:spacing w:after="0"/>
              <w:rPr>
                <w:sz w:val="11"/>
                <w:szCs w:val="11"/>
                <w:color w:val="auto"/>
              </w:rPr>
            </w:pPr>
          </w:p>
        </w:tc>
        <w:tc>
          <w:tcPr>
            <w:tcW w:w="1340" w:type="dxa"/>
            <w:vAlign w:val="bottom"/>
            <w:tcBorders>
              <w:top w:val="single" w:sz="8" w:color="auto"/>
            </w:tcBorders>
            <w:shd w:val="clear" w:color="auto" w:fill="2AD2C9"/>
          </w:tcPr>
          <w:p>
            <w:pPr>
              <w:spacing w:after="0"/>
              <w:rPr>
                <w:sz w:val="11"/>
                <w:szCs w:val="11"/>
                <w:color w:val="auto"/>
              </w:rPr>
            </w:pPr>
          </w:p>
        </w:tc>
        <w:tc>
          <w:tcPr>
            <w:tcW w:w="1440" w:type="dxa"/>
            <w:vAlign w:val="bottom"/>
            <w:tcBorders>
              <w:top w:val="single" w:sz="8" w:color="auto"/>
            </w:tcBorders>
            <w:shd w:val="clear" w:color="auto" w:fill="2AD2C9"/>
          </w:tcPr>
          <w:p>
            <w:pPr>
              <w:ind w:left="620"/>
              <w:spacing w:after="0" w:line="128" w:lineRule="exact"/>
              <w:rPr>
                <w:sz w:val="20"/>
                <w:szCs w:val="20"/>
                <w:color w:val="auto"/>
              </w:rPr>
            </w:pPr>
            <w:r>
              <w:rPr>
                <w:rFonts w:ascii="Times New Roman" w:cs="Times New Roman" w:eastAsia="Times New Roman" w:hAnsi="Times New Roman"/>
                <w:sz w:val="14"/>
                <w:szCs w:val="14"/>
                <w:b w:val="1"/>
                <w:bCs w:val="1"/>
                <w:color w:val="FFFFFF"/>
              </w:rPr>
              <w:t>As of</w:t>
            </w:r>
          </w:p>
        </w:tc>
        <w:tc>
          <w:tcPr>
            <w:tcW w:w="1480" w:type="dxa"/>
            <w:vAlign w:val="bottom"/>
            <w:tcBorders>
              <w:top w:val="single" w:sz="8" w:color="auto"/>
              <w:right w:val="single" w:sz="8" w:color="auto"/>
            </w:tcBorders>
            <w:shd w:val="clear" w:color="auto" w:fill="2AD2C9"/>
          </w:tcPr>
          <w:p>
            <w:pPr>
              <w:spacing w:after="0"/>
              <w:rPr>
                <w:sz w:val="11"/>
                <w:szCs w:val="11"/>
                <w:color w:val="auto"/>
              </w:rPr>
            </w:pPr>
          </w:p>
        </w:tc>
        <w:tc>
          <w:tcPr>
            <w:tcW w:w="700" w:type="dxa"/>
            <w:vAlign w:val="bottom"/>
            <w:tcBorders>
              <w:top w:val="single" w:sz="8" w:color="auto"/>
            </w:tcBorders>
            <w:shd w:val="clear" w:color="auto" w:fill="2AD2C9"/>
          </w:tcPr>
          <w:p>
            <w:pPr>
              <w:spacing w:after="0"/>
              <w:rPr>
                <w:sz w:val="11"/>
                <w:szCs w:val="11"/>
                <w:color w:val="auto"/>
              </w:rPr>
            </w:pPr>
          </w:p>
        </w:tc>
        <w:tc>
          <w:tcPr>
            <w:tcW w:w="1320" w:type="dxa"/>
            <w:vAlign w:val="bottom"/>
            <w:tcBorders>
              <w:top w:val="single" w:sz="8" w:color="auto"/>
              <w:right w:val="single" w:sz="8" w:color="auto"/>
            </w:tcBorders>
            <w:shd w:val="clear" w:color="auto" w:fill="2AD2C9"/>
          </w:tcPr>
          <w:p>
            <w:pPr>
              <w:ind w:left="20"/>
              <w:spacing w:after="0" w:line="128" w:lineRule="exact"/>
              <w:rPr>
                <w:sz w:val="20"/>
                <w:szCs w:val="20"/>
                <w:color w:val="auto"/>
              </w:rPr>
            </w:pPr>
            <w:r>
              <w:rPr>
                <w:rFonts w:ascii="Times New Roman" w:cs="Times New Roman" w:eastAsia="Times New Roman" w:hAnsi="Times New Roman"/>
                <w:sz w:val="14"/>
                <w:szCs w:val="14"/>
                <w:b w:val="1"/>
                <w:bCs w:val="1"/>
                <w:color w:val="FFFFFF"/>
              </w:rPr>
              <w:t>% change</w:t>
            </w:r>
          </w:p>
        </w:tc>
        <w:tc>
          <w:tcPr>
            <w:tcW w:w="0" w:type="dxa"/>
            <w:vAlign w:val="bottom"/>
          </w:tcPr>
          <w:p>
            <w:pPr>
              <w:spacing w:after="0"/>
              <w:rPr>
                <w:sz w:val="1"/>
                <w:szCs w:val="1"/>
                <w:color w:val="auto"/>
              </w:rPr>
            </w:pPr>
          </w:p>
        </w:tc>
      </w:tr>
      <w:tr>
        <w:trPr>
          <w:trHeight w:val="164"/>
        </w:trPr>
        <w:tc>
          <w:tcPr>
            <w:tcW w:w="4980" w:type="dxa"/>
            <w:vAlign w:val="bottom"/>
            <w:tcBorders>
              <w:left w:val="single" w:sz="8" w:color="auto"/>
              <w:bottom w:val="single" w:sz="8" w:color="auto"/>
              <w:right w:val="single" w:sz="8" w:color="auto"/>
            </w:tcBorders>
            <w:shd w:val="clear" w:color="auto" w:fill="2AD2C9"/>
          </w:tcPr>
          <w:p>
            <w:pPr>
              <w:spacing w:after="0"/>
              <w:rPr>
                <w:sz w:val="14"/>
                <w:szCs w:val="14"/>
                <w:color w:val="auto"/>
              </w:rPr>
            </w:pPr>
          </w:p>
        </w:tc>
        <w:tc>
          <w:tcPr>
            <w:tcW w:w="1340" w:type="dxa"/>
            <w:vAlign w:val="bottom"/>
            <w:tcBorders>
              <w:bottom w:val="single" w:sz="8" w:color="auto"/>
            </w:tcBorders>
            <w:shd w:val="clear" w:color="auto" w:fill="2AD2C9"/>
          </w:tcPr>
          <w:p>
            <w:pPr>
              <w:jc w:val="right"/>
              <w:ind w:right="412"/>
              <w:spacing w:after="0"/>
              <w:rPr>
                <w:sz w:val="20"/>
                <w:szCs w:val="20"/>
                <w:color w:val="auto"/>
              </w:rPr>
            </w:pPr>
            <w:r>
              <w:rPr>
                <w:rFonts w:ascii="Times New Roman" w:cs="Times New Roman" w:eastAsia="Times New Roman" w:hAnsi="Times New Roman"/>
                <w:sz w:val="14"/>
                <w:szCs w:val="14"/>
                <w:b w:val="1"/>
                <w:bCs w:val="1"/>
                <w:color w:val="FFFFFF"/>
              </w:rPr>
              <w:t>Mar 25</w:t>
            </w:r>
          </w:p>
        </w:tc>
        <w:tc>
          <w:tcPr>
            <w:tcW w:w="1440" w:type="dxa"/>
            <w:vAlign w:val="bottom"/>
            <w:tcBorders>
              <w:bottom w:val="single" w:sz="8" w:color="auto"/>
            </w:tcBorders>
            <w:shd w:val="clear" w:color="auto" w:fill="2AD2C9"/>
          </w:tcPr>
          <w:p>
            <w:pPr>
              <w:ind w:left="520"/>
              <w:spacing w:after="0"/>
              <w:rPr>
                <w:sz w:val="20"/>
                <w:szCs w:val="20"/>
                <w:color w:val="auto"/>
              </w:rPr>
            </w:pPr>
            <w:r>
              <w:rPr>
                <w:rFonts w:ascii="Times New Roman" w:cs="Times New Roman" w:eastAsia="Times New Roman" w:hAnsi="Times New Roman"/>
                <w:sz w:val="14"/>
                <w:szCs w:val="14"/>
                <w:b w:val="1"/>
                <w:bCs w:val="1"/>
                <w:color w:val="FFFFFF"/>
              </w:rPr>
              <w:t>Dec 25</w:t>
            </w:r>
          </w:p>
        </w:tc>
        <w:tc>
          <w:tcPr>
            <w:tcW w:w="1480" w:type="dxa"/>
            <w:vAlign w:val="bottom"/>
            <w:tcBorders>
              <w:bottom w:val="single" w:sz="8" w:color="auto"/>
              <w:right w:val="single" w:sz="8" w:color="auto"/>
            </w:tcBorders>
            <w:shd w:val="clear" w:color="auto" w:fill="2AD2C9"/>
          </w:tcPr>
          <w:p>
            <w:pPr>
              <w:jc w:val="right"/>
              <w:ind w:right="452"/>
              <w:spacing w:after="0"/>
              <w:rPr>
                <w:sz w:val="20"/>
                <w:szCs w:val="20"/>
                <w:color w:val="auto"/>
              </w:rPr>
            </w:pPr>
            <w:r>
              <w:rPr>
                <w:rFonts w:ascii="Times New Roman" w:cs="Times New Roman" w:eastAsia="Times New Roman" w:hAnsi="Times New Roman"/>
                <w:sz w:val="14"/>
                <w:szCs w:val="14"/>
                <w:b w:val="1"/>
                <w:bCs w:val="1"/>
                <w:color w:val="FFFFFF"/>
              </w:rPr>
              <w:t>Mar 26</w:t>
            </w:r>
          </w:p>
        </w:tc>
        <w:tc>
          <w:tcPr>
            <w:tcW w:w="700" w:type="dxa"/>
            <w:vAlign w:val="bottom"/>
            <w:tcBorders>
              <w:bottom w:val="single" w:sz="8" w:color="auto"/>
            </w:tcBorders>
            <w:shd w:val="clear" w:color="auto" w:fill="2AD2C9"/>
          </w:tcPr>
          <w:p>
            <w:pPr>
              <w:jc w:val="center"/>
              <w:ind w:left="232"/>
              <w:spacing w:after="0"/>
              <w:rPr>
                <w:sz w:val="20"/>
                <w:szCs w:val="20"/>
                <w:color w:val="auto"/>
              </w:rPr>
            </w:pPr>
            <w:r>
              <w:rPr>
                <w:rFonts w:ascii="Times New Roman" w:cs="Times New Roman" w:eastAsia="Times New Roman" w:hAnsi="Times New Roman"/>
                <w:sz w:val="14"/>
                <w:szCs w:val="14"/>
                <w:b w:val="1"/>
                <w:bCs w:val="1"/>
                <w:color w:val="FFFFFF"/>
                <w:w w:val="97"/>
              </w:rPr>
              <w:t>QoQ</w:t>
            </w:r>
          </w:p>
        </w:tc>
        <w:tc>
          <w:tcPr>
            <w:tcW w:w="1320" w:type="dxa"/>
            <w:vAlign w:val="bottom"/>
            <w:tcBorders>
              <w:bottom w:val="single" w:sz="8" w:color="auto"/>
              <w:right w:val="single" w:sz="8" w:color="auto"/>
            </w:tcBorders>
            <w:shd w:val="clear" w:color="auto" w:fill="2AD2C9"/>
          </w:tcPr>
          <w:p>
            <w:pPr>
              <w:jc w:val="center"/>
              <w:ind w:left="192"/>
              <w:spacing w:after="0"/>
              <w:rPr>
                <w:sz w:val="20"/>
                <w:szCs w:val="20"/>
                <w:color w:val="auto"/>
              </w:rPr>
            </w:pPr>
            <w:r>
              <w:rPr>
                <w:rFonts w:ascii="Times New Roman" w:cs="Times New Roman" w:eastAsia="Times New Roman" w:hAnsi="Times New Roman"/>
                <w:sz w:val="14"/>
                <w:szCs w:val="14"/>
                <w:b w:val="1"/>
                <w:bCs w:val="1"/>
                <w:color w:val="FFFFFF"/>
                <w:w w:val="95"/>
              </w:rPr>
              <w:t>YoY</w:t>
            </w:r>
          </w:p>
        </w:tc>
        <w:tc>
          <w:tcPr>
            <w:tcW w:w="0" w:type="dxa"/>
            <w:vAlign w:val="bottom"/>
          </w:tcPr>
          <w:p>
            <w:pPr>
              <w:spacing w:after="0"/>
              <w:rPr>
                <w:sz w:val="1"/>
                <w:szCs w:val="1"/>
                <w:color w:val="auto"/>
              </w:rPr>
            </w:pPr>
          </w:p>
        </w:tc>
      </w:tr>
      <w:tr>
        <w:trPr>
          <w:trHeight w:val="112"/>
        </w:trPr>
        <w:tc>
          <w:tcPr>
            <w:tcW w:w="4980" w:type="dxa"/>
            <w:vAlign w:val="bottom"/>
            <w:tcBorders>
              <w:left w:val="single" w:sz="8" w:color="auto"/>
              <w:right w:val="single" w:sz="8" w:color="auto"/>
            </w:tcBorders>
          </w:tcPr>
          <w:p>
            <w:pPr>
              <w:ind w:left="100"/>
              <w:spacing w:after="0" w:line="112" w:lineRule="exact"/>
              <w:rPr>
                <w:sz w:val="20"/>
                <w:szCs w:val="20"/>
                <w:color w:val="auto"/>
              </w:rPr>
            </w:pPr>
            <w:r>
              <w:rPr>
                <w:rFonts w:ascii="Times New Roman" w:cs="Times New Roman" w:eastAsia="Times New Roman" w:hAnsi="Times New Roman"/>
                <w:sz w:val="12"/>
                <w:szCs w:val="12"/>
                <w:b w:val="1"/>
                <w:bCs w:val="1"/>
                <w:color w:val="auto"/>
              </w:rPr>
              <w:t>ASSETS</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6"/>
              </w:rPr>
              <w:t>1,646,883</w:t>
            </w: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6"/>
              </w:rPr>
              <w:t>2,137,473</w:t>
            </w:r>
          </w:p>
        </w:tc>
        <w:tc>
          <w:tcPr>
            <w:tcW w:w="1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6"/>
              </w:rPr>
              <w:t>2,038,421</w:t>
            </w:r>
          </w:p>
        </w:tc>
        <w:tc>
          <w:tcPr>
            <w:tcW w:w="700" w:type="dxa"/>
            <w:vAlign w:val="bottom"/>
            <w:vMerge w:val="restart"/>
          </w:tcPr>
          <w:p>
            <w:pPr>
              <w:jc w:val="center"/>
              <w:ind w:left="232"/>
              <w:spacing w:after="0"/>
              <w:rPr>
                <w:sz w:val="20"/>
                <w:szCs w:val="20"/>
                <w:color w:val="auto"/>
              </w:rPr>
            </w:pPr>
            <w:r>
              <w:rPr>
                <w:rFonts w:ascii="Times New Roman" w:cs="Times New Roman" w:eastAsia="Times New Roman" w:hAnsi="Times New Roman"/>
                <w:sz w:val="14"/>
                <w:szCs w:val="14"/>
                <w:color w:val="auto"/>
                <w:w w:val="94"/>
              </w:rPr>
              <w:t>-4.6%</w:t>
            </w:r>
          </w:p>
        </w:tc>
        <w:tc>
          <w:tcPr>
            <w:tcW w:w="1320" w:type="dxa"/>
            <w:vAlign w:val="bottom"/>
            <w:tcBorders>
              <w:right w:val="single" w:sz="8" w:color="auto"/>
            </w:tcBorders>
            <w:vMerge w:val="restart"/>
          </w:tcPr>
          <w:p>
            <w:pPr>
              <w:jc w:val="center"/>
              <w:ind w:left="192"/>
              <w:spacing w:after="0"/>
              <w:rPr>
                <w:sz w:val="20"/>
                <w:szCs w:val="20"/>
                <w:color w:val="auto"/>
              </w:rPr>
            </w:pPr>
            <w:r>
              <w:rPr>
                <w:rFonts w:ascii="Times New Roman" w:cs="Times New Roman" w:eastAsia="Times New Roman" w:hAnsi="Times New Roman"/>
                <w:sz w:val="14"/>
                <w:szCs w:val="14"/>
                <w:color w:val="auto"/>
                <w:w w:val="93"/>
              </w:rPr>
              <w:t>23.8%</w:t>
            </w:r>
          </w:p>
        </w:tc>
        <w:tc>
          <w:tcPr>
            <w:tcW w:w="0" w:type="dxa"/>
            <w:vAlign w:val="bottom"/>
          </w:tcPr>
          <w:p>
            <w:pPr>
              <w:spacing w:after="0"/>
              <w:rPr>
                <w:sz w:val="1"/>
                <w:szCs w:val="1"/>
                <w:color w:val="auto"/>
              </w:rPr>
            </w:pPr>
          </w:p>
        </w:tc>
      </w:tr>
      <w:tr>
        <w:trPr>
          <w:trHeight w:val="140"/>
        </w:trPr>
        <w:tc>
          <w:tcPr>
            <w:tcW w:w="4980" w:type="dxa"/>
            <w:vAlign w:val="bottom"/>
            <w:tcBorders>
              <w:left w:val="single" w:sz="8" w:color="auto"/>
              <w:right w:val="single" w:sz="8" w:color="auto"/>
            </w:tcBorders>
          </w:tcPr>
          <w:p>
            <w:pPr>
              <w:ind w:left="100"/>
              <w:spacing w:after="0" w:line="140" w:lineRule="exact"/>
              <w:rPr>
                <w:sz w:val="20"/>
                <w:szCs w:val="20"/>
                <w:color w:val="auto"/>
              </w:rPr>
            </w:pPr>
            <w:r>
              <w:rPr>
                <w:rFonts w:ascii="Times New Roman" w:cs="Times New Roman" w:eastAsia="Times New Roman" w:hAnsi="Times New Roman"/>
                <w:sz w:val="14"/>
                <w:szCs w:val="14"/>
                <w:color w:val="auto"/>
              </w:rPr>
              <w:t>Cash and due from banks</w:t>
            </w:r>
          </w:p>
        </w:tc>
        <w:tc>
          <w:tcPr>
            <w:tcW w:w="134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1480" w:type="dxa"/>
            <w:vAlign w:val="bottom"/>
            <w:tcBorders>
              <w:right w:val="single" w:sz="8" w:color="auto"/>
            </w:tcBorders>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13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4980" w:type="dxa"/>
            <w:vAlign w:val="bottom"/>
            <w:tcBorders>
              <w:left w:val="single" w:sz="8" w:color="auto"/>
              <w:right w:val="single" w:sz="8" w:color="auto"/>
            </w:tcBorders>
          </w:tcPr>
          <w:p>
            <w:pPr>
              <w:ind w:left="100"/>
              <w:spacing w:after="0" w:line="136" w:lineRule="exact"/>
              <w:rPr>
                <w:sz w:val="20"/>
                <w:szCs w:val="20"/>
                <w:color w:val="auto"/>
              </w:rPr>
            </w:pPr>
            <w:r>
              <w:rPr>
                <w:rFonts w:ascii="Times New Roman" w:cs="Times New Roman" w:eastAsia="Times New Roman" w:hAnsi="Times New Roman"/>
                <w:sz w:val="14"/>
                <w:szCs w:val="14"/>
                <w:color w:val="auto"/>
              </w:rPr>
              <w:t>Investments</w:t>
            </w:r>
          </w:p>
        </w:tc>
        <w:tc>
          <w:tcPr>
            <w:tcW w:w="134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w w:val="96"/>
              </w:rPr>
              <w:t>1,248,084</w:t>
            </w:r>
          </w:p>
        </w:tc>
        <w:tc>
          <w:tcPr>
            <w:tcW w:w="144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w w:val="96"/>
              </w:rPr>
              <w:t>1,239,176</w:t>
            </w:r>
          </w:p>
        </w:tc>
        <w:tc>
          <w:tcPr>
            <w:tcW w:w="148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4"/>
                <w:szCs w:val="14"/>
                <w:color w:val="auto"/>
                <w:w w:val="96"/>
              </w:rPr>
              <w:t>1,369,382</w:t>
            </w:r>
          </w:p>
        </w:tc>
        <w:tc>
          <w:tcPr>
            <w:tcW w:w="700" w:type="dxa"/>
            <w:vAlign w:val="bottom"/>
          </w:tcPr>
          <w:p>
            <w:pPr>
              <w:jc w:val="center"/>
              <w:ind w:left="232"/>
              <w:spacing w:after="0" w:line="136" w:lineRule="exact"/>
              <w:rPr>
                <w:sz w:val="20"/>
                <w:szCs w:val="20"/>
                <w:color w:val="auto"/>
              </w:rPr>
            </w:pPr>
            <w:r>
              <w:rPr>
                <w:rFonts w:ascii="Times New Roman" w:cs="Times New Roman" w:eastAsia="Times New Roman" w:hAnsi="Times New Roman"/>
                <w:sz w:val="14"/>
                <w:szCs w:val="14"/>
                <w:color w:val="auto"/>
                <w:w w:val="99"/>
              </w:rPr>
              <w:t>10.5%</w:t>
            </w:r>
          </w:p>
        </w:tc>
        <w:tc>
          <w:tcPr>
            <w:tcW w:w="1320" w:type="dxa"/>
            <w:vAlign w:val="bottom"/>
            <w:tcBorders>
              <w:right w:val="single" w:sz="8" w:color="auto"/>
            </w:tcBorders>
          </w:tcPr>
          <w:p>
            <w:pPr>
              <w:jc w:val="center"/>
              <w:ind w:left="212"/>
              <w:spacing w:after="0" w:line="136" w:lineRule="exact"/>
              <w:rPr>
                <w:sz w:val="20"/>
                <w:szCs w:val="20"/>
                <w:color w:val="auto"/>
              </w:rPr>
            </w:pPr>
            <w:r>
              <w:rPr>
                <w:rFonts w:ascii="Times New Roman" w:cs="Times New Roman" w:eastAsia="Times New Roman" w:hAnsi="Times New Roman"/>
                <w:sz w:val="14"/>
                <w:szCs w:val="14"/>
                <w:color w:val="auto"/>
                <w:w w:val="95"/>
              </w:rPr>
              <w:t>9.7%</w:t>
            </w:r>
          </w:p>
        </w:tc>
        <w:tc>
          <w:tcPr>
            <w:tcW w:w="0" w:type="dxa"/>
            <w:vAlign w:val="bottom"/>
          </w:tcPr>
          <w:p>
            <w:pPr>
              <w:spacing w:after="0"/>
              <w:rPr>
                <w:sz w:val="1"/>
                <w:szCs w:val="1"/>
                <w:color w:val="auto"/>
              </w:rPr>
            </w:pPr>
          </w:p>
        </w:tc>
      </w:tr>
      <w:tr>
        <w:trPr>
          <w:trHeight w:val="144"/>
        </w:trPr>
        <w:tc>
          <w:tcPr>
            <w:tcW w:w="4980" w:type="dxa"/>
            <w:vAlign w:val="bottom"/>
            <w:tcBorders>
              <w:left w:val="single" w:sz="8" w:color="auto"/>
              <w:right w:val="single" w:sz="8" w:color="auto"/>
            </w:tcBorders>
          </w:tcPr>
          <w:p>
            <w:pPr>
              <w:ind w:left="100"/>
              <w:spacing w:after="0" w:line="144" w:lineRule="exact"/>
              <w:rPr>
                <w:sz w:val="20"/>
                <w:szCs w:val="20"/>
                <w:color w:val="auto"/>
              </w:rPr>
            </w:pPr>
            <w:r>
              <w:rPr>
                <w:rFonts w:ascii="Times New Roman" w:cs="Times New Roman" w:eastAsia="Times New Roman" w:hAnsi="Times New Roman"/>
                <w:sz w:val="14"/>
                <w:szCs w:val="14"/>
                <w:b w:val="1"/>
                <w:bCs w:val="1"/>
                <w:color w:val="auto"/>
              </w:rPr>
              <w:t>Loans</w:t>
            </w:r>
          </w:p>
        </w:tc>
        <w:tc>
          <w:tcPr>
            <w:tcW w:w="134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6"/>
              </w:rPr>
              <w:t>6,293,810</w:t>
            </w:r>
          </w:p>
        </w:tc>
        <w:tc>
          <w:tcPr>
            <w:tcW w:w="144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6"/>
              </w:rPr>
              <w:t>7,553,091</w:t>
            </w:r>
          </w:p>
        </w:tc>
        <w:tc>
          <w:tcPr>
            <w:tcW w:w="1480" w:type="dxa"/>
            <w:vAlign w:val="bottom"/>
            <w:tcBorders>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6"/>
              </w:rPr>
              <w:t>7,319,044</w:t>
            </w:r>
          </w:p>
        </w:tc>
        <w:tc>
          <w:tcPr>
            <w:tcW w:w="700" w:type="dxa"/>
            <w:vAlign w:val="bottom"/>
          </w:tcPr>
          <w:p>
            <w:pPr>
              <w:jc w:val="center"/>
              <w:ind w:left="232"/>
              <w:spacing w:after="0" w:line="144" w:lineRule="exact"/>
              <w:rPr>
                <w:sz w:val="20"/>
                <w:szCs w:val="20"/>
                <w:color w:val="auto"/>
              </w:rPr>
            </w:pPr>
            <w:r>
              <w:rPr>
                <w:rFonts w:ascii="Times New Roman" w:cs="Times New Roman" w:eastAsia="Times New Roman" w:hAnsi="Times New Roman"/>
                <w:sz w:val="14"/>
                <w:szCs w:val="14"/>
                <w:b w:val="1"/>
                <w:bCs w:val="1"/>
                <w:color w:val="auto"/>
                <w:w w:val="99"/>
              </w:rPr>
              <w:t>-3.1%</w:t>
            </w:r>
          </w:p>
        </w:tc>
        <w:tc>
          <w:tcPr>
            <w:tcW w:w="1320" w:type="dxa"/>
            <w:vAlign w:val="bottom"/>
            <w:tcBorders>
              <w:right w:val="single" w:sz="8" w:color="auto"/>
            </w:tcBorders>
          </w:tcPr>
          <w:p>
            <w:pPr>
              <w:jc w:val="center"/>
              <w:ind w:left="192"/>
              <w:spacing w:after="0" w:line="144" w:lineRule="exact"/>
              <w:rPr>
                <w:sz w:val="20"/>
                <w:szCs w:val="20"/>
                <w:color w:val="auto"/>
              </w:rPr>
            </w:pPr>
            <w:r>
              <w:rPr>
                <w:rFonts w:ascii="Times New Roman" w:cs="Times New Roman" w:eastAsia="Times New Roman" w:hAnsi="Times New Roman"/>
                <w:sz w:val="14"/>
                <w:szCs w:val="14"/>
                <w:b w:val="1"/>
                <w:bCs w:val="1"/>
                <w:color w:val="auto"/>
                <w:w w:val="98"/>
              </w:rPr>
              <w:t>16.3%</w:t>
            </w:r>
          </w:p>
        </w:tc>
        <w:tc>
          <w:tcPr>
            <w:tcW w:w="0" w:type="dxa"/>
            <w:vAlign w:val="bottom"/>
          </w:tcPr>
          <w:p>
            <w:pPr>
              <w:spacing w:after="0"/>
              <w:rPr>
                <w:sz w:val="1"/>
                <w:szCs w:val="1"/>
                <w:color w:val="auto"/>
              </w:rPr>
            </w:pPr>
          </w:p>
        </w:tc>
      </w:tr>
      <w:tr>
        <w:trPr>
          <w:trHeight w:val="140"/>
        </w:trPr>
        <w:tc>
          <w:tcPr>
            <w:tcW w:w="4980" w:type="dxa"/>
            <w:vAlign w:val="bottom"/>
            <w:tcBorders>
              <w:left w:val="single" w:sz="8" w:color="auto"/>
              <w:right w:val="single" w:sz="8" w:color="auto"/>
            </w:tcBorders>
          </w:tcPr>
          <w:p>
            <w:pPr>
              <w:ind w:left="280"/>
              <w:spacing w:after="0" w:line="140" w:lineRule="exact"/>
              <w:rPr>
                <w:sz w:val="20"/>
                <w:szCs w:val="20"/>
                <w:color w:val="auto"/>
              </w:rPr>
            </w:pPr>
            <w:r>
              <w:rPr>
                <w:rFonts w:ascii="Times New Roman" w:cs="Times New Roman" w:eastAsia="Times New Roman" w:hAnsi="Times New Roman"/>
                <w:sz w:val="14"/>
                <w:szCs w:val="14"/>
                <w:color w:val="auto"/>
              </w:rPr>
              <w:t>Current</w:t>
            </w:r>
          </w:p>
        </w:tc>
        <w:tc>
          <w:tcPr>
            <w:tcW w:w="134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6,075,092</w:t>
            </w:r>
          </w:p>
        </w:tc>
        <w:tc>
          <w:tcPr>
            <w:tcW w:w="144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7,274,231</w:t>
            </w:r>
          </w:p>
        </w:tc>
        <w:tc>
          <w:tcPr>
            <w:tcW w:w="148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7,066,855</w:t>
            </w:r>
          </w:p>
        </w:tc>
        <w:tc>
          <w:tcPr>
            <w:tcW w:w="700" w:type="dxa"/>
            <w:vAlign w:val="bottom"/>
          </w:tcPr>
          <w:p>
            <w:pPr>
              <w:jc w:val="center"/>
              <w:ind w:left="232"/>
              <w:spacing w:after="0" w:line="140" w:lineRule="exact"/>
              <w:rPr>
                <w:sz w:val="20"/>
                <w:szCs w:val="20"/>
                <w:color w:val="auto"/>
              </w:rPr>
            </w:pPr>
            <w:r>
              <w:rPr>
                <w:rFonts w:ascii="Times New Roman" w:cs="Times New Roman" w:eastAsia="Times New Roman" w:hAnsi="Times New Roman"/>
                <w:sz w:val="14"/>
                <w:szCs w:val="14"/>
                <w:color w:val="auto"/>
                <w:w w:val="94"/>
              </w:rPr>
              <w:t>-2.9%</w:t>
            </w:r>
          </w:p>
        </w:tc>
        <w:tc>
          <w:tcPr>
            <w:tcW w:w="1320" w:type="dxa"/>
            <w:vAlign w:val="bottom"/>
            <w:tcBorders>
              <w:right w:val="single" w:sz="8" w:color="auto"/>
            </w:tcBorders>
          </w:tcPr>
          <w:p>
            <w:pPr>
              <w:jc w:val="center"/>
              <w:ind w:left="192"/>
              <w:spacing w:after="0" w:line="140" w:lineRule="exact"/>
              <w:rPr>
                <w:sz w:val="20"/>
                <w:szCs w:val="20"/>
                <w:color w:val="auto"/>
              </w:rPr>
            </w:pPr>
            <w:r>
              <w:rPr>
                <w:rFonts w:ascii="Times New Roman" w:cs="Times New Roman" w:eastAsia="Times New Roman" w:hAnsi="Times New Roman"/>
                <w:sz w:val="14"/>
                <w:szCs w:val="14"/>
                <w:color w:val="auto"/>
                <w:w w:val="93"/>
              </w:rPr>
              <w:t>16.3%</w:t>
            </w:r>
          </w:p>
        </w:tc>
        <w:tc>
          <w:tcPr>
            <w:tcW w:w="0" w:type="dxa"/>
            <w:vAlign w:val="bottom"/>
          </w:tcPr>
          <w:p>
            <w:pPr>
              <w:spacing w:after="0"/>
              <w:rPr>
                <w:sz w:val="1"/>
                <w:szCs w:val="1"/>
                <w:color w:val="auto"/>
              </w:rPr>
            </w:pPr>
          </w:p>
        </w:tc>
      </w:tr>
      <w:tr>
        <w:trPr>
          <w:trHeight w:val="140"/>
        </w:trPr>
        <w:tc>
          <w:tcPr>
            <w:tcW w:w="4980" w:type="dxa"/>
            <w:vAlign w:val="bottom"/>
            <w:tcBorders>
              <w:left w:val="single" w:sz="8" w:color="auto"/>
              <w:right w:val="single" w:sz="8" w:color="auto"/>
            </w:tcBorders>
          </w:tcPr>
          <w:p>
            <w:pPr>
              <w:ind w:left="280"/>
              <w:spacing w:after="0" w:line="140" w:lineRule="exact"/>
              <w:rPr>
                <w:sz w:val="20"/>
                <w:szCs w:val="20"/>
                <w:color w:val="auto"/>
              </w:rPr>
            </w:pPr>
            <w:r>
              <w:rPr>
                <w:rFonts w:ascii="Times New Roman" w:cs="Times New Roman" w:eastAsia="Times New Roman" w:hAnsi="Times New Roman"/>
                <w:sz w:val="14"/>
                <w:szCs w:val="14"/>
                <w:color w:val="auto"/>
              </w:rPr>
              <w:t>Internal overdue loans</w:t>
            </w:r>
          </w:p>
        </w:tc>
        <w:tc>
          <w:tcPr>
            <w:tcW w:w="134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174,431</w:t>
            </w:r>
          </w:p>
        </w:tc>
        <w:tc>
          <w:tcPr>
            <w:tcW w:w="144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200,397</w:t>
            </w:r>
          </w:p>
        </w:tc>
        <w:tc>
          <w:tcPr>
            <w:tcW w:w="148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173,194</w:t>
            </w:r>
          </w:p>
        </w:tc>
        <w:tc>
          <w:tcPr>
            <w:tcW w:w="700" w:type="dxa"/>
            <w:vAlign w:val="bottom"/>
          </w:tcPr>
          <w:p>
            <w:pPr>
              <w:jc w:val="center"/>
              <w:ind w:left="232"/>
              <w:spacing w:after="0" w:line="140" w:lineRule="exact"/>
              <w:rPr>
                <w:sz w:val="20"/>
                <w:szCs w:val="20"/>
                <w:color w:val="auto"/>
              </w:rPr>
            </w:pPr>
            <w:r>
              <w:rPr>
                <w:rFonts w:ascii="Times New Roman" w:cs="Times New Roman" w:eastAsia="Times New Roman" w:hAnsi="Times New Roman"/>
                <w:sz w:val="14"/>
                <w:szCs w:val="14"/>
                <w:color w:val="auto"/>
                <w:w w:val="97"/>
              </w:rPr>
              <w:t>-13.6%</w:t>
            </w:r>
          </w:p>
        </w:tc>
        <w:tc>
          <w:tcPr>
            <w:tcW w:w="1320" w:type="dxa"/>
            <w:vAlign w:val="bottom"/>
            <w:tcBorders>
              <w:right w:val="single" w:sz="8" w:color="auto"/>
            </w:tcBorders>
          </w:tcPr>
          <w:p>
            <w:pPr>
              <w:jc w:val="center"/>
              <w:ind w:left="192"/>
              <w:spacing w:after="0" w:line="140" w:lineRule="exact"/>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140"/>
        </w:trPr>
        <w:tc>
          <w:tcPr>
            <w:tcW w:w="4980" w:type="dxa"/>
            <w:vAlign w:val="bottom"/>
            <w:tcBorders>
              <w:left w:val="single" w:sz="8" w:color="auto"/>
              <w:right w:val="single" w:sz="8" w:color="auto"/>
            </w:tcBorders>
          </w:tcPr>
          <w:p>
            <w:pPr>
              <w:ind w:left="280"/>
              <w:spacing w:after="0" w:line="140" w:lineRule="exact"/>
              <w:rPr>
                <w:sz w:val="20"/>
                <w:szCs w:val="20"/>
                <w:color w:val="auto"/>
              </w:rPr>
            </w:pPr>
            <w:r>
              <w:rPr>
                <w:rFonts w:ascii="Times New Roman" w:cs="Times New Roman" w:eastAsia="Times New Roman" w:hAnsi="Times New Roman"/>
                <w:sz w:val="14"/>
                <w:szCs w:val="14"/>
                <w:color w:val="auto"/>
              </w:rPr>
              <w:t>Refinanced loans</w:t>
            </w:r>
          </w:p>
        </w:tc>
        <w:tc>
          <w:tcPr>
            <w:tcW w:w="134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3"/>
              </w:rPr>
              <w:t>44,287</w:t>
            </w:r>
          </w:p>
        </w:tc>
        <w:tc>
          <w:tcPr>
            <w:tcW w:w="144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3"/>
              </w:rPr>
              <w:t>78,463</w:t>
            </w:r>
          </w:p>
        </w:tc>
        <w:tc>
          <w:tcPr>
            <w:tcW w:w="148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3"/>
              </w:rPr>
              <w:t>78,995</w:t>
            </w:r>
          </w:p>
        </w:tc>
        <w:tc>
          <w:tcPr>
            <w:tcW w:w="700" w:type="dxa"/>
            <w:vAlign w:val="bottom"/>
          </w:tcPr>
          <w:p>
            <w:pPr>
              <w:jc w:val="center"/>
              <w:ind w:left="232"/>
              <w:spacing w:after="0" w:line="140" w:lineRule="exact"/>
              <w:rPr>
                <w:sz w:val="20"/>
                <w:szCs w:val="20"/>
                <w:color w:val="auto"/>
              </w:rPr>
            </w:pPr>
            <w:r>
              <w:rPr>
                <w:rFonts w:ascii="Times New Roman" w:cs="Times New Roman" w:eastAsia="Times New Roman" w:hAnsi="Times New Roman"/>
                <w:sz w:val="14"/>
                <w:szCs w:val="14"/>
                <w:color w:val="auto"/>
                <w:w w:val="95"/>
              </w:rPr>
              <w:t>0.7%</w:t>
            </w:r>
          </w:p>
        </w:tc>
        <w:tc>
          <w:tcPr>
            <w:tcW w:w="1320" w:type="dxa"/>
            <w:vAlign w:val="bottom"/>
            <w:tcBorders>
              <w:right w:val="single" w:sz="8" w:color="auto"/>
            </w:tcBorders>
          </w:tcPr>
          <w:p>
            <w:pPr>
              <w:jc w:val="center"/>
              <w:ind w:left="192"/>
              <w:spacing w:after="0" w:line="140" w:lineRule="exact"/>
              <w:rPr>
                <w:sz w:val="20"/>
                <w:szCs w:val="20"/>
                <w:color w:val="auto"/>
              </w:rPr>
            </w:pPr>
            <w:r>
              <w:rPr>
                <w:rFonts w:ascii="Times New Roman" w:cs="Times New Roman" w:eastAsia="Times New Roman" w:hAnsi="Times New Roman"/>
                <w:sz w:val="14"/>
                <w:szCs w:val="14"/>
                <w:color w:val="auto"/>
                <w:w w:val="93"/>
              </w:rPr>
              <w:t>78.4%</w:t>
            </w:r>
          </w:p>
        </w:tc>
        <w:tc>
          <w:tcPr>
            <w:tcW w:w="0" w:type="dxa"/>
            <w:vAlign w:val="bottom"/>
          </w:tcPr>
          <w:p>
            <w:pPr>
              <w:spacing w:after="0"/>
              <w:rPr>
                <w:sz w:val="1"/>
                <w:szCs w:val="1"/>
                <w:color w:val="auto"/>
              </w:rPr>
            </w:pPr>
          </w:p>
        </w:tc>
      </w:tr>
      <w:tr>
        <w:trPr>
          <w:trHeight w:val="136"/>
        </w:trPr>
        <w:tc>
          <w:tcPr>
            <w:tcW w:w="4980" w:type="dxa"/>
            <w:vAlign w:val="bottom"/>
            <w:tcBorders>
              <w:left w:val="single" w:sz="8" w:color="auto"/>
              <w:right w:val="single" w:sz="8" w:color="auto"/>
            </w:tcBorders>
          </w:tcPr>
          <w:p>
            <w:pPr>
              <w:ind w:left="280"/>
              <w:spacing w:after="0" w:line="136" w:lineRule="exact"/>
              <w:rPr>
                <w:sz w:val="20"/>
                <w:szCs w:val="20"/>
                <w:color w:val="auto"/>
              </w:rPr>
            </w:pPr>
            <w:r>
              <w:rPr>
                <w:rFonts w:ascii="Times New Roman" w:cs="Times New Roman" w:eastAsia="Times New Roman" w:hAnsi="Times New Roman"/>
                <w:sz w:val="14"/>
                <w:szCs w:val="14"/>
                <w:color w:val="auto"/>
              </w:rPr>
              <w:t>Less - allowance for loan losses</w:t>
            </w:r>
          </w:p>
        </w:tc>
        <w:tc>
          <w:tcPr>
            <w:tcW w:w="134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w w:val="94"/>
              </w:rPr>
              <w:t>(226,534)</w:t>
            </w:r>
          </w:p>
        </w:tc>
        <w:tc>
          <w:tcPr>
            <w:tcW w:w="144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w w:val="94"/>
              </w:rPr>
              <w:t>(252,729)</w:t>
            </w:r>
          </w:p>
        </w:tc>
        <w:tc>
          <w:tcPr>
            <w:tcW w:w="148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4"/>
                <w:szCs w:val="14"/>
                <w:color w:val="auto"/>
                <w:w w:val="94"/>
              </w:rPr>
              <w:t>(249,077)</w:t>
            </w:r>
          </w:p>
        </w:tc>
        <w:tc>
          <w:tcPr>
            <w:tcW w:w="700" w:type="dxa"/>
            <w:vAlign w:val="bottom"/>
          </w:tcPr>
          <w:p>
            <w:pPr>
              <w:jc w:val="center"/>
              <w:ind w:left="232"/>
              <w:spacing w:after="0" w:line="136" w:lineRule="exact"/>
              <w:rPr>
                <w:sz w:val="20"/>
                <w:szCs w:val="20"/>
                <w:color w:val="auto"/>
              </w:rPr>
            </w:pPr>
            <w:r>
              <w:rPr>
                <w:rFonts w:ascii="Times New Roman" w:cs="Times New Roman" w:eastAsia="Times New Roman" w:hAnsi="Times New Roman"/>
                <w:sz w:val="14"/>
                <w:szCs w:val="14"/>
                <w:color w:val="auto"/>
                <w:w w:val="94"/>
              </w:rPr>
              <w:t>-1.4%</w:t>
            </w:r>
          </w:p>
        </w:tc>
        <w:tc>
          <w:tcPr>
            <w:tcW w:w="1320" w:type="dxa"/>
            <w:vAlign w:val="bottom"/>
            <w:tcBorders>
              <w:right w:val="single" w:sz="8" w:color="auto"/>
            </w:tcBorders>
          </w:tcPr>
          <w:p>
            <w:pPr>
              <w:jc w:val="center"/>
              <w:ind w:left="192"/>
              <w:spacing w:after="0" w:line="136" w:lineRule="exact"/>
              <w:rPr>
                <w:sz w:val="20"/>
                <w:szCs w:val="20"/>
                <w:color w:val="auto"/>
              </w:rPr>
            </w:pPr>
            <w:r>
              <w:rPr>
                <w:rFonts w:ascii="Times New Roman" w:cs="Times New Roman" w:eastAsia="Times New Roman" w:hAnsi="Times New Roman"/>
                <w:sz w:val="14"/>
                <w:szCs w:val="14"/>
                <w:color w:val="auto"/>
                <w:w w:val="93"/>
              </w:rPr>
              <w:t>10.0%</w:t>
            </w:r>
          </w:p>
        </w:tc>
        <w:tc>
          <w:tcPr>
            <w:tcW w:w="0" w:type="dxa"/>
            <w:vAlign w:val="bottom"/>
          </w:tcPr>
          <w:p>
            <w:pPr>
              <w:spacing w:after="0"/>
              <w:rPr>
                <w:sz w:val="1"/>
                <w:szCs w:val="1"/>
                <w:color w:val="auto"/>
              </w:rPr>
            </w:pPr>
          </w:p>
        </w:tc>
      </w:tr>
      <w:tr>
        <w:trPr>
          <w:trHeight w:val="144"/>
        </w:trPr>
        <w:tc>
          <w:tcPr>
            <w:tcW w:w="4980" w:type="dxa"/>
            <w:vAlign w:val="bottom"/>
            <w:tcBorders>
              <w:left w:val="single" w:sz="8" w:color="auto"/>
              <w:right w:val="single" w:sz="8" w:color="auto"/>
            </w:tcBorders>
          </w:tcPr>
          <w:p>
            <w:pPr>
              <w:ind w:left="100"/>
              <w:spacing w:after="0" w:line="144" w:lineRule="exact"/>
              <w:rPr>
                <w:sz w:val="20"/>
                <w:szCs w:val="20"/>
                <w:color w:val="auto"/>
              </w:rPr>
            </w:pPr>
            <w:r>
              <w:rPr>
                <w:rFonts w:ascii="Times New Roman" w:cs="Times New Roman" w:eastAsia="Times New Roman" w:hAnsi="Times New Roman"/>
                <w:sz w:val="14"/>
                <w:szCs w:val="14"/>
                <w:b w:val="1"/>
                <w:bCs w:val="1"/>
                <w:color w:val="auto"/>
              </w:rPr>
              <w:t>Loans, net</w:t>
            </w:r>
          </w:p>
        </w:tc>
        <w:tc>
          <w:tcPr>
            <w:tcW w:w="134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6"/>
              </w:rPr>
              <w:t>6,067,276</w:t>
            </w:r>
          </w:p>
        </w:tc>
        <w:tc>
          <w:tcPr>
            <w:tcW w:w="144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6"/>
              </w:rPr>
              <w:t>7,300,362</w:t>
            </w:r>
          </w:p>
        </w:tc>
        <w:tc>
          <w:tcPr>
            <w:tcW w:w="1480" w:type="dxa"/>
            <w:vAlign w:val="bottom"/>
            <w:tcBorders>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6"/>
              </w:rPr>
              <w:t>7,069,967</w:t>
            </w:r>
          </w:p>
        </w:tc>
        <w:tc>
          <w:tcPr>
            <w:tcW w:w="700" w:type="dxa"/>
            <w:vAlign w:val="bottom"/>
          </w:tcPr>
          <w:p>
            <w:pPr>
              <w:jc w:val="center"/>
              <w:ind w:left="232"/>
              <w:spacing w:after="0" w:line="144" w:lineRule="exact"/>
              <w:rPr>
                <w:sz w:val="20"/>
                <w:szCs w:val="20"/>
                <w:color w:val="auto"/>
              </w:rPr>
            </w:pPr>
            <w:r>
              <w:rPr>
                <w:rFonts w:ascii="Times New Roman" w:cs="Times New Roman" w:eastAsia="Times New Roman" w:hAnsi="Times New Roman"/>
                <w:sz w:val="14"/>
                <w:szCs w:val="14"/>
                <w:b w:val="1"/>
                <w:bCs w:val="1"/>
                <w:color w:val="auto"/>
                <w:w w:val="99"/>
              </w:rPr>
              <w:t>-3.2%</w:t>
            </w:r>
          </w:p>
        </w:tc>
        <w:tc>
          <w:tcPr>
            <w:tcW w:w="1320" w:type="dxa"/>
            <w:vAlign w:val="bottom"/>
            <w:tcBorders>
              <w:right w:val="single" w:sz="8" w:color="auto"/>
            </w:tcBorders>
          </w:tcPr>
          <w:p>
            <w:pPr>
              <w:jc w:val="center"/>
              <w:ind w:left="192"/>
              <w:spacing w:after="0" w:line="144" w:lineRule="exact"/>
              <w:rPr>
                <w:sz w:val="20"/>
                <w:szCs w:val="20"/>
                <w:color w:val="auto"/>
              </w:rPr>
            </w:pPr>
            <w:r>
              <w:rPr>
                <w:rFonts w:ascii="Times New Roman" w:cs="Times New Roman" w:eastAsia="Times New Roman" w:hAnsi="Times New Roman"/>
                <w:sz w:val="14"/>
                <w:szCs w:val="14"/>
                <w:b w:val="1"/>
                <w:bCs w:val="1"/>
                <w:color w:val="auto"/>
                <w:w w:val="98"/>
              </w:rPr>
              <w:t>16.5%</w:t>
            </w:r>
          </w:p>
        </w:tc>
        <w:tc>
          <w:tcPr>
            <w:tcW w:w="0" w:type="dxa"/>
            <w:vAlign w:val="bottom"/>
          </w:tcPr>
          <w:p>
            <w:pPr>
              <w:spacing w:after="0"/>
              <w:rPr>
                <w:sz w:val="1"/>
                <w:szCs w:val="1"/>
                <w:color w:val="auto"/>
              </w:rPr>
            </w:pPr>
          </w:p>
        </w:tc>
      </w:tr>
      <w:tr>
        <w:trPr>
          <w:trHeight w:val="140"/>
        </w:trPr>
        <w:tc>
          <w:tcPr>
            <w:tcW w:w="4980" w:type="dxa"/>
            <w:vAlign w:val="bottom"/>
            <w:tcBorders>
              <w:left w:val="single" w:sz="8" w:color="auto"/>
              <w:right w:val="single" w:sz="8" w:color="auto"/>
            </w:tcBorders>
          </w:tcPr>
          <w:p>
            <w:pPr>
              <w:ind w:left="100"/>
              <w:spacing w:after="0" w:line="140" w:lineRule="exact"/>
              <w:rPr>
                <w:sz w:val="20"/>
                <w:szCs w:val="20"/>
                <w:color w:val="auto"/>
              </w:rPr>
            </w:pPr>
            <w:r>
              <w:rPr>
                <w:rFonts w:ascii="Times New Roman" w:cs="Times New Roman" w:eastAsia="Times New Roman" w:hAnsi="Times New Roman"/>
                <w:sz w:val="14"/>
                <w:szCs w:val="14"/>
                <w:color w:val="auto"/>
              </w:rPr>
              <w:t>Property, furniture and equipment, net</w:t>
            </w:r>
          </w:p>
        </w:tc>
        <w:tc>
          <w:tcPr>
            <w:tcW w:w="134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3"/>
              </w:rPr>
              <w:t>81,105</w:t>
            </w:r>
          </w:p>
        </w:tc>
        <w:tc>
          <w:tcPr>
            <w:tcW w:w="144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3"/>
              </w:rPr>
              <w:t>96,827</w:t>
            </w:r>
          </w:p>
        </w:tc>
        <w:tc>
          <w:tcPr>
            <w:tcW w:w="148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3"/>
              </w:rPr>
              <w:t>90,408</w:t>
            </w:r>
          </w:p>
        </w:tc>
        <w:tc>
          <w:tcPr>
            <w:tcW w:w="700" w:type="dxa"/>
            <w:vAlign w:val="bottom"/>
          </w:tcPr>
          <w:p>
            <w:pPr>
              <w:jc w:val="center"/>
              <w:ind w:left="232"/>
              <w:spacing w:after="0" w:line="140" w:lineRule="exact"/>
              <w:rPr>
                <w:sz w:val="20"/>
                <w:szCs w:val="20"/>
                <w:color w:val="auto"/>
              </w:rPr>
            </w:pPr>
            <w:r>
              <w:rPr>
                <w:rFonts w:ascii="Times New Roman" w:cs="Times New Roman" w:eastAsia="Times New Roman" w:hAnsi="Times New Roman"/>
                <w:sz w:val="14"/>
                <w:szCs w:val="14"/>
                <w:color w:val="auto"/>
                <w:w w:val="94"/>
              </w:rPr>
              <w:t>-6.6%</w:t>
            </w:r>
          </w:p>
        </w:tc>
        <w:tc>
          <w:tcPr>
            <w:tcW w:w="1320" w:type="dxa"/>
            <w:vAlign w:val="bottom"/>
            <w:tcBorders>
              <w:right w:val="single" w:sz="8" w:color="auto"/>
            </w:tcBorders>
          </w:tcPr>
          <w:p>
            <w:pPr>
              <w:jc w:val="center"/>
              <w:ind w:left="192"/>
              <w:spacing w:after="0" w:line="140" w:lineRule="exact"/>
              <w:rPr>
                <w:sz w:val="20"/>
                <w:szCs w:val="20"/>
                <w:color w:val="auto"/>
              </w:rPr>
            </w:pPr>
            <w:r>
              <w:rPr>
                <w:rFonts w:ascii="Times New Roman" w:cs="Times New Roman" w:eastAsia="Times New Roman" w:hAnsi="Times New Roman"/>
                <w:sz w:val="14"/>
                <w:szCs w:val="14"/>
                <w:color w:val="auto"/>
                <w:w w:val="93"/>
              </w:rPr>
              <w:t>11.5%</w:t>
            </w:r>
          </w:p>
        </w:tc>
        <w:tc>
          <w:tcPr>
            <w:tcW w:w="0" w:type="dxa"/>
            <w:vAlign w:val="bottom"/>
          </w:tcPr>
          <w:p>
            <w:pPr>
              <w:spacing w:after="0"/>
              <w:rPr>
                <w:sz w:val="1"/>
                <w:szCs w:val="1"/>
                <w:color w:val="auto"/>
              </w:rPr>
            </w:pPr>
          </w:p>
        </w:tc>
      </w:tr>
      <w:tr>
        <w:trPr>
          <w:trHeight w:val="136"/>
        </w:trPr>
        <w:tc>
          <w:tcPr>
            <w:tcW w:w="4980" w:type="dxa"/>
            <w:vAlign w:val="bottom"/>
            <w:tcBorders>
              <w:left w:val="single" w:sz="8" w:color="auto"/>
              <w:right w:val="single" w:sz="8" w:color="auto"/>
            </w:tcBorders>
          </w:tcPr>
          <w:p>
            <w:pPr>
              <w:ind w:left="100"/>
              <w:spacing w:after="0" w:line="136" w:lineRule="exact"/>
              <w:rPr>
                <w:sz w:val="20"/>
                <w:szCs w:val="20"/>
                <w:color w:val="auto"/>
              </w:rPr>
            </w:pPr>
            <w:r>
              <w:rPr>
                <w:rFonts w:ascii="Times New Roman" w:cs="Times New Roman" w:eastAsia="Times New Roman" w:hAnsi="Times New Roman"/>
                <w:sz w:val="14"/>
                <w:szCs w:val="14"/>
                <w:color w:val="auto"/>
              </w:rPr>
              <w:t>Other assets</w:t>
            </w:r>
          </w:p>
        </w:tc>
        <w:tc>
          <w:tcPr>
            <w:tcW w:w="134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w w:val="96"/>
              </w:rPr>
              <w:t>210,298</w:t>
            </w:r>
          </w:p>
        </w:tc>
        <w:tc>
          <w:tcPr>
            <w:tcW w:w="144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w w:val="96"/>
              </w:rPr>
              <w:t>251,774</w:t>
            </w:r>
          </w:p>
        </w:tc>
        <w:tc>
          <w:tcPr>
            <w:tcW w:w="148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4"/>
                <w:szCs w:val="14"/>
                <w:color w:val="auto"/>
                <w:w w:val="96"/>
              </w:rPr>
              <w:t>295,456</w:t>
            </w:r>
          </w:p>
        </w:tc>
        <w:tc>
          <w:tcPr>
            <w:tcW w:w="700" w:type="dxa"/>
            <w:vAlign w:val="bottom"/>
          </w:tcPr>
          <w:p>
            <w:pPr>
              <w:jc w:val="center"/>
              <w:ind w:left="232"/>
              <w:spacing w:after="0" w:line="136" w:lineRule="exact"/>
              <w:rPr>
                <w:sz w:val="20"/>
                <w:szCs w:val="20"/>
                <w:color w:val="auto"/>
              </w:rPr>
            </w:pPr>
            <w:r>
              <w:rPr>
                <w:rFonts w:ascii="Times New Roman" w:cs="Times New Roman" w:eastAsia="Times New Roman" w:hAnsi="Times New Roman"/>
                <w:sz w:val="14"/>
                <w:szCs w:val="14"/>
                <w:color w:val="auto"/>
                <w:w w:val="99"/>
              </w:rPr>
              <w:t>17.3%</w:t>
            </w:r>
          </w:p>
        </w:tc>
        <w:tc>
          <w:tcPr>
            <w:tcW w:w="1320" w:type="dxa"/>
            <w:vAlign w:val="bottom"/>
            <w:tcBorders>
              <w:right w:val="single" w:sz="8" w:color="auto"/>
            </w:tcBorders>
          </w:tcPr>
          <w:p>
            <w:pPr>
              <w:jc w:val="center"/>
              <w:ind w:left="192"/>
              <w:spacing w:after="0" w:line="136" w:lineRule="exact"/>
              <w:rPr>
                <w:sz w:val="20"/>
                <w:szCs w:val="20"/>
                <w:color w:val="auto"/>
              </w:rPr>
            </w:pPr>
            <w:r>
              <w:rPr>
                <w:rFonts w:ascii="Times New Roman" w:cs="Times New Roman" w:eastAsia="Times New Roman" w:hAnsi="Times New Roman"/>
                <w:sz w:val="14"/>
                <w:szCs w:val="14"/>
                <w:color w:val="auto"/>
                <w:w w:val="93"/>
              </w:rPr>
              <w:t>40.5%</w:t>
            </w:r>
          </w:p>
        </w:tc>
        <w:tc>
          <w:tcPr>
            <w:tcW w:w="0" w:type="dxa"/>
            <w:vAlign w:val="bottom"/>
          </w:tcPr>
          <w:p>
            <w:pPr>
              <w:spacing w:after="0"/>
              <w:rPr>
                <w:sz w:val="1"/>
                <w:szCs w:val="1"/>
                <w:color w:val="auto"/>
              </w:rPr>
            </w:pPr>
          </w:p>
        </w:tc>
      </w:tr>
      <w:tr>
        <w:trPr>
          <w:trHeight w:val="179"/>
        </w:trPr>
        <w:tc>
          <w:tcPr>
            <w:tcW w:w="4980" w:type="dxa"/>
            <w:vAlign w:val="bottom"/>
            <w:tcBorders>
              <w:left w:val="single" w:sz="8" w:color="auto"/>
              <w:right w:val="single" w:sz="8" w:color="auto"/>
            </w:tcBorders>
          </w:tcPr>
          <w:p>
            <w:pPr>
              <w:ind w:left="216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9,253,646</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11,025,612</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10,863,634</w:t>
            </w:r>
          </w:p>
        </w:tc>
        <w:tc>
          <w:tcPr>
            <w:tcW w:w="700" w:type="dxa"/>
            <w:vAlign w:val="bottom"/>
          </w:tcPr>
          <w:p>
            <w:pPr>
              <w:jc w:val="center"/>
              <w:ind w:left="232"/>
              <w:spacing w:after="0"/>
              <w:rPr>
                <w:sz w:val="20"/>
                <w:szCs w:val="20"/>
                <w:color w:val="auto"/>
              </w:rPr>
            </w:pPr>
            <w:r>
              <w:rPr>
                <w:rFonts w:ascii="Times New Roman" w:cs="Times New Roman" w:eastAsia="Times New Roman" w:hAnsi="Times New Roman"/>
                <w:sz w:val="14"/>
                <w:szCs w:val="14"/>
                <w:b w:val="1"/>
                <w:bCs w:val="1"/>
                <w:color w:val="auto"/>
                <w:w w:val="99"/>
              </w:rPr>
              <w:t>-1.5%</w:t>
            </w:r>
          </w:p>
        </w:tc>
        <w:tc>
          <w:tcPr>
            <w:tcW w:w="1320" w:type="dxa"/>
            <w:vAlign w:val="bottom"/>
            <w:tcBorders>
              <w:right w:val="single" w:sz="8" w:color="auto"/>
            </w:tcBorders>
          </w:tcPr>
          <w:p>
            <w:pPr>
              <w:jc w:val="center"/>
              <w:ind w:left="192"/>
              <w:spacing w:after="0"/>
              <w:rPr>
                <w:sz w:val="20"/>
                <w:szCs w:val="20"/>
                <w:color w:val="auto"/>
              </w:rPr>
            </w:pPr>
            <w:r>
              <w:rPr>
                <w:rFonts w:ascii="Times New Roman" w:cs="Times New Roman" w:eastAsia="Times New Roman" w:hAnsi="Times New Roman"/>
                <w:sz w:val="14"/>
                <w:szCs w:val="14"/>
                <w:b w:val="1"/>
                <w:bCs w:val="1"/>
                <w:color w:val="auto"/>
                <w:w w:val="98"/>
              </w:rPr>
              <w:t>17.4%</w:t>
            </w:r>
          </w:p>
        </w:tc>
        <w:tc>
          <w:tcPr>
            <w:tcW w:w="0" w:type="dxa"/>
            <w:vAlign w:val="bottom"/>
          </w:tcPr>
          <w:p>
            <w:pPr>
              <w:spacing w:after="0"/>
              <w:rPr>
                <w:sz w:val="1"/>
                <w:szCs w:val="1"/>
                <w:color w:val="auto"/>
              </w:rPr>
            </w:pPr>
          </w:p>
        </w:tc>
      </w:tr>
      <w:tr>
        <w:trPr>
          <w:trHeight w:val="244"/>
        </w:trPr>
        <w:tc>
          <w:tcPr>
            <w:tcW w:w="49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LIABILITIES AND NET SHAREHOLDERS’ EQUITY</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6"/>
              </w:rPr>
              <w:t>7,971,085</w:t>
            </w: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6"/>
              </w:rPr>
              <w:t>9,459,528</w:t>
            </w:r>
          </w:p>
        </w:tc>
        <w:tc>
          <w:tcPr>
            <w:tcW w:w="1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6"/>
              </w:rPr>
              <w:t>9,285,342</w:t>
            </w:r>
          </w:p>
        </w:tc>
        <w:tc>
          <w:tcPr>
            <w:tcW w:w="700" w:type="dxa"/>
            <w:vAlign w:val="bottom"/>
            <w:vMerge w:val="restart"/>
          </w:tcPr>
          <w:p>
            <w:pPr>
              <w:jc w:val="center"/>
              <w:ind w:left="232"/>
              <w:spacing w:after="0"/>
              <w:rPr>
                <w:sz w:val="20"/>
                <w:szCs w:val="20"/>
                <w:color w:val="auto"/>
              </w:rPr>
            </w:pPr>
            <w:r>
              <w:rPr>
                <w:rFonts w:ascii="Times New Roman" w:cs="Times New Roman" w:eastAsia="Times New Roman" w:hAnsi="Times New Roman"/>
                <w:sz w:val="14"/>
                <w:szCs w:val="14"/>
                <w:color w:val="auto"/>
                <w:w w:val="94"/>
              </w:rPr>
              <w:t>-1.8%</w:t>
            </w:r>
          </w:p>
        </w:tc>
        <w:tc>
          <w:tcPr>
            <w:tcW w:w="1320" w:type="dxa"/>
            <w:vAlign w:val="bottom"/>
            <w:tcBorders>
              <w:right w:val="single" w:sz="8" w:color="auto"/>
            </w:tcBorders>
            <w:vMerge w:val="restart"/>
          </w:tcPr>
          <w:p>
            <w:pPr>
              <w:jc w:val="center"/>
              <w:ind w:left="192"/>
              <w:spacing w:after="0"/>
              <w:rPr>
                <w:sz w:val="20"/>
                <w:szCs w:val="20"/>
                <w:color w:val="auto"/>
              </w:rPr>
            </w:pPr>
            <w:r>
              <w:rPr>
                <w:rFonts w:ascii="Times New Roman" w:cs="Times New Roman" w:eastAsia="Times New Roman" w:hAnsi="Times New Roman"/>
                <w:sz w:val="14"/>
                <w:szCs w:val="14"/>
                <w:color w:val="auto"/>
                <w:w w:val="93"/>
              </w:rPr>
              <w:t>16.5%</w:t>
            </w:r>
          </w:p>
        </w:tc>
        <w:tc>
          <w:tcPr>
            <w:tcW w:w="0" w:type="dxa"/>
            <w:vAlign w:val="bottom"/>
          </w:tcPr>
          <w:p>
            <w:pPr>
              <w:spacing w:after="0"/>
              <w:rPr>
                <w:sz w:val="1"/>
                <w:szCs w:val="1"/>
                <w:color w:val="auto"/>
              </w:rPr>
            </w:pPr>
          </w:p>
        </w:tc>
      </w:tr>
      <w:tr>
        <w:trPr>
          <w:trHeight w:val="140"/>
        </w:trPr>
        <w:tc>
          <w:tcPr>
            <w:tcW w:w="4980" w:type="dxa"/>
            <w:vAlign w:val="bottom"/>
            <w:tcBorders>
              <w:left w:val="single" w:sz="8" w:color="auto"/>
              <w:right w:val="single" w:sz="8" w:color="auto"/>
            </w:tcBorders>
          </w:tcPr>
          <w:p>
            <w:pPr>
              <w:ind w:left="100"/>
              <w:spacing w:after="0" w:line="140" w:lineRule="exact"/>
              <w:rPr>
                <w:sz w:val="20"/>
                <w:szCs w:val="20"/>
                <w:color w:val="auto"/>
              </w:rPr>
            </w:pPr>
            <w:r>
              <w:rPr>
                <w:rFonts w:ascii="Times New Roman" w:cs="Times New Roman" w:eastAsia="Times New Roman" w:hAnsi="Times New Roman"/>
                <w:sz w:val="14"/>
                <w:szCs w:val="14"/>
                <w:color w:val="auto"/>
              </w:rPr>
              <w:t>Deposits and obligations</w:t>
            </w:r>
          </w:p>
        </w:tc>
        <w:tc>
          <w:tcPr>
            <w:tcW w:w="134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1480" w:type="dxa"/>
            <w:vAlign w:val="bottom"/>
            <w:tcBorders>
              <w:right w:val="single" w:sz="8" w:color="auto"/>
            </w:tcBorders>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13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980" w:type="dxa"/>
            <w:vAlign w:val="bottom"/>
            <w:tcBorders>
              <w:left w:val="single" w:sz="8" w:color="auto"/>
              <w:right w:val="single" w:sz="8" w:color="auto"/>
            </w:tcBorders>
          </w:tcPr>
          <w:p>
            <w:pPr>
              <w:ind w:left="100"/>
              <w:spacing w:after="0" w:line="140" w:lineRule="exact"/>
              <w:rPr>
                <w:sz w:val="20"/>
                <w:szCs w:val="20"/>
                <w:color w:val="auto"/>
              </w:rPr>
            </w:pPr>
            <w:r>
              <w:rPr>
                <w:rFonts w:ascii="Times New Roman" w:cs="Times New Roman" w:eastAsia="Times New Roman" w:hAnsi="Times New Roman"/>
                <w:sz w:val="14"/>
                <w:szCs w:val="14"/>
                <w:color w:val="auto"/>
              </w:rPr>
              <w:t>Due to banks and correspondents</w:t>
            </w:r>
          </w:p>
        </w:tc>
        <w:tc>
          <w:tcPr>
            <w:tcW w:w="1340" w:type="dxa"/>
            <w:vAlign w:val="bottom"/>
          </w:tcPr>
          <w:p>
            <w:pPr>
              <w:jc w:val="right"/>
              <w:ind w:right="652"/>
              <w:spacing w:after="0" w:line="140"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ind w:left="640"/>
              <w:spacing w:after="0" w:line="140" w:lineRule="exact"/>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right w:val="single" w:sz="8" w:color="auto"/>
            </w:tcBorders>
          </w:tcPr>
          <w:p>
            <w:pPr>
              <w:jc w:val="right"/>
              <w:ind w:right="692"/>
              <w:spacing w:after="0" w:line="140"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center"/>
              <w:ind w:left="232"/>
              <w:spacing w:after="0" w:line="140" w:lineRule="exact"/>
              <w:rPr>
                <w:sz w:val="20"/>
                <w:szCs w:val="20"/>
                <w:color w:val="auto"/>
              </w:rPr>
            </w:pPr>
            <w:r>
              <w:rPr>
                <w:rFonts w:ascii="Times New Roman" w:cs="Times New Roman" w:eastAsia="Times New Roman" w:hAnsi="Times New Roman"/>
                <w:sz w:val="14"/>
                <w:szCs w:val="14"/>
                <w:color w:val="auto"/>
                <w:w w:val="98"/>
              </w:rPr>
              <w:t>n.a.</w:t>
            </w:r>
          </w:p>
        </w:tc>
        <w:tc>
          <w:tcPr>
            <w:tcW w:w="1320" w:type="dxa"/>
            <w:vAlign w:val="bottom"/>
            <w:tcBorders>
              <w:right w:val="single" w:sz="8" w:color="auto"/>
            </w:tcBorders>
          </w:tcPr>
          <w:p>
            <w:pPr>
              <w:jc w:val="center"/>
              <w:ind w:left="212"/>
              <w:spacing w:after="0" w:line="140" w:lineRule="exact"/>
              <w:rPr>
                <w:sz w:val="20"/>
                <w:szCs w:val="20"/>
                <w:color w:val="auto"/>
              </w:rPr>
            </w:pPr>
            <w:r>
              <w:rPr>
                <w:rFonts w:ascii="Times New Roman" w:cs="Times New Roman" w:eastAsia="Times New Roman" w:hAnsi="Times New Roman"/>
                <w:sz w:val="14"/>
                <w:szCs w:val="14"/>
                <w:color w:val="auto"/>
                <w:w w:val="98"/>
              </w:rPr>
              <w:t>n.a.</w:t>
            </w:r>
          </w:p>
        </w:tc>
        <w:tc>
          <w:tcPr>
            <w:tcW w:w="0" w:type="dxa"/>
            <w:vAlign w:val="bottom"/>
          </w:tcPr>
          <w:p>
            <w:pPr>
              <w:spacing w:after="0"/>
              <w:rPr>
                <w:sz w:val="1"/>
                <w:szCs w:val="1"/>
                <w:color w:val="auto"/>
              </w:rPr>
            </w:pPr>
          </w:p>
        </w:tc>
      </w:tr>
      <w:tr>
        <w:trPr>
          <w:trHeight w:val="140"/>
        </w:trPr>
        <w:tc>
          <w:tcPr>
            <w:tcW w:w="4980" w:type="dxa"/>
            <w:vAlign w:val="bottom"/>
            <w:tcBorders>
              <w:left w:val="single" w:sz="8" w:color="auto"/>
              <w:right w:val="single" w:sz="8" w:color="auto"/>
            </w:tcBorders>
          </w:tcPr>
          <w:p>
            <w:pPr>
              <w:ind w:left="100"/>
              <w:spacing w:after="0" w:line="140" w:lineRule="exact"/>
              <w:rPr>
                <w:sz w:val="20"/>
                <w:szCs w:val="20"/>
                <w:color w:val="auto"/>
              </w:rPr>
            </w:pPr>
            <w:r>
              <w:rPr>
                <w:rFonts w:ascii="Times New Roman" w:cs="Times New Roman" w:eastAsia="Times New Roman" w:hAnsi="Times New Roman"/>
                <w:sz w:val="14"/>
                <w:szCs w:val="14"/>
                <w:color w:val="auto"/>
              </w:rPr>
              <w:t>Bonds and subordinated debt</w:t>
            </w:r>
          </w:p>
        </w:tc>
        <w:tc>
          <w:tcPr>
            <w:tcW w:w="134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3"/>
              </w:rPr>
              <w:t>97,465</w:t>
            </w:r>
          </w:p>
        </w:tc>
        <w:tc>
          <w:tcPr>
            <w:tcW w:w="144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143,754</w:t>
            </w:r>
          </w:p>
        </w:tc>
        <w:tc>
          <w:tcPr>
            <w:tcW w:w="148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138,743</w:t>
            </w:r>
          </w:p>
        </w:tc>
        <w:tc>
          <w:tcPr>
            <w:tcW w:w="700" w:type="dxa"/>
            <w:vAlign w:val="bottom"/>
          </w:tcPr>
          <w:p>
            <w:pPr>
              <w:jc w:val="center"/>
              <w:ind w:left="232"/>
              <w:spacing w:after="0" w:line="140" w:lineRule="exact"/>
              <w:rPr>
                <w:sz w:val="20"/>
                <w:szCs w:val="20"/>
                <w:color w:val="auto"/>
              </w:rPr>
            </w:pPr>
            <w:r>
              <w:rPr>
                <w:rFonts w:ascii="Times New Roman" w:cs="Times New Roman" w:eastAsia="Times New Roman" w:hAnsi="Times New Roman"/>
                <w:sz w:val="14"/>
                <w:szCs w:val="14"/>
                <w:color w:val="auto"/>
                <w:w w:val="94"/>
              </w:rPr>
              <w:t>-3.5%</w:t>
            </w:r>
          </w:p>
        </w:tc>
        <w:tc>
          <w:tcPr>
            <w:tcW w:w="1320" w:type="dxa"/>
            <w:vAlign w:val="bottom"/>
            <w:tcBorders>
              <w:right w:val="single" w:sz="8" w:color="auto"/>
            </w:tcBorders>
          </w:tcPr>
          <w:p>
            <w:pPr>
              <w:jc w:val="center"/>
              <w:ind w:left="192"/>
              <w:spacing w:after="0" w:line="140" w:lineRule="exact"/>
              <w:rPr>
                <w:sz w:val="20"/>
                <w:szCs w:val="20"/>
                <w:color w:val="auto"/>
              </w:rPr>
            </w:pPr>
            <w:r>
              <w:rPr>
                <w:rFonts w:ascii="Times New Roman" w:cs="Times New Roman" w:eastAsia="Times New Roman" w:hAnsi="Times New Roman"/>
                <w:sz w:val="14"/>
                <w:szCs w:val="14"/>
                <w:color w:val="auto"/>
                <w:w w:val="93"/>
              </w:rPr>
              <w:t>42.4%</w:t>
            </w:r>
          </w:p>
        </w:tc>
        <w:tc>
          <w:tcPr>
            <w:tcW w:w="0" w:type="dxa"/>
            <w:vAlign w:val="bottom"/>
          </w:tcPr>
          <w:p>
            <w:pPr>
              <w:spacing w:after="0"/>
              <w:rPr>
                <w:sz w:val="1"/>
                <w:szCs w:val="1"/>
                <w:color w:val="auto"/>
              </w:rPr>
            </w:pPr>
          </w:p>
        </w:tc>
      </w:tr>
      <w:tr>
        <w:trPr>
          <w:trHeight w:val="136"/>
        </w:trPr>
        <w:tc>
          <w:tcPr>
            <w:tcW w:w="4980" w:type="dxa"/>
            <w:vAlign w:val="bottom"/>
            <w:tcBorders>
              <w:left w:val="single" w:sz="8" w:color="auto"/>
              <w:right w:val="single" w:sz="8" w:color="auto"/>
            </w:tcBorders>
          </w:tcPr>
          <w:p>
            <w:pPr>
              <w:ind w:left="100"/>
              <w:spacing w:after="0" w:line="136" w:lineRule="exact"/>
              <w:rPr>
                <w:sz w:val="20"/>
                <w:szCs w:val="20"/>
                <w:color w:val="auto"/>
              </w:rPr>
            </w:pPr>
            <w:r>
              <w:rPr>
                <w:rFonts w:ascii="Times New Roman" w:cs="Times New Roman" w:eastAsia="Times New Roman" w:hAnsi="Times New Roman"/>
                <w:sz w:val="14"/>
                <w:szCs w:val="14"/>
                <w:color w:val="auto"/>
              </w:rPr>
              <w:t>Other liabilities</w:t>
            </w:r>
          </w:p>
        </w:tc>
        <w:tc>
          <w:tcPr>
            <w:tcW w:w="134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w w:val="96"/>
              </w:rPr>
              <w:t>475,663</w:t>
            </w:r>
          </w:p>
        </w:tc>
        <w:tc>
          <w:tcPr>
            <w:tcW w:w="144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w w:val="96"/>
              </w:rPr>
              <w:t>551,978</w:t>
            </w:r>
          </w:p>
        </w:tc>
        <w:tc>
          <w:tcPr>
            <w:tcW w:w="148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4"/>
                <w:szCs w:val="14"/>
                <w:color w:val="auto"/>
                <w:w w:val="96"/>
              </w:rPr>
              <w:t>583,682</w:t>
            </w:r>
          </w:p>
        </w:tc>
        <w:tc>
          <w:tcPr>
            <w:tcW w:w="700" w:type="dxa"/>
            <w:vAlign w:val="bottom"/>
          </w:tcPr>
          <w:p>
            <w:pPr>
              <w:jc w:val="center"/>
              <w:ind w:left="232"/>
              <w:spacing w:after="0" w:line="136" w:lineRule="exact"/>
              <w:rPr>
                <w:sz w:val="20"/>
                <w:szCs w:val="20"/>
                <w:color w:val="auto"/>
              </w:rPr>
            </w:pPr>
            <w:r>
              <w:rPr>
                <w:rFonts w:ascii="Times New Roman" w:cs="Times New Roman" w:eastAsia="Times New Roman" w:hAnsi="Times New Roman"/>
                <w:sz w:val="14"/>
                <w:szCs w:val="14"/>
                <w:color w:val="auto"/>
                <w:w w:val="95"/>
              </w:rPr>
              <w:t>5.7%</w:t>
            </w:r>
          </w:p>
        </w:tc>
        <w:tc>
          <w:tcPr>
            <w:tcW w:w="1320" w:type="dxa"/>
            <w:vAlign w:val="bottom"/>
            <w:tcBorders>
              <w:right w:val="single" w:sz="8" w:color="auto"/>
            </w:tcBorders>
          </w:tcPr>
          <w:p>
            <w:pPr>
              <w:jc w:val="center"/>
              <w:ind w:left="192"/>
              <w:spacing w:after="0" w:line="136" w:lineRule="exact"/>
              <w:rPr>
                <w:sz w:val="20"/>
                <w:szCs w:val="20"/>
                <w:color w:val="auto"/>
              </w:rPr>
            </w:pPr>
            <w:r>
              <w:rPr>
                <w:rFonts w:ascii="Times New Roman" w:cs="Times New Roman" w:eastAsia="Times New Roman" w:hAnsi="Times New Roman"/>
                <w:sz w:val="14"/>
                <w:szCs w:val="14"/>
                <w:color w:val="auto"/>
                <w:w w:val="93"/>
              </w:rPr>
              <w:t>22.7%</w:t>
            </w:r>
          </w:p>
        </w:tc>
        <w:tc>
          <w:tcPr>
            <w:tcW w:w="0" w:type="dxa"/>
            <w:vAlign w:val="bottom"/>
          </w:tcPr>
          <w:p>
            <w:pPr>
              <w:spacing w:after="0"/>
              <w:rPr>
                <w:sz w:val="1"/>
                <w:szCs w:val="1"/>
                <w:color w:val="auto"/>
              </w:rPr>
            </w:pPr>
          </w:p>
        </w:tc>
      </w:tr>
      <w:tr>
        <w:trPr>
          <w:trHeight w:val="179"/>
        </w:trPr>
        <w:tc>
          <w:tcPr>
            <w:tcW w:w="4980" w:type="dxa"/>
            <w:vAlign w:val="bottom"/>
            <w:tcBorders>
              <w:left w:val="single" w:sz="8" w:color="auto"/>
              <w:right w:val="single" w:sz="8" w:color="auto"/>
            </w:tcBorders>
          </w:tcPr>
          <w:p>
            <w:pPr>
              <w:ind w:left="206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8,544,213</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10,155,260</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10,007,767</w:t>
            </w:r>
          </w:p>
        </w:tc>
        <w:tc>
          <w:tcPr>
            <w:tcW w:w="700" w:type="dxa"/>
            <w:vAlign w:val="bottom"/>
          </w:tcPr>
          <w:p>
            <w:pPr>
              <w:jc w:val="center"/>
              <w:ind w:left="232"/>
              <w:spacing w:after="0"/>
              <w:rPr>
                <w:sz w:val="20"/>
                <w:szCs w:val="20"/>
                <w:color w:val="auto"/>
              </w:rPr>
            </w:pPr>
            <w:r>
              <w:rPr>
                <w:rFonts w:ascii="Times New Roman" w:cs="Times New Roman" w:eastAsia="Times New Roman" w:hAnsi="Times New Roman"/>
                <w:sz w:val="14"/>
                <w:szCs w:val="14"/>
                <w:b w:val="1"/>
                <w:bCs w:val="1"/>
                <w:color w:val="auto"/>
                <w:w w:val="99"/>
              </w:rPr>
              <w:t>-1.5%</w:t>
            </w:r>
          </w:p>
        </w:tc>
        <w:tc>
          <w:tcPr>
            <w:tcW w:w="1320" w:type="dxa"/>
            <w:vAlign w:val="bottom"/>
            <w:tcBorders>
              <w:right w:val="single" w:sz="8" w:color="auto"/>
            </w:tcBorders>
          </w:tcPr>
          <w:p>
            <w:pPr>
              <w:jc w:val="center"/>
              <w:ind w:left="192"/>
              <w:spacing w:after="0"/>
              <w:rPr>
                <w:sz w:val="20"/>
                <w:szCs w:val="20"/>
                <w:color w:val="auto"/>
              </w:rPr>
            </w:pPr>
            <w:r>
              <w:rPr>
                <w:rFonts w:ascii="Times New Roman" w:cs="Times New Roman" w:eastAsia="Times New Roman" w:hAnsi="Times New Roman"/>
                <w:sz w:val="14"/>
                <w:szCs w:val="14"/>
                <w:b w:val="1"/>
                <w:bCs w:val="1"/>
                <w:color w:val="auto"/>
                <w:w w:val="98"/>
              </w:rPr>
              <w:t>17.1%</w:t>
            </w:r>
          </w:p>
        </w:tc>
        <w:tc>
          <w:tcPr>
            <w:tcW w:w="0" w:type="dxa"/>
            <w:vAlign w:val="bottom"/>
          </w:tcPr>
          <w:p>
            <w:pPr>
              <w:spacing w:after="0"/>
              <w:rPr>
                <w:sz w:val="1"/>
                <w:szCs w:val="1"/>
                <w:color w:val="auto"/>
              </w:rPr>
            </w:pPr>
          </w:p>
        </w:tc>
      </w:tr>
      <w:tr>
        <w:trPr>
          <w:trHeight w:val="279"/>
        </w:trPr>
        <w:tc>
          <w:tcPr>
            <w:tcW w:w="49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Net equity</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709,433</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870,352</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855,867</w:t>
            </w:r>
          </w:p>
        </w:tc>
        <w:tc>
          <w:tcPr>
            <w:tcW w:w="700" w:type="dxa"/>
            <w:vAlign w:val="bottom"/>
          </w:tcPr>
          <w:p>
            <w:pPr>
              <w:jc w:val="center"/>
              <w:ind w:left="232"/>
              <w:spacing w:after="0"/>
              <w:rPr>
                <w:sz w:val="20"/>
                <w:szCs w:val="20"/>
                <w:color w:val="auto"/>
              </w:rPr>
            </w:pPr>
            <w:r>
              <w:rPr>
                <w:rFonts w:ascii="Times New Roman" w:cs="Times New Roman" w:eastAsia="Times New Roman" w:hAnsi="Times New Roman"/>
                <w:sz w:val="14"/>
                <w:szCs w:val="14"/>
                <w:b w:val="1"/>
                <w:bCs w:val="1"/>
                <w:color w:val="auto"/>
                <w:w w:val="99"/>
              </w:rPr>
              <w:t>-1.7%</w:t>
            </w:r>
          </w:p>
        </w:tc>
        <w:tc>
          <w:tcPr>
            <w:tcW w:w="1320" w:type="dxa"/>
            <w:vAlign w:val="bottom"/>
            <w:tcBorders>
              <w:right w:val="single" w:sz="8" w:color="auto"/>
            </w:tcBorders>
          </w:tcPr>
          <w:p>
            <w:pPr>
              <w:jc w:val="center"/>
              <w:ind w:left="192"/>
              <w:spacing w:after="0"/>
              <w:rPr>
                <w:sz w:val="20"/>
                <w:szCs w:val="20"/>
                <w:color w:val="auto"/>
              </w:rPr>
            </w:pPr>
            <w:r>
              <w:rPr>
                <w:rFonts w:ascii="Times New Roman" w:cs="Times New Roman" w:eastAsia="Times New Roman" w:hAnsi="Times New Roman"/>
                <w:sz w:val="14"/>
                <w:szCs w:val="14"/>
                <w:b w:val="1"/>
                <w:bCs w:val="1"/>
                <w:color w:val="auto"/>
                <w:w w:val="98"/>
              </w:rPr>
              <w:t>20.6%</w:t>
            </w:r>
          </w:p>
        </w:tc>
        <w:tc>
          <w:tcPr>
            <w:tcW w:w="0" w:type="dxa"/>
            <w:vAlign w:val="bottom"/>
          </w:tcPr>
          <w:p>
            <w:pPr>
              <w:spacing w:after="0"/>
              <w:rPr>
                <w:sz w:val="1"/>
                <w:szCs w:val="1"/>
                <w:color w:val="auto"/>
              </w:rPr>
            </w:pPr>
          </w:p>
        </w:tc>
      </w:tr>
      <w:tr>
        <w:trPr>
          <w:trHeight w:val="265"/>
        </w:trPr>
        <w:tc>
          <w:tcPr>
            <w:tcW w:w="49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TOTAL LIABILITIES AND NET EQUITY</w:t>
            </w: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9,253,646</w:t>
            </w: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11,025,612</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10,863,634</w:t>
            </w:r>
          </w:p>
        </w:tc>
        <w:tc>
          <w:tcPr>
            <w:tcW w:w="700" w:type="dxa"/>
            <w:vAlign w:val="bottom"/>
            <w:tcBorders>
              <w:bottom w:val="single" w:sz="8" w:color="auto"/>
            </w:tcBorders>
          </w:tcPr>
          <w:p>
            <w:pPr>
              <w:jc w:val="center"/>
              <w:ind w:left="232"/>
              <w:spacing w:after="0"/>
              <w:rPr>
                <w:sz w:val="20"/>
                <w:szCs w:val="20"/>
                <w:color w:val="auto"/>
              </w:rPr>
            </w:pPr>
            <w:r>
              <w:rPr>
                <w:rFonts w:ascii="Times New Roman" w:cs="Times New Roman" w:eastAsia="Times New Roman" w:hAnsi="Times New Roman"/>
                <w:sz w:val="14"/>
                <w:szCs w:val="14"/>
                <w:b w:val="1"/>
                <w:bCs w:val="1"/>
                <w:color w:val="auto"/>
                <w:w w:val="99"/>
              </w:rPr>
              <w:t>-1.5%</w:t>
            </w:r>
          </w:p>
        </w:tc>
        <w:tc>
          <w:tcPr>
            <w:tcW w:w="1320" w:type="dxa"/>
            <w:vAlign w:val="bottom"/>
            <w:tcBorders>
              <w:bottom w:val="single" w:sz="8" w:color="auto"/>
              <w:right w:val="single" w:sz="8" w:color="auto"/>
            </w:tcBorders>
          </w:tcPr>
          <w:p>
            <w:pPr>
              <w:jc w:val="center"/>
              <w:ind w:left="192"/>
              <w:spacing w:after="0"/>
              <w:rPr>
                <w:sz w:val="20"/>
                <w:szCs w:val="20"/>
                <w:color w:val="auto"/>
              </w:rPr>
            </w:pPr>
            <w:r>
              <w:rPr>
                <w:rFonts w:ascii="Times New Roman" w:cs="Times New Roman" w:eastAsia="Times New Roman" w:hAnsi="Times New Roman"/>
                <w:sz w:val="14"/>
                <w:szCs w:val="14"/>
                <w:b w:val="1"/>
                <w:bCs w:val="1"/>
                <w:color w:val="auto"/>
                <w:w w:val="98"/>
              </w:rPr>
              <w:t>17.4%</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5"/>
          <w:szCs w:val="15"/>
          <w:b w:val="1"/>
          <w:bCs w:val="1"/>
          <w:color w:val="auto"/>
        </w:rPr>
        <w:t>Statement of Income</w:t>
      </w:r>
    </w:p>
    <w:p>
      <w:pPr>
        <w:spacing w:after="0" w:line="2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5"/>
          <w:szCs w:val="15"/>
          <w:b w:val="1"/>
          <w:bCs w:val="1"/>
          <w:color w:val="auto"/>
        </w:rPr>
        <w:t>(S/ Thousands, IFRS)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240" w:type="dxa"/>
            <w:vAlign w:val="bottom"/>
            <w:tcBorders>
              <w:right w:val="single" w:sz="8" w:color="auto"/>
            </w:tcBorders>
          </w:tcPr>
          <w:p>
            <w:pPr>
              <w:spacing w:after="0"/>
              <w:rPr>
                <w:sz w:val="10"/>
                <w:szCs w:val="10"/>
                <w:color w:val="auto"/>
              </w:rPr>
            </w:pPr>
          </w:p>
        </w:tc>
        <w:tc>
          <w:tcPr>
            <w:tcW w:w="3720" w:type="dxa"/>
            <w:vAlign w:val="bottom"/>
            <w:tcBorders>
              <w:top w:val="single" w:sz="8" w:color="auto"/>
            </w:tcBorders>
            <w:shd w:val="clear" w:color="auto" w:fill="2AD2C9"/>
          </w:tcPr>
          <w:p>
            <w:pPr>
              <w:spacing w:after="0"/>
              <w:rPr>
                <w:sz w:val="10"/>
                <w:szCs w:val="10"/>
                <w:color w:val="auto"/>
              </w:rPr>
            </w:pPr>
          </w:p>
        </w:tc>
        <w:tc>
          <w:tcPr>
            <w:tcW w:w="1460" w:type="dxa"/>
            <w:vAlign w:val="bottom"/>
            <w:tcBorders>
              <w:top w:val="single" w:sz="8" w:color="auto"/>
              <w:right w:val="single" w:sz="8" w:color="auto"/>
            </w:tcBorders>
            <w:shd w:val="clear" w:color="auto" w:fill="2AD2C9"/>
          </w:tcPr>
          <w:p>
            <w:pPr>
              <w:spacing w:after="0"/>
              <w:rPr>
                <w:sz w:val="10"/>
                <w:szCs w:val="10"/>
                <w:color w:val="auto"/>
              </w:rPr>
            </w:pPr>
          </w:p>
        </w:tc>
        <w:tc>
          <w:tcPr>
            <w:tcW w:w="1320" w:type="dxa"/>
            <w:vAlign w:val="bottom"/>
            <w:tcBorders>
              <w:top w:val="single" w:sz="8" w:color="auto"/>
            </w:tcBorders>
            <w:shd w:val="clear" w:color="auto" w:fill="2AD2C9"/>
          </w:tcPr>
          <w:p>
            <w:pPr>
              <w:spacing w:after="0"/>
              <w:rPr>
                <w:sz w:val="10"/>
                <w:szCs w:val="10"/>
                <w:color w:val="auto"/>
              </w:rPr>
            </w:pPr>
          </w:p>
        </w:tc>
        <w:tc>
          <w:tcPr>
            <w:tcW w:w="900" w:type="dxa"/>
            <w:vAlign w:val="bottom"/>
            <w:tcBorders>
              <w:top w:val="single" w:sz="8" w:color="auto"/>
            </w:tcBorders>
            <w:shd w:val="clear" w:color="auto" w:fill="2AD2C9"/>
          </w:tcPr>
          <w:p>
            <w:pPr>
              <w:ind w:left="140"/>
              <w:spacing w:after="0" w:line="122" w:lineRule="exact"/>
              <w:rPr>
                <w:sz w:val="20"/>
                <w:szCs w:val="20"/>
                <w:color w:val="auto"/>
              </w:rPr>
            </w:pPr>
            <w:r>
              <w:rPr>
                <w:rFonts w:ascii="Times New Roman" w:cs="Times New Roman" w:eastAsia="Times New Roman" w:hAnsi="Times New Roman"/>
                <w:sz w:val="12"/>
                <w:szCs w:val="12"/>
                <w:b w:val="1"/>
                <w:bCs w:val="1"/>
                <w:color w:val="FFFFFF"/>
              </w:rPr>
              <w:t>Quarter</w:t>
            </w:r>
          </w:p>
        </w:tc>
        <w:tc>
          <w:tcPr>
            <w:tcW w:w="1140" w:type="dxa"/>
            <w:vAlign w:val="bottom"/>
            <w:tcBorders>
              <w:top w:val="single" w:sz="8" w:color="auto"/>
              <w:right w:val="single" w:sz="8" w:color="auto"/>
            </w:tcBorders>
            <w:shd w:val="clear" w:color="auto" w:fill="2AD2C9"/>
          </w:tcPr>
          <w:p>
            <w:pPr>
              <w:spacing w:after="0"/>
              <w:rPr>
                <w:sz w:val="10"/>
                <w:szCs w:val="10"/>
                <w:color w:val="auto"/>
              </w:rPr>
            </w:pPr>
          </w:p>
        </w:tc>
        <w:tc>
          <w:tcPr>
            <w:tcW w:w="800" w:type="dxa"/>
            <w:vAlign w:val="bottom"/>
            <w:tcBorders>
              <w:top w:val="single" w:sz="8" w:color="auto"/>
            </w:tcBorders>
            <w:shd w:val="clear" w:color="auto" w:fill="2AD2C9"/>
          </w:tcPr>
          <w:p>
            <w:pPr>
              <w:spacing w:after="0"/>
              <w:rPr>
                <w:sz w:val="10"/>
                <w:szCs w:val="10"/>
                <w:color w:val="auto"/>
              </w:rPr>
            </w:pPr>
          </w:p>
        </w:tc>
        <w:tc>
          <w:tcPr>
            <w:tcW w:w="1440" w:type="dxa"/>
            <w:vAlign w:val="bottom"/>
            <w:tcBorders>
              <w:top w:val="single" w:sz="8" w:color="auto"/>
              <w:right w:val="single" w:sz="8" w:color="auto"/>
            </w:tcBorders>
            <w:shd w:val="clear" w:color="auto" w:fill="2AD2C9"/>
          </w:tcPr>
          <w:p>
            <w:pPr>
              <w:jc w:val="center"/>
              <w:ind w:right="761"/>
              <w:spacing w:after="0" w:line="122" w:lineRule="exact"/>
              <w:rPr>
                <w:sz w:val="20"/>
                <w:szCs w:val="20"/>
                <w:color w:val="auto"/>
              </w:rPr>
            </w:pPr>
            <w:r>
              <w:rPr>
                <w:rFonts w:ascii="Times New Roman" w:cs="Times New Roman" w:eastAsia="Times New Roman" w:hAnsi="Times New Roman"/>
                <w:sz w:val="12"/>
                <w:szCs w:val="12"/>
                <w:b w:val="1"/>
                <w:bCs w:val="1"/>
                <w:color w:val="FFFFFF"/>
                <w:w w:val="97"/>
              </w:rPr>
              <w:t>% change</w:t>
            </w:r>
          </w:p>
        </w:tc>
        <w:tc>
          <w:tcPr>
            <w:tcW w:w="220" w:type="dxa"/>
            <w:vAlign w:val="bottom"/>
          </w:tcPr>
          <w:p>
            <w:pPr>
              <w:spacing w:after="0"/>
              <w:rPr>
                <w:sz w:val="10"/>
                <w:szCs w:val="10"/>
                <w:color w:val="auto"/>
              </w:rPr>
            </w:pPr>
          </w:p>
        </w:tc>
      </w:tr>
      <w:tr>
        <w:trPr>
          <w:trHeight w:val="145"/>
        </w:trPr>
        <w:tc>
          <w:tcPr>
            <w:tcW w:w="240" w:type="dxa"/>
            <w:vAlign w:val="bottom"/>
            <w:tcBorders>
              <w:right w:val="single" w:sz="8" w:color="auto"/>
            </w:tcBorders>
          </w:tcPr>
          <w:p>
            <w:pPr>
              <w:spacing w:after="0"/>
              <w:rPr>
                <w:sz w:val="12"/>
                <w:szCs w:val="12"/>
                <w:color w:val="auto"/>
              </w:rPr>
            </w:pPr>
          </w:p>
        </w:tc>
        <w:tc>
          <w:tcPr>
            <w:tcW w:w="3720" w:type="dxa"/>
            <w:vAlign w:val="bottom"/>
            <w:tcBorders>
              <w:bottom w:val="single" w:sz="8" w:color="auto"/>
            </w:tcBorders>
            <w:shd w:val="clear" w:color="auto" w:fill="2AD2C9"/>
          </w:tcPr>
          <w:p>
            <w:pPr>
              <w:spacing w:after="0"/>
              <w:rPr>
                <w:sz w:val="12"/>
                <w:szCs w:val="12"/>
                <w:color w:val="auto"/>
              </w:rPr>
            </w:pPr>
          </w:p>
        </w:tc>
        <w:tc>
          <w:tcPr>
            <w:tcW w:w="1460" w:type="dxa"/>
            <w:vAlign w:val="bottom"/>
            <w:tcBorders>
              <w:bottom w:val="single" w:sz="8" w:color="auto"/>
              <w:right w:val="single" w:sz="8" w:color="auto"/>
            </w:tcBorders>
            <w:shd w:val="clear" w:color="auto" w:fill="2AD2C9"/>
          </w:tcPr>
          <w:p>
            <w:pPr>
              <w:spacing w:after="0"/>
              <w:rPr>
                <w:sz w:val="12"/>
                <w:szCs w:val="12"/>
                <w:color w:val="auto"/>
              </w:rPr>
            </w:pPr>
          </w:p>
        </w:tc>
        <w:tc>
          <w:tcPr>
            <w:tcW w:w="1320" w:type="dxa"/>
            <w:vAlign w:val="bottom"/>
            <w:tcBorders>
              <w:bottom w:val="single" w:sz="8" w:color="auto"/>
            </w:tcBorders>
            <w:shd w:val="clear" w:color="auto" w:fill="2AD2C9"/>
          </w:tcPr>
          <w:p>
            <w:pPr>
              <w:jc w:val="center"/>
              <w:ind w:right="161"/>
              <w:spacing w:after="0"/>
              <w:rPr>
                <w:sz w:val="20"/>
                <w:szCs w:val="20"/>
                <w:color w:val="auto"/>
              </w:rPr>
            </w:pPr>
            <w:r>
              <w:rPr>
                <w:rFonts w:ascii="Times New Roman" w:cs="Times New Roman" w:eastAsia="Times New Roman" w:hAnsi="Times New Roman"/>
                <w:sz w:val="12"/>
                <w:szCs w:val="12"/>
                <w:b w:val="1"/>
                <w:bCs w:val="1"/>
                <w:color w:val="FFFFFF"/>
                <w:w w:val="94"/>
              </w:rPr>
              <w:t>1Q25</w:t>
            </w:r>
          </w:p>
        </w:tc>
        <w:tc>
          <w:tcPr>
            <w:tcW w:w="900" w:type="dxa"/>
            <w:vAlign w:val="bottom"/>
            <w:tcBorders>
              <w:bottom w:val="single" w:sz="8" w:color="auto"/>
            </w:tcBorders>
            <w:shd w:val="clear" w:color="auto" w:fill="2AD2C9"/>
          </w:tcPr>
          <w:p>
            <w:pPr>
              <w:jc w:val="center"/>
              <w:ind w:right="161"/>
              <w:spacing w:after="0"/>
              <w:rPr>
                <w:sz w:val="20"/>
                <w:szCs w:val="20"/>
                <w:color w:val="auto"/>
              </w:rPr>
            </w:pPr>
            <w:r>
              <w:rPr>
                <w:rFonts w:ascii="Times New Roman" w:cs="Times New Roman" w:eastAsia="Times New Roman" w:hAnsi="Times New Roman"/>
                <w:sz w:val="12"/>
                <w:szCs w:val="12"/>
                <w:b w:val="1"/>
                <w:bCs w:val="1"/>
                <w:color w:val="FFFFFF"/>
              </w:rPr>
              <w:t>4Q25</w:t>
            </w:r>
          </w:p>
        </w:tc>
        <w:tc>
          <w:tcPr>
            <w:tcW w:w="114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Times New Roman" w:cs="Times New Roman" w:eastAsia="Times New Roman" w:hAnsi="Times New Roman"/>
                <w:sz w:val="12"/>
                <w:szCs w:val="12"/>
                <w:b w:val="1"/>
                <w:bCs w:val="1"/>
                <w:color w:val="FFFFFF"/>
              </w:rPr>
              <w:t>1Q26</w:t>
            </w:r>
          </w:p>
        </w:tc>
        <w:tc>
          <w:tcPr>
            <w:tcW w:w="800" w:type="dxa"/>
            <w:vAlign w:val="bottom"/>
            <w:tcBorders>
              <w:bottom w:val="single" w:sz="8" w:color="auto"/>
            </w:tcBorders>
            <w:shd w:val="clear" w:color="auto" w:fill="2AD2C9"/>
          </w:tcPr>
          <w:p>
            <w:pPr>
              <w:jc w:val="center"/>
              <w:ind w:left="221"/>
              <w:spacing w:after="0"/>
              <w:rPr>
                <w:sz w:val="20"/>
                <w:szCs w:val="20"/>
                <w:color w:val="auto"/>
              </w:rPr>
            </w:pPr>
            <w:r>
              <w:rPr>
                <w:rFonts w:ascii="Times New Roman" w:cs="Times New Roman" w:eastAsia="Times New Roman" w:hAnsi="Times New Roman"/>
                <w:sz w:val="12"/>
                <w:szCs w:val="12"/>
                <w:b w:val="1"/>
                <w:bCs w:val="1"/>
                <w:color w:val="FFFFFF"/>
                <w:w w:val="97"/>
              </w:rPr>
              <w:t>QoQ</w:t>
            </w:r>
          </w:p>
        </w:tc>
        <w:tc>
          <w:tcPr>
            <w:tcW w:w="1440" w:type="dxa"/>
            <w:vAlign w:val="bottom"/>
            <w:tcBorders>
              <w:bottom w:val="single" w:sz="8" w:color="auto"/>
              <w:right w:val="single" w:sz="8" w:color="auto"/>
            </w:tcBorders>
            <w:shd w:val="clear" w:color="auto" w:fill="2AD2C9"/>
          </w:tcPr>
          <w:p>
            <w:pPr>
              <w:jc w:val="center"/>
              <w:ind w:left="221"/>
              <w:spacing w:after="0"/>
              <w:rPr>
                <w:sz w:val="20"/>
                <w:szCs w:val="20"/>
                <w:color w:val="auto"/>
              </w:rPr>
            </w:pPr>
            <w:r>
              <w:rPr>
                <w:rFonts w:ascii="Times New Roman" w:cs="Times New Roman" w:eastAsia="Times New Roman" w:hAnsi="Times New Roman"/>
                <w:sz w:val="12"/>
                <w:szCs w:val="12"/>
                <w:b w:val="1"/>
                <w:bCs w:val="1"/>
                <w:color w:val="FFFFFF"/>
                <w:w w:val="85"/>
              </w:rPr>
              <w:t>YoY</w:t>
            </w:r>
          </w:p>
        </w:tc>
        <w:tc>
          <w:tcPr>
            <w:tcW w:w="220" w:type="dxa"/>
            <w:vAlign w:val="bottom"/>
          </w:tcPr>
          <w:p>
            <w:pPr>
              <w:spacing w:after="0"/>
              <w:rPr>
                <w:sz w:val="12"/>
                <w:szCs w:val="12"/>
                <w:color w:val="auto"/>
              </w:rPr>
            </w:pPr>
          </w:p>
        </w:tc>
      </w:tr>
      <w:tr>
        <w:trPr>
          <w:trHeight w:val="104"/>
        </w:trPr>
        <w:tc>
          <w:tcPr>
            <w:tcW w:w="240" w:type="dxa"/>
            <w:vAlign w:val="bottom"/>
            <w:tcBorders>
              <w:right w:val="single" w:sz="8" w:color="auto"/>
            </w:tcBorders>
          </w:tcPr>
          <w:p>
            <w:pPr>
              <w:spacing w:after="0"/>
              <w:rPr>
                <w:sz w:val="9"/>
                <w:szCs w:val="9"/>
                <w:color w:val="auto"/>
              </w:rPr>
            </w:pPr>
          </w:p>
        </w:tc>
        <w:tc>
          <w:tcPr>
            <w:tcW w:w="3720" w:type="dxa"/>
            <w:vAlign w:val="bottom"/>
          </w:tcPr>
          <w:p>
            <w:pPr>
              <w:ind w:left="100"/>
              <w:spacing w:after="0" w:line="104" w:lineRule="exact"/>
              <w:rPr>
                <w:sz w:val="20"/>
                <w:szCs w:val="20"/>
                <w:color w:val="auto"/>
              </w:rPr>
            </w:pPr>
            <w:r>
              <w:rPr>
                <w:rFonts w:ascii="Times New Roman" w:cs="Times New Roman" w:eastAsia="Times New Roman" w:hAnsi="Times New Roman"/>
                <w:sz w:val="12"/>
                <w:szCs w:val="12"/>
                <w:color w:val="auto"/>
              </w:rPr>
              <w:t>Interests income, net</w:t>
            </w:r>
          </w:p>
        </w:tc>
        <w:tc>
          <w:tcPr>
            <w:tcW w:w="1460" w:type="dxa"/>
            <w:vAlign w:val="bottom"/>
            <w:tcBorders>
              <w:right w:val="single" w:sz="8" w:color="auto"/>
            </w:tcBorders>
          </w:tcPr>
          <w:p>
            <w:pPr>
              <w:spacing w:after="0"/>
              <w:rPr>
                <w:sz w:val="9"/>
                <w:szCs w:val="9"/>
                <w:color w:val="auto"/>
              </w:rPr>
            </w:pPr>
          </w:p>
        </w:tc>
        <w:tc>
          <w:tcPr>
            <w:tcW w:w="1320" w:type="dxa"/>
            <w:vAlign w:val="bottom"/>
          </w:tcPr>
          <w:p>
            <w:pPr>
              <w:jc w:val="center"/>
              <w:ind w:right="141"/>
              <w:spacing w:after="0" w:line="104" w:lineRule="exact"/>
              <w:rPr>
                <w:sz w:val="20"/>
                <w:szCs w:val="20"/>
                <w:color w:val="auto"/>
              </w:rPr>
            </w:pPr>
            <w:r>
              <w:rPr>
                <w:rFonts w:ascii="Times New Roman" w:cs="Times New Roman" w:eastAsia="Times New Roman" w:hAnsi="Times New Roman"/>
                <w:sz w:val="12"/>
                <w:szCs w:val="12"/>
                <w:color w:val="auto"/>
                <w:w w:val="96"/>
              </w:rPr>
              <w:t>71,066</w:t>
            </w:r>
          </w:p>
        </w:tc>
        <w:tc>
          <w:tcPr>
            <w:tcW w:w="900" w:type="dxa"/>
            <w:vAlign w:val="bottom"/>
          </w:tcPr>
          <w:p>
            <w:pPr>
              <w:jc w:val="center"/>
              <w:ind w:right="161"/>
              <w:spacing w:after="0" w:line="104" w:lineRule="exact"/>
              <w:rPr>
                <w:sz w:val="20"/>
                <w:szCs w:val="20"/>
                <w:color w:val="auto"/>
              </w:rPr>
            </w:pPr>
            <w:r>
              <w:rPr>
                <w:rFonts w:ascii="Times New Roman" w:cs="Times New Roman" w:eastAsia="Times New Roman" w:hAnsi="Times New Roman"/>
                <w:sz w:val="12"/>
                <w:szCs w:val="12"/>
                <w:color w:val="auto"/>
                <w:w w:val="96"/>
              </w:rPr>
              <w:t>54,243</w:t>
            </w:r>
          </w:p>
        </w:tc>
        <w:tc>
          <w:tcPr>
            <w:tcW w:w="1140" w:type="dxa"/>
            <w:vAlign w:val="bottom"/>
            <w:tcBorders>
              <w:right w:val="single" w:sz="8" w:color="auto"/>
            </w:tcBorders>
          </w:tcPr>
          <w:p>
            <w:pPr>
              <w:jc w:val="center"/>
              <w:spacing w:after="0" w:line="104" w:lineRule="exact"/>
              <w:rPr>
                <w:sz w:val="20"/>
                <w:szCs w:val="20"/>
                <w:color w:val="auto"/>
              </w:rPr>
            </w:pPr>
            <w:r>
              <w:rPr>
                <w:rFonts w:ascii="Times New Roman" w:cs="Times New Roman" w:eastAsia="Times New Roman" w:hAnsi="Times New Roman"/>
                <w:sz w:val="12"/>
                <w:szCs w:val="12"/>
                <w:color w:val="auto"/>
                <w:w w:val="96"/>
              </w:rPr>
              <w:t>61,726</w:t>
            </w:r>
          </w:p>
        </w:tc>
        <w:tc>
          <w:tcPr>
            <w:tcW w:w="800" w:type="dxa"/>
            <w:vAlign w:val="bottom"/>
          </w:tcPr>
          <w:p>
            <w:pPr>
              <w:jc w:val="center"/>
              <w:ind w:left="241"/>
              <w:spacing w:after="0" w:line="104" w:lineRule="exact"/>
              <w:rPr>
                <w:sz w:val="20"/>
                <w:szCs w:val="20"/>
                <w:color w:val="auto"/>
              </w:rPr>
            </w:pPr>
            <w:r>
              <w:rPr>
                <w:rFonts w:ascii="Times New Roman" w:cs="Times New Roman" w:eastAsia="Times New Roman" w:hAnsi="Times New Roman"/>
                <w:sz w:val="12"/>
                <w:szCs w:val="12"/>
                <w:color w:val="auto"/>
                <w:w w:val="96"/>
              </w:rPr>
              <w:t>13.8%</w:t>
            </w:r>
          </w:p>
        </w:tc>
        <w:tc>
          <w:tcPr>
            <w:tcW w:w="1440" w:type="dxa"/>
            <w:vAlign w:val="bottom"/>
            <w:tcBorders>
              <w:right w:val="single" w:sz="8" w:color="auto"/>
            </w:tcBorders>
          </w:tcPr>
          <w:p>
            <w:pPr>
              <w:jc w:val="center"/>
              <w:ind w:left="221"/>
              <w:spacing w:after="0" w:line="104" w:lineRule="exact"/>
              <w:rPr>
                <w:sz w:val="20"/>
                <w:szCs w:val="20"/>
                <w:color w:val="auto"/>
              </w:rPr>
            </w:pPr>
            <w:r>
              <w:rPr>
                <w:rFonts w:ascii="Times New Roman" w:cs="Times New Roman" w:eastAsia="Times New Roman" w:hAnsi="Times New Roman"/>
                <w:sz w:val="12"/>
                <w:szCs w:val="12"/>
                <w:color w:val="auto"/>
              </w:rPr>
              <w:t>-13.1%</w:t>
            </w:r>
          </w:p>
        </w:tc>
        <w:tc>
          <w:tcPr>
            <w:tcW w:w="220" w:type="dxa"/>
            <w:vAlign w:val="bottom"/>
          </w:tcPr>
          <w:p>
            <w:pPr>
              <w:spacing w:after="0"/>
              <w:rPr>
                <w:sz w:val="9"/>
                <w:szCs w:val="9"/>
                <w:color w:val="auto"/>
              </w:rPr>
            </w:pPr>
          </w:p>
        </w:tc>
      </w:tr>
      <w:tr>
        <w:trPr>
          <w:trHeight w:val="125"/>
        </w:trPr>
        <w:tc>
          <w:tcPr>
            <w:tcW w:w="240" w:type="dxa"/>
            <w:vAlign w:val="bottom"/>
            <w:tcBorders>
              <w:right w:val="single" w:sz="8" w:color="auto"/>
            </w:tcBorders>
          </w:tcPr>
          <w:p>
            <w:pPr>
              <w:spacing w:after="0"/>
              <w:rPr>
                <w:sz w:val="10"/>
                <w:szCs w:val="10"/>
                <w:color w:val="auto"/>
              </w:rPr>
            </w:pPr>
          </w:p>
        </w:tc>
        <w:tc>
          <w:tcPr>
            <w:tcW w:w="3720" w:type="dxa"/>
            <w:vAlign w:val="bottom"/>
          </w:tcPr>
          <w:p>
            <w:pPr>
              <w:ind w:left="100"/>
              <w:spacing w:after="0" w:line="125" w:lineRule="exact"/>
              <w:rPr>
                <w:sz w:val="20"/>
                <w:szCs w:val="20"/>
                <w:color w:val="auto"/>
              </w:rPr>
            </w:pPr>
            <w:r>
              <w:rPr>
                <w:rFonts w:ascii="Times New Roman" w:cs="Times New Roman" w:eastAsia="Times New Roman" w:hAnsi="Times New Roman"/>
                <w:sz w:val="12"/>
                <w:szCs w:val="12"/>
                <w:color w:val="auto"/>
              </w:rPr>
              <w:t>Provisions for doubtful accounts receivable, net of recoveries</w:t>
            </w:r>
          </w:p>
        </w:tc>
        <w:tc>
          <w:tcPr>
            <w:tcW w:w="1460" w:type="dxa"/>
            <w:vAlign w:val="bottom"/>
            <w:tcBorders>
              <w:right w:val="single" w:sz="8" w:color="auto"/>
            </w:tcBorders>
          </w:tcPr>
          <w:p>
            <w:pPr>
              <w:spacing w:after="0"/>
              <w:rPr>
                <w:sz w:val="10"/>
                <w:szCs w:val="10"/>
                <w:color w:val="auto"/>
              </w:rPr>
            </w:pPr>
          </w:p>
        </w:tc>
        <w:tc>
          <w:tcPr>
            <w:tcW w:w="1320" w:type="dxa"/>
            <w:vAlign w:val="bottom"/>
          </w:tcPr>
          <w:p>
            <w:pPr>
              <w:jc w:val="center"/>
              <w:ind w:right="161"/>
              <w:spacing w:after="0" w:line="125" w:lineRule="exact"/>
              <w:rPr>
                <w:sz w:val="20"/>
                <w:szCs w:val="20"/>
                <w:color w:val="auto"/>
              </w:rPr>
            </w:pPr>
            <w:r>
              <w:rPr>
                <w:rFonts w:ascii="Times New Roman" w:cs="Times New Roman" w:eastAsia="Times New Roman" w:hAnsi="Times New Roman"/>
                <w:sz w:val="12"/>
                <w:szCs w:val="12"/>
                <w:color w:val="auto"/>
                <w:w w:val="97"/>
              </w:rPr>
              <w:t>(5,743)</w:t>
            </w:r>
          </w:p>
        </w:tc>
        <w:tc>
          <w:tcPr>
            <w:tcW w:w="900" w:type="dxa"/>
            <w:vAlign w:val="bottom"/>
          </w:tcPr>
          <w:p>
            <w:pPr>
              <w:jc w:val="center"/>
              <w:ind w:right="141"/>
              <w:spacing w:after="0" w:line="125" w:lineRule="exact"/>
              <w:rPr>
                <w:sz w:val="20"/>
                <w:szCs w:val="20"/>
                <w:color w:val="auto"/>
              </w:rPr>
            </w:pPr>
            <w:r>
              <w:rPr>
                <w:rFonts w:ascii="Times New Roman" w:cs="Times New Roman" w:eastAsia="Times New Roman" w:hAnsi="Times New Roman"/>
                <w:sz w:val="12"/>
                <w:szCs w:val="12"/>
                <w:color w:val="auto"/>
                <w:w w:val="97"/>
              </w:rPr>
              <w:t>(2,684)</w:t>
            </w:r>
          </w:p>
        </w:tc>
        <w:tc>
          <w:tcPr>
            <w:tcW w:w="1140" w:type="dxa"/>
            <w:vAlign w:val="bottom"/>
            <w:tcBorders>
              <w:right w:val="single" w:sz="8" w:color="auto"/>
            </w:tcBorders>
          </w:tcPr>
          <w:p>
            <w:pPr>
              <w:jc w:val="center"/>
              <w:spacing w:after="0" w:line="125" w:lineRule="exact"/>
              <w:rPr>
                <w:sz w:val="20"/>
                <w:szCs w:val="20"/>
                <w:color w:val="auto"/>
              </w:rPr>
            </w:pPr>
            <w:r>
              <w:rPr>
                <w:rFonts w:ascii="Times New Roman" w:cs="Times New Roman" w:eastAsia="Times New Roman" w:hAnsi="Times New Roman"/>
                <w:sz w:val="12"/>
                <w:szCs w:val="12"/>
                <w:color w:val="auto"/>
                <w:w w:val="97"/>
              </w:rPr>
              <w:t>(13,938)</w:t>
            </w:r>
          </w:p>
        </w:tc>
        <w:tc>
          <w:tcPr>
            <w:tcW w:w="800" w:type="dxa"/>
            <w:vAlign w:val="bottom"/>
          </w:tcPr>
          <w:p>
            <w:pPr>
              <w:jc w:val="center"/>
              <w:ind w:left="221"/>
              <w:spacing w:after="0" w:line="125" w:lineRule="exact"/>
              <w:rPr>
                <w:sz w:val="20"/>
                <w:szCs w:val="20"/>
                <w:color w:val="auto"/>
              </w:rPr>
            </w:pPr>
            <w:r>
              <w:rPr>
                <w:rFonts w:ascii="Times New Roman" w:cs="Times New Roman" w:eastAsia="Times New Roman" w:hAnsi="Times New Roman"/>
                <w:sz w:val="12"/>
                <w:szCs w:val="12"/>
                <w:color w:val="auto"/>
                <w:w w:val="97"/>
              </w:rPr>
              <w:t>419.3%</w:t>
            </w:r>
          </w:p>
        </w:tc>
        <w:tc>
          <w:tcPr>
            <w:tcW w:w="1440" w:type="dxa"/>
            <w:vAlign w:val="bottom"/>
            <w:tcBorders>
              <w:right w:val="single" w:sz="8" w:color="auto"/>
            </w:tcBorders>
          </w:tcPr>
          <w:p>
            <w:pPr>
              <w:jc w:val="center"/>
              <w:ind w:left="221"/>
              <w:spacing w:after="0" w:line="125" w:lineRule="exact"/>
              <w:rPr>
                <w:sz w:val="20"/>
                <w:szCs w:val="20"/>
                <w:color w:val="auto"/>
              </w:rPr>
            </w:pPr>
            <w:r>
              <w:rPr>
                <w:rFonts w:ascii="Times New Roman" w:cs="Times New Roman" w:eastAsia="Times New Roman" w:hAnsi="Times New Roman"/>
                <w:sz w:val="12"/>
                <w:szCs w:val="12"/>
                <w:color w:val="auto"/>
                <w:w w:val="97"/>
              </w:rPr>
              <w:t>142.7%</w:t>
            </w:r>
          </w:p>
        </w:tc>
        <w:tc>
          <w:tcPr>
            <w:tcW w:w="220" w:type="dxa"/>
            <w:vAlign w:val="bottom"/>
          </w:tcPr>
          <w:p>
            <w:pPr>
              <w:spacing w:after="0"/>
              <w:rPr>
                <w:sz w:val="10"/>
                <w:szCs w:val="10"/>
                <w:color w:val="auto"/>
              </w:rPr>
            </w:pPr>
          </w:p>
        </w:tc>
      </w:tr>
      <w:tr>
        <w:trPr>
          <w:trHeight w:val="129"/>
        </w:trPr>
        <w:tc>
          <w:tcPr>
            <w:tcW w:w="240" w:type="dxa"/>
            <w:vAlign w:val="bottom"/>
            <w:tcBorders>
              <w:right w:val="single" w:sz="8" w:color="auto"/>
            </w:tcBorders>
          </w:tcPr>
          <w:p>
            <w:pPr>
              <w:spacing w:after="0"/>
              <w:rPr>
                <w:sz w:val="11"/>
                <w:szCs w:val="11"/>
                <w:color w:val="auto"/>
              </w:rPr>
            </w:pPr>
          </w:p>
        </w:tc>
        <w:tc>
          <w:tcPr>
            <w:tcW w:w="3720" w:type="dxa"/>
            <w:vAlign w:val="bottom"/>
          </w:tcPr>
          <w:p>
            <w:pPr>
              <w:ind w:left="100"/>
              <w:spacing w:after="0" w:line="129" w:lineRule="exact"/>
              <w:rPr>
                <w:sz w:val="20"/>
                <w:szCs w:val="20"/>
                <w:color w:val="auto"/>
              </w:rPr>
            </w:pPr>
            <w:r>
              <w:rPr>
                <w:rFonts w:ascii="Times New Roman" w:cs="Times New Roman" w:eastAsia="Times New Roman" w:hAnsi="Times New Roman"/>
                <w:sz w:val="12"/>
                <w:szCs w:val="12"/>
                <w:b w:val="1"/>
                <w:bCs w:val="1"/>
                <w:color w:val="auto"/>
              </w:rPr>
              <w:t>Net interest income after provisions</w:t>
            </w:r>
          </w:p>
        </w:tc>
        <w:tc>
          <w:tcPr>
            <w:tcW w:w="1460" w:type="dxa"/>
            <w:vAlign w:val="bottom"/>
            <w:tcBorders>
              <w:right w:val="single" w:sz="8" w:color="auto"/>
            </w:tcBorders>
          </w:tcPr>
          <w:p>
            <w:pPr>
              <w:spacing w:after="0"/>
              <w:rPr>
                <w:sz w:val="11"/>
                <w:szCs w:val="11"/>
                <w:color w:val="auto"/>
              </w:rPr>
            </w:pPr>
          </w:p>
        </w:tc>
        <w:tc>
          <w:tcPr>
            <w:tcW w:w="1320" w:type="dxa"/>
            <w:vAlign w:val="bottom"/>
          </w:tcPr>
          <w:p>
            <w:pPr>
              <w:jc w:val="center"/>
              <w:ind w:right="141"/>
              <w:spacing w:after="0" w:line="129" w:lineRule="exact"/>
              <w:rPr>
                <w:sz w:val="20"/>
                <w:szCs w:val="20"/>
                <w:color w:val="auto"/>
              </w:rPr>
            </w:pPr>
            <w:r>
              <w:rPr>
                <w:rFonts w:ascii="Times New Roman" w:cs="Times New Roman" w:eastAsia="Times New Roman" w:hAnsi="Times New Roman"/>
                <w:sz w:val="12"/>
                <w:szCs w:val="12"/>
                <w:b w:val="1"/>
                <w:bCs w:val="1"/>
                <w:color w:val="auto"/>
                <w:w w:val="96"/>
              </w:rPr>
              <w:t>65,323</w:t>
            </w:r>
          </w:p>
        </w:tc>
        <w:tc>
          <w:tcPr>
            <w:tcW w:w="900" w:type="dxa"/>
            <w:vAlign w:val="bottom"/>
          </w:tcPr>
          <w:p>
            <w:pPr>
              <w:jc w:val="center"/>
              <w:ind w:right="161"/>
              <w:spacing w:after="0" w:line="129" w:lineRule="exact"/>
              <w:rPr>
                <w:sz w:val="20"/>
                <w:szCs w:val="20"/>
                <w:color w:val="auto"/>
              </w:rPr>
            </w:pPr>
            <w:r>
              <w:rPr>
                <w:rFonts w:ascii="Times New Roman" w:cs="Times New Roman" w:eastAsia="Times New Roman" w:hAnsi="Times New Roman"/>
                <w:sz w:val="12"/>
                <w:szCs w:val="12"/>
                <w:b w:val="1"/>
                <w:bCs w:val="1"/>
                <w:color w:val="auto"/>
                <w:w w:val="96"/>
              </w:rPr>
              <w:t>51,559</w:t>
            </w:r>
          </w:p>
        </w:tc>
        <w:tc>
          <w:tcPr>
            <w:tcW w:w="1140" w:type="dxa"/>
            <w:vAlign w:val="bottom"/>
            <w:tcBorders>
              <w:right w:val="single" w:sz="8" w:color="auto"/>
            </w:tcBorders>
          </w:tcPr>
          <w:p>
            <w:pPr>
              <w:jc w:val="center"/>
              <w:spacing w:after="0" w:line="129" w:lineRule="exact"/>
              <w:rPr>
                <w:sz w:val="20"/>
                <w:szCs w:val="20"/>
                <w:color w:val="auto"/>
              </w:rPr>
            </w:pPr>
            <w:r>
              <w:rPr>
                <w:rFonts w:ascii="Times New Roman" w:cs="Times New Roman" w:eastAsia="Times New Roman" w:hAnsi="Times New Roman"/>
                <w:sz w:val="12"/>
                <w:szCs w:val="12"/>
                <w:b w:val="1"/>
                <w:bCs w:val="1"/>
                <w:color w:val="auto"/>
                <w:w w:val="96"/>
              </w:rPr>
              <w:t>47,788</w:t>
            </w:r>
          </w:p>
        </w:tc>
        <w:tc>
          <w:tcPr>
            <w:tcW w:w="800" w:type="dxa"/>
            <w:vAlign w:val="bottom"/>
          </w:tcPr>
          <w:p>
            <w:pPr>
              <w:jc w:val="center"/>
              <w:ind w:left="241"/>
              <w:spacing w:after="0" w:line="129" w:lineRule="exact"/>
              <w:rPr>
                <w:sz w:val="20"/>
                <w:szCs w:val="20"/>
                <w:color w:val="auto"/>
              </w:rPr>
            </w:pPr>
            <w:r>
              <w:rPr>
                <w:rFonts w:ascii="Times New Roman" w:cs="Times New Roman" w:eastAsia="Times New Roman" w:hAnsi="Times New Roman"/>
                <w:sz w:val="12"/>
                <w:szCs w:val="12"/>
                <w:b w:val="1"/>
                <w:bCs w:val="1"/>
                <w:color w:val="auto"/>
                <w:w w:val="96"/>
              </w:rPr>
              <w:t>-7.3%</w:t>
            </w:r>
          </w:p>
        </w:tc>
        <w:tc>
          <w:tcPr>
            <w:tcW w:w="1440" w:type="dxa"/>
            <w:vAlign w:val="bottom"/>
            <w:tcBorders>
              <w:right w:val="single" w:sz="8" w:color="auto"/>
            </w:tcBorders>
          </w:tcPr>
          <w:p>
            <w:pPr>
              <w:jc w:val="center"/>
              <w:ind w:left="221"/>
              <w:spacing w:after="0" w:line="129" w:lineRule="exact"/>
              <w:rPr>
                <w:sz w:val="20"/>
                <w:szCs w:val="20"/>
                <w:color w:val="auto"/>
              </w:rPr>
            </w:pPr>
            <w:r>
              <w:rPr>
                <w:rFonts w:ascii="Times New Roman" w:cs="Times New Roman" w:eastAsia="Times New Roman" w:hAnsi="Times New Roman"/>
                <w:sz w:val="12"/>
                <w:szCs w:val="12"/>
                <w:b w:val="1"/>
                <w:bCs w:val="1"/>
                <w:color w:val="auto"/>
                <w:w w:val="97"/>
              </w:rPr>
              <w:t>-26.8%</w:t>
            </w:r>
          </w:p>
        </w:tc>
        <w:tc>
          <w:tcPr>
            <w:tcW w:w="220" w:type="dxa"/>
            <w:vAlign w:val="bottom"/>
          </w:tcPr>
          <w:p>
            <w:pPr>
              <w:spacing w:after="0"/>
              <w:rPr>
                <w:sz w:val="11"/>
                <w:szCs w:val="11"/>
                <w:color w:val="auto"/>
              </w:rPr>
            </w:pPr>
          </w:p>
        </w:tc>
      </w:tr>
      <w:tr>
        <w:trPr>
          <w:trHeight w:val="127"/>
        </w:trPr>
        <w:tc>
          <w:tcPr>
            <w:tcW w:w="240" w:type="dxa"/>
            <w:vAlign w:val="bottom"/>
            <w:tcBorders>
              <w:right w:val="single" w:sz="8" w:color="auto"/>
            </w:tcBorders>
          </w:tcPr>
          <w:p>
            <w:pPr>
              <w:spacing w:after="0"/>
              <w:rPr>
                <w:sz w:val="11"/>
                <w:szCs w:val="11"/>
                <w:color w:val="auto"/>
              </w:rPr>
            </w:pPr>
          </w:p>
        </w:tc>
        <w:tc>
          <w:tcPr>
            <w:tcW w:w="3720" w:type="dxa"/>
            <w:vAlign w:val="bottom"/>
          </w:tcPr>
          <w:p>
            <w:pPr>
              <w:ind w:left="100"/>
              <w:spacing w:after="0" w:line="127" w:lineRule="exact"/>
              <w:rPr>
                <w:sz w:val="20"/>
                <w:szCs w:val="20"/>
                <w:color w:val="auto"/>
              </w:rPr>
            </w:pPr>
            <w:r>
              <w:rPr>
                <w:rFonts w:ascii="Times New Roman" w:cs="Times New Roman" w:eastAsia="Times New Roman" w:hAnsi="Times New Roman"/>
                <w:sz w:val="12"/>
                <w:szCs w:val="12"/>
                <w:color w:val="auto"/>
              </w:rPr>
              <w:t>Non financial income</w:t>
            </w:r>
          </w:p>
        </w:tc>
        <w:tc>
          <w:tcPr>
            <w:tcW w:w="1460" w:type="dxa"/>
            <w:vAlign w:val="bottom"/>
            <w:tcBorders>
              <w:right w:val="single" w:sz="8" w:color="auto"/>
            </w:tcBorders>
          </w:tcPr>
          <w:p>
            <w:pPr>
              <w:spacing w:after="0"/>
              <w:rPr>
                <w:sz w:val="11"/>
                <w:szCs w:val="11"/>
                <w:color w:val="auto"/>
              </w:rPr>
            </w:pPr>
          </w:p>
        </w:tc>
        <w:tc>
          <w:tcPr>
            <w:tcW w:w="1320" w:type="dxa"/>
            <w:vAlign w:val="bottom"/>
          </w:tcPr>
          <w:p>
            <w:pPr>
              <w:jc w:val="center"/>
              <w:ind w:right="141"/>
              <w:spacing w:after="0" w:line="127" w:lineRule="exact"/>
              <w:rPr>
                <w:sz w:val="20"/>
                <w:szCs w:val="20"/>
                <w:color w:val="auto"/>
              </w:rPr>
            </w:pPr>
            <w:r>
              <w:rPr>
                <w:rFonts w:ascii="Times New Roman" w:cs="Times New Roman" w:eastAsia="Times New Roman" w:hAnsi="Times New Roman"/>
                <w:sz w:val="12"/>
                <w:szCs w:val="12"/>
                <w:color w:val="auto"/>
                <w:w w:val="96"/>
              </w:rPr>
              <w:t>60,815</w:t>
            </w:r>
          </w:p>
        </w:tc>
        <w:tc>
          <w:tcPr>
            <w:tcW w:w="900" w:type="dxa"/>
            <w:vAlign w:val="bottom"/>
          </w:tcPr>
          <w:p>
            <w:pPr>
              <w:jc w:val="center"/>
              <w:ind w:right="161"/>
              <w:spacing w:after="0" w:line="127" w:lineRule="exact"/>
              <w:rPr>
                <w:sz w:val="20"/>
                <w:szCs w:val="20"/>
                <w:color w:val="auto"/>
              </w:rPr>
            </w:pPr>
            <w:r>
              <w:rPr>
                <w:rFonts w:ascii="Times New Roman" w:cs="Times New Roman" w:eastAsia="Times New Roman" w:hAnsi="Times New Roman"/>
                <w:sz w:val="12"/>
                <w:szCs w:val="12"/>
                <w:color w:val="auto"/>
                <w:w w:val="96"/>
              </w:rPr>
              <w:t>48,979</w:t>
            </w:r>
          </w:p>
        </w:tc>
        <w:tc>
          <w:tcPr>
            <w:tcW w:w="1140" w:type="dxa"/>
            <w:vAlign w:val="bottom"/>
            <w:tcBorders>
              <w:right w:val="single" w:sz="8" w:color="auto"/>
            </w:tcBorders>
          </w:tcPr>
          <w:p>
            <w:pPr>
              <w:jc w:val="center"/>
              <w:spacing w:after="0" w:line="127" w:lineRule="exact"/>
              <w:rPr>
                <w:sz w:val="20"/>
                <w:szCs w:val="20"/>
                <w:color w:val="auto"/>
              </w:rPr>
            </w:pPr>
            <w:r>
              <w:rPr>
                <w:rFonts w:ascii="Times New Roman" w:cs="Times New Roman" w:eastAsia="Times New Roman" w:hAnsi="Times New Roman"/>
                <w:sz w:val="12"/>
                <w:szCs w:val="12"/>
                <w:color w:val="auto"/>
                <w:w w:val="96"/>
              </w:rPr>
              <w:t>67,506</w:t>
            </w:r>
          </w:p>
        </w:tc>
        <w:tc>
          <w:tcPr>
            <w:tcW w:w="800" w:type="dxa"/>
            <w:vAlign w:val="bottom"/>
          </w:tcPr>
          <w:p>
            <w:pPr>
              <w:jc w:val="center"/>
              <w:ind w:left="241"/>
              <w:spacing w:after="0" w:line="127" w:lineRule="exact"/>
              <w:rPr>
                <w:sz w:val="20"/>
                <w:szCs w:val="20"/>
                <w:color w:val="auto"/>
              </w:rPr>
            </w:pPr>
            <w:r>
              <w:rPr>
                <w:rFonts w:ascii="Times New Roman" w:cs="Times New Roman" w:eastAsia="Times New Roman" w:hAnsi="Times New Roman"/>
                <w:sz w:val="12"/>
                <w:szCs w:val="12"/>
                <w:color w:val="auto"/>
                <w:w w:val="96"/>
              </w:rPr>
              <w:t>37.8%</w:t>
            </w:r>
          </w:p>
        </w:tc>
        <w:tc>
          <w:tcPr>
            <w:tcW w:w="1440" w:type="dxa"/>
            <w:vAlign w:val="bottom"/>
            <w:tcBorders>
              <w:right w:val="single" w:sz="8" w:color="auto"/>
            </w:tcBorders>
          </w:tcPr>
          <w:p>
            <w:pPr>
              <w:jc w:val="center"/>
              <w:ind w:left="221"/>
              <w:spacing w:after="0" w:line="127" w:lineRule="exact"/>
              <w:rPr>
                <w:sz w:val="20"/>
                <w:szCs w:val="20"/>
                <w:color w:val="auto"/>
              </w:rPr>
            </w:pPr>
            <w:r>
              <w:rPr>
                <w:rFonts w:ascii="Times New Roman" w:cs="Times New Roman" w:eastAsia="Times New Roman" w:hAnsi="Times New Roman"/>
                <w:sz w:val="12"/>
                <w:szCs w:val="12"/>
                <w:color w:val="auto"/>
              </w:rPr>
              <w:t>11.0%</w:t>
            </w:r>
          </w:p>
        </w:tc>
        <w:tc>
          <w:tcPr>
            <w:tcW w:w="220" w:type="dxa"/>
            <w:vAlign w:val="bottom"/>
          </w:tcPr>
          <w:p>
            <w:pPr>
              <w:spacing w:after="0"/>
              <w:rPr>
                <w:sz w:val="11"/>
                <w:szCs w:val="11"/>
                <w:color w:val="auto"/>
              </w:rPr>
            </w:pPr>
          </w:p>
        </w:tc>
      </w:tr>
      <w:tr>
        <w:trPr>
          <w:trHeight w:val="127"/>
        </w:trPr>
        <w:tc>
          <w:tcPr>
            <w:tcW w:w="240" w:type="dxa"/>
            <w:vAlign w:val="bottom"/>
            <w:tcBorders>
              <w:right w:val="single" w:sz="8" w:color="auto"/>
            </w:tcBorders>
          </w:tcPr>
          <w:p>
            <w:pPr>
              <w:spacing w:after="0"/>
              <w:rPr>
                <w:sz w:val="11"/>
                <w:szCs w:val="11"/>
                <w:color w:val="auto"/>
              </w:rPr>
            </w:pPr>
          </w:p>
        </w:tc>
        <w:tc>
          <w:tcPr>
            <w:tcW w:w="3720" w:type="dxa"/>
            <w:vAlign w:val="bottom"/>
          </w:tcPr>
          <w:p>
            <w:pPr>
              <w:ind w:left="100"/>
              <w:spacing w:after="0" w:line="127" w:lineRule="exact"/>
              <w:rPr>
                <w:sz w:val="20"/>
                <w:szCs w:val="20"/>
                <w:color w:val="auto"/>
              </w:rPr>
            </w:pPr>
            <w:r>
              <w:rPr>
                <w:rFonts w:ascii="Times New Roman" w:cs="Times New Roman" w:eastAsia="Times New Roman" w:hAnsi="Times New Roman"/>
                <w:sz w:val="12"/>
                <w:szCs w:val="12"/>
                <w:color w:val="auto"/>
              </w:rPr>
              <w:t>Total expenses</w:t>
            </w:r>
          </w:p>
        </w:tc>
        <w:tc>
          <w:tcPr>
            <w:tcW w:w="1460" w:type="dxa"/>
            <w:vAlign w:val="bottom"/>
            <w:tcBorders>
              <w:right w:val="single" w:sz="8" w:color="auto"/>
            </w:tcBorders>
          </w:tcPr>
          <w:p>
            <w:pPr>
              <w:spacing w:after="0"/>
              <w:rPr>
                <w:sz w:val="11"/>
                <w:szCs w:val="11"/>
                <w:color w:val="auto"/>
              </w:rPr>
            </w:pPr>
          </w:p>
        </w:tc>
        <w:tc>
          <w:tcPr>
            <w:tcW w:w="1320" w:type="dxa"/>
            <w:vAlign w:val="bottom"/>
          </w:tcPr>
          <w:p>
            <w:pPr>
              <w:jc w:val="center"/>
              <w:ind w:right="141"/>
              <w:spacing w:after="0" w:line="127" w:lineRule="exact"/>
              <w:rPr>
                <w:sz w:val="20"/>
                <w:szCs w:val="20"/>
                <w:color w:val="auto"/>
              </w:rPr>
            </w:pPr>
            <w:r>
              <w:rPr>
                <w:rFonts w:ascii="Times New Roman" w:cs="Times New Roman" w:eastAsia="Times New Roman" w:hAnsi="Times New Roman"/>
                <w:sz w:val="12"/>
                <w:szCs w:val="12"/>
                <w:color w:val="auto"/>
                <w:w w:val="97"/>
              </w:rPr>
              <w:t>(93,862)</w:t>
            </w:r>
          </w:p>
        </w:tc>
        <w:tc>
          <w:tcPr>
            <w:tcW w:w="900" w:type="dxa"/>
            <w:vAlign w:val="bottom"/>
          </w:tcPr>
          <w:p>
            <w:pPr>
              <w:jc w:val="center"/>
              <w:ind w:right="161"/>
              <w:spacing w:after="0" w:line="127" w:lineRule="exact"/>
              <w:rPr>
                <w:sz w:val="20"/>
                <w:szCs w:val="20"/>
                <w:color w:val="auto"/>
              </w:rPr>
            </w:pPr>
            <w:r>
              <w:rPr>
                <w:rFonts w:ascii="Times New Roman" w:cs="Times New Roman" w:eastAsia="Times New Roman" w:hAnsi="Times New Roman"/>
                <w:sz w:val="12"/>
                <w:szCs w:val="12"/>
                <w:color w:val="auto"/>
                <w:w w:val="97"/>
              </w:rPr>
              <w:t>(68,286)</w:t>
            </w:r>
          </w:p>
        </w:tc>
        <w:tc>
          <w:tcPr>
            <w:tcW w:w="1140" w:type="dxa"/>
            <w:vAlign w:val="bottom"/>
            <w:tcBorders>
              <w:right w:val="single" w:sz="8" w:color="auto"/>
            </w:tcBorders>
          </w:tcPr>
          <w:p>
            <w:pPr>
              <w:jc w:val="center"/>
              <w:spacing w:after="0" w:line="127" w:lineRule="exact"/>
              <w:rPr>
                <w:sz w:val="20"/>
                <w:szCs w:val="20"/>
                <w:color w:val="auto"/>
              </w:rPr>
            </w:pPr>
            <w:r>
              <w:rPr>
                <w:rFonts w:ascii="Times New Roman" w:cs="Times New Roman" w:eastAsia="Times New Roman" w:hAnsi="Times New Roman"/>
                <w:sz w:val="12"/>
                <w:szCs w:val="12"/>
                <w:color w:val="auto"/>
                <w:w w:val="97"/>
              </w:rPr>
              <w:t>(61,286)</w:t>
            </w:r>
          </w:p>
        </w:tc>
        <w:tc>
          <w:tcPr>
            <w:tcW w:w="800" w:type="dxa"/>
            <w:vAlign w:val="bottom"/>
          </w:tcPr>
          <w:p>
            <w:pPr>
              <w:jc w:val="center"/>
              <w:ind w:left="241"/>
              <w:spacing w:after="0" w:line="127" w:lineRule="exact"/>
              <w:rPr>
                <w:sz w:val="20"/>
                <w:szCs w:val="20"/>
                <w:color w:val="auto"/>
              </w:rPr>
            </w:pPr>
            <w:r>
              <w:rPr>
                <w:rFonts w:ascii="Times New Roman" w:cs="Times New Roman" w:eastAsia="Times New Roman" w:hAnsi="Times New Roman"/>
                <w:sz w:val="12"/>
                <w:szCs w:val="12"/>
                <w:color w:val="auto"/>
                <w:w w:val="97"/>
              </w:rPr>
              <w:t>-10.3%</w:t>
            </w:r>
          </w:p>
        </w:tc>
        <w:tc>
          <w:tcPr>
            <w:tcW w:w="1440" w:type="dxa"/>
            <w:vAlign w:val="bottom"/>
            <w:tcBorders>
              <w:right w:val="single" w:sz="8" w:color="auto"/>
            </w:tcBorders>
          </w:tcPr>
          <w:p>
            <w:pPr>
              <w:jc w:val="center"/>
              <w:ind w:left="221"/>
              <w:spacing w:after="0" w:line="127" w:lineRule="exact"/>
              <w:rPr>
                <w:sz w:val="20"/>
                <w:szCs w:val="20"/>
                <w:color w:val="auto"/>
              </w:rPr>
            </w:pPr>
            <w:r>
              <w:rPr>
                <w:rFonts w:ascii="Times New Roman" w:cs="Times New Roman" w:eastAsia="Times New Roman" w:hAnsi="Times New Roman"/>
                <w:sz w:val="12"/>
                <w:szCs w:val="12"/>
                <w:color w:val="auto"/>
              </w:rPr>
              <w:t>-34.7%</w:t>
            </w:r>
          </w:p>
        </w:tc>
        <w:tc>
          <w:tcPr>
            <w:tcW w:w="220" w:type="dxa"/>
            <w:vAlign w:val="bottom"/>
          </w:tcPr>
          <w:p>
            <w:pPr>
              <w:spacing w:after="0"/>
              <w:rPr>
                <w:sz w:val="11"/>
                <w:szCs w:val="11"/>
                <w:color w:val="auto"/>
              </w:rPr>
            </w:pPr>
          </w:p>
        </w:tc>
      </w:tr>
      <w:tr>
        <w:trPr>
          <w:trHeight w:val="127"/>
        </w:trPr>
        <w:tc>
          <w:tcPr>
            <w:tcW w:w="240" w:type="dxa"/>
            <w:vAlign w:val="bottom"/>
            <w:tcBorders>
              <w:right w:val="single" w:sz="8" w:color="auto"/>
            </w:tcBorders>
          </w:tcPr>
          <w:p>
            <w:pPr>
              <w:spacing w:after="0"/>
              <w:rPr>
                <w:sz w:val="11"/>
                <w:szCs w:val="11"/>
                <w:color w:val="auto"/>
              </w:rPr>
            </w:pPr>
          </w:p>
        </w:tc>
        <w:tc>
          <w:tcPr>
            <w:tcW w:w="3720" w:type="dxa"/>
            <w:vAlign w:val="bottom"/>
          </w:tcPr>
          <w:p>
            <w:pPr>
              <w:ind w:left="100"/>
              <w:spacing w:after="0" w:line="127" w:lineRule="exact"/>
              <w:rPr>
                <w:sz w:val="20"/>
                <w:szCs w:val="20"/>
                <w:color w:val="auto"/>
              </w:rPr>
            </w:pPr>
            <w:r>
              <w:rPr>
                <w:rFonts w:ascii="Times New Roman" w:cs="Times New Roman" w:eastAsia="Times New Roman" w:hAnsi="Times New Roman"/>
                <w:sz w:val="12"/>
                <w:szCs w:val="12"/>
                <w:color w:val="auto"/>
              </w:rPr>
              <w:t>Translation result</w:t>
            </w:r>
          </w:p>
        </w:tc>
        <w:tc>
          <w:tcPr>
            <w:tcW w:w="1460" w:type="dxa"/>
            <w:vAlign w:val="bottom"/>
            <w:tcBorders>
              <w:right w:val="single" w:sz="8" w:color="auto"/>
            </w:tcBorders>
          </w:tcPr>
          <w:p>
            <w:pPr>
              <w:spacing w:after="0"/>
              <w:rPr>
                <w:sz w:val="11"/>
                <w:szCs w:val="11"/>
                <w:color w:val="auto"/>
              </w:rPr>
            </w:pPr>
          </w:p>
        </w:tc>
        <w:tc>
          <w:tcPr>
            <w:tcW w:w="1320" w:type="dxa"/>
            <w:vAlign w:val="bottom"/>
          </w:tcPr>
          <w:p>
            <w:pPr>
              <w:jc w:val="center"/>
              <w:ind w:right="161"/>
              <w:spacing w:after="0" w:line="127" w:lineRule="exact"/>
              <w:rPr>
                <w:sz w:val="20"/>
                <w:szCs w:val="20"/>
                <w:color w:val="auto"/>
              </w:rPr>
            </w:pPr>
            <w:r>
              <w:rPr>
                <w:rFonts w:ascii="Times New Roman" w:cs="Times New Roman" w:eastAsia="Times New Roman" w:hAnsi="Times New Roman"/>
                <w:sz w:val="12"/>
                <w:szCs w:val="12"/>
                <w:color w:val="auto"/>
                <w:w w:val="96"/>
              </w:rPr>
              <w:t>3,768</w:t>
            </w:r>
          </w:p>
        </w:tc>
        <w:tc>
          <w:tcPr>
            <w:tcW w:w="900" w:type="dxa"/>
            <w:vAlign w:val="bottom"/>
          </w:tcPr>
          <w:p>
            <w:pPr>
              <w:jc w:val="center"/>
              <w:ind w:right="141"/>
              <w:spacing w:after="0" w:line="127" w:lineRule="exact"/>
              <w:rPr>
                <w:sz w:val="20"/>
                <w:szCs w:val="20"/>
                <w:color w:val="auto"/>
              </w:rPr>
            </w:pPr>
            <w:r>
              <w:rPr>
                <w:rFonts w:ascii="Times New Roman" w:cs="Times New Roman" w:eastAsia="Times New Roman" w:hAnsi="Times New Roman"/>
                <w:sz w:val="12"/>
                <w:szCs w:val="12"/>
                <w:color w:val="auto"/>
                <w:w w:val="96"/>
              </w:rPr>
              <w:t>2,034</w:t>
            </w:r>
          </w:p>
        </w:tc>
        <w:tc>
          <w:tcPr>
            <w:tcW w:w="1140" w:type="dxa"/>
            <w:vAlign w:val="bottom"/>
            <w:tcBorders>
              <w:right w:val="single" w:sz="8" w:color="auto"/>
            </w:tcBorders>
          </w:tcPr>
          <w:p>
            <w:pPr>
              <w:jc w:val="center"/>
              <w:spacing w:after="0" w:line="127" w:lineRule="exact"/>
              <w:rPr>
                <w:sz w:val="20"/>
                <w:szCs w:val="20"/>
                <w:color w:val="auto"/>
              </w:rPr>
            </w:pPr>
            <w:r>
              <w:rPr>
                <w:rFonts w:ascii="Times New Roman" w:cs="Times New Roman" w:eastAsia="Times New Roman" w:hAnsi="Times New Roman"/>
                <w:sz w:val="12"/>
                <w:szCs w:val="12"/>
                <w:color w:val="auto"/>
              </w:rPr>
              <w:t>1,215</w:t>
            </w:r>
          </w:p>
        </w:tc>
        <w:tc>
          <w:tcPr>
            <w:tcW w:w="800" w:type="dxa"/>
            <w:vAlign w:val="bottom"/>
          </w:tcPr>
          <w:p>
            <w:pPr>
              <w:jc w:val="center"/>
              <w:ind w:left="241"/>
              <w:spacing w:after="0" w:line="127" w:lineRule="exact"/>
              <w:rPr>
                <w:sz w:val="20"/>
                <w:szCs w:val="20"/>
                <w:color w:val="auto"/>
              </w:rPr>
            </w:pPr>
            <w:r>
              <w:rPr>
                <w:rFonts w:ascii="Times New Roman" w:cs="Times New Roman" w:eastAsia="Times New Roman" w:hAnsi="Times New Roman"/>
                <w:sz w:val="12"/>
                <w:szCs w:val="12"/>
                <w:color w:val="auto"/>
                <w:w w:val="97"/>
              </w:rPr>
              <w:t>-40.3%</w:t>
            </w:r>
          </w:p>
        </w:tc>
        <w:tc>
          <w:tcPr>
            <w:tcW w:w="1440" w:type="dxa"/>
            <w:vAlign w:val="bottom"/>
            <w:tcBorders>
              <w:right w:val="single" w:sz="8" w:color="auto"/>
            </w:tcBorders>
          </w:tcPr>
          <w:p>
            <w:pPr>
              <w:jc w:val="center"/>
              <w:ind w:left="221"/>
              <w:spacing w:after="0" w:line="127" w:lineRule="exact"/>
              <w:rPr>
                <w:sz w:val="20"/>
                <w:szCs w:val="20"/>
                <w:color w:val="auto"/>
              </w:rPr>
            </w:pPr>
            <w:r>
              <w:rPr>
                <w:rFonts w:ascii="Times New Roman" w:cs="Times New Roman" w:eastAsia="Times New Roman" w:hAnsi="Times New Roman"/>
                <w:sz w:val="12"/>
                <w:szCs w:val="12"/>
                <w:color w:val="auto"/>
              </w:rPr>
              <w:t>-67.8%</w:t>
            </w:r>
          </w:p>
        </w:tc>
        <w:tc>
          <w:tcPr>
            <w:tcW w:w="220" w:type="dxa"/>
            <w:vAlign w:val="bottom"/>
          </w:tcPr>
          <w:p>
            <w:pPr>
              <w:spacing w:after="0"/>
              <w:rPr>
                <w:sz w:val="11"/>
                <w:szCs w:val="11"/>
                <w:color w:val="auto"/>
              </w:rPr>
            </w:pPr>
          </w:p>
        </w:tc>
      </w:tr>
      <w:tr>
        <w:trPr>
          <w:trHeight w:val="125"/>
        </w:trPr>
        <w:tc>
          <w:tcPr>
            <w:tcW w:w="240" w:type="dxa"/>
            <w:vAlign w:val="bottom"/>
            <w:tcBorders>
              <w:right w:val="single" w:sz="8" w:color="auto"/>
            </w:tcBorders>
          </w:tcPr>
          <w:p>
            <w:pPr>
              <w:spacing w:after="0"/>
              <w:rPr>
                <w:sz w:val="10"/>
                <w:szCs w:val="10"/>
                <w:color w:val="auto"/>
              </w:rPr>
            </w:pPr>
          </w:p>
        </w:tc>
        <w:tc>
          <w:tcPr>
            <w:tcW w:w="3720" w:type="dxa"/>
            <w:vAlign w:val="bottom"/>
          </w:tcPr>
          <w:p>
            <w:pPr>
              <w:ind w:left="100"/>
              <w:spacing w:after="0" w:line="125" w:lineRule="exact"/>
              <w:rPr>
                <w:sz w:val="20"/>
                <w:szCs w:val="20"/>
                <w:color w:val="auto"/>
              </w:rPr>
            </w:pPr>
            <w:r>
              <w:rPr>
                <w:rFonts w:ascii="Times New Roman" w:cs="Times New Roman" w:eastAsia="Times New Roman" w:hAnsi="Times New Roman"/>
                <w:sz w:val="12"/>
                <w:szCs w:val="12"/>
                <w:color w:val="auto"/>
              </w:rPr>
              <w:t>Income tax</w:t>
            </w:r>
          </w:p>
        </w:tc>
        <w:tc>
          <w:tcPr>
            <w:tcW w:w="1460" w:type="dxa"/>
            <w:vAlign w:val="bottom"/>
            <w:tcBorders>
              <w:right w:val="single" w:sz="8" w:color="auto"/>
            </w:tcBorders>
          </w:tcPr>
          <w:p>
            <w:pPr>
              <w:spacing w:after="0"/>
              <w:rPr>
                <w:sz w:val="10"/>
                <w:szCs w:val="10"/>
                <w:color w:val="auto"/>
              </w:rPr>
            </w:pPr>
          </w:p>
        </w:tc>
        <w:tc>
          <w:tcPr>
            <w:tcW w:w="1320" w:type="dxa"/>
            <w:vAlign w:val="bottom"/>
          </w:tcPr>
          <w:p>
            <w:pPr>
              <w:jc w:val="center"/>
              <w:ind w:right="141"/>
              <w:spacing w:after="0" w:line="125" w:lineRule="exact"/>
              <w:rPr>
                <w:sz w:val="20"/>
                <w:szCs w:val="20"/>
                <w:color w:val="auto"/>
              </w:rPr>
            </w:pPr>
            <w:r>
              <w:rPr>
                <w:rFonts w:ascii="Times New Roman" w:cs="Times New Roman" w:eastAsia="Times New Roman" w:hAnsi="Times New Roman"/>
                <w:sz w:val="12"/>
                <w:szCs w:val="12"/>
                <w:color w:val="auto"/>
                <w:w w:val="97"/>
              </w:rPr>
              <w:t>(11,817)</w:t>
            </w:r>
          </w:p>
        </w:tc>
        <w:tc>
          <w:tcPr>
            <w:tcW w:w="900" w:type="dxa"/>
            <w:vAlign w:val="bottom"/>
          </w:tcPr>
          <w:p>
            <w:pPr>
              <w:jc w:val="center"/>
              <w:ind w:right="141"/>
              <w:spacing w:after="0" w:line="125" w:lineRule="exact"/>
              <w:rPr>
                <w:sz w:val="20"/>
                <w:szCs w:val="20"/>
                <w:color w:val="auto"/>
              </w:rPr>
            </w:pPr>
            <w:r>
              <w:rPr>
                <w:rFonts w:ascii="Times New Roman" w:cs="Times New Roman" w:eastAsia="Times New Roman" w:hAnsi="Times New Roman"/>
                <w:sz w:val="12"/>
                <w:szCs w:val="12"/>
                <w:color w:val="auto"/>
                <w:w w:val="97"/>
              </w:rPr>
              <w:t>(9,552)</w:t>
            </w:r>
          </w:p>
        </w:tc>
        <w:tc>
          <w:tcPr>
            <w:tcW w:w="1140" w:type="dxa"/>
            <w:vAlign w:val="bottom"/>
            <w:tcBorders>
              <w:right w:val="single" w:sz="8" w:color="auto"/>
            </w:tcBorders>
          </w:tcPr>
          <w:p>
            <w:pPr>
              <w:jc w:val="center"/>
              <w:spacing w:after="0" w:line="125" w:lineRule="exact"/>
              <w:rPr>
                <w:sz w:val="20"/>
                <w:szCs w:val="20"/>
                <w:color w:val="auto"/>
              </w:rPr>
            </w:pPr>
            <w:r>
              <w:rPr>
                <w:rFonts w:ascii="Times New Roman" w:cs="Times New Roman" w:eastAsia="Times New Roman" w:hAnsi="Times New Roman"/>
                <w:sz w:val="12"/>
                <w:szCs w:val="12"/>
                <w:color w:val="auto"/>
                <w:w w:val="97"/>
              </w:rPr>
              <w:t>(10,655)</w:t>
            </w:r>
          </w:p>
        </w:tc>
        <w:tc>
          <w:tcPr>
            <w:tcW w:w="800" w:type="dxa"/>
            <w:vAlign w:val="bottom"/>
          </w:tcPr>
          <w:p>
            <w:pPr>
              <w:jc w:val="center"/>
              <w:ind w:left="241"/>
              <w:spacing w:after="0" w:line="125" w:lineRule="exact"/>
              <w:rPr>
                <w:sz w:val="20"/>
                <w:szCs w:val="20"/>
                <w:color w:val="auto"/>
              </w:rPr>
            </w:pPr>
            <w:r>
              <w:rPr>
                <w:rFonts w:ascii="Times New Roman" w:cs="Times New Roman" w:eastAsia="Times New Roman" w:hAnsi="Times New Roman"/>
                <w:sz w:val="12"/>
                <w:szCs w:val="12"/>
                <w:color w:val="auto"/>
                <w:w w:val="96"/>
              </w:rPr>
              <w:t>11.5%</w:t>
            </w:r>
          </w:p>
        </w:tc>
        <w:tc>
          <w:tcPr>
            <w:tcW w:w="1440" w:type="dxa"/>
            <w:vAlign w:val="bottom"/>
            <w:tcBorders>
              <w:right w:val="single" w:sz="8" w:color="auto"/>
            </w:tcBorders>
          </w:tcPr>
          <w:p>
            <w:pPr>
              <w:jc w:val="center"/>
              <w:ind w:left="221"/>
              <w:spacing w:after="0" w:line="125" w:lineRule="exact"/>
              <w:rPr>
                <w:sz w:val="20"/>
                <w:szCs w:val="20"/>
                <w:color w:val="auto"/>
              </w:rPr>
            </w:pPr>
            <w:r>
              <w:rPr>
                <w:rFonts w:ascii="Times New Roman" w:cs="Times New Roman" w:eastAsia="Times New Roman" w:hAnsi="Times New Roman"/>
                <w:sz w:val="12"/>
                <w:szCs w:val="12"/>
                <w:color w:val="auto"/>
                <w:w w:val="96"/>
              </w:rPr>
              <w:t>-9.8%</w:t>
            </w:r>
          </w:p>
        </w:tc>
        <w:tc>
          <w:tcPr>
            <w:tcW w:w="220" w:type="dxa"/>
            <w:vAlign w:val="bottom"/>
          </w:tcPr>
          <w:p>
            <w:pPr>
              <w:spacing w:after="0"/>
              <w:rPr>
                <w:sz w:val="10"/>
                <w:szCs w:val="10"/>
                <w:color w:val="auto"/>
              </w:rPr>
            </w:pPr>
          </w:p>
        </w:tc>
      </w:tr>
      <w:tr>
        <w:trPr>
          <w:trHeight w:val="145"/>
        </w:trPr>
        <w:tc>
          <w:tcPr>
            <w:tcW w:w="240" w:type="dxa"/>
            <w:vAlign w:val="bottom"/>
            <w:tcBorders>
              <w:right w:val="single" w:sz="8" w:color="auto"/>
            </w:tcBorders>
          </w:tcPr>
          <w:p>
            <w:pPr>
              <w:spacing w:after="0"/>
              <w:rPr>
                <w:sz w:val="12"/>
                <w:szCs w:val="12"/>
                <w:color w:val="auto"/>
              </w:rPr>
            </w:pPr>
          </w:p>
        </w:tc>
        <w:tc>
          <w:tcPr>
            <w:tcW w:w="37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2"/>
                <w:szCs w:val="12"/>
                <w:b w:val="1"/>
                <w:bCs w:val="1"/>
                <w:color w:val="auto"/>
              </w:rPr>
              <w:t>Net profit</w:t>
            </w:r>
          </w:p>
        </w:tc>
        <w:tc>
          <w:tcPr>
            <w:tcW w:w="146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tcBorders>
          </w:tcPr>
          <w:p>
            <w:pPr>
              <w:jc w:val="center"/>
              <w:ind w:right="141"/>
              <w:spacing w:after="0"/>
              <w:rPr>
                <w:sz w:val="20"/>
                <w:szCs w:val="20"/>
                <w:color w:val="auto"/>
              </w:rPr>
            </w:pPr>
            <w:r>
              <w:rPr>
                <w:rFonts w:ascii="Times New Roman" w:cs="Times New Roman" w:eastAsia="Times New Roman" w:hAnsi="Times New Roman"/>
                <w:sz w:val="12"/>
                <w:szCs w:val="12"/>
                <w:b w:val="1"/>
                <w:bCs w:val="1"/>
                <w:color w:val="auto"/>
                <w:w w:val="96"/>
              </w:rPr>
              <w:t>24,227</w:t>
            </w:r>
          </w:p>
        </w:tc>
        <w:tc>
          <w:tcPr>
            <w:tcW w:w="900" w:type="dxa"/>
            <w:vAlign w:val="bottom"/>
            <w:tcBorders>
              <w:bottom w:val="single" w:sz="8" w:color="auto"/>
            </w:tcBorders>
          </w:tcPr>
          <w:p>
            <w:pPr>
              <w:jc w:val="center"/>
              <w:ind w:right="161"/>
              <w:spacing w:after="0"/>
              <w:rPr>
                <w:sz w:val="20"/>
                <w:szCs w:val="20"/>
                <w:color w:val="auto"/>
              </w:rPr>
            </w:pPr>
            <w:r>
              <w:rPr>
                <w:rFonts w:ascii="Times New Roman" w:cs="Times New Roman" w:eastAsia="Times New Roman" w:hAnsi="Times New Roman"/>
                <w:sz w:val="12"/>
                <w:szCs w:val="12"/>
                <w:b w:val="1"/>
                <w:bCs w:val="1"/>
                <w:color w:val="auto"/>
                <w:w w:val="96"/>
              </w:rPr>
              <w:t>24,734</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44,568</w:t>
            </w:r>
          </w:p>
        </w:tc>
        <w:tc>
          <w:tcPr>
            <w:tcW w:w="800" w:type="dxa"/>
            <w:vAlign w:val="bottom"/>
            <w:tcBorders>
              <w:bottom w:val="single" w:sz="8" w:color="auto"/>
            </w:tcBorders>
          </w:tcPr>
          <w:p>
            <w:pPr>
              <w:jc w:val="center"/>
              <w:ind w:left="221"/>
              <w:spacing w:after="0"/>
              <w:rPr>
                <w:sz w:val="20"/>
                <w:szCs w:val="20"/>
                <w:color w:val="auto"/>
              </w:rPr>
            </w:pPr>
            <w:r>
              <w:rPr>
                <w:rFonts w:ascii="Times New Roman" w:cs="Times New Roman" w:eastAsia="Times New Roman" w:hAnsi="Times New Roman"/>
                <w:sz w:val="12"/>
                <w:szCs w:val="12"/>
                <w:b w:val="1"/>
                <w:bCs w:val="1"/>
                <w:color w:val="auto"/>
                <w:w w:val="96"/>
              </w:rPr>
              <w:t>80.2%</w:t>
            </w:r>
          </w:p>
        </w:tc>
        <w:tc>
          <w:tcPr>
            <w:tcW w:w="1440" w:type="dxa"/>
            <w:vAlign w:val="bottom"/>
            <w:tcBorders>
              <w:bottom w:val="single" w:sz="8" w:color="auto"/>
              <w:right w:val="single" w:sz="8" w:color="auto"/>
            </w:tcBorders>
          </w:tcPr>
          <w:p>
            <w:pPr>
              <w:jc w:val="center"/>
              <w:ind w:left="221"/>
              <w:spacing w:after="0"/>
              <w:rPr>
                <w:sz w:val="20"/>
                <w:szCs w:val="20"/>
                <w:color w:val="auto"/>
              </w:rPr>
            </w:pPr>
            <w:r>
              <w:rPr>
                <w:rFonts w:ascii="Times New Roman" w:cs="Times New Roman" w:eastAsia="Times New Roman" w:hAnsi="Times New Roman"/>
                <w:sz w:val="12"/>
                <w:szCs w:val="12"/>
                <w:b w:val="1"/>
                <w:bCs w:val="1"/>
                <w:color w:val="auto"/>
                <w:w w:val="96"/>
              </w:rPr>
              <w:t>84.0%</w:t>
            </w:r>
          </w:p>
        </w:tc>
        <w:tc>
          <w:tcPr>
            <w:tcW w:w="220" w:type="dxa"/>
            <w:vAlign w:val="bottom"/>
          </w:tcPr>
          <w:p>
            <w:pPr>
              <w:spacing w:after="0"/>
              <w:rPr>
                <w:sz w:val="12"/>
                <w:szCs w:val="12"/>
                <w:color w:val="auto"/>
              </w:rPr>
            </w:pPr>
          </w:p>
        </w:tc>
      </w:tr>
      <w:tr>
        <w:trPr>
          <w:trHeight w:val="381"/>
        </w:trPr>
        <w:tc>
          <w:tcPr>
            <w:tcW w:w="2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780" w:type="dxa"/>
            <w:vAlign w:val="bottom"/>
            <w:gridSpan w:val="2"/>
          </w:tcPr>
          <w:p>
            <w:pPr>
              <w:ind w:left="740"/>
              <w:spacing w:after="0"/>
              <w:rPr>
                <w:sz w:val="20"/>
                <w:szCs w:val="20"/>
                <w:color w:val="auto"/>
              </w:rPr>
            </w:pPr>
            <w:r>
              <w:rPr>
                <w:rFonts w:ascii="Times New Roman" w:cs="Times New Roman" w:eastAsia="Times New Roman" w:hAnsi="Times New Roman"/>
                <w:sz w:val="15"/>
                <w:szCs w:val="15"/>
                <w:b w:val="1"/>
                <w:bCs w:val="1"/>
                <w:color w:val="auto"/>
              </w:rPr>
              <w:t>Selected Financial Indicators</w:t>
            </w:r>
          </w:p>
        </w:tc>
        <w:tc>
          <w:tcPr>
            <w:tcW w:w="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95"/>
        </w:trPr>
        <w:tc>
          <w:tcPr>
            <w:tcW w:w="240" w:type="dxa"/>
            <w:vAlign w:val="bottom"/>
          </w:tcPr>
          <w:p>
            <w:pPr>
              <w:spacing w:after="0"/>
              <w:rPr>
                <w:sz w:val="16"/>
                <w:szCs w:val="16"/>
                <w:color w:val="auto"/>
              </w:rPr>
            </w:pPr>
          </w:p>
        </w:tc>
        <w:tc>
          <w:tcPr>
            <w:tcW w:w="37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r>
      <w:tr>
        <w:trPr>
          <w:trHeight w:val="102"/>
        </w:trPr>
        <w:tc>
          <w:tcPr>
            <w:tcW w:w="240" w:type="dxa"/>
            <w:vAlign w:val="bottom"/>
            <w:tcBorders>
              <w:right w:val="single" w:sz="8" w:color="auto"/>
            </w:tcBorders>
          </w:tcPr>
          <w:p>
            <w:pPr>
              <w:spacing w:after="0"/>
              <w:rPr>
                <w:sz w:val="8"/>
                <w:szCs w:val="8"/>
                <w:color w:val="auto"/>
              </w:rPr>
            </w:pPr>
          </w:p>
        </w:tc>
        <w:tc>
          <w:tcPr>
            <w:tcW w:w="3720" w:type="dxa"/>
            <w:vAlign w:val="bottom"/>
            <w:shd w:val="clear" w:color="auto" w:fill="2AD2C9"/>
          </w:tcPr>
          <w:p>
            <w:pPr>
              <w:spacing w:after="0"/>
              <w:rPr>
                <w:sz w:val="8"/>
                <w:szCs w:val="8"/>
                <w:color w:val="auto"/>
              </w:rPr>
            </w:pPr>
          </w:p>
        </w:tc>
        <w:tc>
          <w:tcPr>
            <w:tcW w:w="1460" w:type="dxa"/>
            <w:vAlign w:val="bottom"/>
            <w:tcBorders>
              <w:right w:val="single" w:sz="8" w:color="auto"/>
            </w:tcBorders>
            <w:shd w:val="clear" w:color="auto" w:fill="2AD2C9"/>
          </w:tcPr>
          <w:p>
            <w:pPr>
              <w:spacing w:after="0"/>
              <w:rPr>
                <w:sz w:val="8"/>
                <w:szCs w:val="8"/>
                <w:color w:val="auto"/>
              </w:rPr>
            </w:pPr>
          </w:p>
        </w:tc>
        <w:tc>
          <w:tcPr>
            <w:tcW w:w="1320" w:type="dxa"/>
            <w:vAlign w:val="bottom"/>
            <w:shd w:val="clear" w:color="auto" w:fill="2AD2C9"/>
          </w:tcPr>
          <w:p>
            <w:pPr>
              <w:spacing w:after="0"/>
              <w:rPr>
                <w:sz w:val="8"/>
                <w:szCs w:val="8"/>
                <w:color w:val="auto"/>
              </w:rPr>
            </w:pPr>
          </w:p>
        </w:tc>
        <w:tc>
          <w:tcPr>
            <w:tcW w:w="900" w:type="dxa"/>
            <w:vAlign w:val="bottom"/>
            <w:shd w:val="clear" w:color="auto" w:fill="2AD2C9"/>
          </w:tcPr>
          <w:p>
            <w:pPr>
              <w:ind w:left="140"/>
              <w:spacing w:after="0" w:line="102" w:lineRule="exact"/>
              <w:rPr>
                <w:sz w:val="20"/>
                <w:szCs w:val="20"/>
                <w:color w:val="auto"/>
              </w:rPr>
            </w:pPr>
            <w:r>
              <w:rPr>
                <w:rFonts w:ascii="Times New Roman" w:cs="Times New Roman" w:eastAsia="Times New Roman" w:hAnsi="Times New Roman"/>
                <w:sz w:val="11"/>
                <w:szCs w:val="11"/>
                <w:b w:val="1"/>
                <w:bCs w:val="1"/>
                <w:color w:val="FFFFFF"/>
              </w:rPr>
              <w:t>Quarter</w:t>
            </w:r>
          </w:p>
        </w:tc>
        <w:tc>
          <w:tcPr>
            <w:tcW w:w="1140" w:type="dxa"/>
            <w:vAlign w:val="bottom"/>
            <w:tcBorders>
              <w:right w:val="single" w:sz="8" w:color="auto"/>
            </w:tcBorders>
            <w:shd w:val="clear" w:color="auto" w:fill="2AD2C9"/>
          </w:tcPr>
          <w:p>
            <w:pPr>
              <w:spacing w:after="0"/>
              <w:rPr>
                <w:sz w:val="8"/>
                <w:szCs w:val="8"/>
                <w:color w:val="auto"/>
              </w:rPr>
            </w:pPr>
          </w:p>
        </w:tc>
        <w:tc>
          <w:tcPr>
            <w:tcW w:w="800" w:type="dxa"/>
            <w:vAlign w:val="bottom"/>
            <w:shd w:val="clear" w:color="auto" w:fill="2AD2C9"/>
          </w:tcPr>
          <w:p>
            <w:pPr>
              <w:spacing w:after="0"/>
              <w:rPr>
                <w:sz w:val="8"/>
                <w:szCs w:val="8"/>
                <w:color w:val="auto"/>
              </w:rPr>
            </w:pPr>
          </w:p>
        </w:tc>
        <w:tc>
          <w:tcPr>
            <w:tcW w:w="1440" w:type="dxa"/>
            <w:vAlign w:val="bottom"/>
            <w:tcBorders>
              <w:right w:val="single" w:sz="8" w:color="auto"/>
            </w:tcBorders>
            <w:shd w:val="clear" w:color="auto" w:fill="2AD2C9"/>
          </w:tcPr>
          <w:p>
            <w:pPr>
              <w:jc w:val="center"/>
              <w:ind w:right="761"/>
              <w:spacing w:after="0" w:line="102" w:lineRule="exact"/>
              <w:rPr>
                <w:sz w:val="20"/>
                <w:szCs w:val="20"/>
                <w:color w:val="auto"/>
              </w:rPr>
            </w:pPr>
            <w:r>
              <w:rPr>
                <w:rFonts w:ascii="Times New Roman" w:cs="Times New Roman" w:eastAsia="Times New Roman" w:hAnsi="Times New Roman"/>
                <w:sz w:val="11"/>
                <w:szCs w:val="11"/>
                <w:b w:val="1"/>
                <w:bCs w:val="1"/>
                <w:color w:val="FFFFFF"/>
              </w:rPr>
              <w:t>Change</w:t>
            </w:r>
          </w:p>
        </w:tc>
        <w:tc>
          <w:tcPr>
            <w:tcW w:w="220" w:type="dxa"/>
            <w:vAlign w:val="bottom"/>
          </w:tcPr>
          <w:p>
            <w:pPr>
              <w:spacing w:after="0"/>
              <w:rPr>
                <w:sz w:val="8"/>
                <w:szCs w:val="8"/>
                <w:color w:val="auto"/>
              </w:rPr>
            </w:pPr>
          </w:p>
        </w:tc>
      </w:tr>
      <w:tr>
        <w:trPr>
          <w:trHeight w:val="145"/>
        </w:trPr>
        <w:tc>
          <w:tcPr>
            <w:tcW w:w="240" w:type="dxa"/>
            <w:vAlign w:val="bottom"/>
            <w:tcBorders>
              <w:right w:val="single" w:sz="8" w:color="auto"/>
            </w:tcBorders>
          </w:tcPr>
          <w:p>
            <w:pPr>
              <w:spacing w:after="0"/>
              <w:rPr>
                <w:sz w:val="12"/>
                <w:szCs w:val="12"/>
                <w:color w:val="auto"/>
              </w:rPr>
            </w:pPr>
          </w:p>
        </w:tc>
        <w:tc>
          <w:tcPr>
            <w:tcW w:w="3720" w:type="dxa"/>
            <w:vAlign w:val="bottom"/>
            <w:tcBorders>
              <w:bottom w:val="single" w:sz="8" w:color="auto"/>
            </w:tcBorders>
            <w:shd w:val="clear" w:color="auto" w:fill="2AD2C9"/>
          </w:tcPr>
          <w:p>
            <w:pPr>
              <w:spacing w:after="0"/>
              <w:rPr>
                <w:sz w:val="12"/>
                <w:szCs w:val="12"/>
                <w:color w:val="auto"/>
              </w:rPr>
            </w:pPr>
          </w:p>
        </w:tc>
        <w:tc>
          <w:tcPr>
            <w:tcW w:w="1460" w:type="dxa"/>
            <w:vAlign w:val="bottom"/>
            <w:tcBorders>
              <w:bottom w:val="single" w:sz="8" w:color="auto"/>
              <w:right w:val="single" w:sz="8" w:color="auto"/>
            </w:tcBorders>
            <w:shd w:val="clear" w:color="auto" w:fill="2AD2C9"/>
          </w:tcPr>
          <w:p>
            <w:pPr>
              <w:spacing w:after="0"/>
              <w:rPr>
                <w:sz w:val="12"/>
                <w:szCs w:val="12"/>
                <w:color w:val="auto"/>
              </w:rPr>
            </w:pPr>
          </w:p>
        </w:tc>
        <w:tc>
          <w:tcPr>
            <w:tcW w:w="1320" w:type="dxa"/>
            <w:vAlign w:val="bottom"/>
            <w:tcBorders>
              <w:bottom w:val="single" w:sz="8" w:color="auto"/>
            </w:tcBorders>
            <w:shd w:val="clear" w:color="auto" w:fill="2AD2C9"/>
          </w:tcPr>
          <w:p>
            <w:pPr>
              <w:jc w:val="center"/>
              <w:ind w:right="161"/>
              <w:spacing w:after="0"/>
              <w:rPr>
                <w:sz w:val="20"/>
                <w:szCs w:val="20"/>
                <w:color w:val="auto"/>
              </w:rPr>
            </w:pPr>
            <w:r>
              <w:rPr>
                <w:rFonts w:ascii="Times New Roman" w:cs="Times New Roman" w:eastAsia="Times New Roman" w:hAnsi="Times New Roman"/>
                <w:sz w:val="12"/>
                <w:szCs w:val="12"/>
                <w:b w:val="1"/>
                <w:bCs w:val="1"/>
                <w:color w:val="FFFFFF"/>
                <w:w w:val="94"/>
              </w:rPr>
              <w:t>1Q25</w:t>
            </w:r>
          </w:p>
        </w:tc>
        <w:tc>
          <w:tcPr>
            <w:tcW w:w="900" w:type="dxa"/>
            <w:vAlign w:val="bottom"/>
            <w:tcBorders>
              <w:bottom w:val="single" w:sz="8" w:color="auto"/>
            </w:tcBorders>
            <w:shd w:val="clear" w:color="auto" w:fill="2AD2C9"/>
          </w:tcPr>
          <w:p>
            <w:pPr>
              <w:jc w:val="center"/>
              <w:ind w:right="161"/>
              <w:spacing w:after="0"/>
              <w:rPr>
                <w:sz w:val="20"/>
                <w:szCs w:val="20"/>
                <w:color w:val="auto"/>
              </w:rPr>
            </w:pPr>
            <w:r>
              <w:rPr>
                <w:rFonts w:ascii="Times New Roman" w:cs="Times New Roman" w:eastAsia="Times New Roman" w:hAnsi="Times New Roman"/>
                <w:sz w:val="12"/>
                <w:szCs w:val="12"/>
                <w:b w:val="1"/>
                <w:bCs w:val="1"/>
                <w:color w:val="FFFFFF"/>
              </w:rPr>
              <w:t>4Q25</w:t>
            </w:r>
          </w:p>
        </w:tc>
        <w:tc>
          <w:tcPr>
            <w:tcW w:w="114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Times New Roman" w:cs="Times New Roman" w:eastAsia="Times New Roman" w:hAnsi="Times New Roman"/>
                <w:sz w:val="12"/>
                <w:szCs w:val="12"/>
                <w:b w:val="1"/>
                <w:bCs w:val="1"/>
                <w:color w:val="FFFFFF"/>
              </w:rPr>
              <w:t>1Q26</w:t>
            </w:r>
          </w:p>
        </w:tc>
        <w:tc>
          <w:tcPr>
            <w:tcW w:w="800" w:type="dxa"/>
            <w:vAlign w:val="bottom"/>
            <w:tcBorders>
              <w:bottom w:val="single" w:sz="8" w:color="auto"/>
            </w:tcBorders>
            <w:shd w:val="clear" w:color="auto" w:fill="2AD2C9"/>
          </w:tcPr>
          <w:p>
            <w:pPr>
              <w:jc w:val="center"/>
              <w:ind w:left="221"/>
              <w:spacing w:after="0"/>
              <w:rPr>
                <w:sz w:val="20"/>
                <w:szCs w:val="20"/>
                <w:color w:val="auto"/>
              </w:rPr>
            </w:pPr>
            <w:r>
              <w:rPr>
                <w:rFonts w:ascii="Times New Roman" w:cs="Times New Roman" w:eastAsia="Times New Roman" w:hAnsi="Times New Roman"/>
                <w:sz w:val="12"/>
                <w:szCs w:val="12"/>
                <w:b w:val="1"/>
                <w:bCs w:val="1"/>
                <w:color w:val="FFFFFF"/>
                <w:w w:val="97"/>
              </w:rPr>
              <w:t>QoQ</w:t>
            </w:r>
          </w:p>
        </w:tc>
        <w:tc>
          <w:tcPr>
            <w:tcW w:w="1440" w:type="dxa"/>
            <w:vAlign w:val="bottom"/>
            <w:tcBorders>
              <w:bottom w:val="single" w:sz="8" w:color="auto"/>
              <w:right w:val="single" w:sz="8" w:color="auto"/>
            </w:tcBorders>
            <w:shd w:val="clear" w:color="auto" w:fill="2AD2C9"/>
          </w:tcPr>
          <w:p>
            <w:pPr>
              <w:jc w:val="center"/>
              <w:ind w:left="221"/>
              <w:spacing w:after="0"/>
              <w:rPr>
                <w:sz w:val="20"/>
                <w:szCs w:val="20"/>
                <w:color w:val="auto"/>
              </w:rPr>
            </w:pPr>
            <w:r>
              <w:rPr>
                <w:rFonts w:ascii="Times New Roman" w:cs="Times New Roman" w:eastAsia="Times New Roman" w:hAnsi="Times New Roman"/>
                <w:sz w:val="12"/>
                <w:szCs w:val="12"/>
                <w:b w:val="1"/>
                <w:bCs w:val="1"/>
                <w:color w:val="FFFFFF"/>
                <w:w w:val="85"/>
              </w:rPr>
              <w:t>YoY</w:t>
            </w:r>
          </w:p>
        </w:tc>
        <w:tc>
          <w:tcPr>
            <w:tcW w:w="220" w:type="dxa"/>
            <w:vAlign w:val="bottom"/>
          </w:tcPr>
          <w:p>
            <w:pPr>
              <w:spacing w:after="0"/>
              <w:rPr>
                <w:sz w:val="12"/>
                <w:szCs w:val="12"/>
                <w:color w:val="auto"/>
              </w:rPr>
            </w:pPr>
          </w:p>
        </w:tc>
      </w:tr>
      <w:tr>
        <w:trPr>
          <w:trHeight w:val="104"/>
        </w:trPr>
        <w:tc>
          <w:tcPr>
            <w:tcW w:w="240" w:type="dxa"/>
            <w:vAlign w:val="bottom"/>
            <w:tcBorders>
              <w:right w:val="single" w:sz="8" w:color="auto"/>
            </w:tcBorders>
          </w:tcPr>
          <w:p>
            <w:pPr>
              <w:spacing w:after="0"/>
              <w:rPr>
                <w:sz w:val="9"/>
                <w:szCs w:val="9"/>
                <w:color w:val="auto"/>
              </w:rPr>
            </w:pPr>
          </w:p>
        </w:tc>
        <w:tc>
          <w:tcPr>
            <w:tcW w:w="3720" w:type="dxa"/>
            <w:vAlign w:val="bottom"/>
          </w:tcPr>
          <w:p>
            <w:pPr>
              <w:ind w:left="100"/>
              <w:spacing w:after="0" w:line="104" w:lineRule="exact"/>
              <w:rPr>
                <w:sz w:val="20"/>
                <w:szCs w:val="20"/>
                <w:color w:val="auto"/>
              </w:rPr>
            </w:pPr>
            <w:r>
              <w:rPr>
                <w:rFonts w:ascii="Times New Roman" w:cs="Times New Roman" w:eastAsia="Times New Roman" w:hAnsi="Times New Roman"/>
                <w:sz w:val="12"/>
                <w:szCs w:val="12"/>
                <w:color w:val="auto"/>
              </w:rPr>
              <w:t>Efficiency ratio</w:t>
            </w:r>
          </w:p>
        </w:tc>
        <w:tc>
          <w:tcPr>
            <w:tcW w:w="1460" w:type="dxa"/>
            <w:vAlign w:val="bottom"/>
            <w:tcBorders>
              <w:right w:val="single" w:sz="8" w:color="auto"/>
            </w:tcBorders>
          </w:tcPr>
          <w:p>
            <w:pPr>
              <w:spacing w:after="0"/>
              <w:rPr>
                <w:sz w:val="9"/>
                <w:szCs w:val="9"/>
                <w:color w:val="auto"/>
              </w:rPr>
            </w:pPr>
          </w:p>
        </w:tc>
        <w:tc>
          <w:tcPr>
            <w:tcW w:w="1320" w:type="dxa"/>
            <w:vAlign w:val="bottom"/>
          </w:tcPr>
          <w:p>
            <w:pPr>
              <w:jc w:val="center"/>
              <w:ind w:right="161"/>
              <w:spacing w:after="0" w:line="104" w:lineRule="exact"/>
              <w:rPr>
                <w:sz w:val="20"/>
                <w:szCs w:val="20"/>
                <w:color w:val="auto"/>
              </w:rPr>
            </w:pPr>
            <w:r>
              <w:rPr>
                <w:rFonts w:ascii="Times New Roman" w:cs="Times New Roman" w:eastAsia="Times New Roman" w:hAnsi="Times New Roman"/>
                <w:sz w:val="12"/>
                <w:szCs w:val="12"/>
                <w:color w:val="auto"/>
                <w:w w:val="96"/>
              </w:rPr>
              <w:t>69.6%</w:t>
            </w:r>
          </w:p>
        </w:tc>
        <w:tc>
          <w:tcPr>
            <w:tcW w:w="900" w:type="dxa"/>
            <w:vAlign w:val="bottom"/>
          </w:tcPr>
          <w:p>
            <w:pPr>
              <w:jc w:val="center"/>
              <w:ind w:right="141"/>
              <w:spacing w:after="0" w:line="104" w:lineRule="exact"/>
              <w:rPr>
                <w:sz w:val="20"/>
                <w:szCs w:val="20"/>
                <w:color w:val="auto"/>
              </w:rPr>
            </w:pPr>
            <w:r>
              <w:rPr>
                <w:rFonts w:ascii="Times New Roman" w:cs="Times New Roman" w:eastAsia="Times New Roman" w:hAnsi="Times New Roman"/>
                <w:sz w:val="12"/>
                <w:szCs w:val="12"/>
                <w:color w:val="auto"/>
                <w:w w:val="96"/>
              </w:rPr>
              <w:t>74.2%</w:t>
            </w:r>
          </w:p>
        </w:tc>
        <w:tc>
          <w:tcPr>
            <w:tcW w:w="1140" w:type="dxa"/>
            <w:vAlign w:val="bottom"/>
            <w:tcBorders>
              <w:right w:val="single" w:sz="8" w:color="auto"/>
            </w:tcBorders>
          </w:tcPr>
          <w:p>
            <w:pPr>
              <w:jc w:val="center"/>
              <w:spacing w:after="0" w:line="104" w:lineRule="exact"/>
              <w:rPr>
                <w:sz w:val="20"/>
                <w:szCs w:val="20"/>
                <w:color w:val="auto"/>
              </w:rPr>
            </w:pPr>
            <w:r>
              <w:rPr>
                <w:rFonts w:ascii="Times New Roman" w:cs="Times New Roman" w:eastAsia="Times New Roman" w:hAnsi="Times New Roman"/>
                <w:sz w:val="12"/>
                <w:szCs w:val="12"/>
                <w:color w:val="auto"/>
              </w:rPr>
              <w:t>65.2%</w:t>
            </w:r>
          </w:p>
        </w:tc>
        <w:tc>
          <w:tcPr>
            <w:tcW w:w="800" w:type="dxa"/>
            <w:vAlign w:val="bottom"/>
          </w:tcPr>
          <w:p>
            <w:pPr>
              <w:jc w:val="center"/>
              <w:ind w:left="221"/>
              <w:spacing w:after="0" w:line="104" w:lineRule="exact"/>
              <w:rPr>
                <w:sz w:val="20"/>
                <w:szCs w:val="20"/>
                <w:color w:val="auto"/>
              </w:rPr>
            </w:pPr>
            <w:r>
              <w:rPr>
                <w:rFonts w:ascii="Times New Roman" w:cs="Times New Roman" w:eastAsia="Times New Roman" w:hAnsi="Times New Roman"/>
                <w:sz w:val="12"/>
                <w:szCs w:val="12"/>
                <w:color w:val="auto"/>
                <w:w w:val="95"/>
              </w:rPr>
              <w:t>-899 bps</w:t>
            </w:r>
          </w:p>
        </w:tc>
        <w:tc>
          <w:tcPr>
            <w:tcW w:w="1440" w:type="dxa"/>
            <w:vAlign w:val="bottom"/>
            <w:tcBorders>
              <w:right w:val="single" w:sz="8" w:color="auto"/>
            </w:tcBorders>
          </w:tcPr>
          <w:p>
            <w:pPr>
              <w:jc w:val="center"/>
              <w:ind w:left="221"/>
              <w:spacing w:after="0" w:line="104" w:lineRule="exact"/>
              <w:rPr>
                <w:sz w:val="20"/>
                <w:szCs w:val="20"/>
                <w:color w:val="auto"/>
              </w:rPr>
            </w:pPr>
            <w:r>
              <w:rPr>
                <w:rFonts w:ascii="Times New Roman" w:cs="Times New Roman" w:eastAsia="Times New Roman" w:hAnsi="Times New Roman"/>
                <w:sz w:val="12"/>
                <w:szCs w:val="12"/>
                <w:color w:val="auto"/>
                <w:w w:val="95"/>
              </w:rPr>
              <w:t>-440 bps</w:t>
            </w:r>
          </w:p>
        </w:tc>
        <w:tc>
          <w:tcPr>
            <w:tcW w:w="220" w:type="dxa"/>
            <w:vAlign w:val="bottom"/>
          </w:tcPr>
          <w:p>
            <w:pPr>
              <w:spacing w:after="0"/>
              <w:rPr>
                <w:sz w:val="9"/>
                <w:szCs w:val="9"/>
                <w:color w:val="auto"/>
              </w:rPr>
            </w:pPr>
          </w:p>
        </w:tc>
      </w:tr>
      <w:tr>
        <w:trPr>
          <w:trHeight w:val="127"/>
        </w:trPr>
        <w:tc>
          <w:tcPr>
            <w:tcW w:w="240" w:type="dxa"/>
            <w:vAlign w:val="bottom"/>
            <w:tcBorders>
              <w:right w:val="single" w:sz="8" w:color="auto"/>
            </w:tcBorders>
          </w:tcPr>
          <w:p>
            <w:pPr>
              <w:spacing w:after="0"/>
              <w:rPr>
                <w:sz w:val="11"/>
                <w:szCs w:val="11"/>
                <w:color w:val="auto"/>
              </w:rPr>
            </w:pPr>
          </w:p>
        </w:tc>
        <w:tc>
          <w:tcPr>
            <w:tcW w:w="3720" w:type="dxa"/>
            <w:vAlign w:val="bottom"/>
          </w:tcPr>
          <w:p>
            <w:pPr>
              <w:ind w:left="100"/>
              <w:spacing w:after="0" w:line="127" w:lineRule="exact"/>
              <w:rPr>
                <w:sz w:val="20"/>
                <w:szCs w:val="20"/>
                <w:color w:val="auto"/>
              </w:rPr>
            </w:pPr>
            <w:r>
              <w:rPr>
                <w:rFonts w:ascii="Times New Roman" w:cs="Times New Roman" w:eastAsia="Times New Roman" w:hAnsi="Times New Roman"/>
                <w:sz w:val="12"/>
                <w:szCs w:val="12"/>
                <w:color w:val="auto"/>
              </w:rPr>
              <w:t>ROAE</w:t>
            </w:r>
          </w:p>
        </w:tc>
        <w:tc>
          <w:tcPr>
            <w:tcW w:w="1460" w:type="dxa"/>
            <w:vAlign w:val="bottom"/>
            <w:tcBorders>
              <w:right w:val="single" w:sz="8" w:color="auto"/>
            </w:tcBorders>
          </w:tcPr>
          <w:p>
            <w:pPr>
              <w:spacing w:after="0"/>
              <w:rPr>
                <w:sz w:val="11"/>
                <w:szCs w:val="11"/>
                <w:color w:val="auto"/>
              </w:rPr>
            </w:pPr>
          </w:p>
        </w:tc>
        <w:tc>
          <w:tcPr>
            <w:tcW w:w="1320" w:type="dxa"/>
            <w:vAlign w:val="bottom"/>
          </w:tcPr>
          <w:p>
            <w:pPr>
              <w:jc w:val="center"/>
              <w:ind w:right="161"/>
              <w:spacing w:after="0" w:line="127" w:lineRule="exact"/>
              <w:rPr>
                <w:sz w:val="20"/>
                <w:szCs w:val="20"/>
                <w:color w:val="auto"/>
              </w:rPr>
            </w:pPr>
            <w:r>
              <w:rPr>
                <w:rFonts w:ascii="Times New Roman" w:cs="Times New Roman" w:eastAsia="Times New Roman" w:hAnsi="Times New Roman"/>
                <w:sz w:val="12"/>
                <w:szCs w:val="12"/>
                <w:color w:val="auto"/>
                <w:w w:val="96"/>
              </w:rPr>
              <w:t>11.3%</w:t>
            </w:r>
          </w:p>
        </w:tc>
        <w:tc>
          <w:tcPr>
            <w:tcW w:w="900" w:type="dxa"/>
            <w:vAlign w:val="bottom"/>
          </w:tcPr>
          <w:p>
            <w:pPr>
              <w:jc w:val="center"/>
              <w:ind w:right="141"/>
              <w:spacing w:after="0" w:line="127" w:lineRule="exact"/>
              <w:rPr>
                <w:sz w:val="20"/>
                <w:szCs w:val="20"/>
                <w:color w:val="auto"/>
              </w:rPr>
            </w:pPr>
            <w:r>
              <w:rPr>
                <w:rFonts w:ascii="Times New Roman" w:cs="Times New Roman" w:eastAsia="Times New Roman" w:hAnsi="Times New Roman"/>
                <w:sz w:val="12"/>
                <w:szCs w:val="12"/>
                <w:color w:val="auto"/>
                <w:w w:val="96"/>
              </w:rPr>
              <w:t>12.9%</w:t>
            </w:r>
          </w:p>
        </w:tc>
        <w:tc>
          <w:tcPr>
            <w:tcW w:w="1140" w:type="dxa"/>
            <w:vAlign w:val="bottom"/>
            <w:tcBorders>
              <w:right w:val="single" w:sz="8" w:color="auto"/>
            </w:tcBorders>
          </w:tcPr>
          <w:p>
            <w:pPr>
              <w:jc w:val="center"/>
              <w:spacing w:after="0" w:line="127" w:lineRule="exact"/>
              <w:rPr>
                <w:sz w:val="20"/>
                <w:szCs w:val="20"/>
                <w:color w:val="auto"/>
              </w:rPr>
            </w:pPr>
            <w:r>
              <w:rPr>
                <w:rFonts w:ascii="Times New Roman" w:cs="Times New Roman" w:eastAsia="Times New Roman" w:hAnsi="Times New Roman"/>
                <w:sz w:val="12"/>
                <w:szCs w:val="12"/>
                <w:color w:val="auto"/>
              </w:rPr>
              <w:t>20.7%</w:t>
            </w:r>
          </w:p>
        </w:tc>
        <w:tc>
          <w:tcPr>
            <w:tcW w:w="800" w:type="dxa"/>
            <w:vAlign w:val="bottom"/>
          </w:tcPr>
          <w:p>
            <w:pPr>
              <w:jc w:val="center"/>
              <w:ind w:left="221"/>
              <w:spacing w:after="0" w:line="127" w:lineRule="exact"/>
              <w:rPr>
                <w:sz w:val="20"/>
                <w:szCs w:val="20"/>
                <w:color w:val="auto"/>
              </w:rPr>
            </w:pPr>
            <w:r>
              <w:rPr>
                <w:rFonts w:ascii="Times New Roman" w:cs="Times New Roman" w:eastAsia="Times New Roman" w:hAnsi="Times New Roman"/>
                <w:sz w:val="12"/>
                <w:szCs w:val="12"/>
                <w:color w:val="auto"/>
                <w:w w:val="95"/>
              </w:rPr>
              <w:t>779 bps</w:t>
            </w:r>
          </w:p>
        </w:tc>
        <w:tc>
          <w:tcPr>
            <w:tcW w:w="1440" w:type="dxa"/>
            <w:vAlign w:val="bottom"/>
            <w:tcBorders>
              <w:right w:val="single" w:sz="8" w:color="auto"/>
            </w:tcBorders>
          </w:tcPr>
          <w:p>
            <w:pPr>
              <w:jc w:val="center"/>
              <w:ind w:left="221"/>
              <w:spacing w:after="0" w:line="127" w:lineRule="exact"/>
              <w:rPr>
                <w:sz w:val="20"/>
                <w:szCs w:val="20"/>
                <w:color w:val="auto"/>
              </w:rPr>
            </w:pPr>
            <w:r>
              <w:rPr>
                <w:rFonts w:ascii="Times New Roman" w:cs="Times New Roman" w:eastAsia="Times New Roman" w:hAnsi="Times New Roman"/>
                <w:sz w:val="12"/>
                <w:szCs w:val="12"/>
                <w:color w:val="auto"/>
                <w:w w:val="95"/>
              </w:rPr>
              <w:t>936 bps</w:t>
            </w:r>
          </w:p>
        </w:tc>
        <w:tc>
          <w:tcPr>
            <w:tcW w:w="220" w:type="dxa"/>
            <w:vAlign w:val="bottom"/>
          </w:tcPr>
          <w:p>
            <w:pPr>
              <w:spacing w:after="0"/>
              <w:rPr>
                <w:sz w:val="11"/>
                <w:szCs w:val="11"/>
                <w:color w:val="auto"/>
              </w:rPr>
            </w:pPr>
          </w:p>
        </w:tc>
      </w:tr>
      <w:tr>
        <w:trPr>
          <w:trHeight w:val="127"/>
        </w:trPr>
        <w:tc>
          <w:tcPr>
            <w:tcW w:w="240" w:type="dxa"/>
            <w:vAlign w:val="bottom"/>
            <w:tcBorders>
              <w:right w:val="single" w:sz="8" w:color="auto"/>
            </w:tcBorders>
          </w:tcPr>
          <w:p>
            <w:pPr>
              <w:spacing w:after="0"/>
              <w:rPr>
                <w:sz w:val="11"/>
                <w:szCs w:val="11"/>
                <w:color w:val="auto"/>
              </w:rPr>
            </w:pPr>
          </w:p>
        </w:tc>
        <w:tc>
          <w:tcPr>
            <w:tcW w:w="3720" w:type="dxa"/>
            <w:vAlign w:val="bottom"/>
          </w:tcPr>
          <w:p>
            <w:pPr>
              <w:ind w:left="100"/>
              <w:spacing w:after="0" w:line="127" w:lineRule="exact"/>
              <w:rPr>
                <w:sz w:val="20"/>
                <w:szCs w:val="20"/>
                <w:color w:val="auto"/>
              </w:rPr>
            </w:pPr>
            <w:r>
              <w:rPr>
                <w:rFonts w:ascii="Times New Roman" w:cs="Times New Roman" w:eastAsia="Times New Roman" w:hAnsi="Times New Roman"/>
                <w:sz w:val="12"/>
                <w:szCs w:val="12"/>
                <w:color w:val="auto"/>
              </w:rPr>
              <w:t>L/D ratio</w:t>
            </w:r>
          </w:p>
        </w:tc>
        <w:tc>
          <w:tcPr>
            <w:tcW w:w="1460" w:type="dxa"/>
            <w:vAlign w:val="bottom"/>
            <w:tcBorders>
              <w:right w:val="single" w:sz="8" w:color="auto"/>
            </w:tcBorders>
          </w:tcPr>
          <w:p>
            <w:pPr>
              <w:spacing w:after="0"/>
              <w:rPr>
                <w:sz w:val="11"/>
                <w:szCs w:val="11"/>
                <w:color w:val="auto"/>
              </w:rPr>
            </w:pPr>
          </w:p>
        </w:tc>
        <w:tc>
          <w:tcPr>
            <w:tcW w:w="1320" w:type="dxa"/>
            <w:vAlign w:val="bottom"/>
          </w:tcPr>
          <w:p>
            <w:pPr>
              <w:jc w:val="center"/>
              <w:ind w:right="161"/>
              <w:spacing w:after="0" w:line="127" w:lineRule="exact"/>
              <w:rPr>
                <w:sz w:val="20"/>
                <w:szCs w:val="20"/>
                <w:color w:val="auto"/>
              </w:rPr>
            </w:pPr>
            <w:r>
              <w:rPr>
                <w:rFonts w:ascii="Times New Roman" w:cs="Times New Roman" w:eastAsia="Times New Roman" w:hAnsi="Times New Roman"/>
                <w:sz w:val="12"/>
                <w:szCs w:val="12"/>
                <w:color w:val="auto"/>
                <w:w w:val="96"/>
              </w:rPr>
              <w:t>79.0%</w:t>
            </w:r>
          </w:p>
        </w:tc>
        <w:tc>
          <w:tcPr>
            <w:tcW w:w="900" w:type="dxa"/>
            <w:vAlign w:val="bottom"/>
          </w:tcPr>
          <w:p>
            <w:pPr>
              <w:jc w:val="center"/>
              <w:ind w:right="141"/>
              <w:spacing w:after="0" w:line="127" w:lineRule="exact"/>
              <w:rPr>
                <w:sz w:val="20"/>
                <w:szCs w:val="20"/>
                <w:color w:val="auto"/>
              </w:rPr>
            </w:pPr>
            <w:r>
              <w:rPr>
                <w:rFonts w:ascii="Times New Roman" w:cs="Times New Roman" w:eastAsia="Times New Roman" w:hAnsi="Times New Roman"/>
                <w:sz w:val="12"/>
                <w:szCs w:val="12"/>
                <w:color w:val="auto"/>
                <w:w w:val="96"/>
              </w:rPr>
              <w:t>79.8%</w:t>
            </w:r>
          </w:p>
        </w:tc>
        <w:tc>
          <w:tcPr>
            <w:tcW w:w="1140" w:type="dxa"/>
            <w:vAlign w:val="bottom"/>
            <w:tcBorders>
              <w:right w:val="single" w:sz="8" w:color="auto"/>
            </w:tcBorders>
          </w:tcPr>
          <w:p>
            <w:pPr>
              <w:jc w:val="center"/>
              <w:spacing w:after="0" w:line="127" w:lineRule="exact"/>
              <w:rPr>
                <w:sz w:val="20"/>
                <w:szCs w:val="20"/>
                <w:color w:val="auto"/>
              </w:rPr>
            </w:pPr>
            <w:r>
              <w:rPr>
                <w:rFonts w:ascii="Times New Roman" w:cs="Times New Roman" w:eastAsia="Times New Roman" w:hAnsi="Times New Roman"/>
                <w:sz w:val="12"/>
                <w:szCs w:val="12"/>
                <w:color w:val="auto"/>
              </w:rPr>
              <w:t>78.8%</w:t>
            </w:r>
          </w:p>
        </w:tc>
        <w:tc>
          <w:tcPr>
            <w:tcW w:w="800" w:type="dxa"/>
            <w:vAlign w:val="bottom"/>
          </w:tcPr>
          <w:p>
            <w:pPr>
              <w:jc w:val="center"/>
              <w:ind w:left="221"/>
              <w:spacing w:after="0" w:line="127" w:lineRule="exact"/>
              <w:rPr>
                <w:sz w:val="20"/>
                <w:szCs w:val="20"/>
                <w:color w:val="auto"/>
              </w:rPr>
            </w:pPr>
            <w:r>
              <w:rPr>
                <w:rFonts w:ascii="Times New Roman" w:cs="Times New Roman" w:eastAsia="Times New Roman" w:hAnsi="Times New Roman"/>
                <w:sz w:val="12"/>
                <w:szCs w:val="12"/>
                <w:color w:val="auto"/>
                <w:w w:val="95"/>
              </w:rPr>
              <w:t>-102 bps</w:t>
            </w:r>
          </w:p>
        </w:tc>
        <w:tc>
          <w:tcPr>
            <w:tcW w:w="1440" w:type="dxa"/>
            <w:vAlign w:val="bottom"/>
            <w:tcBorders>
              <w:right w:val="single" w:sz="8" w:color="auto"/>
            </w:tcBorders>
          </w:tcPr>
          <w:p>
            <w:pPr>
              <w:jc w:val="center"/>
              <w:ind w:left="221"/>
              <w:spacing w:after="0" w:line="127" w:lineRule="exact"/>
              <w:rPr>
                <w:sz w:val="20"/>
                <w:szCs w:val="20"/>
                <w:color w:val="auto"/>
              </w:rPr>
            </w:pPr>
            <w:r>
              <w:rPr>
                <w:rFonts w:ascii="Times New Roman" w:cs="Times New Roman" w:eastAsia="Times New Roman" w:hAnsi="Times New Roman"/>
                <w:sz w:val="12"/>
                <w:szCs w:val="12"/>
                <w:color w:val="auto"/>
              </w:rPr>
              <w:t>-13 bps</w:t>
            </w:r>
          </w:p>
        </w:tc>
        <w:tc>
          <w:tcPr>
            <w:tcW w:w="220" w:type="dxa"/>
            <w:vAlign w:val="bottom"/>
          </w:tcPr>
          <w:p>
            <w:pPr>
              <w:spacing w:after="0"/>
              <w:rPr>
                <w:sz w:val="11"/>
                <w:szCs w:val="11"/>
                <w:color w:val="auto"/>
              </w:rPr>
            </w:pPr>
          </w:p>
        </w:tc>
      </w:tr>
      <w:tr>
        <w:trPr>
          <w:trHeight w:val="127"/>
        </w:trPr>
        <w:tc>
          <w:tcPr>
            <w:tcW w:w="240" w:type="dxa"/>
            <w:vAlign w:val="bottom"/>
            <w:tcBorders>
              <w:right w:val="single" w:sz="8" w:color="auto"/>
            </w:tcBorders>
          </w:tcPr>
          <w:p>
            <w:pPr>
              <w:spacing w:after="0"/>
              <w:rPr>
                <w:sz w:val="11"/>
                <w:szCs w:val="11"/>
                <w:color w:val="auto"/>
              </w:rPr>
            </w:pPr>
          </w:p>
        </w:tc>
        <w:tc>
          <w:tcPr>
            <w:tcW w:w="3720" w:type="dxa"/>
            <w:vAlign w:val="bottom"/>
          </w:tcPr>
          <w:p>
            <w:pPr>
              <w:ind w:left="100"/>
              <w:spacing w:after="0" w:line="127" w:lineRule="exact"/>
              <w:rPr>
                <w:sz w:val="20"/>
                <w:szCs w:val="20"/>
                <w:color w:val="auto"/>
              </w:rPr>
            </w:pPr>
            <w:r>
              <w:rPr>
                <w:rFonts w:ascii="Times New Roman" w:cs="Times New Roman" w:eastAsia="Times New Roman" w:hAnsi="Times New Roman"/>
                <w:sz w:val="12"/>
                <w:szCs w:val="12"/>
                <w:color w:val="auto"/>
              </w:rPr>
              <w:t>IOL ratio</w:t>
            </w:r>
          </w:p>
        </w:tc>
        <w:tc>
          <w:tcPr>
            <w:tcW w:w="1460" w:type="dxa"/>
            <w:vAlign w:val="bottom"/>
            <w:tcBorders>
              <w:right w:val="single" w:sz="8" w:color="auto"/>
            </w:tcBorders>
          </w:tcPr>
          <w:p>
            <w:pPr>
              <w:spacing w:after="0"/>
              <w:rPr>
                <w:sz w:val="11"/>
                <w:szCs w:val="11"/>
                <w:color w:val="auto"/>
              </w:rPr>
            </w:pPr>
          </w:p>
        </w:tc>
        <w:tc>
          <w:tcPr>
            <w:tcW w:w="1320" w:type="dxa"/>
            <w:vAlign w:val="bottom"/>
          </w:tcPr>
          <w:p>
            <w:pPr>
              <w:jc w:val="center"/>
              <w:ind w:right="161"/>
              <w:spacing w:after="0" w:line="127" w:lineRule="exact"/>
              <w:rPr>
                <w:sz w:val="20"/>
                <w:szCs w:val="20"/>
                <w:color w:val="auto"/>
              </w:rPr>
            </w:pPr>
            <w:r>
              <w:rPr>
                <w:rFonts w:ascii="Times New Roman" w:cs="Times New Roman" w:eastAsia="Times New Roman" w:hAnsi="Times New Roman"/>
                <w:sz w:val="12"/>
                <w:szCs w:val="12"/>
                <w:color w:val="auto"/>
              </w:rPr>
              <w:t>2.8%</w:t>
            </w:r>
          </w:p>
        </w:tc>
        <w:tc>
          <w:tcPr>
            <w:tcW w:w="900" w:type="dxa"/>
            <w:vAlign w:val="bottom"/>
          </w:tcPr>
          <w:p>
            <w:pPr>
              <w:jc w:val="center"/>
              <w:ind w:right="161"/>
              <w:spacing w:after="0" w:line="127" w:lineRule="exact"/>
              <w:rPr>
                <w:sz w:val="20"/>
                <w:szCs w:val="20"/>
                <w:color w:val="auto"/>
              </w:rPr>
            </w:pPr>
            <w:r>
              <w:rPr>
                <w:rFonts w:ascii="Times New Roman" w:cs="Times New Roman" w:eastAsia="Times New Roman" w:hAnsi="Times New Roman"/>
                <w:sz w:val="12"/>
                <w:szCs w:val="12"/>
                <w:color w:val="auto"/>
                <w:w w:val="95"/>
              </w:rPr>
              <w:t>2.7%</w:t>
            </w:r>
          </w:p>
        </w:tc>
        <w:tc>
          <w:tcPr>
            <w:tcW w:w="1140" w:type="dxa"/>
            <w:vAlign w:val="bottom"/>
            <w:tcBorders>
              <w:right w:val="single" w:sz="8" w:color="auto"/>
            </w:tcBorders>
          </w:tcPr>
          <w:p>
            <w:pPr>
              <w:jc w:val="center"/>
              <w:spacing w:after="0" w:line="127" w:lineRule="exact"/>
              <w:rPr>
                <w:sz w:val="20"/>
                <w:szCs w:val="20"/>
                <w:color w:val="auto"/>
              </w:rPr>
            </w:pPr>
            <w:r>
              <w:rPr>
                <w:rFonts w:ascii="Times New Roman" w:cs="Times New Roman" w:eastAsia="Times New Roman" w:hAnsi="Times New Roman"/>
                <w:sz w:val="12"/>
                <w:szCs w:val="12"/>
                <w:color w:val="auto"/>
                <w:w w:val="95"/>
              </w:rPr>
              <w:t>2.4%</w:t>
            </w:r>
          </w:p>
        </w:tc>
        <w:tc>
          <w:tcPr>
            <w:tcW w:w="800" w:type="dxa"/>
            <w:vAlign w:val="bottom"/>
          </w:tcPr>
          <w:p>
            <w:pPr>
              <w:jc w:val="center"/>
              <w:ind w:left="221"/>
              <w:spacing w:after="0" w:line="127" w:lineRule="exact"/>
              <w:rPr>
                <w:sz w:val="20"/>
                <w:szCs w:val="20"/>
                <w:color w:val="auto"/>
              </w:rPr>
            </w:pPr>
            <w:r>
              <w:rPr>
                <w:rFonts w:ascii="Times New Roman" w:cs="Times New Roman" w:eastAsia="Times New Roman" w:hAnsi="Times New Roman"/>
                <w:sz w:val="12"/>
                <w:szCs w:val="12"/>
                <w:color w:val="auto"/>
              </w:rPr>
              <w:t>-29 bps</w:t>
            </w:r>
          </w:p>
        </w:tc>
        <w:tc>
          <w:tcPr>
            <w:tcW w:w="1440" w:type="dxa"/>
            <w:vAlign w:val="bottom"/>
            <w:tcBorders>
              <w:right w:val="single" w:sz="8" w:color="auto"/>
            </w:tcBorders>
          </w:tcPr>
          <w:p>
            <w:pPr>
              <w:jc w:val="center"/>
              <w:ind w:left="221"/>
              <w:spacing w:after="0" w:line="127" w:lineRule="exact"/>
              <w:rPr>
                <w:sz w:val="20"/>
                <w:szCs w:val="20"/>
                <w:color w:val="auto"/>
              </w:rPr>
            </w:pPr>
            <w:r>
              <w:rPr>
                <w:rFonts w:ascii="Times New Roman" w:cs="Times New Roman" w:eastAsia="Times New Roman" w:hAnsi="Times New Roman"/>
                <w:sz w:val="12"/>
                <w:szCs w:val="12"/>
                <w:color w:val="auto"/>
              </w:rPr>
              <w:t>-41 bps</w:t>
            </w:r>
          </w:p>
        </w:tc>
        <w:tc>
          <w:tcPr>
            <w:tcW w:w="220" w:type="dxa"/>
            <w:vAlign w:val="bottom"/>
          </w:tcPr>
          <w:p>
            <w:pPr>
              <w:spacing w:after="0"/>
              <w:rPr>
                <w:sz w:val="11"/>
                <w:szCs w:val="11"/>
                <w:color w:val="auto"/>
              </w:rPr>
            </w:pPr>
          </w:p>
        </w:tc>
      </w:tr>
      <w:tr>
        <w:trPr>
          <w:trHeight w:val="127"/>
        </w:trPr>
        <w:tc>
          <w:tcPr>
            <w:tcW w:w="240" w:type="dxa"/>
            <w:vAlign w:val="bottom"/>
            <w:tcBorders>
              <w:right w:val="single" w:sz="8" w:color="auto"/>
            </w:tcBorders>
          </w:tcPr>
          <w:p>
            <w:pPr>
              <w:spacing w:after="0"/>
              <w:rPr>
                <w:sz w:val="11"/>
                <w:szCs w:val="11"/>
                <w:color w:val="auto"/>
              </w:rPr>
            </w:pPr>
          </w:p>
        </w:tc>
        <w:tc>
          <w:tcPr>
            <w:tcW w:w="3720" w:type="dxa"/>
            <w:vAlign w:val="bottom"/>
          </w:tcPr>
          <w:p>
            <w:pPr>
              <w:ind w:left="100"/>
              <w:spacing w:after="0" w:line="127" w:lineRule="exact"/>
              <w:rPr>
                <w:sz w:val="20"/>
                <w:szCs w:val="20"/>
                <w:color w:val="auto"/>
              </w:rPr>
            </w:pPr>
            <w:r>
              <w:rPr>
                <w:rFonts w:ascii="Times New Roman" w:cs="Times New Roman" w:eastAsia="Times New Roman" w:hAnsi="Times New Roman"/>
                <w:sz w:val="12"/>
                <w:szCs w:val="12"/>
                <w:color w:val="auto"/>
              </w:rPr>
              <w:t>NPL ratio</w:t>
            </w:r>
          </w:p>
        </w:tc>
        <w:tc>
          <w:tcPr>
            <w:tcW w:w="1460" w:type="dxa"/>
            <w:vAlign w:val="bottom"/>
            <w:tcBorders>
              <w:right w:val="single" w:sz="8" w:color="auto"/>
            </w:tcBorders>
          </w:tcPr>
          <w:p>
            <w:pPr>
              <w:spacing w:after="0"/>
              <w:rPr>
                <w:sz w:val="11"/>
                <w:szCs w:val="11"/>
                <w:color w:val="auto"/>
              </w:rPr>
            </w:pPr>
          </w:p>
        </w:tc>
        <w:tc>
          <w:tcPr>
            <w:tcW w:w="1320" w:type="dxa"/>
            <w:vAlign w:val="bottom"/>
          </w:tcPr>
          <w:p>
            <w:pPr>
              <w:jc w:val="center"/>
              <w:ind w:right="161"/>
              <w:spacing w:after="0" w:line="127" w:lineRule="exact"/>
              <w:rPr>
                <w:sz w:val="20"/>
                <w:szCs w:val="20"/>
                <w:color w:val="auto"/>
              </w:rPr>
            </w:pPr>
            <w:r>
              <w:rPr>
                <w:rFonts w:ascii="Times New Roman" w:cs="Times New Roman" w:eastAsia="Times New Roman" w:hAnsi="Times New Roman"/>
                <w:sz w:val="12"/>
                <w:szCs w:val="12"/>
                <w:color w:val="auto"/>
              </w:rPr>
              <w:t>3.5%</w:t>
            </w:r>
          </w:p>
        </w:tc>
        <w:tc>
          <w:tcPr>
            <w:tcW w:w="900" w:type="dxa"/>
            <w:vAlign w:val="bottom"/>
          </w:tcPr>
          <w:p>
            <w:pPr>
              <w:jc w:val="center"/>
              <w:ind w:right="161"/>
              <w:spacing w:after="0" w:line="127" w:lineRule="exact"/>
              <w:rPr>
                <w:sz w:val="20"/>
                <w:szCs w:val="20"/>
                <w:color w:val="auto"/>
              </w:rPr>
            </w:pPr>
            <w:r>
              <w:rPr>
                <w:rFonts w:ascii="Times New Roman" w:cs="Times New Roman" w:eastAsia="Times New Roman" w:hAnsi="Times New Roman"/>
                <w:sz w:val="12"/>
                <w:szCs w:val="12"/>
                <w:color w:val="auto"/>
                <w:w w:val="95"/>
              </w:rPr>
              <w:t>3.7%</w:t>
            </w:r>
          </w:p>
        </w:tc>
        <w:tc>
          <w:tcPr>
            <w:tcW w:w="1140" w:type="dxa"/>
            <w:vAlign w:val="bottom"/>
            <w:tcBorders>
              <w:right w:val="single" w:sz="8" w:color="auto"/>
            </w:tcBorders>
          </w:tcPr>
          <w:p>
            <w:pPr>
              <w:jc w:val="center"/>
              <w:spacing w:after="0" w:line="127" w:lineRule="exact"/>
              <w:rPr>
                <w:sz w:val="20"/>
                <w:szCs w:val="20"/>
                <w:color w:val="auto"/>
              </w:rPr>
            </w:pPr>
            <w:r>
              <w:rPr>
                <w:rFonts w:ascii="Times New Roman" w:cs="Times New Roman" w:eastAsia="Times New Roman" w:hAnsi="Times New Roman"/>
                <w:sz w:val="12"/>
                <w:szCs w:val="12"/>
                <w:color w:val="auto"/>
                <w:w w:val="95"/>
              </w:rPr>
              <w:t>3.4%</w:t>
            </w:r>
          </w:p>
        </w:tc>
        <w:tc>
          <w:tcPr>
            <w:tcW w:w="800" w:type="dxa"/>
            <w:vAlign w:val="bottom"/>
          </w:tcPr>
          <w:p>
            <w:pPr>
              <w:jc w:val="center"/>
              <w:ind w:left="221"/>
              <w:spacing w:after="0" w:line="127" w:lineRule="exact"/>
              <w:rPr>
                <w:sz w:val="20"/>
                <w:szCs w:val="20"/>
                <w:color w:val="auto"/>
              </w:rPr>
            </w:pPr>
            <w:r>
              <w:rPr>
                <w:rFonts w:ascii="Times New Roman" w:cs="Times New Roman" w:eastAsia="Times New Roman" w:hAnsi="Times New Roman"/>
                <w:sz w:val="12"/>
                <w:szCs w:val="12"/>
                <w:color w:val="auto"/>
              </w:rPr>
              <w:t>-25 bps</w:t>
            </w:r>
          </w:p>
        </w:tc>
        <w:tc>
          <w:tcPr>
            <w:tcW w:w="1440" w:type="dxa"/>
            <w:vAlign w:val="bottom"/>
            <w:tcBorders>
              <w:right w:val="single" w:sz="8" w:color="auto"/>
            </w:tcBorders>
          </w:tcPr>
          <w:p>
            <w:pPr>
              <w:jc w:val="center"/>
              <w:ind w:left="221"/>
              <w:spacing w:after="0" w:line="127" w:lineRule="exact"/>
              <w:rPr>
                <w:sz w:val="20"/>
                <w:szCs w:val="20"/>
                <w:color w:val="auto"/>
              </w:rPr>
            </w:pPr>
            <w:r>
              <w:rPr>
                <w:rFonts w:ascii="Times New Roman" w:cs="Times New Roman" w:eastAsia="Times New Roman" w:hAnsi="Times New Roman"/>
                <w:sz w:val="12"/>
                <w:szCs w:val="12"/>
                <w:color w:val="auto"/>
                <w:w w:val="94"/>
              </w:rPr>
              <w:t>-3 bps</w:t>
            </w:r>
          </w:p>
        </w:tc>
        <w:tc>
          <w:tcPr>
            <w:tcW w:w="220" w:type="dxa"/>
            <w:vAlign w:val="bottom"/>
          </w:tcPr>
          <w:p>
            <w:pPr>
              <w:spacing w:after="0"/>
              <w:rPr>
                <w:sz w:val="11"/>
                <w:szCs w:val="11"/>
                <w:color w:val="auto"/>
              </w:rPr>
            </w:pPr>
          </w:p>
        </w:tc>
      </w:tr>
      <w:tr>
        <w:trPr>
          <w:trHeight w:val="127"/>
        </w:trPr>
        <w:tc>
          <w:tcPr>
            <w:tcW w:w="240" w:type="dxa"/>
            <w:vAlign w:val="bottom"/>
            <w:tcBorders>
              <w:right w:val="single" w:sz="8" w:color="auto"/>
            </w:tcBorders>
          </w:tcPr>
          <w:p>
            <w:pPr>
              <w:spacing w:after="0"/>
              <w:rPr>
                <w:sz w:val="11"/>
                <w:szCs w:val="11"/>
                <w:color w:val="auto"/>
              </w:rPr>
            </w:pPr>
          </w:p>
        </w:tc>
        <w:tc>
          <w:tcPr>
            <w:tcW w:w="3720" w:type="dxa"/>
            <w:vAlign w:val="bottom"/>
          </w:tcPr>
          <w:p>
            <w:pPr>
              <w:ind w:left="100"/>
              <w:spacing w:after="0" w:line="127" w:lineRule="exact"/>
              <w:rPr>
                <w:sz w:val="20"/>
                <w:szCs w:val="20"/>
                <w:color w:val="auto"/>
              </w:rPr>
            </w:pPr>
            <w:r>
              <w:rPr>
                <w:rFonts w:ascii="Times New Roman" w:cs="Times New Roman" w:eastAsia="Times New Roman" w:hAnsi="Times New Roman"/>
                <w:sz w:val="12"/>
                <w:szCs w:val="12"/>
                <w:color w:val="auto"/>
              </w:rPr>
              <w:t>Coverage of IOLs</w:t>
            </w:r>
          </w:p>
        </w:tc>
        <w:tc>
          <w:tcPr>
            <w:tcW w:w="1460" w:type="dxa"/>
            <w:vAlign w:val="bottom"/>
            <w:tcBorders>
              <w:right w:val="single" w:sz="8" w:color="auto"/>
            </w:tcBorders>
          </w:tcPr>
          <w:p>
            <w:pPr>
              <w:spacing w:after="0"/>
              <w:rPr>
                <w:sz w:val="11"/>
                <w:szCs w:val="11"/>
                <w:color w:val="auto"/>
              </w:rPr>
            </w:pPr>
          </w:p>
        </w:tc>
        <w:tc>
          <w:tcPr>
            <w:tcW w:w="1320" w:type="dxa"/>
            <w:vAlign w:val="bottom"/>
          </w:tcPr>
          <w:p>
            <w:pPr>
              <w:jc w:val="center"/>
              <w:ind w:right="141"/>
              <w:spacing w:after="0" w:line="127" w:lineRule="exact"/>
              <w:rPr>
                <w:sz w:val="20"/>
                <w:szCs w:val="20"/>
                <w:color w:val="auto"/>
              </w:rPr>
            </w:pPr>
            <w:r>
              <w:rPr>
                <w:rFonts w:ascii="Times New Roman" w:cs="Times New Roman" w:eastAsia="Times New Roman" w:hAnsi="Times New Roman"/>
                <w:sz w:val="12"/>
                <w:szCs w:val="12"/>
                <w:color w:val="auto"/>
                <w:w w:val="97"/>
              </w:rPr>
              <w:t>129.9%</w:t>
            </w:r>
          </w:p>
        </w:tc>
        <w:tc>
          <w:tcPr>
            <w:tcW w:w="900" w:type="dxa"/>
            <w:vAlign w:val="bottom"/>
          </w:tcPr>
          <w:p>
            <w:pPr>
              <w:jc w:val="center"/>
              <w:ind w:right="161"/>
              <w:spacing w:after="0" w:line="127" w:lineRule="exact"/>
              <w:rPr>
                <w:sz w:val="20"/>
                <w:szCs w:val="20"/>
                <w:color w:val="auto"/>
              </w:rPr>
            </w:pPr>
            <w:r>
              <w:rPr>
                <w:rFonts w:ascii="Times New Roman" w:cs="Times New Roman" w:eastAsia="Times New Roman" w:hAnsi="Times New Roman"/>
                <w:sz w:val="12"/>
                <w:szCs w:val="12"/>
                <w:color w:val="auto"/>
                <w:w w:val="97"/>
              </w:rPr>
              <w:t>126.1%</w:t>
            </w:r>
          </w:p>
        </w:tc>
        <w:tc>
          <w:tcPr>
            <w:tcW w:w="1140" w:type="dxa"/>
            <w:vAlign w:val="bottom"/>
            <w:tcBorders>
              <w:right w:val="single" w:sz="8" w:color="auto"/>
            </w:tcBorders>
          </w:tcPr>
          <w:p>
            <w:pPr>
              <w:jc w:val="center"/>
              <w:spacing w:after="0" w:line="127" w:lineRule="exact"/>
              <w:rPr>
                <w:sz w:val="20"/>
                <w:szCs w:val="20"/>
                <w:color w:val="auto"/>
              </w:rPr>
            </w:pPr>
            <w:r>
              <w:rPr>
                <w:rFonts w:ascii="Times New Roman" w:cs="Times New Roman" w:eastAsia="Times New Roman" w:hAnsi="Times New Roman"/>
                <w:sz w:val="12"/>
                <w:szCs w:val="12"/>
                <w:color w:val="auto"/>
                <w:w w:val="97"/>
              </w:rPr>
              <w:t>143.8%</w:t>
            </w:r>
          </w:p>
        </w:tc>
        <w:tc>
          <w:tcPr>
            <w:tcW w:w="800" w:type="dxa"/>
            <w:vAlign w:val="bottom"/>
          </w:tcPr>
          <w:p>
            <w:pPr>
              <w:jc w:val="center"/>
              <w:ind w:left="221"/>
              <w:spacing w:after="0" w:line="127" w:lineRule="exact"/>
              <w:rPr>
                <w:sz w:val="20"/>
                <w:szCs w:val="20"/>
                <w:color w:val="auto"/>
              </w:rPr>
            </w:pPr>
            <w:r>
              <w:rPr>
                <w:rFonts w:ascii="Times New Roman" w:cs="Times New Roman" w:eastAsia="Times New Roman" w:hAnsi="Times New Roman"/>
                <w:sz w:val="12"/>
                <w:szCs w:val="12"/>
                <w:color w:val="auto"/>
              </w:rPr>
              <w:t>1770 bps</w:t>
            </w:r>
          </w:p>
        </w:tc>
        <w:tc>
          <w:tcPr>
            <w:tcW w:w="1440" w:type="dxa"/>
            <w:vAlign w:val="bottom"/>
            <w:tcBorders>
              <w:right w:val="single" w:sz="8" w:color="auto"/>
            </w:tcBorders>
          </w:tcPr>
          <w:p>
            <w:pPr>
              <w:jc w:val="center"/>
              <w:ind w:left="221"/>
              <w:spacing w:after="0" w:line="127" w:lineRule="exact"/>
              <w:rPr>
                <w:sz w:val="20"/>
                <w:szCs w:val="20"/>
                <w:color w:val="auto"/>
              </w:rPr>
            </w:pPr>
            <w:r>
              <w:rPr>
                <w:rFonts w:ascii="Times New Roman" w:cs="Times New Roman" w:eastAsia="Times New Roman" w:hAnsi="Times New Roman"/>
                <w:sz w:val="12"/>
                <w:szCs w:val="12"/>
                <w:color w:val="auto"/>
              </w:rPr>
              <w:t>1394 bps</w:t>
            </w:r>
          </w:p>
        </w:tc>
        <w:tc>
          <w:tcPr>
            <w:tcW w:w="220" w:type="dxa"/>
            <w:vAlign w:val="bottom"/>
          </w:tcPr>
          <w:p>
            <w:pPr>
              <w:spacing w:after="0"/>
              <w:rPr>
                <w:sz w:val="11"/>
                <w:szCs w:val="11"/>
                <w:color w:val="auto"/>
              </w:rPr>
            </w:pPr>
          </w:p>
        </w:tc>
      </w:tr>
      <w:tr>
        <w:trPr>
          <w:trHeight w:val="127"/>
        </w:trPr>
        <w:tc>
          <w:tcPr>
            <w:tcW w:w="240" w:type="dxa"/>
            <w:vAlign w:val="bottom"/>
            <w:tcBorders>
              <w:right w:val="single" w:sz="8" w:color="auto"/>
            </w:tcBorders>
          </w:tcPr>
          <w:p>
            <w:pPr>
              <w:spacing w:after="0"/>
              <w:rPr>
                <w:sz w:val="11"/>
                <w:szCs w:val="11"/>
                <w:color w:val="auto"/>
              </w:rPr>
            </w:pPr>
          </w:p>
        </w:tc>
        <w:tc>
          <w:tcPr>
            <w:tcW w:w="3720" w:type="dxa"/>
            <w:vAlign w:val="bottom"/>
          </w:tcPr>
          <w:p>
            <w:pPr>
              <w:ind w:left="100"/>
              <w:spacing w:after="0" w:line="127" w:lineRule="exact"/>
              <w:rPr>
                <w:sz w:val="20"/>
                <w:szCs w:val="20"/>
                <w:color w:val="auto"/>
              </w:rPr>
            </w:pPr>
            <w:r>
              <w:rPr>
                <w:rFonts w:ascii="Times New Roman" w:cs="Times New Roman" w:eastAsia="Times New Roman" w:hAnsi="Times New Roman"/>
                <w:sz w:val="12"/>
                <w:szCs w:val="12"/>
                <w:color w:val="auto"/>
              </w:rPr>
              <w:t>Coverage of NPLs</w:t>
            </w:r>
          </w:p>
        </w:tc>
        <w:tc>
          <w:tcPr>
            <w:tcW w:w="1460" w:type="dxa"/>
            <w:vAlign w:val="bottom"/>
            <w:tcBorders>
              <w:right w:val="single" w:sz="8" w:color="auto"/>
            </w:tcBorders>
          </w:tcPr>
          <w:p>
            <w:pPr>
              <w:spacing w:after="0"/>
              <w:rPr>
                <w:sz w:val="11"/>
                <w:szCs w:val="11"/>
                <w:color w:val="auto"/>
              </w:rPr>
            </w:pPr>
          </w:p>
        </w:tc>
        <w:tc>
          <w:tcPr>
            <w:tcW w:w="1320" w:type="dxa"/>
            <w:vAlign w:val="bottom"/>
          </w:tcPr>
          <w:p>
            <w:pPr>
              <w:jc w:val="center"/>
              <w:ind w:right="141"/>
              <w:spacing w:after="0" w:line="127" w:lineRule="exact"/>
              <w:rPr>
                <w:sz w:val="20"/>
                <w:szCs w:val="20"/>
                <w:color w:val="auto"/>
              </w:rPr>
            </w:pPr>
            <w:r>
              <w:rPr>
                <w:rFonts w:ascii="Times New Roman" w:cs="Times New Roman" w:eastAsia="Times New Roman" w:hAnsi="Times New Roman"/>
                <w:sz w:val="12"/>
                <w:szCs w:val="12"/>
                <w:color w:val="auto"/>
                <w:w w:val="97"/>
              </w:rPr>
              <w:t>103.6%</w:t>
            </w:r>
          </w:p>
        </w:tc>
        <w:tc>
          <w:tcPr>
            <w:tcW w:w="900" w:type="dxa"/>
            <w:vAlign w:val="bottom"/>
          </w:tcPr>
          <w:p>
            <w:pPr>
              <w:jc w:val="center"/>
              <w:ind w:right="141"/>
              <w:spacing w:after="0" w:line="127" w:lineRule="exact"/>
              <w:rPr>
                <w:sz w:val="20"/>
                <w:szCs w:val="20"/>
                <w:color w:val="auto"/>
              </w:rPr>
            </w:pPr>
            <w:r>
              <w:rPr>
                <w:rFonts w:ascii="Times New Roman" w:cs="Times New Roman" w:eastAsia="Times New Roman" w:hAnsi="Times New Roman"/>
                <w:sz w:val="12"/>
                <w:szCs w:val="12"/>
                <w:color w:val="auto"/>
                <w:w w:val="96"/>
              </w:rPr>
              <w:t>90.6%</w:t>
            </w:r>
          </w:p>
        </w:tc>
        <w:tc>
          <w:tcPr>
            <w:tcW w:w="1140" w:type="dxa"/>
            <w:vAlign w:val="bottom"/>
            <w:tcBorders>
              <w:right w:val="single" w:sz="8" w:color="auto"/>
            </w:tcBorders>
          </w:tcPr>
          <w:p>
            <w:pPr>
              <w:jc w:val="center"/>
              <w:spacing w:after="0" w:line="127" w:lineRule="exact"/>
              <w:rPr>
                <w:sz w:val="20"/>
                <w:szCs w:val="20"/>
                <w:color w:val="auto"/>
              </w:rPr>
            </w:pPr>
            <w:r>
              <w:rPr>
                <w:rFonts w:ascii="Times New Roman" w:cs="Times New Roman" w:eastAsia="Times New Roman" w:hAnsi="Times New Roman"/>
                <w:sz w:val="12"/>
                <w:szCs w:val="12"/>
                <w:color w:val="auto"/>
              </w:rPr>
              <w:t>98.8%</w:t>
            </w:r>
          </w:p>
        </w:tc>
        <w:tc>
          <w:tcPr>
            <w:tcW w:w="800" w:type="dxa"/>
            <w:vAlign w:val="bottom"/>
          </w:tcPr>
          <w:p>
            <w:pPr>
              <w:jc w:val="center"/>
              <w:ind w:left="221"/>
              <w:spacing w:after="0" w:line="127" w:lineRule="exact"/>
              <w:rPr>
                <w:sz w:val="20"/>
                <w:szCs w:val="20"/>
                <w:color w:val="auto"/>
              </w:rPr>
            </w:pPr>
            <w:r>
              <w:rPr>
                <w:rFonts w:ascii="Times New Roman" w:cs="Times New Roman" w:eastAsia="Times New Roman" w:hAnsi="Times New Roman"/>
                <w:sz w:val="12"/>
                <w:szCs w:val="12"/>
                <w:color w:val="auto"/>
                <w:w w:val="95"/>
              </w:rPr>
              <w:t>814 bps</w:t>
            </w:r>
          </w:p>
        </w:tc>
        <w:tc>
          <w:tcPr>
            <w:tcW w:w="1440" w:type="dxa"/>
            <w:vAlign w:val="bottom"/>
            <w:tcBorders>
              <w:right w:val="single" w:sz="8" w:color="auto"/>
            </w:tcBorders>
          </w:tcPr>
          <w:p>
            <w:pPr>
              <w:jc w:val="center"/>
              <w:ind w:left="221"/>
              <w:spacing w:after="0" w:line="127" w:lineRule="exact"/>
              <w:rPr>
                <w:sz w:val="20"/>
                <w:szCs w:val="20"/>
                <w:color w:val="auto"/>
              </w:rPr>
            </w:pPr>
            <w:r>
              <w:rPr>
                <w:rFonts w:ascii="Times New Roman" w:cs="Times New Roman" w:eastAsia="Times New Roman" w:hAnsi="Times New Roman"/>
                <w:sz w:val="12"/>
                <w:szCs w:val="12"/>
                <w:color w:val="auto"/>
                <w:w w:val="95"/>
              </w:rPr>
              <w:t>-481 bps</w:t>
            </w:r>
          </w:p>
        </w:tc>
        <w:tc>
          <w:tcPr>
            <w:tcW w:w="220" w:type="dxa"/>
            <w:vAlign w:val="bottom"/>
          </w:tcPr>
          <w:p>
            <w:pPr>
              <w:spacing w:after="0"/>
              <w:rPr>
                <w:sz w:val="11"/>
                <w:szCs w:val="11"/>
                <w:color w:val="auto"/>
              </w:rPr>
            </w:pPr>
          </w:p>
        </w:tc>
      </w:tr>
      <w:tr>
        <w:trPr>
          <w:trHeight w:val="127"/>
        </w:trPr>
        <w:tc>
          <w:tcPr>
            <w:tcW w:w="240" w:type="dxa"/>
            <w:vAlign w:val="bottom"/>
            <w:tcBorders>
              <w:right w:val="single" w:sz="8" w:color="auto"/>
            </w:tcBorders>
          </w:tcPr>
          <w:p>
            <w:pPr>
              <w:spacing w:after="0"/>
              <w:rPr>
                <w:sz w:val="11"/>
                <w:szCs w:val="11"/>
                <w:color w:val="auto"/>
              </w:rPr>
            </w:pPr>
          </w:p>
        </w:tc>
        <w:tc>
          <w:tcPr>
            <w:tcW w:w="3720" w:type="dxa"/>
            <w:vAlign w:val="bottom"/>
          </w:tcPr>
          <w:p>
            <w:pPr>
              <w:ind w:left="100"/>
              <w:spacing w:after="0" w:line="127" w:lineRule="exact"/>
              <w:rPr>
                <w:sz w:val="20"/>
                <w:szCs w:val="20"/>
                <w:color w:val="auto"/>
              </w:rPr>
            </w:pPr>
            <w:r>
              <w:rPr>
                <w:rFonts w:ascii="Times New Roman" w:cs="Times New Roman" w:eastAsia="Times New Roman" w:hAnsi="Times New Roman"/>
                <w:sz w:val="12"/>
                <w:szCs w:val="12"/>
                <w:color w:val="auto"/>
              </w:rPr>
              <w:t>Branches</w:t>
            </w:r>
          </w:p>
        </w:tc>
        <w:tc>
          <w:tcPr>
            <w:tcW w:w="1460" w:type="dxa"/>
            <w:vAlign w:val="bottom"/>
            <w:tcBorders>
              <w:right w:val="single" w:sz="8" w:color="auto"/>
            </w:tcBorders>
          </w:tcPr>
          <w:p>
            <w:pPr>
              <w:spacing w:after="0"/>
              <w:rPr>
                <w:sz w:val="11"/>
                <w:szCs w:val="11"/>
                <w:color w:val="auto"/>
              </w:rPr>
            </w:pPr>
          </w:p>
        </w:tc>
        <w:tc>
          <w:tcPr>
            <w:tcW w:w="1320" w:type="dxa"/>
            <w:vAlign w:val="bottom"/>
          </w:tcPr>
          <w:p>
            <w:pPr>
              <w:jc w:val="center"/>
              <w:ind w:right="141"/>
              <w:spacing w:after="0" w:line="127" w:lineRule="exact"/>
              <w:rPr>
                <w:sz w:val="20"/>
                <w:szCs w:val="20"/>
                <w:color w:val="auto"/>
              </w:rPr>
            </w:pPr>
            <w:r>
              <w:rPr>
                <w:rFonts w:ascii="Times New Roman" w:cs="Times New Roman" w:eastAsia="Times New Roman" w:hAnsi="Times New Roman"/>
                <w:sz w:val="12"/>
                <w:szCs w:val="12"/>
                <w:color w:val="auto"/>
                <w:w w:val="99"/>
              </w:rPr>
              <w:t>46</w:t>
            </w:r>
          </w:p>
        </w:tc>
        <w:tc>
          <w:tcPr>
            <w:tcW w:w="900" w:type="dxa"/>
            <w:vAlign w:val="bottom"/>
          </w:tcPr>
          <w:p>
            <w:pPr>
              <w:jc w:val="center"/>
              <w:ind w:right="161"/>
              <w:spacing w:after="0" w:line="127" w:lineRule="exact"/>
              <w:rPr>
                <w:sz w:val="20"/>
                <w:szCs w:val="20"/>
                <w:color w:val="auto"/>
              </w:rPr>
            </w:pPr>
            <w:r>
              <w:rPr>
                <w:rFonts w:ascii="Times New Roman" w:cs="Times New Roman" w:eastAsia="Times New Roman" w:hAnsi="Times New Roman"/>
                <w:sz w:val="12"/>
                <w:szCs w:val="12"/>
                <w:color w:val="auto"/>
                <w:w w:val="99"/>
              </w:rPr>
              <w:t>46</w:t>
            </w:r>
          </w:p>
        </w:tc>
        <w:tc>
          <w:tcPr>
            <w:tcW w:w="1140" w:type="dxa"/>
            <w:vAlign w:val="bottom"/>
            <w:tcBorders>
              <w:right w:val="single" w:sz="8" w:color="auto"/>
            </w:tcBorders>
          </w:tcPr>
          <w:p>
            <w:pPr>
              <w:jc w:val="center"/>
              <w:spacing w:after="0" w:line="127" w:lineRule="exact"/>
              <w:rPr>
                <w:sz w:val="20"/>
                <w:szCs w:val="20"/>
                <w:color w:val="auto"/>
              </w:rPr>
            </w:pPr>
            <w:r>
              <w:rPr>
                <w:rFonts w:ascii="Times New Roman" w:cs="Times New Roman" w:eastAsia="Times New Roman" w:hAnsi="Times New Roman"/>
                <w:sz w:val="12"/>
                <w:szCs w:val="12"/>
                <w:color w:val="auto"/>
                <w:w w:val="99"/>
              </w:rPr>
              <w:t>46</w:t>
            </w:r>
          </w:p>
        </w:tc>
        <w:tc>
          <w:tcPr>
            <w:tcW w:w="800" w:type="dxa"/>
            <w:vAlign w:val="bottom"/>
          </w:tcPr>
          <w:p>
            <w:pPr>
              <w:jc w:val="center"/>
              <w:ind w:left="221"/>
              <w:spacing w:after="0" w:line="127" w:lineRule="exact"/>
              <w:rPr>
                <w:sz w:val="20"/>
                <w:szCs w:val="20"/>
                <w:color w:val="auto"/>
              </w:rPr>
            </w:pPr>
            <w:r>
              <w:rPr>
                <w:rFonts w:ascii="Times New Roman" w:cs="Times New Roman" w:eastAsia="Times New Roman" w:hAnsi="Times New Roman"/>
                <w:sz w:val="12"/>
                <w:szCs w:val="12"/>
                <w:color w:val="auto"/>
                <w:w w:val="98"/>
              </w:rPr>
              <w:t>-</w:t>
            </w:r>
          </w:p>
        </w:tc>
        <w:tc>
          <w:tcPr>
            <w:tcW w:w="1440" w:type="dxa"/>
            <w:vAlign w:val="bottom"/>
            <w:tcBorders>
              <w:right w:val="single" w:sz="8" w:color="auto"/>
            </w:tcBorders>
          </w:tcPr>
          <w:p>
            <w:pPr>
              <w:jc w:val="center"/>
              <w:ind w:left="221"/>
              <w:spacing w:after="0" w:line="127" w:lineRule="exact"/>
              <w:rPr>
                <w:sz w:val="20"/>
                <w:szCs w:val="20"/>
                <w:color w:val="auto"/>
              </w:rPr>
            </w:pPr>
            <w:r>
              <w:rPr>
                <w:rFonts w:ascii="Times New Roman" w:cs="Times New Roman" w:eastAsia="Times New Roman" w:hAnsi="Times New Roman"/>
                <w:sz w:val="12"/>
                <w:szCs w:val="12"/>
                <w:color w:val="auto"/>
                <w:w w:val="98"/>
              </w:rPr>
              <w:t>-</w:t>
            </w:r>
          </w:p>
        </w:tc>
        <w:tc>
          <w:tcPr>
            <w:tcW w:w="220" w:type="dxa"/>
            <w:vAlign w:val="bottom"/>
          </w:tcPr>
          <w:p>
            <w:pPr>
              <w:spacing w:after="0"/>
              <w:rPr>
                <w:sz w:val="11"/>
                <w:szCs w:val="11"/>
                <w:color w:val="auto"/>
              </w:rPr>
            </w:pPr>
          </w:p>
        </w:tc>
      </w:tr>
      <w:tr>
        <w:trPr>
          <w:trHeight w:val="127"/>
        </w:trPr>
        <w:tc>
          <w:tcPr>
            <w:tcW w:w="240" w:type="dxa"/>
            <w:vAlign w:val="bottom"/>
            <w:tcBorders>
              <w:right w:val="single" w:sz="8" w:color="auto"/>
            </w:tcBorders>
          </w:tcPr>
          <w:p>
            <w:pPr>
              <w:spacing w:after="0"/>
              <w:rPr>
                <w:sz w:val="11"/>
                <w:szCs w:val="11"/>
                <w:color w:val="auto"/>
              </w:rPr>
            </w:pPr>
          </w:p>
        </w:tc>
        <w:tc>
          <w:tcPr>
            <w:tcW w:w="3720" w:type="dxa"/>
            <w:vAlign w:val="bottom"/>
          </w:tcPr>
          <w:p>
            <w:pPr>
              <w:ind w:left="100"/>
              <w:spacing w:after="0" w:line="127" w:lineRule="exact"/>
              <w:rPr>
                <w:sz w:val="20"/>
                <w:szCs w:val="20"/>
                <w:color w:val="auto"/>
              </w:rPr>
            </w:pPr>
            <w:r>
              <w:rPr>
                <w:rFonts w:ascii="Times New Roman" w:cs="Times New Roman" w:eastAsia="Times New Roman" w:hAnsi="Times New Roman"/>
                <w:sz w:val="12"/>
                <w:szCs w:val="12"/>
                <w:color w:val="auto"/>
              </w:rPr>
              <w:t>Agentes</w:t>
            </w:r>
          </w:p>
        </w:tc>
        <w:tc>
          <w:tcPr>
            <w:tcW w:w="1460" w:type="dxa"/>
            <w:vAlign w:val="bottom"/>
            <w:tcBorders>
              <w:right w:val="single" w:sz="8" w:color="auto"/>
            </w:tcBorders>
          </w:tcPr>
          <w:p>
            <w:pPr>
              <w:spacing w:after="0"/>
              <w:rPr>
                <w:sz w:val="11"/>
                <w:szCs w:val="11"/>
                <w:color w:val="auto"/>
              </w:rPr>
            </w:pPr>
          </w:p>
        </w:tc>
        <w:tc>
          <w:tcPr>
            <w:tcW w:w="1320" w:type="dxa"/>
            <w:vAlign w:val="bottom"/>
          </w:tcPr>
          <w:p>
            <w:pPr>
              <w:jc w:val="center"/>
              <w:ind w:right="161"/>
              <w:spacing w:after="0" w:line="127" w:lineRule="exact"/>
              <w:rPr>
                <w:sz w:val="20"/>
                <w:szCs w:val="20"/>
                <w:color w:val="auto"/>
              </w:rPr>
            </w:pPr>
            <w:r>
              <w:rPr>
                <w:rFonts w:ascii="Times New Roman" w:cs="Times New Roman" w:eastAsia="Times New Roman" w:hAnsi="Times New Roman"/>
                <w:sz w:val="12"/>
                <w:szCs w:val="12"/>
                <w:color w:val="auto"/>
                <w:w w:val="96"/>
              </w:rPr>
              <w:t>1,848</w:t>
            </w:r>
          </w:p>
        </w:tc>
        <w:tc>
          <w:tcPr>
            <w:tcW w:w="900" w:type="dxa"/>
            <w:vAlign w:val="bottom"/>
          </w:tcPr>
          <w:p>
            <w:pPr>
              <w:jc w:val="center"/>
              <w:ind w:right="141"/>
              <w:spacing w:after="0" w:line="127" w:lineRule="exact"/>
              <w:rPr>
                <w:sz w:val="20"/>
                <w:szCs w:val="20"/>
                <w:color w:val="auto"/>
              </w:rPr>
            </w:pPr>
            <w:r>
              <w:rPr>
                <w:rFonts w:ascii="Times New Roman" w:cs="Times New Roman" w:eastAsia="Times New Roman" w:hAnsi="Times New Roman"/>
                <w:sz w:val="12"/>
                <w:szCs w:val="12"/>
                <w:color w:val="auto"/>
                <w:w w:val="96"/>
              </w:rPr>
              <w:t>2,501</w:t>
            </w:r>
          </w:p>
        </w:tc>
        <w:tc>
          <w:tcPr>
            <w:tcW w:w="1140" w:type="dxa"/>
            <w:vAlign w:val="bottom"/>
            <w:tcBorders>
              <w:right w:val="single" w:sz="8" w:color="auto"/>
            </w:tcBorders>
          </w:tcPr>
          <w:p>
            <w:pPr>
              <w:jc w:val="center"/>
              <w:spacing w:after="0" w:line="127" w:lineRule="exact"/>
              <w:rPr>
                <w:sz w:val="20"/>
                <w:szCs w:val="20"/>
                <w:color w:val="auto"/>
              </w:rPr>
            </w:pPr>
            <w:r>
              <w:rPr>
                <w:rFonts w:ascii="Times New Roman" w:cs="Times New Roman" w:eastAsia="Times New Roman" w:hAnsi="Times New Roman"/>
                <w:sz w:val="12"/>
                <w:szCs w:val="12"/>
                <w:color w:val="auto"/>
              </w:rPr>
              <w:t>2,449</w:t>
            </w:r>
          </w:p>
        </w:tc>
        <w:tc>
          <w:tcPr>
            <w:tcW w:w="800" w:type="dxa"/>
            <w:vAlign w:val="bottom"/>
          </w:tcPr>
          <w:p>
            <w:pPr>
              <w:jc w:val="center"/>
              <w:ind w:left="221"/>
              <w:spacing w:after="0" w:line="127" w:lineRule="exact"/>
              <w:rPr>
                <w:sz w:val="20"/>
                <w:szCs w:val="20"/>
                <w:color w:val="auto"/>
              </w:rPr>
            </w:pPr>
            <w:r>
              <w:rPr>
                <w:rFonts w:ascii="Times New Roman" w:cs="Times New Roman" w:eastAsia="Times New Roman" w:hAnsi="Times New Roman"/>
                <w:sz w:val="12"/>
                <w:szCs w:val="12"/>
                <w:color w:val="auto"/>
                <w:w w:val="99"/>
              </w:rPr>
              <w:t>-52</w:t>
            </w:r>
          </w:p>
        </w:tc>
        <w:tc>
          <w:tcPr>
            <w:tcW w:w="1440" w:type="dxa"/>
            <w:vAlign w:val="bottom"/>
            <w:tcBorders>
              <w:right w:val="single" w:sz="8" w:color="auto"/>
            </w:tcBorders>
          </w:tcPr>
          <w:p>
            <w:pPr>
              <w:jc w:val="center"/>
              <w:ind w:left="221"/>
              <w:spacing w:after="0" w:line="127" w:lineRule="exact"/>
              <w:rPr>
                <w:sz w:val="20"/>
                <w:szCs w:val="20"/>
                <w:color w:val="auto"/>
              </w:rPr>
            </w:pPr>
            <w:r>
              <w:rPr>
                <w:rFonts w:ascii="Times New Roman" w:cs="Times New Roman" w:eastAsia="Times New Roman" w:hAnsi="Times New Roman"/>
                <w:sz w:val="12"/>
                <w:szCs w:val="12"/>
                <w:color w:val="auto"/>
                <w:w w:val="88"/>
              </w:rPr>
              <w:t>601</w:t>
            </w:r>
          </w:p>
        </w:tc>
        <w:tc>
          <w:tcPr>
            <w:tcW w:w="220" w:type="dxa"/>
            <w:vAlign w:val="bottom"/>
          </w:tcPr>
          <w:p>
            <w:pPr>
              <w:spacing w:after="0"/>
              <w:rPr>
                <w:sz w:val="11"/>
                <w:szCs w:val="11"/>
                <w:color w:val="auto"/>
              </w:rPr>
            </w:pPr>
          </w:p>
        </w:tc>
      </w:tr>
      <w:tr>
        <w:trPr>
          <w:trHeight w:val="125"/>
        </w:trPr>
        <w:tc>
          <w:tcPr>
            <w:tcW w:w="240" w:type="dxa"/>
            <w:vAlign w:val="bottom"/>
            <w:tcBorders>
              <w:right w:val="single" w:sz="8" w:color="auto"/>
            </w:tcBorders>
          </w:tcPr>
          <w:p>
            <w:pPr>
              <w:spacing w:after="0"/>
              <w:rPr>
                <w:sz w:val="10"/>
                <w:szCs w:val="10"/>
                <w:color w:val="auto"/>
              </w:rPr>
            </w:pPr>
          </w:p>
        </w:tc>
        <w:tc>
          <w:tcPr>
            <w:tcW w:w="3720" w:type="dxa"/>
            <w:vAlign w:val="bottom"/>
          </w:tcPr>
          <w:p>
            <w:pPr>
              <w:ind w:left="100"/>
              <w:spacing w:after="0" w:line="125" w:lineRule="exact"/>
              <w:rPr>
                <w:sz w:val="20"/>
                <w:szCs w:val="20"/>
                <w:color w:val="auto"/>
              </w:rPr>
            </w:pPr>
            <w:r>
              <w:rPr>
                <w:rFonts w:ascii="Times New Roman" w:cs="Times New Roman" w:eastAsia="Times New Roman" w:hAnsi="Times New Roman"/>
                <w:sz w:val="12"/>
                <w:szCs w:val="12"/>
                <w:color w:val="auto"/>
              </w:rPr>
              <w:t>ATMs</w:t>
            </w:r>
          </w:p>
        </w:tc>
        <w:tc>
          <w:tcPr>
            <w:tcW w:w="1460" w:type="dxa"/>
            <w:vAlign w:val="bottom"/>
            <w:tcBorders>
              <w:right w:val="single" w:sz="8" w:color="auto"/>
            </w:tcBorders>
          </w:tcPr>
          <w:p>
            <w:pPr>
              <w:spacing w:after="0"/>
              <w:rPr>
                <w:sz w:val="10"/>
                <w:szCs w:val="10"/>
                <w:color w:val="auto"/>
              </w:rPr>
            </w:pPr>
          </w:p>
        </w:tc>
        <w:tc>
          <w:tcPr>
            <w:tcW w:w="1320" w:type="dxa"/>
            <w:vAlign w:val="bottom"/>
          </w:tcPr>
          <w:p>
            <w:pPr>
              <w:jc w:val="center"/>
              <w:ind w:right="161"/>
              <w:spacing w:after="0" w:line="125" w:lineRule="exact"/>
              <w:rPr>
                <w:sz w:val="20"/>
                <w:szCs w:val="20"/>
                <w:color w:val="auto"/>
              </w:rPr>
            </w:pPr>
            <w:r>
              <w:rPr>
                <w:rFonts w:ascii="Times New Roman" w:cs="Times New Roman" w:eastAsia="Times New Roman" w:hAnsi="Times New Roman"/>
                <w:sz w:val="12"/>
                <w:szCs w:val="12"/>
                <w:color w:val="auto"/>
                <w:w w:val="99"/>
              </w:rPr>
              <w:t>314</w:t>
            </w:r>
          </w:p>
        </w:tc>
        <w:tc>
          <w:tcPr>
            <w:tcW w:w="900" w:type="dxa"/>
            <w:vAlign w:val="bottom"/>
          </w:tcPr>
          <w:p>
            <w:pPr>
              <w:jc w:val="center"/>
              <w:ind w:right="141"/>
              <w:spacing w:after="0" w:line="125" w:lineRule="exact"/>
              <w:rPr>
                <w:sz w:val="20"/>
                <w:szCs w:val="20"/>
                <w:color w:val="auto"/>
              </w:rPr>
            </w:pPr>
            <w:r>
              <w:rPr>
                <w:rFonts w:ascii="Times New Roman" w:cs="Times New Roman" w:eastAsia="Times New Roman" w:hAnsi="Times New Roman"/>
                <w:sz w:val="12"/>
                <w:szCs w:val="12"/>
                <w:color w:val="auto"/>
                <w:w w:val="99"/>
              </w:rPr>
              <w:t>316</w:t>
            </w:r>
          </w:p>
        </w:tc>
        <w:tc>
          <w:tcPr>
            <w:tcW w:w="1140" w:type="dxa"/>
            <w:vAlign w:val="bottom"/>
            <w:tcBorders>
              <w:right w:val="single" w:sz="8" w:color="auto"/>
            </w:tcBorders>
          </w:tcPr>
          <w:p>
            <w:pPr>
              <w:jc w:val="center"/>
              <w:spacing w:after="0" w:line="125" w:lineRule="exact"/>
              <w:rPr>
                <w:sz w:val="20"/>
                <w:szCs w:val="20"/>
                <w:color w:val="auto"/>
              </w:rPr>
            </w:pPr>
            <w:r>
              <w:rPr>
                <w:rFonts w:ascii="Times New Roman" w:cs="Times New Roman" w:eastAsia="Times New Roman" w:hAnsi="Times New Roman"/>
                <w:sz w:val="12"/>
                <w:szCs w:val="12"/>
                <w:color w:val="auto"/>
                <w:w w:val="88"/>
              </w:rPr>
              <w:t>316</w:t>
            </w:r>
          </w:p>
        </w:tc>
        <w:tc>
          <w:tcPr>
            <w:tcW w:w="800" w:type="dxa"/>
            <w:vAlign w:val="bottom"/>
          </w:tcPr>
          <w:p>
            <w:pPr>
              <w:jc w:val="center"/>
              <w:ind w:left="221"/>
              <w:spacing w:after="0" w:line="125" w:lineRule="exact"/>
              <w:rPr>
                <w:sz w:val="20"/>
                <w:szCs w:val="20"/>
                <w:color w:val="auto"/>
              </w:rPr>
            </w:pPr>
            <w:r>
              <w:rPr>
                <w:rFonts w:ascii="Times New Roman" w:cs="Times New Roman" w:eastAsia="Times New Roman" w:hAnsi="Times New Roman"/>
                <w:sz w:val="12"/>
                <w:szCs w:val="12"/>
                <w:color w:val="auto"/>
                <w:w w:val="98"/>
              </w:rPr>
              <w:t>-</w:t>
            </w:r>
          </w:p>
        </w:tc>
        <w:tc>
          <w:tcPr>
            <w:tcW w:w="1440" w:type="dxa"/>
            <w:vAlign w:val="bottom"/>
            <w:tcBorders>
              <w:right w:val="single" w:sz="8" w:color="auto"/>
            </w:tcBorders>
          </w:tcPr>
          <w:p>
            <w:pPr>
              <w:jc w:val="center"/>
              <w:ind w:left="241"/>
              <w:spacing w:after="0" w:line="125" w:lineRule="exact"/>
              <w:rPr>
                <w:sz w:val="20"/>
                <w:szCs w:val="20"/>
                <w:color w:val="auto"/>
              </w:rPr>
            </w:pPr>
            <w:r>
              <w:rPr>
                <w:rFonts w:ascii="Times New Roman" w:cs="Times New Roman" w:eastAsia="Times New Roman" w:hAnsi="Times New Roman"/>
                <w:sz w:val="12"/>
                <w:szCs w:val="12"/>
                <w:color w:val="auto"/>
                <w:w w:val="99"/>
              </w:rPr>
              <w:t>2</w:t>
            </w:r>
          </w:p>
        </w:tc>
        <w:tc>
          <w:tcPr>
            <w:tcW w:w="220" w:type="dxa"/>
            <w:vAlign w:val="bottom"/>
          </w:tcPr>
          <w:p>
            <w:pPr>
              <w:spacing w:after="0"/>
              <w:rPr>
                <w:sz w:val="10"/>
                <w:szCs w:val="10"/>
                <w:color w:val="auto"/>
              </w:rPr>
            </w:pPr>
          </w:p>
        </w:tc>
      </w:tr>
      <w:tr>
        <w:trPr>
          <w:trHeight w:val="145"/>
        </w:trPr>
        <w:tc>
          <w:tcPr>
            <w:tcW w:w="240" w:type="dxa"/>
            <w:vAlign w:val="bottom"/>
            <w:tcBorders>
              <w:right w:val="single" w:sz="8" w:color="auto"/>
            </w:tcBorders>
          </w:tcPr>
          <w:p>
            <w:pPr>
              <w:spacing w:after="0"/>
              <w:rPr>
                <w:sz w:val="12"/>
                <w:szCs w:val="12"/>
                <w:color w:val="auto"/>
              </w:rPr>
            </w:pPr>
          </w:p>
        </w:tc>
        <w:tc>
          <w:tcPr>
            <w:tcW w:w="37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2"/>
                <w:szCs w:val="12"/>
                <w:color w:val="auto"/>
              </w:rPr>
              <w:t>Employees</w:t>
            </w:r>
          </w:p>
        </w:tc>
        <w:tc>
          <w:tcPr>
            <w:tcW w:w="146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tcBorders>
          </w:tcPr>
          <w:p>
            <w:pPr>
              <w:jc w:val="center"/>
              <w:ind w:right="161"/>
              <w:spacing w:after="0"/>
              <w:rPr>
                <w:sz w:val="20"/>
                <w:szCs w:val="20"/>
                <w:color w:val="auto"/>
              </w:rPr>
            </w:pPr>
            <w:r>
              <w:rPr>
                <w:rFonts w:ascii="Times New Roman" w:cs="Times New Roman" w:eastAsia="Times New Roman" w:hAnsi="Times New Roman"/>
                <w:sz w:val="12"/>
                <w:szCs w:val="12"/>
                <w:b w:val="1"/>
                <w:bCs w:val="1"/>
                <w:color w:val="auto"/>
                <w:w w:val="96"/>
              </w:rPr>
              <w:t>1,859</w:t>
            </w:r>
          </w:p>
        </w:tc>
        <w:tc>
          <w:tcPr>
            <w:tcW w:w="900" w:type="dxa"/>
            <w:vAlign w:val="bottom"/>
            <w:tcBorders>
              <w:bottom w:val="single" w:sz="8" w:color="auto"/>
            </w:tcBorders>
          </w:tcPr>
          <w:p>
            <w:pPr>
              <w:jc w:val="center"/>
              <w:ind w:right="141"/>
              <w:spacing w:after="0"/>
              <w:rPr>
                <w:sz w:val="20"/>
                <w:szCs w:val="20"/>
                <w:color w:val="auto"/>
              </w:rPr>
            </w:pPr>
            <w:r>
              <w:rPr>
                <w:rFonts w:ascii="Times New Roman" w:cs="Times New Roman" w:eastAsia="Times New Roman" w:hAnsi="Times New Roman"/>
                <w:sz w:val="12"/>
                <w:szCs w:val="12"/>
                <w:b w:val="1"/>
                <w:bCs w:val="1"/>
                <w:color w:val="auto"/>
                <w:w w:val="96"/>
              </w:rPr>
              <w:t>1,926</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1,926</w:t>
            </w:r>
          </w:p>
        </w:tc>
        <w:tc>
          <w:tcPr>
            <w:tcW w:w="800" w:type="dxa"/>
            <w:vAlign w:val="bottom"/>
            <w:tcBorders>
              <w:bottom w:val="single" w:sz="8" w:color="auto"/>
            </w:tcBorders>
          </w:tcPr>
          <w:p>
            <w:pPr>
              <w:jc w:val="center"/>
              <w:ind w:left="221"/>
              <w:spacing w:after="0"/>
              <w:rPr>
                <w:sz w:val="20"/>
                <w:szCs w:val="20"/>
                <w:color w:val="auto"/>
              </w:rPr>
            </w:pPr>
            <w:r>
              <w:rPr>
                <w:rFonts w:ascii="Times New Roman" w:cs="Times New Roman" w:eastAsia="Times New Roman" w:hAnsi="Times New Roman"/>
                <w:sz w:val="12"/>
                <w:szCs w:val="12"/>
                <w:color w:val="auto"/>
                <w:w w:val="98"/>
              </w:rPr>
              <w:t>-</w:t>
            </w:r>
          </w:p>
        </w:tc>
        <w:tc>
          <w:tcPr>
            <w:tcW w:w="1440" w:type="dxa"/>
            <w:vAlign w:val="bottom"/>
            <w:tcBorders>
              <w:bottom w:val="single" w:sz="8" w:color="auto"/>
              <w:right w:val="single" w:sz="8" w:color="auto"/>
            </w:tcBorders>
          </w:tcPr>
          <w:p>
            <w:pPr>
              <w:jc w:val="center"/>
              <w:ind w:left="221"/>
              <w:spacing w:after="0"/>
              <w:rPr>
                <w:sz w:val="20"/>
                <w:szCs w:val="20"/>
                <w:color w:val="auto"/>
              </w:rPr>
            </w:pPr>
            <w:r>
              <w:rPr>
                <w:rFonts w:ascii="Times New Roman" w:cs="Times New Roman" w:eastAsia="Times New Roman" w:hAnsi="Times New Roman"/>
                <w:sz w:val="12"/>
                <w:szCs w:val="12"/>
                <w:color w:val="auto"/>
                <w:w w:val="99"/>
              </w:rPr>
              <w:t>67</w:t>
            </w:r>
          </w:p>
        </w:tc>
        <w:tc>
          <w:tcPr>
            <w:tcW w:w="220" w:type="dxa"/>
            <w:vAlign w:val="bottom"/>
          </w:tcPr>
          <w:p>
            <w:pPr>
              <w:spacing w:after="0"/>
              <w:rPr>
                <w:sz w:val="12"/>
                <w:szCs w:val="12"/>
                <w:color w:val="auto"/>
              </w:rPr>
            </w:pPr>
          </w:p>
        </w:tc>
      </w:tr>
      <w:tr>
        <w:trPr>
          <w:trHeight w:val="1458"/>
        </w:trPr>
        <w:tc>
          <w:tcPr>
            <w:tcW w:w="24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-813435</wp:posOffset>
            </wp:positionV>
            <wp:extent cx="6447155" cy="53213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447155" cy="532130"/>
                    </a:xfrm>
                    <a:prstGeom prst="rect">
                      <a:avLst/>
                    </a:prstGeom>
                    <a:noFill/>
                  </pic:spPr>
                </pic:pic>
              </a:graphicData>
            </a:graphic>
          </wp:anchor>
        </w:drawing>
      </w:r>
    </w:p>
    <w:p>
      <w:pPr>
        <w:sectPr>
          <w:pgSz w:w="11900" w:h="16838" w:orient="portrait"/>
          <w:cols w:equalWidth="0" w:num="1">
            <w:col w:w="11240"/>
          </w:cols>
          <w:pgMar w:left="320" w:top="695" w:right="339" w:bottom="1440" w:gutter="0" w:footer="0" w:header="0"/>
        </w:sectPr>
      </w:pPr>
    </w:p>
    <w:bookmarkStart w:id="63" w:name="page64"/>
    <w:bookmarkEnd w:id="63"/>
    <w:p>
      <w:pPr>
        <w:ind w:left="3160"/>
        <w:spacing w:after="0"/>
        <w:tabs>
          <w:tab w:leader="none" w:pos="3380" w:val="left"/>
          <w:tab w:leader="none" w:pos="9060" w:val="left"/>
        </w:tabs>
        <w:rPr>
          <w:sz w:val="20"/>
          <w:szCs w:val="20"/>
          <w:color w:val="auto"/>
        </w:rPr>
      </w:pPr>
      <w:r>
        <w:rPr>
          <w:rFonts w:ascii="Times New Roman" w:cs="Times New Roman" w:eastAsia="Times New Roman" w:hAnsi="Times New Roman"/>
          <w:sz w:val="17"/>
          <w:szCs w:val="17"/>
          <w:b w:val="1"/>
          <w:bCs w:val="1"/>
          <w:color w:val="A6A6A6"/>
        </w:rPr>
        <w:drawing>
          <wp:anchor simplePos="0" relativeHeight="251657728" behindDoc="1" locked="0" layoutInCell="0" allowOverlap="1">
            <wp:simplePos x="0" y="0"/>
            <wp:positionH relativeFrom="page">
              <wp:posOffset>204470</wp:posOffset>
            </wp:positionH>
            <wp:positionV relativeFrom="page">
              <wp:posOffset>217805</wp:posOffset>
            </wp:positionV>
            <wp:extent cx="7140575" cy="62865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40575" cy="628650"/>
                    </a:xfrm>
                    <a:prstGeom prst="rect">
                      <a:avLst/>
                    </a:prstGeom>
                    <a:noFill/>
                  </pic:spPr>
                </pic:pic>
              </a:graphicData>
            </a:graphic>
          </wp:anchor>
        </w:drawing>
        <w:t>|</w:t>
      </w:r>
      <w:r>
        <w:rPr>
          <w:sz w:val="20"/>
          <w:szCs w:val="20"/>
          <w:color w:val="auto"/>
        </w:rPr>
        <w:tab/>
      </w:r>
      <w:r>
        <w:rPr>
          <w:rFonts w:ascii="Times New Roman" w:cs="Times New Roman" w:eastAsia="Times New Roman" w:hAnsi="Times New Roman"/>
          <w:sz w:val="14"/>
          <w:szCs w:val="14"/>
          <w:color w:val="FFFFFF"/>
        </w:rPr>
        <w:t>Earnings Release 1Q / 2026</w:t>
      </w:r>
      <w:r>
        <w:rPr>
          <w:sz w:val="20"/>
          <w:szCs w:val="20"/>
          <w:color w:val="auto"/>
        </w:rPr>
        <w:tab/>
      </w:r>
      <w:r>
        <w:rPr>
          <w:rFonts w:ascii="Times New Roman" w:cs="Times New Roman" w:eastAsia="Times New Roman" w:hAnsi="Times New Roman"/>
          <w:sz w:val="12"/>
          <w:szCs w:val="12"/>
          <w:color w:val="FF00FF"/>
        </w:rPr>
        <w:t>Analysis of 1Q26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280670</wp:posOffset>
            </wp:positionV>
            <wp:extent cx="7140575" cy="25781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40575" cy="25781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FFFFFF"/>
        </w:rPr>
        <w:t>12. Appendix</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12.7.6. Mibanco</w:t>
      </w:r>
    </w:p>
    <w:p>
      <w:pPr>
        <w:spacing w:after="0" w:line="21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5"/>
          <w:szCs w:val="15"/>
          <w:b w:val="1"/>
          <w:bCs w:val="1"/>
          <w:color w:val="auto"/>
        </w:rPr>
        <w:t>Statement of Financial Position</w:t>
      </w:r>
    </w:p>
    <w:p>
      <w:pPr>
        <w:spacing w:after="0" w:line="2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5"/>
          <w:szCs w:val="15"/>
          <w:b w:val="1"/>
          <w:bCs w:val="1"/>
          <w:color w:val="auto"/>
        </w:rPr>
        <w:t>(S/ Thousands, IFRS)</w:t>
      </w:r>
    </w:p>
    <w:p>
      <w:pPr>
        <w:spacing w:after="0" w:line="193" w:lineRule="exact"/>
        <w:rPr>
          <w:sz w:val="20"/>
          <w:szCs w:val="20"/>
          <w:color w:val="auto"/>
        </w:rPr>
      </w:pPr>
    </w:p>
    <w:tbl>
      <w:tblPr>
        <w:tblLayout w:type="fixed"/>
        <w:tblInd w:w="10" w:type="dxa"/>
        <w:tblCellMar>
          <w:top w:w="0" w:type="dxa"/>
          <w:left w:w="0" w:type="dxa"/>
          <w:bottom w:w="0" w:type="dxa"/>
          <w:right w:w="0" w:type="dxa"/>
        </w:tblCellMar>
      </w:tblPr>
      <w:tr>
        <w:trPr>
          <w:trHeight w:val="128"/>
        </w:trPr>
        <w:tc>
          <w:tcPr>
            <w:tcW w:w="5640" w:type="dxa"/>
            <w:vAlign w:val="bottom"/>
            <w:tcBorders>
              <w:top w:val="single" w:sz="8" w:color="auto"/>
              <w:left w:val="single" w:sz="8" w:color="auto"/>
              <w:right w:val="single" w:sz="8" w:color="auto"/>
            </w:tcBorders>
            <w:shd w:val="clear" w:color="auto" w:fill="2AD2C9"/>
          </w:tcPr>
          <w:p>
            <w:pPr>
              <w:spacing w:after="0"/>
              <w:rPr>
                <w:sz w:val="11"/>
                <w:szCs w:val="11"/>
                <w:color w:val="auto"/>
              </w:rPr>
            </w:pPr>
          </w:p>
        </w:tc>
        <w:tc>
          <w:tcPr>
            <w:tcW w:w="1240" w:type="dxa"/>
            <w:vAlign w:val="bottom"/>
            <w:tcBorders>
              <w:top w:val="single" w:sz="8" w:color="auto"/>
            </w:tcBorders>
            <w:shd w:val="clear" w:color="auto" w:fill="2AD2C9"/>
          </w:tcPr>
          <w:p>
            <w:pPr>
              <w:spacing w:after="0"/>
              <w:rPr>
                <w:sz w:val="11"/>
                <w:szCs w:val="11"/>
                <w:color w:val="auto"/>
              </w:rPr>
            </w:pPr>
          </w:p>
        </w:tc>
        <w:tc>
          <w:tcPr>
            <w:tcW w:w="1260" w:type="dxa"/>
            <w:vAlign w:val="bottom"/>
            <w:tcBorders>
              <w:top w:val="single" w:sz="8" w:color="auto"/>
            </w:tcBorders>
            <w:shd w:val="clear" w:color="auto" w:fill="2AD2C9"/>
          </w:tcPr>
          <w:p>
            <w:pPr>
              <w:ind w:left="520"/>
              <w:spacing w:after="0" w:line="128" w:lineRule="exact"/>
              <w:rPr>
                <w:sz w:val="20"/>
                <w:szCs w:val="20"/>
                <w:color w:val="auto"/>
              </w:rPr>
            </w:pPr>
            <w:r>
              <w:rPr>
                <w:rFonts w:ascii="Times New Roman" w:cs="Times New Roman" w:eastAsia="Times New Roman" w:hAnsi="Times New Roman"/>
                <w:sz w:val="14"/>
                <w:szCs w:val="14"/>
                <w:b w:val="1"/>
                <w:bCs w:val="1"/>
                <w:color w:val="FFFFFF"/>
              </w:rPr>
              <w:t>As of</w:t>
            </w:r>
          </w:p>
        </w:tc>
        <w:tc>
          <w:tcPr>
            <w:tcW w:w="1340" w:type="dxa"/>
            <w:vAlign w:val="bottom"/>
            <w:tcBorders>
              <w:top w:val="single" w:sz="8" w:color="auto"/>
              <w:right w:val="single" w:sz="8" w:color="auto"/>
            </w:tcBorders>
            <w:shd w:val="clear" w:color="auto" w:fill="2AD2C9"/>
          </w:tcPr>
          <w:p>
            <w:pPr>
              <w:spacing w:after="0"/>
              <w:rPr>
                <w:sz w:val="11"/>
                <w:szCs w:val="11"/>
                <w:color w:val="auto"/>
              </w:rPr>
            </w:pPr>
          </w:p>
        </w:tc>
        <w:tc>
          <w:tcPr>
            <w:tcW w:w="1780" w:type="dxa"/>
            <w:vAlign w:val="bottom"/>
            <w:tcBorders>
              <w:top w:val="single" w:sz="8" w:color="auto"/>
              <w:right w:val="single" w:sz="8" w:color="auto"/>
            </w:tcBorders>
            <w:gridSpan w:val="2"/>
            <w:shd w:val="clear" w:color="auto" w:fill="2AD2C9"/>
          </w:tcPr>
          <w:p>
            <w:pPr>
              <w:ind w:left="580"/>
              <w:spacing w:after="0" w:line="128" w:lineRule="exact"/>
              <w:rPr>
                <w:sz w:val="20"/>
                <w:szCs w:val="20"/>
                <w:color w:val="auto"/>
              </w:rPr>
            </w:pPr>
            <w:r>
              <w:rPr>
                <w:rFonts w:ascii="Times New Roman" w:cs="Times New Roman" w:eastAsia="Times New Roman" w:hAnsi="Times New Roman"/>
                <w:sz w:val="14"/>
                <w:szCs w:val="14"/>
                <w:b w:val="1"/>
                <w:bCs w:val="1"/>
                <w:color w:val="FFFFFF"/>
              </w:rPr>
              <w:t>% change</w:t>
            </w:r>
          </w:p>
        </w:tc>
        <w:tc>
          <w:tcPr>
            <w:tcW w:w="0" w:type="dxa"/>
            <w:vAlign w:val="bottom"/>
          </w:tcPr>
          <w:p>
            <w:pPr>
              <w:spacing w:after="0"/>
              <w:rPr>
                <w:sz w:val="1"/>
                <w:szCs w:val="1"/>
                <w:color w:val="auto"/>
              </w:rPr>
            </w:pPr>
          </w:p>
        </w:tc>
      </w:tr>
      <w:tr>
        <w:trPr>
          <w:trHeight w:val="164"/>
        </w:trPr>
        <w:tc>
          <w:tcPr>
            <w:tcW w:w="5640" w:type="dxa"/>
            <w:vAlign w:val="bottom"/>
            <w:tcBorders>
              <w:left w:val="single" w:sz="8" w:color="auto"/>
              <w:bottom w:val="single" w:sz="8" w:color="auto"/>
              <w:right w:val="single" w:sz="8" w:color="auto"/>
            </w:tcBorders>
            <w:shd w:val="clear" w:color="auto" w:fill="2AD2C9"/>
          </w:tcPr>
          <w:p>
            <w:pPr>
              <w:spacing w:after="0"/>
              <w:rPr>
                <w:sz w:val="14"/>
                <w:szCs w:val="14"/>
                <w:color w:val="auto"/>
              </w:rPr>
            </w:pPr>
          </w:p>
        </w:tc>
        <w:tc>
          <w:tcPr>
            <w:tcW w:w="1240" w:type="dxa"/>
            <w:vAlign w:val="bottom"/>
            <w:tcBorders>
              <w:bottom w:val="single" w:sz="8" w:color="auto"/>
            </w:tcBorders>
            <w:shd w:val="clear" w:color="auto" w:fill="2AD2C9"/>
          </w:tcPr>
          <w:p>
            <w:pPr>
              <w:ind w:left="400"/>
              <w:spacing w:after="0"/>
              <w:rPr>
                <w:sz w:val="20"/>
                <w:szCs w:val="20"/>
                <w:color w:val="auto"/>
              </w:rPr>
            </w:pPr>
            <w:r>
              <w:rPr>
                <w:rFonts w:ascii="Times New Roman" w:cs="Times New Roman" w:eastAsia="Times New Roman" w:hAnsi="Times New Roman"/>
                <w:sz w:val="14"/>
                <w:szCs w:val="14"/>
                <w:b w:val="1"/>
                <w:bCs w:val="1"/>
                <w:color w:val="FFFFFF"/>
              </w:rPr>
              <w:t>Mar 25</w:t>
            </w:r>
          </w:p>
        </w:tc>
        <w:tc>
          <w:tcPr>
            <w:tcW w:w="1260" w:type="dxa"/>
            <w:vAlign w:val="bottom"/>
            <w:tcBorders>
              <w:bottom w:val="single" w:sz="8" w:color="auto"/>
            </w:tcBorders>
            <w:shd w:val="clear" w:color="auto" w:fill="2AD2C9"/>
          </w:tcPr>
          <w:p>
            <w:pPr>
              <w:ind w:left="420"/>
              <w:spacing w:after="0"/>
              <w:rPr>
                <w:sz w:val="20"/>
                <w:szCs w:val="20"/>
                <w:color w:val="auto"/>
              </w:rPr>
            </w:pPr>
            <w:r>
              <w:rPr>
                <w:rFonts w:ascii="Times New Roman" w:cs="Times New Roman" w:eastAsia="Times New Roman" w:hAnsi="Times New Roman"/>
                <w:sz w:val="14"/>
                <w:szCs w:val="14"/>
                <w:b w:val="1"/>
                <w:bCs w:val="1"/>
                <w:color w:val="FFFFFF"/>
              </w:rPr>
              <w:t>Dec 25</w:t>
            </w:r>
          </w:p>
        </w:tc>
        <w:tc>
          <w:tcPr>
            <w:tcW w:w="1340" w:type="dxa"/>
            <w:vAlign w:val="bottom"/>
            <w:tcBorders>
              <w:bottom w:val="single" w:sz="8" w:color="auto"/>
              <w:right w:val="single" w:sz="8" w:color="auto"/>
            </w:tcBorders>
            <w:shd w:val="clear" w:color="auto" w:fill="2AD2C9"/>
          </w:tcPr>
          <w:p>
            <w:pPr>
              <w:ind w:left="440"/>
              <w:spacing w:after="0"/>
              <w:rPr>
                <w:sz w:val="20"/>
                <w:szCs w:val="20"/>
                <w:color w:val="auto"/>
              </w:rPr>
            </w:pPr>
            <w:r>
              <w:rPr>
                <w:rFonts w:ascii="Times New Roman" w:cs="Times New Roman" w:eastAsia="Times New Roman" w:hAnsi="Times New Roman"/>
                <w:sz w:val="14"/>
                <w:szCs w:val="14"/>
                <w:b w:val="1"/>
                <w:bCs w:val="1"/>
                <w:color w:val="FFFFFF"/>
              </w:rPr>
              <w:t>Mar 26</w:t>
            </w:r>
          </w:p>
        </w:tc>
        <w:tc>
          <w:tcPr>
            <w:tcW w:w="860" w:type="dxa"/>
            <w:vAlign w:val="bottom"/>
            <w:tcBorders>
              <w:bottom w:val="single" w:sz="8" w:color="auto"/>
            </w:tcBorders>
            <w:shd w:val="clear" w:color="auto" w:fill="2AD2C9"/>
          </w:tcPr>
          <w:p>
            <w:pPr>
              <w:ind w:left="280"/>
              <w:spacing w:after="0"/>
              <w:rPr>
                <w:sz w:val="20"/>
                <w:szCs w:val="20"/>
                <w:color w:val="auto"/>
              </w:rPr>
            </w:pPr>
            <w:r>
              <w:rPr>
                <w:rFonts w:ascii="Times New Roman" w:cs="Times New Roman" w:eastAsia="Times New Roman" w:hAnsi="Times New Roman"/>
                <w:sz w:val="14"/>
                <w:szCs w:val="14"/>
                <w:b w:val="1"/>
                <w:bCs w:val="1"/>
                <w:color w:val="FFFFFF"/>
              </w:rPr>
              <w:t>QoQ</w:t>
            </w:r>
          </w:p>
        </w:tc>
        <w:tc>
          <w:tcPr>
            <w:tcW w:w="920" w:type="dxa"/>
            <w:vAlign w:val="bottom"/>
            <w:tcBorders>
              <w:bottom w:val="single" w:sz="8" w:color="auto"/>
              <w:right w:val="single" w:sz="8" w:color="auto"/>
            </w:tcBorders>
            <w:shd w:val="clear" w:color="auto" w:fill="2AD2C9"/>
          </w:tcPr>
          <w:p>
            <w:pPr>
              <w:ind w:left="320"/>
              <w:spacing w:after="0"/>
              <w:rPr>
                <w:sz w:val="20"/>
                <w:szCs w:val="20"/>
                <w:color w:val="auto"/>
              </w:rPr>
            </w:pPr>
            <w:r>
              <w:rPr>
                <w:rFonts w:ascii="Times New Roman" w:cs="Times New Roman" w:eastAsia="Times New Roman" w:hAnsi="Times New Roman"/>
                <w:sz w:val="14"/>
                <w:szCs w:val="14"/>
                <w:b w:val="1"/>
                <w:bCs w:val="1"/>
                <w:color w:val="FFFFFF"/>
              </w:rPr>
              <w:t>YoY</w:t>
            </w:r>
          </w:p>
        </w:tc>
        <w:tc>
          <w:tcPr>
            <w:tcW w:w="0" w:type="dxa"/>
            <w:vAlign w:val="bottom"/>
          </w:tcPr>
          <w:p>
            <w:pPr>
              <w:spacing w:after="0"/>
              <w:rPr>
                <w:sz w:val="1"/>
                <w:szCs w:val="1"/>
                <w:color w:val="auto"/>
              </w:rPr>
            </w:pPr>
          </w:p>
        </w:tc>
      </w:tr>
      <w:tr>
        <w:trPr>
          <w:trHeight w:val="112"/>
        </w:trPr>
        <w:tc>
          <w:tcPr>
            <w:tcW w:w="5640" w:type="dxa"/>
            <w:vAlign w:val="bottom"/>
            <w:tcBorders>
              <w:left w:val="single" w:sz="8" w:color="auto"/>
              <w:right w:val="single" w:sz="8" w:color="auto"/>
            </w:tcBorders>
          </w:tcPr>
          <w:p>
            <w:pPr>
              <w:ind w:left="100"/>
              <w:spacing w:after="0" w:line="112" w:lineRule="exact"/>
              <w:rPr>
                <w:sz w:val="20"/>
                <w:szCs w:val="20"/>
                <w:color w:val="auto"/>
              </w:rPr>
            </w:pPr>
            <w:r>
              <w:rPr>
                <w:rFonts w:ascii="Times New Roman" w:cs="Times New Roman" w:eastAsia="Times New Roman" w:hAnsi="Times New Roman"/>
                <w:sz w:val="12"/>
                <w:szCs w:val="12"/>
                <w:b w:val="1"/>
                <w:bCs w:val="1"/>
                <w:color w:val="auto"/>
              </w:rPr>
              <w:t>ASSETS</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6"/>
              </w:rPr>
              <w:t>1,931,908</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6"/>
              </w:rPr>
              <w:t>1,953,012</w:t>
            </w:r>
          </w:p>
        </w:tc>
        <w:tc>
          <w:tcPr>
            <w:tcW w:w="1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6"/>
              </w:rPr>
              <w:t>2,760,349</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3"/>
              </w:rPr>
              <w:t>41.3%</w:t>
            </w: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3"/>
              </w:rPr>
              <w:t>42.9%</w:t>
            </w:r>
          </w:p>
        </w:tc>
        <w:tc>
          <w:tcPr>
            <w:tcW w:w="0" w:type="dxa"/>
            <w:vAlign w:val="bottom"/>
          </w:tcPr>
          <w:p>
            <w:pPr>
              <w:spacing w:after="0"/>
              <w:rPr>
                <w:sz w:val="1"/>
                <w:szCs w:val="1"/>
                <w:color w:val="auto"/>
              </w:rPr>
            </w:pPr>
          </w:p>
        </w:tc>
      </w:tr>
      <w:tr>
        <w:trPr>
          <w:trHeight w:val="140"/>
        </w:trPr>
        <w:tc>
          <w:tcPr>
            <w:tcW w:w="5640" w:type="dxa"/>
            <w:vAlign w:val="bottom"/>
            <w:tcBorders>
              <w:left w:val="single" w:sz="8" w:color="auto"/>
              <w:right w:val="single" w:sz="8" w:color="auto"/>
            </w:tcBorders>
          </w:tcPr>
          <w:p>
            <w:pPr>
              <w:ind w:left="100"/>
              <w:spacing w:after="0" w:line="140" w:lineRule="exact"/>
              <w:rPr>
                <w:sz w:val="20"/>
                <w:szCs w:val="20"/>
                <w:color w:val="auto"/>
              </w:rPr>
            </w:pPr>
            <w:r>
              <w:rPr>
                <w:rFonts w:ascii="Times New Roman" w:cs="Times New Roman" w:eastAsia="Times New Roman" w:hAnsi="Times New Roman"/>
                <w:sz w:val="14"/>
                <w:szCs w:val="14"/>
                <w:color w:val="auto"/>
              </w:rPr>
              <w:t>Cash and due from banks</w:t>
            </w:r>
          </w:p>
        </w:tc>
        <w:tc>
          <w:tcPr>
            <w:tcW w:w="1240" w:type="dxa"/>
            <w:vAlign w:val="bottom"/>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1340" w:type="dxa"/>
            <w:vAlign w:val="bottom"/>
            <w:tcBorders>
              <w:right w:val="single" w:sz="8" w:color="auto"/>
            </w:tcBorders>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9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5640" w:type="dxa"/>
            <w:vAlign w:val="bottom"/>
            <w:tcBorders>
              <w:left w:val="single" w:sz="8" w:color="auto"/>
              <w:right w:val="single" w:sz="8" w:color="auto"/>
            </w:tcBorders>
          </w:tcPr>
          <w:p>
            <w:pPr>
              <w:ind w:left="100"/>
              <w:spacing w:after="0" w:line="136" w:lineRule="exact"/>
              <w:rPr>
                <w:sz w:val="20"/>
                <w:szCs w:val="20"/>
                <w:color w:val="auto"/>
              </w:rPr>
            </w:pPr>
            <w:r>
              <w:rPr>
                <w:rFonts w:ascii="Times New Roman" w:cs="Times New Roman" w:eastAsia="Times New Roman" w:hAnsi="Times New Roman"/>
                <w:sz w:val="14"/>
                <w:szCs w:val="14"/>
                <w:color w:val="auto"/>
              </w:rPr>
              <w:t>Investments</w:t>
            </w:r>
          </w:p>
        </w:tc>
        <w:tc>
          <w:tcPr>
            <w:tcW w:w="124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w w:val="96"/>
              </w:rPr>
              <w:t>3,124,911</w:t>
            </w:r>
          </w:p>
        </w:tc>
        <w:tc>
          <w:tcPr>
            <w:tcW w:w="126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w w:val="96"/>
              </w:rPr>
              <w:t>2,860,721</w:t>
            </w:r>
          </w:p>
        </w:tc>
        <w:tc>
          <w:tcPr>
            <w:tcW w:w="134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4"/>
                <w:szCs w:val="14"/>
                <w:color w:val="auto"/>
                <w:w w:val="96"/>
              </w:rPr>
              <w:t>2,399,194</w:t>
            </w:r>
          </w:p>
        </w:tc>
        <w:tc>
          <w:tcPr>
            <w:tcW w:w="86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w w:val="92"/>
              </w:rPr>
              <w:t>-16.1%</w:t>
            </w:r>
          </w:p>
        </w:tc>
        <w:tc>
          <w:tcPr>
            <w:tcW w:w="92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4"/>
                <w:szCs w:val="14"/>
                <w:color w:val="auto"/>
                <w:w w:val="92"/>
              </w:rPr>
              <w:t>-23.2%</w:t>
            </w:r>
          </w:p>
        </w:tc>
        <w:tc>
          <w:tcPr>
            <w:tcW w:w="0" w:type="dxa"/>
            <w:vAlign w:val="bottom"/>
          </w:tcPr>
          <w:p>
            <w:pPr>
              <w:spacing w:after="0"/>
              <w:rPr>
                <w:sz w:val="1"/>
                <w:szCs w:val="1"/>
                <w:color w:val="auto"/>
              </w:rPr>
            </w:pPr>
          </w:p>
        </w:tc>
      </w:tr>
      <w:tr>
        <w:trPr>
          <w:trHeight w:val="144"/>
        </w:trPr>
        <w:tc>
          <w:tcPr>
            <w:tcW w:w="5640" w:type="dxa"/>
            <w:vAlign w:val="bottom"/>
            <w:tcBorders>
              <w:left w:val="single" w:sz="8" w:color="auto"/>
              <w:right w:val="single" w:sz="8" w:color="auto"/>
            </w:tcBorders>
          </w:tcPr>
          <w:p>
            <w:pPr>
              <w:ind w:left="100"/>
              <w:spacing w:after="0" w:line="144" w:lineRule="exact"/>
              <w:rPr>
                <w:sz w:val="20"/>
                <w:szCs w:val="20"/>
                <w:color w:val="auto"/>
              </w:rPr>
            </w:pPr>
            <w:r>
              <w:rPr>
                <w:rFonts w:ascii="Times New Roman" w:cs="Times New Roman" w:eastAsia="Times New Roman" w:hAnsi="Times New Roman"/>
                <w:sz w:val="14"/>
                <w:szCs w:val="14"/>
                <w:b w:val="1"/>
                <w:bCs w:val="1"/>
                <w:color w:val="auto"/>
              </w:rPr>
              <w:t>Total loans</w:t>
            </w:r>
          </w:p>
        </w:tc>
        <w:tc>
          <w:tcPr>
            <w:tcW w:w="124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8"/>
              </w:rPr>
              <w:t>12,525,099</w:t>
            </w:r>
          </w:p>
        </w:tc>
        <w:tc>
          <w:tcPr>
            <w:tcW w:w="126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8"/>
              </w:rPr>
              <w:t>13,607,074</w:t>
            </w:r>
          </w:p>
        </w:tc>
        <w:tc>
          <w:tcPr>
            <w:tcW w:w="1340" w:type="dxa"/>
            <w:vAlign w:val="bottom"/>
            <w:tcBorders>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5"/>
              </w:rPr>
              <w:t>14,079,941</w:t>
            </w:r>
          </w:p>
        </w:tc>
        <w:tc>
          <w:tcPr>
            <w:tcW w:w="86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5"/>
              </w:rPr>
              <w:t>3.5%</w:t>
            </w:r>
          </w:p>
        </w:tc>
        <w:tc>
          <w:tcPr>
            <w:tcW w:w="920" w:type="dxa"/>
            <w:vAlign w:val="bottom"/>
            <w:tcBorders>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8"/>
              </w:rPr>
              <w:t>12.4%</w:t>
            </w:r>
          </w:p>
        </w:tc>
        <w:tc>
          <w:tcPr>
            <w:tcW w:w="0" w:type="dxa"/>
            <w:vAlign w:val="bottom"/>
          </w:tcPr>
          <w:p>
            <w:pPr>
              <w:spacing w:after="0"/>
              <w:rPr>
                <w:sz w:val="1"/>
                <w:szCs w:val="1"/>
                <w:color w:val="auto"/>
              </w:rPr>
            </w:pPr>
          </w:p>
        </w:tc>
      </w:tr>
      <w:tr>
        <w:trPr>
          <w:trHeight w:val="140"/>
        </w:trPr>
        <w:tc>
          <w:tcPr>
            <w:tcW w:w="5640" w:type="dxa"/>
            <w:vAlign w:val="bottom"/>
            <w:tcBorders>
              <w:left w:val="single" w:sz="8" w:color="auto"/>
              <w:right w:val="single" w:sz="8" w:color="auto"/>
            </w:tcBorders>
          </w:tcPr>
          <w:p>
            <w:pPr>
              <w:ind w:left="280"/>
              <w:spacing w:after="0" w:line="140" w:lineRule="exact"/>
              <w:rPr>
                <w:sz w:val="20"/>
                <w:szCs w:val="20"/>
                <w:color w:val="auto"/>
              </w:rPr>
            </w:pPr>
            <w:r>
              <w:rPr>
                <w:rFonts w:ascii="Times New Roman" w:cs="Times New Roman" w:eastAsia="Times New Roman" w:hAnsi="Times New Roman"/>
                <w:sz w:val="14"/>
                <w:szCs w:val="14"/>
                <w:color w:val="auto"/>
              </w:rPr>
              <w:t>Current</w:t>
            </w:r>
          </w:p>
        </w:tc>
        <w:tc>
          <w:tcPr>
            <w:tcW w:w="124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5"/>
              </w:rPr>
              <w:t>11,719,353</w:t>
            </w:r>
          </w:p>
        </w:tc>
        <w:tc>
          <w:tcPr>
            <w:tcW w:w="12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8"/>
              </w:rPr>
              <w:t>12,889,949</w:t>
            </w:r>
          </w:p>
        </w:tc>
        <w:tc>
          <w:tcPr>
            <w:tcW w:w="134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5"/>
              </w:rPr>
              <w:t>13,384,026</w:t>
            </w:r>
          </w:p>
        </w:tc>
        <w:tc>
          <w:tcPr>
            <w:tcW w:w="8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5"/>
              </w:rPr>
              <w:t>3.8%</w:t>
            </w:r>
          </w:p>
        </w:tc>
        <w:tc>
          <w:tcPr>
            <w:tcW w:w="92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3"/>
              </w:rPr>
              <w:t>14.2%</w:t>
            </w:r>
          </w:p>
        </w:tc>
        <w:tc>
          <w:tcPr>
            <w:tcW w:w="0" w:type="dxa"/>
            <w:vAlign w:val="bottom"/>
          </w:tcPr>
          <w:p>
            <w:pPr>
              <w:spacing w:after="0"/>
              <w:rPr>
                <w:sz w:val="1"/>
                <w:szCs w:val="1"/>
                <w:color w:val="auto"/>
              </w:rPr>
            </w:pPr>
          </w:p>
        </w:tc>
      </w:tr>
      <w:tr>
        <w:trPr>
          <w:trHeight w:val="140"/>
        </w:trPr>
        <w:tc>
          <w:tcPr>
            <w:tcW w:w="5640" w:type="dxa"/>
            <w:vAlign w:val="bottom"/>
            <w:tcBorders>
              <w:left w:val="single" w:sz="8" w:color="auto"/>
              <w:right w:val="single" w:sz="8" w:color="auto"/>
            </w:tcBorders>
          </w:tcPr>
          <w:p>
            <w:pPr>
              <w:ind w:left="280"/>
              <w:spacing w:after="0" w:line="140" w:lineRule="exact"/>
              <w:rPr>
                <w:sz w:val="20"/>
                <w:szCs w:val="20"/>
                <w:color w:val="auto"/>
              </w:rPr>
            </w:pPr>
            <w:r>
              <w:rPr>
                <w:rFonts w:ascii="Times New Roman" w:cs="Times New Roman" w:eastAsia="Times New Roman" w:hAnsi="Times New Roman"/>
                <w:sz w:val="14"/>
                <w:szCs w:val="14"/>
                <w:color w:val="auto"/>
              </w:rPr>
              <w:t>Internal overdue loans</w:t>
            </w:r>
          </w:p>
        </w:tc>
        <w:tc>
          <w:tcPr>
            <w:tcW w:w="124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698,528</w:t>
            </w:r>
          </w:p>
        </w:tc>
        <w:tc>
          <w:tcPr>
            <w:tcW w:w="12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2"/>
              </w:rPr>
              <w:t>585,387</w:t>
            </w:r>
          </w:p>
        </w:tc>
        <w:tc>
          <w:tcPr>
            <w:tcW w:w="134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563,191</w:t>
            </w:r>
          </w:p>
        </w:tc>
        <w:tc>
          <w:tcPr>
            <w:tcW w:w="8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rPr>
              <w:t>-3.8%</w:t>
            </w:r>
          </w:p>
        </w:tc>
        <w:tc>
          <w:tcPr>
            <w:tcW w:w="92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2"/>
              </w:rPr>
              <w:t>-19.4%</w:t>
            </w:r>
          </w:p>
        </w:tc>
        <w:tc>
          <w:tcPr>
            <w:tcW w:w="0" w:type="dxa"/>
            <w:vAlign w:val="bottom"/>
          </w:tcPr>
          <w:p>
            <w:pPr>
              <w:spacing w:after="0"/>
              <w:rPr>
                <w:sz w:val="1"/>
                <w:szCs w:val="1"/>
                <w:color w:val="auto"/>
              </w:rPr>
            </w:pPr>
          </w:p>
        </w:tc>
      </w:tr>
      <w:tr>
        <w:trPr>
          <w:trHeight w:val="140"/>
        </w:trPr>
        <w:tc>
          <w:tcPr>
            <w:tcW w:w="5640" w:type="dxa"/>
            <w:vAlign w:val="bottom"/>
            <w:tcBorders>
              <w:left w:val="single" w:sz="8" w:color="auto"/>
              <w:right w:val="single" w:sz="8" w:color="auto"/>
            </w:tcBorders>
          </w:tcPr>
          <w:p>
            <w:pPr>
              <w:ind w:left="280"/>
              <w:spacing w:after="0" w:line="140" w:lineRule="exact"/>
              <w:rPr>
                <w:sz w:val="20"/>
                <w:szCs w:val="20"/>
                <w:color w:val="auto"/>
              </w:rPr>
            </w:pPr>
            <w:r>
              <w:rPr>
                <w:rFonts w:ascii="Times New Roman" w:cs="Times New Roman" w:eastAsia="Times New Roman" w:hAnsi="Times New Roman"/>
                <w:sz w:val="14"/>
                <w:szCs w:val="14"/>
                <w:color w:val="auto"/>
              </w:rPr>
              <w:t>Refinanced</w:t>
            </w:r>
          </w:p>
        </w:tc>
        <w:tc>
          <w:tcPr>
            <w:tcW w:w="124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107,218</w:t>
            </w:r>
          </w:p>
        </w:tc>
        <w:tc>
          <w:tcPr>
            <w:tcW w:w="12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2"/>
              </w:rPr>
              <w:t>131,738</w:t>
            </w:r>
          </w:p>
        </w:tc>
        <w:tc>
          <w:tcPr>
            <w:tcW w:w="134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132,724</w:t>
            </w:r>
          </w:p>
        </w:tc>
        <w:tc>
          <w:tcPr>
            <w:tcW w:w="8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5"/>
              </w:rPr>
              <w:t>0.7%</w:t>
            </w:r>
          </w:p>
        </w:tc>
        <w:tc>
          <w:tcPr>
            <w:tcW w:w="92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3"/>
              </w:rPr>
              <w:t>23.8%</w:t>
            </w:r>
          </w:p>
        </w:tc>
        <w:tc>
          <w:tcPr>
            <w:tcW w:w="0" w:type="dxa"/>
            <w:vAlign w:val="bottom"/>
          </w:tcPr>
          <w:p>
            <w:pPr>
              <w:spacing w:after="0"/>
              <w:rPr>
                <w:sz w:val="1"/>
                <w:szCs w:val="1"/>
                <w:color w:val="auto"/>
              </w:rPr>
            </w:pPr>
          </w:p>
        </w:tc>
      </w:tr>
      <w:tr>
        <w:trPr>
          <w:trHeight w:val="136"/>
        </w:trPr>
        <w:tc>
          <w:tcPr>
            <w:tcW w:w="5640" w:type="dxa"/>
            <w:vAlign w:val="bottom"/>
            <w:tcBorders>
              <w:left w:val="single" w:sz="8" w:color="auto"/>
              <w:right w:val="single" w:sz="8" w:color="auto"/>
            </w:tcBorders>
          </w:tcPr>
          <w:p>
            <w:pPr>
              <w:ind w:left="280"/>
              <w:spacing w:after="0" w:line="136" w:lineRule="exact"/>
              <w:rPr>
                <w:sz w:val="20"/>
                <w:szCs w:val="20"/>
                <w:color w:val="auto"/>
              </w:rPr>
            </w:pPr>
            <w:r>
              <w:rPr>
                <w:rFonts w:ascii="Times New Roman" w:cs="Times New Roman" w:eastAsia="Times New Roman" w:hAnsi="Times New Roman"/>
                <w:sz w:val="14"/>
                <w:szCs w:val="14"/>
                <w:color w:val="auto"/>
              </w:rPr>
              <w:t>Allowance for loan losses</w:t>
            </w:r>
          </w:p>
        </w:tc>
        <w:tc>
          <w:tcPr>
            <w:tcW w:w="124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w w:val="98"/>
              </w:rPr>
              <w:t>(864,812)</w:t>
            </w:r>
          </w:p>
        </w:tc>
        <w:tc>
          <w:tcPr>
            <w:tcW w:w="126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w w:val="98"/>
              </w:rPr>
              <w:t>(911,339)</w:t>
            </w:r>
          </w:p>
        </w:tc>
        <w:tc>
          <w:tcPr>
            <w:tcW w:w="134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4"/>
                <w:szCs w:val="14"/>
                <w:color w:val="auto"/>
                <w:w w:val="94"/>
              </w:rPr>
              <w:t>(955,901)</w:t>
            </w:r>
          </w:p>
        </w:tc>
        <w:tc>
          <w:tcPr>
            <w:tcW w:w="86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w w:val="95"/>
              </w:rPr>
              <w:t>4.9%</w:t>
            </w:r>
          </w:p>
        </w:tc>
        <w:tc>
          <w:tcPr>
            <w:tcW w:w="92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4"/>
                <w:szCs w:val="14"/>
                <w:color w:val="auto"/>
                <w:w w:val="93"/>
              </w:rPr>
              <w:t>10.5%</w:t>
            </w:r>
          </w:p>
        </w:tc>
        <w:tc>
          <w:tcPr>
            <w:tcW w:w="0" w:type="dxa"/>
            <w:vAlign w:val="bottom"/>
          </w:tcPr>
          <w:p>
            <w:pPr>
              <w:spacing w:after="0"/>
              <w:rPr>
                <w:sz w:val="1"/>
                <w:szCs w:val="1"/>
                <w:color w:val="auto"/>
              </w:rPr>
            </w:pPr>
          </w:p>
        </w:tc>
      </w:tr>
      <w:tr>
        <w:trPr>
          <w:trHeight w:val="144"/>
        </w:trPr>
        <w:tc>
          <w:tcPr>
            <w:tcW w:w="5640" w:type="dxa"/>
            <w:vAlign w:val="bottom"/>
            <w:tcBorders>
              <w:left w:val="single" w:sz="8" w:color="auto"/>
              <w:right w:val="single" w:sz="8" w:color="auto"/>
            </w:tcBorders>
          </w:tcPr>
          <w:p>
            <w:pPr>
              <w:ind w:left="100"/>
              <w:spacing w:after="0" w:line="144" w:lineRule="exact"/>
              <w:rPr>
                <w:sz w:val="20"/>
                <w:szCs w:val="20"/>
                <w:color w:val="auto"/>
              </w:rPr>
            </w:pPr>
            <w:r>
              <w:rPr>
                <w:rFonts w:ascii="Times New Roman" w:cs="Times New Roman" w:eastAsia="Times New Roman" w:hAnsi="Times New Roman"/>
                <w:sz w:val="14"/>
                <w:szCs w:val="14"/>
                <w:b w:val="1"/>
                <w:bCs w:val="1"/>
                <w:color w:val="auto"/>
              </w:rPr>
              <w:t>Net loans</w:t>
            </w:r>
          </w:p>
        </w:tc>
        <w:tc>
          <w:tcPr>
            <w:tcW w:w="124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5"/>
              </w:rPr>
              <w:t>11,660,287</w:t>
            </w:r>
          </w:p>
        </w:tc>
        <w:tc>
          <w:tcPr>
            <w:tcW w:w="126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8"/>
              </w:rPr>
              <w:t>12,695,735</w:t>
            </w:r>
          </w:p>
        </w:tc>
        <w:tc>
          <w:tcPr>
            <w:tcW w:w="1340" w:type="dxa"/>
            <w:vAlign w:val="bottom"/>
            <w:tcBorders>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5"/>
              </w:rPr>
              <w:t>13,124,040</w:t>
            </w:r>
          </w:p>
        </w:tc>
        <w:tc>
          <w:tcPr>
            <w:tcW w:w="86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5"/>
              </w:rPr>
              <w:t>3.4%</w:t>
            </w:r>
          </w:p>
        </w:tc>
        <w:tc>
          <w:tcPr>
            <w:tcW w:w="920" w:type="dxa"/>
            <w:vAlign w:val="bottom"/>
            <w:tcBorders>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8"/>
              </w:rPr>
              <w:t>12.6%</w:t>
            </w:r>
          </w:p>
        </w:tc>
        <w:tc>
          <w:tcPr>
            <w:tcW w:w="0" w:type="dxa"/>
            <w:vAlign w:val="bottom"/>
          </w:tcPr>
          <w:p>
            <w:pPr>
              <w:spacing w:after="0"/>
              <w:rPr>
                <w:sz w:val="1"/>
                <w:szCs w:val="1"/>
                <w:color w:val="auto"/>
              </w:rPr>
            </w:pPr>
          </w:p>
        </w:tc>
      </w:tr>
      <w:tr>
        <w:trPr>
          <w:trHeight w:val="140"/>
        </w:trPr>
        <w:tc>
          <w:tcPr>
            <w:tcW w:w="5640" w:type="dxa"/>
            <w:vAlign w:val="bottom"/>
            <w:tcBorders>
              <w:left w:val="single" w:sz="8" w:color="auto"/>
              <w:right w:val="single" w:sz="8" w:color="auto"/>
            </w:tcBorders>
          </w:tcPr>
          <w:p>
            <w:pPr>
              <w:ind w:left="100"/>
              <w:spacing w:after="0" w:line="140" w:lineRule="exact"/>
              <w:rPr>
                <w:sz w:val="20"/>
                <w:szCs w:val="20"/>
                <w:color w:val="auto"/>
              </w:rPr>
            </w:pPr>
            <w:r>
              <w:rPr>
                <w:rFonts w:ascii="Times New Roman" w:cs="Times New Roman" w:eastAsia="Times New Roman" w:hAnsi="Times New Roman"/>
                <w:sz w:val="14"/>
                <w:szCs w:val="14"/>
                <w:color w:val="auto"/>
              </w:rPr>
              <w:t>Property, plant and equipment, net</w:t>
            </w:r>
          </w:p>
        </w:tc>
        <w:tc>
          <w:tcPr>
            <w:tcW w:w="124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127,401</w:t>
            </w:r>
          </w:p>
        </w:tc>
        <w:tc>
          <w:tcPr>
            <w:tcW w:w="12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2"/>
              </w:rPr>
              <w:t>123,218</w:t>
            </w:r>
          </w:p>
        </w:tc>
        <w:tc>
          <w:tcPr>
            <w:tcW w:w="134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119,791</w:t>
            </w:r>
          </w:p>
        </w:tc>
        <w:tc>
          <w:tcPr>
            <w:tcW w:w="8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rPr>
              <w:t>-2.8%</w:t>
            </w:r>
          </w:p>
        </w:tc>
        <w:tc>
          <w:tcPr>
            <w:tcW w:w="92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136"/>
        </w:trPr>
        <w:tc>
          <w:tcPr>
            <w:tcW w:w="5640" w:type="dxa"/>
            <w:vAlign w:val="bottom"/>
            <w:tcBorders>
              <w:left w:val="single" w:sz="8" w:color="auto"/>
              <w:right w:val="single" w:sz="8" w:color="auto"/>
            </w:tcBorders>
          </w:tcPr>
          <w:p>
            <w:pPr>
              <w:ind w:left="100"/>
              <w:spacing w:after="0" w:line="136" w:lineRule="exact"/>
              <w:rPr>
                <w:sz w:val="20"/>
                <w:szCs w:val="20"/>
                <w:color w:val="auto"/>
              </w:rPr>
            </w:pPr>
            <w:r>
              <w:rPr>
                <w:rFonts w:ascii="Times New Roman" w:cs="Times New Roman" w:eastAsia="Times New Roman" w:hAnsi="Times New Roman"/>
                <w:sz w:val="14"/>
                <w:szCs w:val="14"/>
                <w:color w:val="auto"/>
              </w:rPr>
              <w:t>Other assets</w:t>
            </w:r>
          </w:p>
        </w:tc>
        <w:tc>
          <w:tcPr>
            <w:tcW w:w="124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w w:val="96"/>
              </w:rPr>
              <w:t>719,368</w:t>
            </w:r>
          </w:p>
        </w:tc>
        <w:tc>
          <w:tcPr>
            <w:tcW w:w="126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w w:val="92"/>
              </w:rPr>
              <w:t>728,795</w:t>
            </w:r>
          </w:p>
        </w:tc>
        <w:tc>
          <w:tcPr>
            <w:tcW w:w="134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4"/>
                <w:szCs w:val="14"/>
                <w:color w:val="auto"/>
                <w:w w:val="96"/>
              </w:rPr>
              <w:t>707,042</w:t>
            </w:r>
          </w:p>
        </w:tc>
        <w:tc>
          <w:tcPr>
            <w:tcW w:w="86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rPr>
              <w:t>-3.0%</w:t>
            </w:r>
          </w:p>
        </w:tc>
        <w:tc>
          <w:tcPr>
            <w:tcW w:w="92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79"/>
        </w:trPr>
        <w:tc>
          <w:tcPr>
            <w:tcW w:w="5640" w:type="dxa"/>
            <w:vAlign w:val="bottom"/>
            <w:tcBorders>
              <w:left w:val="single" w:sz="8" w:color="auto"/>
              <w:right w:val="single" w:sz="8" w:color="auto"/>
            </w:tcBorders>
          </w:tcPr>
          <w:p>
            <w:pPr>
              <w:ind w:left="248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17,563,875</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18,361,481</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19,110,416</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4.1%</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8.8%</w:t>
            </w:r>
          </w:p>
        </w:tc>
        <w:tc>
          <w:tcPr>
            <w:tcW w:w="0" w:type="dxa"/>
            <w:vAlign w:val="bottom"/>
          </w:tcPr>
          <w:p>
            <w:pPr>
              <w:spacing w:after="0"/>
              <w:rPr>
                <w:sz w:val="1"/>
                <w:szCs w:val="1"/>
                <w:color w:val="auto"/>
              </w:rPr>
            </w:pPr>
          </w:p>
        </w:tc>
      </w:tr>
      <w:tr>
        <w:trPr>
          <w:trHeight w:val="244"/>
        </w:trPr>
        <w:tc>
          <w:tcPr>
            <w:tcW w:w="56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LIABILITIES AND NET SHAREHOLDERS’ EQUITY</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5"/>
              </w:rPr>
              <w:t>11,330,151</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11,088,854</w:t>
            </w:r>
          </w:p>
        </w:tc>
        <w:tc>
          <w:tcPr>
            <w:tcW w:w="1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5"/>
              </w:rPr>
              <w:t>11,126,091</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5"/>
              </w:rPr>
              <w:t>0.3%</w:t>
            </w: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40"/>
        </w:trPr>
        <w:tc>
          <w:tcPr>
            <w:tcW w:w="5640" w:type="dxa"/>
            <w:vAlign w:val="bottom"/>
            <w:tcBorders>
              <w:left w:val="single" w:sz="8" w:color="auto"/>
              <w:right w:val="single" w:sz="8" w:color="auto"/>
            </w:tcBorders>
          </w:tcPr>
          <w:p>
            <w:pPr>
              <w:ind w:left="100"/>
              <w:spacing w:after="0" w:line="140" w:lineRule="exact"/>
              <w:rPr>
                <w:sz w:val="20"/>
                <w:szCs w:val="20"/>
                <w:color w:val="auto"/>
              </w:rPr>
            </w:pPr>
            <w:r>
              <w:rPr>
                <w:rFonts w:ascii="Times New Roman" w:cs="Times New Roman" w:eastAsia="Times New Roman" w:hAnsi="Times New Roman"/>
                <w:sz w:val="14"/>
                <w:szCs w:val="14"/>
                <w:color w:val="auto"/>
              </w:rPr>
              <w:t>Deposits and obligations</w:t>
            </w:r>
          </w:p>
        </w:tc>
        <w:tc>
          <w:tcPr>
            <w:tcW w:w="1240" w:type="dxa"/>
            <w:vAlign w:val="bottom"/>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1340" w:type="dxa"/>
            <w:vAlign w:val="bottom"/>
            <w:tcBorders>
              <w:right w:val="single" w:sz="8" w:color="auto"/>
            </w:tcBorders>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9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640" w:type="dxa"/>
            <w:vAlign w:val="bottom"/>
            <w:tcBorders>
              <w:left w:val="single" w:sz="8" w:color="auto"/>
              <w:right w:val="single" w:sz="8" w:color="auto"/>
            </w:tcBorders>
          </w:tcPr>
          <w:p>
            <w:pPr>
              <w:ind w:left="100"/>
              <w:spacing w:after="0" w:line="140" w:lineRule="exact"/>
              <w:rPr>
                <w:sz w:val="20"/>
                <w:szCs w:val="20"/>
                <w:color w:val="auto"/>
              </w:rPr>
            </w:pPr>
            <w:r>
              <w:rPr>
                <w:rFonts w:ascii="Times New Roman" w:cs="Times New Roman" w:eastAsia="Times New Roman" w:hAnsi="Times New Roman"/>
                <w:sz w:val="14"/>
                <w:szCs w:val="14"/>
                <w:color w:val="auto"/>
              </w:rPr>
              <w:t>Due to banks and correspondents</w:t>
            </w:r>
          </w:p>
        </w:tc>
        <w:tc>
          <w:tcPr>
            <w:tcW w:w="124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1,763,462</w:t>
            </w:r>
          </w:p>
        </w:tc>
        <w:tc>
          <w:tcPr>
            <w:tcW w:w="12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2,268,219</w:t>
            </w:r>
          </w:p>
        </w:tc>
        <w:tc>
          <w:tcPr>
            <w:tcW w:w="134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2,743,364</w:t>
            </w:r>
          </w:p>
        </w:tc>
        <w:tc>
          <w:tcPr>
            <w:tcW w:w="8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3"/>
              </w:rPr>
              <w:t>20.9%</w:t>
            </w:r>
          </w:p>
        </w:tc>
        <w:tc>
          <w:tcPr>
            <w:tcW w:w="92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3"/>
              </w:rPr>
              <w:t>55.6%</w:t>
            </w:r>
          </w:p>
        </w:tc>
        <w:tc>
          <w:tcPr>
            <w:tcW w:w="0" w:type="dxa"/>
            <w:vAlign w:val="bottom"/>
          </w:tcPr>
          <w:p>
            <w:pPr>
              <w:spacing w:after="0"/>
              <w:rPr>
                <w:sz w:val="1"/>
                <w:szCs w:val="1"/>
                <w:color w:val="auto"/>
              </w:rPr>
            </w:pPr>
          </w:p>
        </w:tc>
      </w:tr>
      <w:tr>
        <w:trPr>
          <w:trHeight w:val="140"/>
        </w:trPr>
        <w:tc>
          <w:tcPr>
            <w:tcW w:w="5640" w:type="dxa"/>
            <w:vAlign w:val="bottom"/>
            <w:tcBorders>
              <w:left w:val="single" w:sz="8" w:color="auto"/>
              <w:right w:val="single" w:sz="8" w:color="auto"/>
            </w:tcBorders>
          </w:tcPr>
          <w:p>
            <w:pPr>
              <w:ind w:left="100"/>
              <w:spacing w:after="0" w:line="140" w:lineRule="exact"/>
              <w:rPr>
                <w:sz w:val="20"/>
                <w:szCs w:val="20"/>
                <w:color w:val="auto"/>
              </w:rPr>
            </w:pPr>
            <w:r>
              <w:rPr>
                <w:rFonts w:ascii="Times New Roman" w:cs="Times New Roman" w:eastAsia="Times New Roman" w:hAnsi="Times New Roman"/>
                <w:sz w:val="14"/>
                <w:szCs w:val="14"/>
                <w:color w:val="auto"/>
              </w:rPr>
              <w:t>Bonds and subordinated debt</w:t>
            </w:r>
          </w:p>
        </w:tc>
        <w:tc>
          <w:tcPr>
            <w:tcW w:w="124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409,454</w:t>
            </w:r>
          </w:p>
        </w:tc>
        <w:tc>
          <w:tcPr>
            <w:tcW w:w="12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2"/>
              </w:rPr>
              <w:t>671,307</w:t>
            </w:r>
          </w:p>
        </w:tc>
        <w:tc>
          <w:tcPr>
            <w:tcW w:w="134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915,797</w:t>
            </w:r>
          </w:p>
        </w:tc>
        <w:tc>
          <w:tcPr>
            <w:tcW w:w="8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3"/>
              </w:rPr>
              <w:t>36.4%</w:t>
            </w:r>
          </w:p>
        </w:tc>
        <w:tc>
          <w:tcPr>
            <w:tcW w:w="92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7"/>
              </w:rPr>
              <w:t>123.7%</w:t>
            </w:r>
          </w:p>
        </w:tc>
        <w:tc>
          <w:tcPr>
            <w:tcW w:w="0" w:type="dxa"/>
            <w:vAlign w:val="bottom"/>
          </w:tcPr>
          <w:p>
            <w:pPr>
              <w:spacing w:after="0"/>
              <w:rPr>
                <w:sz w:val="1"/>
                <w:szCs w:val="1"/>
                <w:color w:val="auto"/>
              </w:rPr>
            </w:pPr>
          </w:p>
        </w:tc>
      </w:tr>
      <w:tr>
        <w:trPr>
          <w:trHeight w:val="136"/>
        </w:trPr>
        <w:tc>
          <w:tcPr>
            <w:tcW w:w="5640" w:type="dxa"/>
            <w:vAlign w:val="bottom"/>
            <w:tcBorders>
              <w:left w:val="single" w:sz="8" w:color="auto"/>
              <w:right w:val="single" w:sz="8" w:color="auto"/>
            </w:tcBorders>
          </w:tcPr>
          <w:p>
            <w:pPr>
              <w:ind w:left="100"/>
              <w:spacing w:after="0" w:line="136" w:lineRule="exact"/>
              <w:rPr>
                <w:sz w:val="20"/>
                <w:szCs w:val="20"/>
                <w:color w:val="auto"/>
              </w:rPr>
            </w:pPr>
            <w:r>
              <w:rPr>
                <w:rFonts w:ascii="Times New Roman" w:cs="Times New Roman" w:eastAsia="Times New Roman" w:hAnsi="Times New Roman"/>
                <w:sz w:val="14"/>
                <w:szCs w:val="14"/>
                <w:color w:val="auto"/>
              </w:rPr>
              <w:t>Other liabilities</w:t>
            </w:r>
          </w:p>
        </w:tc>
        <w:tc>
          <w:tcPr>
            <w:tcW w:w="124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w w:val="96"/>
              </w:rPr>
              <w:t>1,577,966</w:t>
            </w:r>
          </w:p>
        </w:tc>
        <w:tc>
          <w:tcPr>
            <w:tcW w:w="126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w w:val="96"/>
              </w:rPr>
              <w:t>1,531,150</w:t>
            </w:r>
          </w:p>
        </w:tc>
        <w:tc>
          <w:tcPr>
            <w:tcW w:w="134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4"/>
                <w:szCs w:val="14"/>
                <w:color w:val="auto"/>
                <w:w w:val="96"/>
              </w:rPr>
              <w:t>1,705,528</w:t>
            </w:r>
          </w:p>
        </w:tc>
        <w:tc>
          <w:tcPr>
            <w:tcW w:w="86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w w:val="93"/>
              </w:rPr>
              <w:t>11.4%</w:t>
            </w:r>
          </w:p>
        </w:tc>
        <w:tc>
          <w:tcPr>
            <w:tcW w:w="92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4"/>
                <w:szCs w:val="14"/>
                <w:color w:val="auto"/>
              </w:rPr>
              <w:t>8.1%</w:t>
            </w:r>
          </w:p>
        </w:tc>
        <w:tc>
          <w:tcPr>
            <w:tcW w:w="0" w:type="dxa"/>
            <w:vAlign w:val="bottom"/>
          </w:tcPr>
          <w:p>
            <w:pPr>
              <w:spacing w:after="0"/>
              <w:rPr>
                <w:sz w:val="1"/>
                <w:szCs w:val="1"/>
                <w:color w:val="auto"/>
              </w:rPr>
            </w:pPr>
          </w:p>
        </w:tc>
      </w:tr>
      <w:tr>
        <w:trPr>
          <w:trHeight w:val="179"/>
        </w:trPr>
        <w:tc>
          <w:tcPr>
            <w:tcW w:w="5640" w:type="dxa"/>
            <w:vAlign w:val="bottom"/>
            <w:tcBorders>
              <w:left w:val="single" w:sz="8" w:color="auto"/>
              <w:right w:val="single" w:sz="8" w:color="auto"/>
            </w:tcBorders>
          </w:tcPr>
          <w:p>
            <w:pPr>
              <w:ind w:left="240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15,081,033</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15,559,530</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16,490,780</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6.0%</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9.3%</w:t>
            </w:r>
          </w:p>
        </w:tc>
        <w:tc>
          <w:tcPr>
            <w:tcW w:w="0" w:type="dxa"/>
            <w:vAlign w:val="bottom"/>
          </w:tcPr>
          <w:p>
            <w:pPr>
              <w:spacing w:after="0"/>
              <w:rPr>
                <w:sz w:val="1"/>
                <w:szCs w:val="1"/>
                <w:color w:val="auto"/>
              </w:rPr>
            </w:pPr>
          </w:p>
        </w:tc>
      </w:tr>
      <w:tr>
        <w:trPr>
          <w:trHeight w:val="279"/>
        </w:trPr>
        <w:tc>
          <w:tcPr>
            <w:tcW w:w="56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Net equity</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2,482,842</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2,801,951</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2,619,636</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-6.5%</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5.5%</w:t>
            </w:r>
          </w:p>
        </w:tc>
        <w:tc>
          <w:tcPr>
            <w:tcW w:w="0" w:type="dxa"/>
            <w:vAlign w:val="bottom"/>
          </w:tcPr>
          <w:p>
            <w:pPr>
              <w:spacing w:after="0"/>
              <w:rPr>
                <w:sz w:val="1"/>
                <w:szCs w:val="1"/>
                <w:color w:val="auto"/>
              </w:rPr>
            </w:pPr>
          </w:p>
        </w:tc>
      </w:tr>
      <w:tr>
        <w:trPr>
          <w:trHeight w:val="265"/>
        </w:trPr>
        <w:tc>
          <w:tcPr>
            <w:tcW w:w="56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TOTAL LIABILITIES AND NET SHAREHOLDERS’ EQUITY</w:t>
            </w: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17,563,875</w:t>
            </w: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18,361,481</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19,110,416</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4.1%</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8.8%</w:t>
            </w: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5"/>
          <w:szCs w:val="15"/>
          <w:b w:val="1"/>
          <w:bCs w:val="1"/>
          <w:color w:val="auto"/>
        </w:rPr>
        <w:t>Statement of Income</w:t>
      </w:r>
    </w:p>
    <w:p>
      <w:pPr>
        <w:spacing w:after="0" w:line="2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5"/>
          <w:szCs w:val="15"/>
          <w:b w:val="1"/>
          <w:bCs w:val="1"/>
          <w:color w:val="auto"/>
        </w:rPr>
        <w:t>(S/ Thousands, IFRS)</w:t>
      </w:r>
    </w:p>
    <w:p>
      <w:pPr>
        <w:spacing w:after="0" w:line="193" w:lineRule="exact"/>
        <w:rPr>
          <w:sz w:val="20"/>
          <w:szCs w:val="20"/>
          <w:color w:val="auto"/>
        </w:rPr>
      </w:pPr>
    </w:p>
    <w:tbl>
      <w:tblPr>
        <w:tblLayout w:type="fixed"/>
        <w:tblInd w:w="10" w:type="dxa"/>
        <w:tblCellMar>
          <w:top w:w="0" w:type="dxa"/>
          <w:left w:w="0" w:type="dxa"/>
          <w:bottom w:w="0" w:type="dxa"/>
          <w:right w:w="0" w:type="dxa"/>
        </w:tblCellMar>
      </w:tblPr>
      <w:tr>
        <w:trPr>
          <w:trHeight w:val="128"/>
        </w:trPr>
        <w:tc>
          <w:tcPr>
            <w:tcW w:w="3560" w:type="dxa"/>
            <w:vAlign w:val="bottom"/>
            <w:tcBorders>
              <w:top w:val="single" w:sz="8" w:color="auto"/>
              <w:left w:val="single" w:sz="8" w:color="auto"/>
            </w:tcBorders>
            <w:shd w:val="clear" w:color="auto" w:fill="2AD2C9"/>
          </w:tcPr>
          <w:p>
            <w:pPr>
              <w:spacing w:after="0"/>
              <w:rPr>
                <w:sz w:val="11"/>
                <w:szCs w:val="11"/>
                <w:color w:val="auto"/>
              </w:rPr>
            </w:pPr>
          </w:p>
        </w:tc>
        <w:tc>
          <w:tcPr>
            <w:tcW w:w="2080" w:type="dxa"/>
            <w:vAlign w:val="bottom"/>
            <w:tcBorders>
              <w:top w:val="single" w:sz="8" w:color="auto"/>
              <w:right w:val="single" w:sz="8" w:color="auto"/>
            </w:tcBorders>
            <w:shd w:val="clear" w:color="auto" w:fill="2AD2C9"/>
          </w:tcPr>
          <w:p>
            <w:pPr>
              <w:spacing w:after="0"/>
              <w:rPr>
                <w:sz w:val="11"/>
                <w:szCs w:val="11"/>
                <w:color w:val="auto"/>
              </w:rPr>
            </w:pPr>
          </w:p>
        </w:tc>
        <w:tc>
          <w:tcPr>
            <w:tcW w:w="120" w:type="dxa"/>
            <w:vAlign w:val="bottom"/>
            <w:tcBorders>
              <w:top w:val="single" w:sz="8" w:color="auto"/>
              <w:right w:val="single" w:sz="8" w:color="2AD2C9"/>
            </w:tcBorders>
            <w:shd w:val="clear" w:color="auto" w:fill="2AD2C9"/>
          </w:tcPr>
          <w:p>
            <w:pPr>
              <w:spacing w:after="0"/>
              <w:rPr>
                <w:sz w:val="11"/>
                <w:szCs w:val="11"/>
                <w:color w:val="auto"/>
              </w:rPr>
            </w:pPr>
          </w:p>
        </w:tc>
        <w:tc>
          <w:tcPr>
            <w:tcW w:w="1140" w:type="dxa"/>
            <w:vAlign w:val="bottom"/>
            <w:tcBorders>
              <w:top w:val="single" w:sz="8" w:color="auto"/>
            </w:tcBorders>
            <w:shd w:val="clear" w:color="auto" w:fill="2AD2C9"/>
          </w:tcPr>
          <w:p>
            <w:pPr>
              <w:spacing w:after="0"/>
              <w:rPr>
                <w:sz w:val="11"/>
                <w:szCs w:val="11"/>
                <w:color w:val="auto"/>
              </w:rPr>
            </w:pPr>
          </w:p>
        </w:tc>
        <w:tc>
          <w:tcPr>
            <w:tcW w:w="1280" w:type="dxa"/>
            <w:vAlign w:val="bottom"/>
            <w:tcBorders>
              <w:top w:val="single" w:sz="8" w:color="auto"/>
            </w:tcBorders>
            <w:shd w:val="clear" w:color="auto" w:fill="2AD2C9"/>
          </w:tcPr>
          <w:p>
            <w:pPr>
              <w:ind w:left="420"/>
              <w:spacing w:after="0" w:line="128" w:lineRule="exact"/>
              <w:rPr>
                <w:sz w:val="20"/>
                <w:szCs w:val="20"/>
                <w:color w:val="auto"/>
              </w:rPr>
            </w:pPr>
            <w:r>
              <w:rPr>
                <w:rFonts w:ascii="Times New Roman" w:cs="Times New Roman" w:eastAsia="Times New Roman" w:hAnsi="Times New Roman"/>
                <w:sz w:val="14"/>
                <w:szCs w:val="14"/>
                <w:b w:val="1"/>
                <w:bCs w:val="1"/>
                <w:color w:val="FFFFFF"/>
              </w:rPr>
              <w:t>Quarter</w:t>
            </w:r>
          </w:p>
        </w:tc>
        <w:tc>
          <w:tcPr>
            <w:tcW w:w="1300" w:type="dxa"/>
            <w:vAlign w:val="bottom"/>
            <w:tcBorders>
              <w:top w:val="single" w:sz="8" w:color="auto"/>
              <w:right w:val="single" w:sz="8" w:color="auto"/>
            </w:tcBorders>
            <w:shd w:val="clear" w:color="auto" w:fill="2AD2C9"/>
          </w:tcPr>
          <w:p>
            <w:pPr>
              <w:spacing w:after="0"/>
              <w:rPr>
                <w:sz w:val="11"/>
                <w:szCs w:val="11"/>
                <w:color w:val="auto"/>
              </w:rPr>
            </w:pPr>
          </w:p>
        </w:tc>
        <w:tc>
          <w:tcPr>
            <w:tcW w:w="1780" w:type="dxa"/>
            <w:vAlign w:val="bottom"/>
            <w:tcBorders>
              <w:top w:val="single" w:sz="8" w:color="auto"/>
              <w:right w:val="single" w:sz="8" w:color="auto"/>
            </w:tcBorders>
            <w:gridSpan w:val="2"/>
            <w:shd w:val="clear" w:color="auto" w:fill="2AD2C9"/>
          </w:tcPr>
          <w:p>
            <w:pPr>
              <w:jc w:val="center"/>
              <w:spacing w:after="0" w:line="128" w:lineRule="exact"/>
              <w:rPr>
                <w:sz w:val="20"/>
                <w:szCs w:val="20"/>
                <w:color w:val="auto"/>
              </w:rPr>
            </w:pPr>
            <w:r>
              <w:rPr>
                <w:rFonts w:ascii="Times New Roman" w:cs="Times New Roman" w:eastAsia="Times New Roman" w:hAnsi="Times New Roman"/>
                <w:sz w:val="14"/>
                <w:szCs w:val="14"/>
                <w:b w:val="1"/>
                <w:bCs w:val="1"/>
                <w:color w:val="FFFFFF"/>
                <w:w w:val="97"/>
              </w:rPr>
              <w:t>% change</w:t>
            </w:r>
          </w:p>
        </w:tc>
      </w:tr>
      <w:tr>
        <w:trPr>
          <w:trHeight w:val="164"/>
        </w:trPr>
        <w:tc>
          <w:tcPr>
            <w:tcW w:w="3560" w:type="dxa"/>
            <w:vAlign w:val="bottom"/>
            <w:tcBorders>
              <w:left w:val="single" w:sz="8" w:color="auto"/>
              <w:bottom w:val="single" w:sz="8" w:color="auto"/>
            </w:tcBorders>
            <w:shd w:val="clear" w:color="auto" w:fill="2AD2C9"/>
          </w:tcPr>
          <w:p>
            <w:pPr>
              <w:spacing w:after="0"/>
              <w:rPr>
                <w:sz w:val="14"/>
                <w:szCs w:val="14"/>
                <w:color w:val="auto"/>
              </w:rPr>
            </w:pPr>
          </w:p>
        </w:tc>
        <w:tc>
          <w:tcPr>
            <w:tcW w:w="2080" w:type="dxa"/>
            <w:vAlign w:val="bottom"/>
            <w:tcBorders>
              <w:bottom w:val="single" w:sz="8" w:color="auto"/>
              <w:right w:val="single" w:sz="8" w:color="auto"/>
            </w:tcBorders>
            <w:shd w:val="clear" w:color="auto" w:fill="2AD2C9"/>
          </w:tcPr>
          <w:p>
            <w:pPr>
              <w:spacing w:after="0"/>
              <w:rPr>
                <w:sz w:val="14"/>
                <w:szCs w:val="14"/>
                <w:color w:val="auto"/>
              </w:rPr>
            </w:pPr>
          </w:p>
        </w:tc>
        <w:tc>
          <w:tcPr>
            <w:tcW w:w="120" w:type="dxa"/>
            <w:vAlign w:val="bottom"/>
            <w:tcBorders>
              <w:bottom w:val="single" w:sz="8" w:color="auto"/>
              <w:right w:val="single" w:sz="8" w:color="2AD2C9"/>
            </w:tcBorders>
            <w:shd w:val="clear" w:color="auto" w:fill="2AD2C9"/>
          </w:tcPr>
          <w:p>
            <w:pPr>
              <w:spacing w:after="0"/>
              <w:rPr>
                <w:sz w:val="14"/>
                <w:szCs w:val="14"/>
                <w:color w:val="auto"/>
              </w:rPr>
            </w:pPr>
          </w:p>
        </w:tc>
        <w:tc>
          <w:tcPr>
            <w:tcW w:w="1140" w:type="dxa"/>
            <w:vAlign w:val="bottom"/>
            <w:tcBorders>
              <w:bottom w:val="single" w:sz="8" w:color="auto"/>
            </w:tcBorders>
            <w:shd w:val="clear" w:color="auto" w:fill="2AD2C9"/>
          </w:tcPr>
          <w:p>
            <w:pPr>
              <w:jc w:val="center"/>
              <w:ind w:right="93"/>
              <w:spacing w:after="0"/>
              <w:rPr>
                <w:sz w:val="20"/>
                <w:szCs w:val="20"/>
                <w:color w:val="auto"/>
              </w:rPr>
            </w:pPr>
            <w:r>
              <w:rPr>
                <w:rFonts w:ascii="Times New Roman" w:cs="Times New Roman" w:eastAsia="Times New Roman" w:hAnsi="Times New Roman"/>
                <w:sz w:val="14"/>
                <w:szCs w:val="14"/>
                <w:b w:val="1"/>
                <w:bCs w:val="1"/>
                <w:color w:val="FFFFFF"/>
                <w:w w:val="93"/>
              </w:rPr>
              <w:t>1Q25</w:t>
            </w:r>
          </w:p>
        </w:tc>
        <w:tc>
          <w:tcPr>
            <w:tcW w:w="1280" w:type="dxa"/>
            <w:vAlign w:val="bottom"/>
            <w:tcBorders>
              <w:bottom w:val="single" w:sz="8" w:color="auto"/>
            </w:tcBorders>
            <w:shd w:val="clear" w:color="auto" w:fill="2AD2C9"/>
          </w:tcPr>
          <w:p>
            <w:pPr>
              <w:jc w:val="center"/>
              <w:ind w:right="33"/>
              <w:spacing w:after="0"/>
              <w:rPr>
                <w:sz w:val="20"/>
                <w:szCs w:val="20"/>
                <w:color w:val="auto"/>
              </w:rPr>
            </w:pPr>
            <w:r>
              <w:rPr>
                <w:rFonts w:ascii="Times New Roman" w:cs="Times New Roman" w:eastAsia="Times New Roman" w:hAnsi="Times New Roman"/>
                <w:sz w:val="14"/>
                <w:szCs w:val="14"/>
                <w:b w:val="1"/>
                <w:bCs w:val="1"/>
                <w:color w:val="FFFFFF"/>
                <w:w w:val="93"/>
              </w:rPr>
              <w:t>4Q25</w:t>
            </w:r>
          </w:p>
        </w:tc>
        <w:tc>
          <w:tcPr>
            <w:tcW w:w="1300" w:type="dxa"/>
            <w:vAlign w:val="bottom"/>
            <w:tcBorders>
              <w:bottom w:val="single" w:sz="8" w:color="auto"/>
              <w:right w:val="single" w:sz="8" w:color="auto"/>
            </w:tcBorders>
            <w:shd w:val="clear" w:color="auto" w:fill="2AD2C9"/>
          </w:tcPr>
          <w:p>
            <w:pPr>
              <w:jc w:val="center"/>
              <w:ind w:right="13"/>
              <w:spacing w:after="0"/>
              <w:rPr>
                <w:sz w:val="20"/>
                <w:szCs w:val="20"/>
                <w:color w:val="auto"/>
              </w:rPr>
            </w:pPr>
            <w:r>
              <w:rPr>
                <w:rFonts w:ascii="Times New Roman" w:cs="Times New Roman" w:eastAsia="Times New Roman" w:hAnsi="Times New Roman"/>
                <w:sz w:val="14"/>
                <w:szCs w:val="14"/>
                <w:b w:val="1"/>
                <w:bCs w:val="1"/>
                <w:color w:val="FFFFFF"/>
                <w:w w:val="93"/>
              </w:rPr>
              <w:t>1Q26</w:t>
            </w:r>
          </w:p>
        </w:tc>
        <w:tc>
          <w:tcPr>
            <w:tcW w:w="860" w:type="dxa"/>
            <w:vAlign w:val="bottom"/>
            <w:tcBorders>
              <w:bottom w:val="single" w:sz="8" w:color="auto"/>
            </w:tcBorders>
            <w:shd w:val="clear" w:color="auto" w:fill="2AD2C9"/>
          </w:tcPr>
          <w:p>
            <w:pPr>
              <w:jc w:val="center"/>
              <w:spacing w:after="0"/>
              <w:rPr>
                <w:sz w:val="20"/>
                <w:szCs w:val="20"/>
                <w:color w:val="auto"/>
              </w:rPr>
            </w:pPr>
            <w:r>
              <w:rPr>
                <w:rFonts w:ascii="Times New Roman" w:cs="Times New Roman" w:eastAsia="Times New Roman" w:hAnsi="Times New Roman"/>
                <w:sz w:val="14"/>
                <w:szCs w:val="14"/>
                <w:b w:val="1"/>
                <w:bCs w:val="1"/>
                <w:color w:val="FFFFFF"/>
                <w:w w:val="97"/>
              </w:rPr>
              <w:t>QoQ</w:t>
            </w:r>
          </w:p>
        </w:tc>
        <w:tc>
          <w:tcPr>
            <w:tcW w:w="92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Times New Roman" w:cs="Times New Roman" w:eastAsia="Times New Roman" w:hAnsi="Times New Roman"/>
                <w:sz w:val="14"/>
                <w:szCs w:val="14"/>
                <w:b w:val="1"/>
                <w:bCs w:val="1"/>
                <w:color w:val="FFFFFF"/>
                <w:w w:val="95"/>
              </w:rPr>
              <w:t>YoY</w:t>
            </w:r>
          </w:p>
        </w:tc>
      </w:tr>
      <w:tr>
        <w:trPr>
          <w:trHeight w:val="112"/>
        </w:trPr>
        <w:tc>
          <w:tcPr>
            <w:tcW w:w="3560" w:type="dxa"/>
            <w:vAlign w:val="bottom"/>
            <w:tcBorders>
              <w:left w:val="single" w:sz="8" w:color="auto"/>
            </w:tcBorders>
          </w:tcPr>
          <w:p>
            <w:pPr>
              <w:ind w:left="100"/>
              <w:spacing w:after="0" w:line="112" w:lineRule="exact"/>
              <w:rPr>
                <w:sz w:val="20"/>
                <w:szCs w:val="20"/>
                <w:color w:val="auto"/>
              </w:rPr>
            </w:pPr>
            <w:r>
              <w:rPr>
                <w:rFonts w:ascii="Times New Roman" w:cs="Times New Roman" w:eastAsia="Times New Roman" w:hAnsi="Times New Roman"/>
                <w:sz w:val="12"/>
                <w:szCs w:val="12"/>
                <w:color w:val="auto"/>
              </w:rPr>
              <w:t>Net interest income</w:t>
            </w:r>
          </w:p>
        </w:tc>
        <w:tc>
          <w:tcPr>
            <w:tcW w:w="2080" w:type="dxa"/>
            <w:vAlign w:val="bottom"/>
            <w:tcBorders>
              <w:right w:val="single" w:sz="8" w:color="auto"/>
            </w:tcBorders>
          </w:tcPr>
          <w:p>
            <w:pPr>
              <w:spacing w:after="0"/>
              <w:rPr>
                <w:sz w:val="9"/>
                <w:szCs w:val="9"/>
                <w:color w:val="auto"/>
              </w:rPr>
            </w:pPr>
          </w:p>
        </w:tc>
        <w:tc>
          <w:tcPr>
            <w:tcW w:w="1260" w:type="dxa"/>
            <w:vAlign w:val="bottom"/>
            <w:gridSpan w:val="2"/>
          </w:tcPr>
          <w:p>
            <w:pPr>
              <w:jc w:val="center"/>
              <w:spacing w:after="0" w:line="112" w:lineRule="exact"/>
              <w:rPr>
                <w:sz w:val="20"/>
                <w:szCs w:val="20"/>
                <w:color w:val="auto"/>
              </w:rPr>
            </w:pPr>
            <w:r>
              <w:rPr>
                <w:rFonts w:ascii="Times New Roman" w:cs="Times New Roman" w:eastAsia="Times New Roman" w:hAnsi="Times New Roman"/>
                <w:sz w:val="12"/>
                <w:szCs w:val="12"/>
                <w:color w:val="auto"/>
              </w:rPr>
              <w:t>579,900</w:t>
            </w:r>
          </w:p>
        </w:tc>
        <w:tc>
          <w:tcPr>
            <w:tcW w:w="1280" w:type="dxa"/>
            <w:vAlign w:val="bottom"/>
          </w:tcPr>
          <w:p>
            <w:pPr>
              <w:jc w:val="center"/>
              <w:ind w:right="33"/>
              <w:spacing w:after="0" w:line="112" w:lineRule="exact"/>
              <w:rPr>
                <w:sz w:val="20"/>
                <w:szCs w:val="20"/>
                <w:color w:val="auto"/>
              </w:rPr>
            </w:pPr>
            <w:r>
              <w:rPr>
                <w:rFonts w:ascii="Times New Roman" w:cs="Times New Roman" w:eastAsia="Times New Roman" w:hAnsi="Times New Roman"/>
                <w:sz w:val="12"/>
                <w:szCs w:val="12"/>
                <w:color w:val="auto"/>
              </w:rPr>
              <w:t>661,425</w:t>
            </w:r>
          </w:p>
        </w:tc>
        <w:tc>
          <w:tcPr>
            <w:tcW w:w="1300" w:type="dxa"/>
            <w:vAlign w:val="bottom"/>
            <w:tcBorders>
              <w:right w:val="single" w:sz="8" w:color="auto"/>
            </w:tcBorders>
          </w:tcPr>
          <w:p>
            <w:pPr>
              <w:jc w:val="center"/>
              <w:ind w:right="33"/>
              <w:spacing w:after="0" w:line="112" w:lineRule="exact"/>
              <w:rPr>
                <w:sz w:val="20"/>
                <w:szCs w:val="20"/>
                <w:color w:val="auto"/>
              </w:rPr>
            </w:pPr>
            <w:r>
              <w:rPr>
                <w:rFonts w:ascii="Times New Roman" w:cs="Times New Roman" w:eastAsia="Times New Roman" w:hAnsi="Times New Roman"/>
                <w:sz w:val="12"/>
                <w:szCs w:val="12"/>
                <w:color w:val="auto"/>
              </w:rPr>
              <w:t>677,933</w:t>
            </w:r>
          </w:p>
        </w:tc>
        <w:tc>
          <w:tcPr>
            <w:tcW w:w="860" w:type="dxa"/>
            <w:vAlign w:val="bottom"/>
          </w:tcPr>
          <w:p>
            <w:pPr>
              <w:jc w:val="center"/>
              <w:spacing w:after="0" w:line="112" w:lineRule="exact"/>
              <w:rPr>
                <w:sz w:val="20"/>
                <w:szCs w:val="20"/>
                <w:color w:val="auto"/>
              </w:rPr>
            </w:pPr>
            <w:r>
              <w:rPr>
                <w:rFonts w:ascii="Times New Roman" w:cs="Times New Roman" w:eastAsia="Times New Roman" w:hAnsi="Times New Roman"/>
                <w:sz w:val="12"/>
                <w:szCs w:val="12"/>
                <w:color w:val="auto"/>
              </w:rPr>
              <w:t>2.5%</w:t>
            </w:r>
          </w:p>
        </w:tc>
        <w:tc>
          <w:tcPr>
            <w:tcW w:w="920" w:type="dxa"/>
            <w:vAlign w:val="bottom"/>
            <w:tcBorders>
              <w:right w:val="single" w:sz="8" w:color="auto"/>
            </w:tcBorders>
          </w:tcPr>
          <w:p>
            <w:pPr>
              <w:jc w:val="center"/>
              <w:spacing w:after="0" w:line="112" w:lineRule="exact"/>
              <w:rPr>
                <w:sz w:val="20"/>
                <w:szCs w:val="20"/>
                <w:color w:val="auto"/>
              </w:rPr>
            </w:pPr>
            <w:r>
              <w:rPr>
                <w:rFonts w:ascii="Times New Roman" w:cs="Times New Roman" w:eastAsia="Times New Roman" w:hAnsi="Times New Roman"/>
                <w:sz w:val="12"/>
                <w:szCs w:val="12"/>
                <w:color w:val="auto"/>
              </w:rPr>
              <w:t>16.9%</w:t>
            </w:r>
          </w:p>
        </w:tc>
      </w:tr>
      <w:tr>
        <w:trPr>
          <w:trHeight w:val="136"/>
        </w:trPr>
        <w:tc>
          <w:tcPr>
            <w:tcW w:w="3560" w:type="dxa"/>
            <w:vAlign w:val="bottom"/>
            <w:tcBorders>
              <w:left w:val="single" w:sz="8" w:color="auto"/>
            </w:tcBorders>
          </w:tcPr>
          <w:p>
            <w:pPr>
              <w:ind w:left="100"/>
              <w:spacing w:after="0" w:line="136" w:lineRule="exact"/>
              <w:rPr>
                <w:sz w:val="20"/>
                <w:szCs w:val="20"/>
                <w:color w:val="auto"/>
              </w:rPr>
            </w:pPr>
            <w:r>
              <w:rPr>
                <w:rFonts w:ascii="Times New Roman" w:cs="Times New Roman" w:eastAsia="Times New Roman" w:hAnsi="Times New Roman"/>
                <w:sz w:val="14"/>
                <w:szCs w:val="14"/>
                <w:color w:val="auto"/>
              </w:rPr>
              <w:t>Provision for loan losses, net of recoveries</w:t>
            </w:r>
          </w:p>
        </w:tc>
        <w:tc>
          <w:tcPr>
            <w:tcW w:w="2080" w:type="dxa"/>
            <w:vAlign w:val="bottom"/>
            <w:tcBorders>
              <w:right w:val="single" w:sz="8" w:color="auto"/>
            </w:tcBorders>
          </w:tcPr>
          <w:p>
            <w:pPr>
              <w:spacing w:after="0"/>
              <w:rPr>
                <w:sz w:val="11"/>
                <w:szCs w:val="11"/>
                <w:color w:val="auto"/>
              </w:rPr>
            </w:pPr>
          </w:p>
        </w:tc>
        <w:tc>
          <w:tcPr>
            <w:tcW w:w="1260" w:type="dxa"/>
            <w:vAlign w:val="bottom"/>
            <w:gridSpan w:val="2"/>
          </w:tcPr>
          <w:p>
            <w:pPr>
              <w:jc w:val="center"/>
              <w:spacing w:after="0" w:line="136" w:lineRule="exact"/>
              <w:rPr>
                <w:sz w:val="20"/>
                <w:szCs w:val="20"/>
                <w:color w:val="auto"/>
              </w:rPr>
            </w:pPr>
            <w:r>
              <w:rPr>
                <w:rFonts w:ascii="Times New Roman" w:cs="Times New Roman" w:eastAsia="Times New Roman" w:hAnsi="Times New Roman"/>
                <w:sz w:val="14"/>
                <w:szCs w:val="14"/>
                <w:color w:val="auto"/>
                <w:w w:val="98"/>
              </w:rPr>
              <w:t>(158,212)</w:t>
            </w:r>
          </w:p>
        </w:tc>
        <w:tc>
          <w:tcPr>
            <w:tcW w:w="1280" w:type="dxa"/>
            <w:vAlign w:val="bottom"/>
          </w:tcPr>
          <w:p>
            <w:pPr>
              <w:jc w:val="center"/>
              <w:ind w:right="33"/>
              <w:spacing w:after="0" w:line="136" w:lineRule="exact"/>
              <w:rPr>
                <w:sz w:val="20"/>
                <w:szCs w:val="20"/>
                <w:color w:val="auto"/>
              </w:rPr>
            </w:pPr>
            <w:r>
              <w:rPr>
                <w:rFonts w:ascii="Times New Roman" w:cs="Times New Roman" w:eastAsia="Times New Roman" w:hAnsi="Times New Roman"/>
                <w:sz w:val="14"/>
                <w:szCs w:val="14"/>
                <w:color w:val="auto"/>
                <w:w w:val="98"/>
              </w:rPr>
              <w:t>(158,622)</w:t>
            </w:r>
          </w:p>
        </w:tc>
        <w:tc>
          <w:tcPr>
            <w:tcW w:w="1300" w:type="dxa"/>
            <w:vAlign w:val="bottom"/>
            <w:tcBorders>
              <w:right w:val="single" w:sz="8" w:color="auto"/>
            </w:tcBorders>
          </w:tcPr>
          <w:p>
            <w:pPr>
              <w:jc w:val="center"/>
              <w:ind w:right="33"/>
              <w:spacing w:after="0" w:line="136" w:lineRule="exact"/>
              <w:rPr>
                <w:sz w:val="20"/>
                <w:szCs w:val="20"/>
                <w:color w:val="auto"/>
              </w:rPr>
            </w:pPr>
            <w:r>
              <w:rPr>
                <w:rFonts w:ascii="Times New Roman" w:cs="Times New Roman" w:eastAsia="Times New Roman" w:hAnsi="Times New Roman"/>
                <w:sz w:val="14"/>
                <w:szCs w:val="14"/>
                <w:color w:val="auto"/>
                <w:w w:val="94"/>
              </w:rPr>
              <w:t>(166,972)</w:t>
            </w:r>
          </w:p>
        </w:tc>
        <w:tc>
          <w:tcPr>
            <w:tcW w:w="86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w w:val="95"/>
              </w:rPr>
              <w:t>5.3%</w:t>
            </w:r>
          </w:p>
        </w:tc>
        <w:tc>
          <w:tcPr>
            <w:tcW w:w="92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4"/>
                <w:szCs w:val="14"/>
                <w:color w:val="auto"/>
              </w:rPr>
              <w:t>5.5%</w:t>
            </w:r>
          </w:p>
        </w:tc>
      </w:tr>
      <w:tr>
        <w:trPr>
          <w:trHeight w:val="144"/>
        </w:trPr>
        <w:tc>
          <w:tcPr>
            <w:tcW w:w="3560" w:type="dxa"/>
            <w:vAlign w:val="bottom"/>
            <w:tcBorders>
              <w:left w:val="single" w:sz="8" w:color="auto"/>
            </w:tcBorders>
          </w:tcPr>
          <w:p>
            <w:pPr>
              <w:ind w:left="100"/>
              <w:spacing w:after="0" w:line="144" w:lineRule="exact"/>
              <w:rPr>
                <w:sz w:val="20"/>
                <w:szCs w:val="20"/>
                <w:color w:val="auto"/>
              </w:rPr>
            </w:pPr>
            <w:r>
              <w:rPr>
                <w:rFonts w:ascii="Times New Roman" w:cs="Times New Roman" w:eastAsia="Times New Roman" w:hAnsi="Times New Roman"/>
                <w:sz w:val="14"/>
                <w:szCs w:val="14"/>
                <w:b w:val="1"/>
                <w:bCs w:val="1"/>
                <w:color w:val="auto"/>
              </w:rPr>
              <w:t>Net interest income after provisions</w:t>
            </w:r>
          </w:p>
        </w:tc>
        <w:tc>
          <w:tcPr>
            <w:tcW w:w="2080" w:type="dxa"/>
            <w:vAlign w:val="bottom"/>
            <w:tcBorders>
              <w:right w:val="single" w:sz="8" w:color="auto"/>
            </w:tcBorders>
          </w:tcPr>
          <w:p>
            <w:pPr>
              <w:spacing w:after="0"/>
              <w:rPr>
                <w:sz w:val="12"/>
                <w:szCs w:val="12"/>
                <w:color w:val="auto"/>
              </w:rPr>
            </w:pPr>
          </w:p>
        </w:tc>
        <w:tc>
          <w:tcPr>
            <w:tcW w:w="1260" w:type="dxa"/>
            <w:vAlign w:val="bottom"/>
            <w:gridSpan w:val="2"/>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6"/>
              </w:rPr>
              <w:t>421,688</w:t>
            </w:r>
          </w:p>
        </w:tc>
        <w:tc>
          <w:tcPr>
            <w:tcW w:w="1280" w:type="dxa"/>
            <w:vAlign w:val="bottom"/>
          </w:tcPr>
          <w:p>
            <w:pPr>
              <w:jc w:val="center"/>
              <w:ind w:right="33"/>
              <w:spacing w:after="0" w:line="144" w:lineRule="exact"/>
              <w:rPr>
                <w:sz w:val="20"/>
                <w:szCs w:val="20"/>
                <w:color w:val="auto"/>
              </w:rPr>
            </w:pPr>
            <w:r>
              <w:rPr>
                <w:rFonts w:ascii="Times New Roman" w:cs="Times New Roman" w:eastAsia="Times New Roman" w:hAnsi="Times New Roman"/>
                <w:sz w:val="14"/>
                <w:szCs w:val="14"/>
                <w:b w:val="1"/>
                <w:bCs w:val="1"/>
                <w:color w:val="auto"/>
                <w:w w:val="92"/>
              </w:rPr>
              <w:t>502,803</w:t>
            </w:r>
          </w:p>
        </w:tc>
        <w:tc>
          <w:tcPr>
            <w:tcW w:w="1300" w:type="dxa"/>
            <w:vAlign w:val="bottom"/>
            <w:tcBorders>
              <w:right w:val="single" w:sz="8" w:color="auto"/>
            </w:tcBorders>
          </w:tcPr>
          <w:p>
            <w:pPr>
              <w:jc w:val="center"/>
              <w:ind w:right="33"/>
              <w:spacing w:after="0" w:line="144" w:lineRule="exact"/>
              <w:rPr>
                <w:sz w:val="20"/>
                <w:szCs w:val="20"/>
                <w:color w:val="auto"/>
              </w:rPr>
            </w:pPr>
            <w:r>
              <w:rPr>
                <w:rFonts w:ascii="Times New Roman" w:cs="Times New Roman" w:eastAsia="Times New Roman" w:hAnsi="Times New Roman"/>
                <w:sz w:val="14"/>
                <w:szCs w:val="14"/>
                <w:b w:val="1"/>
                <w:bCs w:val="1"/>
                <w:color w:val="auto"/>
                <w:w w:val="96"/>
              </w:rPr>
              <w:t>510,961</w:t>
            </w:r>
          </w:p>
        </w:tc>
        <w:tc>
          <w:tcPr>
            <w:tcW w:w="86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5"/>
              </w:rPr>
              <w:t>1.6%</w:t>
            </w:r>
          </w:p>
        </w:tc>
        <w:tc>
          <w:tcPr>
            <w:tcW w:w="920" w:type="dxa"/>
            <w:vAlign w:val="bottom"/>
            <w:tcBorders>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8"/>
              </w:rPr>
              <w:t>21.2%</w:t>
            </w:r>
          </w:p>
        </w:tc>
      </w:tr>
      <w:tr>
        <w:trPr>
          <w:trHeight w:val="140"/>
        </w:trPr>
        <w:tc>
          <w:tcPr>
            <w:tcW w:w="3560" w:type="dxa"/>
            <w:vAlign w:val="bottom"/>
            <w:tcBorders>
              <w:left w:val="single" w:sz="8" w:color="auto"/>
            </w:tcBorders>
          </w:tcPr>
          <w:p>
            <w:pPr>
              <w:ind w:left="100"/>
              <w:spacing w:after="0" w:line="140" w:lineRule="exact"/>
              <w:rPr>
                <w:sz w:val="20"/>
                <w:szCs w:val="20"/>
                <w:color w:val="auto"/>
              </w:rPr>
            </w:pPr>
            <w:r>
              <w:rPr>
                <w:rFonts w:ascii="Times New Roman" w:cs="Times New Roman" w:eastAsia="Times New Roman" w:hAnsi="Times New Roman"/>
                <w:sz w:val="14"/>
                <w:szCs w:val="14"/>
                <w:color w:val="auto"/>
              </w:rPr>
              <w:t>Non-financial income</w:t>
            </w:r>
          </w:p>
        </w:tc>
        <w:tc>
          <w:tcPr>
            <w:tcW w:w="2080" w:type="dxa"/>
            <w:vAlign w:val="bottom"/>
            <w:tcBorders>
              <w:right w:val="single" w:sz="8" w:color="auto"/>
            </w:tcBorders>
          </w:tcPr>
          <w:p>
            <w:pPr>
              <w:spacing w:after="0"/>
              <w:rPr>
                <w:sz w:val="12"/>
                <w:szCs w:val="12"/>
                <w:color w:val="auto"/>
              </w:rPr>
            </w:pPr>
          </w:p>
        </w:tc>
        <w:tc>
          <w:tcPr>
            <w:tcW w:w="12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4"/>
                <w:szCs w:val="14"/>
                <w:color w:val="auto"/>
                <w:w w:val="98"/>
              </w:rPr>
              <w:t>32,815</w:t>
            </w:r>
          </w:p>
        </w:tc>
        <w:tc>
          <w:tcPr>
            <w:tcW w:w="1280" w:type="dxa"/>
            <w:vAlign w:val="bottom"/>
          </w:tcPr>
          <w:p>
            <w:pPr>
              <w:jc w:val="center"/>
              <w:ind w:right="33"/>
              <w:spacing w:after="0" w:line="140" w:lineRule="exact"/>
              <w:rPr>
                <w:sz w:val="20"/>
                <w:szCs w:val="20"/>
                <w:color w:val="auto"/>
              </w:rPr>
            </w:pPr>
            <w:r>
              <w:rPr>
                <w:rFonts w:ascii="Times New Roman" w:cs="Times New Roman" w:eastAsia="Times New Roman" w:hAnsi="Times New Roman"/>
                <w:sz w:val="14"/>
                <w:szCs w:val="14"/>
                <w:color w:val="auto"/>
                <w:w w:val="98"/>
              </w:rPr>
              <w:t>37,707</w:t>
            </w:r>
          </w:p>
        </w:tc>
        <w:tc>
          <w:tcPr>
            <w:tcW w:w="1300" w:type="dxa"/>
            <w:vAlign w:val="bottom"/>
            <w:tcBorders>
              <w:right w:val="single" w:sz="8" w:color="auto"/>
            </w:tcBorders>
          </w:tcPr>
          <w:p>
            <w:pPr>
              <w:jc w:val="center"/>
              <w:ind w:right="13"/>
              <w:spacing w:after="0" w:line="140" w:lineRule="exact"/>
              <w:rPr>
                <w:sz w:val="20"/>
                <w:szCs w:val="20"/>
                <w:color w:val="auto"/>
              </w:rPr>
            </w:pPr>
            <w:r>
              <w:rPr>
                <w:rFonts w:ascii="Times New Roman" w:cs="Times New Roman" w:eastAsia="Times New Roman" w:hAnsi="Times New Roman"/>
                <w:sz w:val="14"/>
                <w:szCs w:val="14"/>
                <w:color w:val="auto"/>
                <w:w w:val="98"/>
              </w:rPr>
              <w:t>48,515</w:t>
            </w:r>
          </w:p>
        </w:tc>
        <w:tc>
          <w:tcPr>
            <w:tcW w:w="8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3"/>
              </w:rPr>
              <w:t>28.7%</w:t>
            </w:r>
          </w:p>
        </w:tc>
        <w:tc>
          <w:tcPr>
            <w:tcW w:w="92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3"/>
              </w:rPr>
              <w:t>47.8%</w:t>
            </w:r>
          </w:p>
        </w:tc>
      </w:tr>
      <w:tr>
        <w:trPr>
          <w:trHeight w:val="140"/>
        </w:trPr>
        <w:tc>
          <w:tcPr>
            <w:tcW w:w="3560" w:type="dxa"/>
            <w:vAlign w:val="bottom"/>
            <w:tcBorders>
              <w:left w:val="single" w:sz="8" w:color="auto"/>
            </w:tcBorders>
          </w:tcPr>
          <w:p>
            <w:pPr>
              <w:ind w:left="100"/>
              <w:spacing w:after="0" w:line="140" w:lineRule="exact"/>
              <w:rPr>
                <w:sz w:val="20"/>
                <w:szCs w:val="20"/>
                <w:color w:val="auto"/>
              </w:rPr>
            </w:pPr>
            <w:r>
              <w:rPr>
                <w:rFonts w:ascii="Times New Roman" w:cs="Times New Roman" w:eastAsia="Times New Roman" w:hAnsi="Times New Roman"/>
                <w:sz w:val="14"/>
                <w:szCs w:val="14"/>
                <w:color w:val="auto"/>
              </w:rPr>
              <w:t>Total expenses</w:t>
            </w:r>
          </w:p>
        </w:tc>
        <w:tc>
          <w:tcPr>
            <w:tcW w:w="2080" w:type="dxa"/>
            <w:vAlign w:val="bottom"/>
            <w:tcBorders>
              <w:right w:val="single" w:sz="8" w:color="auto"/>
            </w:tcBorders>
          </w:tcPr>
          <w:p>
            <w:pPr>
              <w:spacing w:after="0"/>
              <w:rPr>
                <w:sz w:val="12"/>
                <w:szCs w:val="12"/>
                <w:color w:val="auto"/>
              </w:rPr>
            </w:pPr>
          </w:p>
        </w:tc>
        <w:tc>
          <w:tcPr>
            <w:tcW w:w="12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4"/>
                <w:szCs w:val="14"/>
                <w:color w:val="auto"/>
                <w:w w:val="98"/>
              </w:rPr>
              <w:t>(327,944)</w:t>
            </w:r>
          </w:p>
        </w:tc>
        <w:tc>
          <w:tcPr>
            <w:tcW w:w="1280" w:type="dxa"/>
            <w:vAlign w:val="bottom"/>
          </w:tcPr>
          <w:p>
            <w:pPr>
              <w:jc w:val="center"/>
              <w:ind w:right="33"/>
              <w:spacing w:after="0" w:line="140" w:lineRule="exact"/>
              <w:rPr>
                <w:sz w:val="20"/>
                <w:szCs w:val="20"/>
                <w:color w:val="auto"/>
              </w:rPr>
            </w:pPr>
            <w:r>
              <w:rPr>
                <w:rFonts w:ascii="Times New Roman" w:cs="Times New Roman" w:eastAsia="Times New Roman" w:hAnsi="Times New Roman"/>
                <w:sz w:val="14"/>
                <w:szCs w:val="14"/>
                <w:color w:val="auto"/>
                <w:w w:val="98"/>
              </w:rPr>
              <w:t>(352,558)</w:t>
            </w:r>
          </w:p>
        </w:tc>
        <w:tc>
          <w:tcPr>
            <w:tcW w:w="1300" w:type="dxa"/>
            <w:vAlign w:val="bottom"/>
            <w:tcBorders>
              <w:right w:val="single" w:sz="8" w:color="auto"/>
            </w:tcBorders>
          </w:tcPr>
          <w:p>
            <w:pPr>
              <w:jc w:val="center"/>
              <w:ind w:right="33"/>
              <w:spacing w:after="0" w:line="140" w:lineRule="exact"/>
              <w:rPr>
                <w:sz w:val="20"/>
                <w:szCs w:val="20"/>
                <w:color w:val="auto"/>
              </w:rPr>
            </w:pPr>
            <w:r>
              <w:rPr>
                <w:rFonts w:ascii="Times New Roman" w:cs="Times New Roman" w:eastAsia="Times New Roman" w:hAnsi="Times New Roman"/>
                <w:sz w:val="14"/>
                <w:szCs w:val="14"/>
                <w:color w:val="auto"/>
                <w:w w:val="94"/>
              </w:rPr>
              <w:t>(362,024)</w:t>
            </w:r>
          </w:p>
        </w:tc>
        <w:tc>
          <w:tcPr>
            <w:tcW w:w="8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5"/>
              </w:rPr>
              <w:t>2.7%</w:t>
            </w:r>
          </w:p>
        </w:tc>
        <w:tc>
          <w:tcPr>
            <w:tcW w:w="92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3"/>
              </w:rPr>
              <w:t>10.4%</w:t>
            </w:r>
          </w:p>
        </w:tc>
      </w:tr>
      <w:tr>
        <w:trPr>
          <w:trHeight w:val="140"/>
        </w:trPr>
        <w:tc>
          <w:tcPr>
            <w:tcW w:w="3560" w:type="dxa"/>
            <w:vAlign w:val="bottom"/>
            <w:tcBorders>
              <w:left w:val="single" w:sz="8" w:color="auto"/>
            </w:tcBorders>
          </w:tcPr>
          <w:p>
            <w:pPr>
              <w:ind w:left="100"/>
              <w:spacing w:after="0" w:line="140" w:lineRule="exact"/>
              <w:rPr>
                <w:sz w:val="20"/>
                <w:szCs w:val="20"/>
                <w:color w:val="auto"/>
              </w:rPr>
            </w:pPr>
            <w:r>
              <w:rPr>
                <w:rFonts w:ascii="Times New Roman" w:cs="Times New Roman" w:eastAsia="Times New Roman" w:hAnsi="Times New Roman"/>
                <w:sz w:val="14"/>
                <w:szCs w:val="14"/>
                <w:color w:val="auto"/>
              </w:rPr>
              <w:t>Translation result</w:t>
            </w:r>
          </w:p>
        </w:tc>
        <w:tc>
          <w:tcPr>
            <w:tcW w:w="2080" w:type="dxa"/>
            <w:vAlign w:val="bottom"/>
            <w:tcBorders>
              <w:right w:val="single" w:sz="8" w:color="auto"/>
            </w:tcBorders>
          </w:tcPr>
          <w:p>
            <w:pPr>
              <w:spacing w:after="0"/>
              <w:rPr>
                <w:sz w:val="12"/>
                <w:szCs w:val="12"/>
                <w:color w:val="auto"/>
              </w:rPr>
            </w:pPr>
          </w:p>
        </w:tc>
        <w:tc>
          <w:tcPr>
            <w:tcW w:w="12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4"/>
                <w:szCs w:val="14"/>
                <w:color w:val="auto"/>
                <w:w w:val="98"/>
              </w:rPr>
              <w:t>(749)</w:t>
            </w:r>
          </w:p>
        </w:tc>
        <w:tc>
          <w:tcPr>
            <w:tcW w:w="1280" w:type="dxa"/>
            <w:vAlign w:val="bottom"/>
          </w:tcPr>
          <w:p>
            <w:pPr>
              <w:jc w:val="center"/>
              <w:ind w:right="33"/>
              <w:spacing w:after="0" w:line="140" w:lineRule="exact"/>
              <w:rPr>
                <w:sz w:val="20"/>
                <w:szCs w:val="20"/>
                <w:color w:val="auto"/>
              </w:rPr>
            </w:pPr>
            <w:r>
              <w:rPr>
                <w:rFonts w:ascii="Times New Roman" w:cs="Times New Roman" w:eastAsia="Times New Roman" w:hAnsi="Times New Roman"/>
                <w:sz w:val="14"/>
                <w:szCs w:val="14"/>
                <w:color w:val="auto"/>
                <w:w w:val="98"/>
              </w:rPr>
              <w:t>(101)</w:t>
            </w:r>
          </w:p>
        </w:tc>
        <w:tc>
          <w:tcPr>
            <w:tcW w:w="1300" w:type="dxa"/>
            <w:vAlign w:val="bottom"/>
            <w:tcBorders>
              <w:right w:val="single" w:sz="8" w:color="auto"/>
            </w:tcBorders>
          </w:tcPr>
          <w:p>
            <w:pPr>
              <w:jc w:val="center"/>
              <w:ind w:right="33"/>
              <w:spacing w:after="0" w:line="140" w:lineRule="exact"/>
              <w:rPr>
                <w:sz w:val="20"/>
                <w:szCs w:val="20"/>
                <w:color w:val="auto"/>
              </w:rPr>
            </w:pPr>
            <w:r>
              <w:rPr>
                <w:rFonts w:ascii="Times New Roman" w:cs="Times New Roman" w:eastAsia="Times New Roman" w:hAnsi="Times New Roman"/>
                <w:sz w:val="14"/>
                <w:szCs w:val="14"/>
                <w:color w:val="auto"/>
                <w:w w:val="95"/>
              </w:rPr>
              <w:t>201</w:t>
            </w:r>
          </w:p>
        </w:tc>
        <w:tc>
          <w:tcPr>
            <w:tcW w:w="8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-299.0%</w:t>
            </w:r>
          </w:p>
        </w:tc>
        <w:tc>
          <w:tcPr>
            <w:tcW w:w="92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-126.8%</w:t>
            </w:r>
          </w:p>
        </w:tc>
      </w:tr>
      <w:tr>
        <w:trPr>
          <w:trHeight w:val="136"/>
        </w:trPr>
        <w:tc>
          <w:tcPr>
            <w:tcW w:w="3560" w:type="dxa"/>
            <w:vAlign w:val="bottom"/>
            <w:tcBorders>
              <w:left w:val="single" w:sz="8" w:color="auto"/>
            </w:tcBorders>
          </w:tcPr>
          <w:p>
            <w:pPr>
              <w:ind w:left="100"/>
              <w:spacing w:after="0" w:line="136" w:lineRule="exact"/>
              <w:rPr>
                <w:sz w:val="20"/>
                <w:szCs w:val="20"/>
                <w:color w:val="auto"/>
              </w:rPr>
            </w:pPr>
            <w:r>
              <w:rPr>
                <w:rFonts w:ascii="Times New Roman" w:cs="Times New Roman" w:eastAsia="Times New Roman" w:hAnsi="Times New Roman"/>
                <w:sz w:val="14"/>
                <w:szCs w:val="14"/>
                <w:color w:val="auto"/>
              </w:rPr>
              <w:t>Income taxes</w:t>
            </w:r>
          </w:p>
        </w:tc>
        <w:tc>
          <w:tcPr>
            <w:tcW w:w="2080" w:type="dxa"/>
            <w:vAlign w:val="bottom"/>
            <w:tcBorders>
              <w:right w:val="single" w:sz="8" w:color="auto"/>
            </w:tcBorders>
          </w:tcPr>
          <w:p>
            <w:pPr>
              <w:spacing w:after="0"/>
              <w:rPr>
                <w:sz w:val="11"/>
                <w:szCs w:val="11"/>
                <w:color w:val="auto"/>
              </w:rPr>
            </w:pPr>
          </w:p>
        </w:tc>
        <w:tc>
          <w:tcPr>
            <w:tcW w:w="1260" w:type="dxa"/>
            <w:vAlign w:val="bottom"/>
            <w:gridSpan w:val="2"/>
          </w:tcPr>
          <w:p>
            <w:pPr>
              <w:jc w:val="center"/>
              <w:spacing w:after="0" w:line="136" w:lineRule="exact"/>
              <w:rPr>
                <w:sz w:val="20"/>
                <w:szCs w:val="20"/>
                <w:color w:val="auto"/>
              </w:rPr>
            </w:pPr>
            <w:r>
              <w:rPr>
                <w:rFonts w:ascii="Times New Roman" w:cs="Times New Roman" w:eastAsia="Times New Roman" w:hAnsi="Times New Roman"/>
                <w:sz w:val="14"/>
                <w:szCs w:val="14"/>
                <w:color w:val="auto"/>
                <w:w w:val="96"/>
              </w:rPr>
              <w:t>(31,423)</w:t>
            </w:r>
          </w:p>
        </w:tc>
        <w:tc>
          <w:tcPr>
            <w:tcW w:w="1280" w:type="dxa"/>
            <w:vAlign w:val="bottom"/>
          </w:tcPr>
          <w:p>
            <w:pPr>
              <w:jc w:val="center"/>
              <w:ind w:right="33"/>
              <w:spacing w:after="0" w:line="136" w:lineRule="exact"/>
              <w:rPr>
                <w:sz w:val="20"/>
                <w:szCs w:val="20"/>
                <w:color w:val="auto"/>
              </w:rPr>
            </w:pPr>
            <w:r>
              <w:rPr>
                <w:rFonts w:ascii="Times New Roman" w:cs="Times New Roman" w:eastAsia="Times New Roman" w:hAnsi="Times New Roman"/>
                <w:sz w:val="14"/>
                <w:szCs w:val="14"/>
                <w:color w:val="auto"/>
                <w:w w:val="96"/>
              </w:rPr>
              <w:t>(51,339)</w:t>
            </w:r>
          </w:p>
        </w:tc>
        <w:tc>
          <w:tcPr>
            <w:tcW w:w="1300" w:type="dxa"/>
            <w:vAlign w:val="bottom"/>
            <w:tcBorders>
              <w:right w:val="single" w:sz="8" w:color="auto"/>
            </w:tcBorders>
          </w:tcPr>
          <w:p>
            <w:pPr>
              <w:jc w:val="center"/>
              <w:ind w:right="13"/>
              <w:spacing w:after="0" w:line="136" w:lineRule="exact"/>
              <w:rPr>
                <w:sz w:val="20"/>
                <w:szCs w:val="20"/>
                <w:color w:val="auto"/>
              </w:rPr>
            </w:pPr>
            <w:r>
              <w:rPr>
                <w:rFonts w:ascii="Times New Roman" w:cs="Times New Roman" w:eastAsia="Times New Roman" w:hAnsi="Times New Roman"/>
                <w:sz w:val="14"/>
                <w:szCs w:val="14"/>
                <w:color w:val="auto"/>
                <w:w w:val="96"/>
              </w:rPr>
              <w:t>(49,348)</w:t>
            </w:r>
          </w:p>
        </w:tc>
        <w:tc>
          <w:tcPr>
            <w:tcW w:w="86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rPr>
              <w:t>-3.9%</w:t>
            </w:r>
          </w:p>
        </w:tc>
        <w:tc>
          <w:tcPr>
            <w:tcW w:w="92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4"/>
                <w:szCs w:val="14"/>
                <w:color w:val="auto"/>
                <w:w w:val="93"/>
              </w:rPr>
              <w:t>57.0%</w:t>
            </w:r>
          </w:p>
        </w:tc>
      </w:tr>
      <w:tr>
        <w:trPr>
          <w:trHeight w:val="164"/>
        </w:trPr>
        <w:tc>
          <w:tcPr>
            <w:tcW w:w="356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2080" w:type="dxa"/>
            <w:vAlign w:val="bottom"/>
            <w:tcBorders>
              <w:bottom w:val="single" w:sz="8" w:color="auto"/>
              <w:right w:val="single" w:sz="8" w:color="auto"/>
            </w:tcBorders>
          </w:tcPr>
          <w:p>
            <w:pPr>
              <w:spacing w:after="0"/>
              <w:rPr>
                <w:sz w:val="14"/>
                <w:szCs w:val="14"/>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94,387</w:t>
            </w:r>
          </w:p>
        </w:tc>
        <w:tc>
          <w:tcPr>
            <w:tcW w:w="128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w w:val="92"/>
              </w:rPr>
              <w:t>136,512</w:t>
            </w:r>
          </w:p>
        </w:tc>
        <w:tc>
          <w:tcPr>
            <w:tcW w:w="1300" w:type="dxa"/>
            <w:vAlign w:val="bottom"/>
            <w:tcBorders>
              <w:bottom w:val="single" w:sz="8" w:color="auto"/>
              <w:right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w w:val="96"/>
              </w:rPr>
              <w:t>148,305</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8.6%</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57.1%</w:t>
            </w:r>
          </w:p>
        </w:tc>
      </w:tr>
      <w:tr>
        <w:trPr>
          <w:trHeight w:val="369"/>
        </w:trPr>
        <w:tc>
          <w:tcPr>
            <w:tcW w:w="3560" w:type="dxa"/>
            <w:vAlign w:val="bottom"/>
          </w:tcPr>
          <w:p>
            <w:pPr>
              <w:spacing w:after="0"/>
              <w:rPr>
                <w:sz w:val="24"/>
                <w:szCs w:val="24"/>
                <w:color w:val="auto"/>
              </w:rPr>
            </w:pPr>
          </w:p>
        </w:tc>
        <w:tc>
          <w:tcPr>
            <w:tcW w:w="3340" w:type="dxa"/>
            <w:vAlign w:val="bottom"/>
            <w:gridSpan w:val="3"/>
          </w:tcPr>
          <w:p>
            <w:pPr>
              <w:ind w:left="1140"/>
              <w:spacing w:after="0"/>
              <w:rPr>
                <w:sz w:val="20"/>
                <w:szCs w:val="20"/>
                <w:color w:val="auto"/>
              </w:rPr>
            </w:pPr>
            <w:r>
              <w:rPr>
                <w:rFonts w:ascii="Times New Roman" w:cs="Times New Roman" w:eastAsia="Times New Roman" w:hAnsi="Times New Roman"/>
                <w:sz w:val="15"/>
                <w:szCs w:val="15"/>
                <w:b w:val="1"/>
                <w:bCs w:val="1"/>
                <w:color w:val="auto"/>
              </w:rPr>
              <w:t>Selected Financial Indicators</w:t>
            </w:r>
          </w:p>
        </w:tc>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5"/>
        </w:trPr>
        <w:tc>
          <w:tcPr>
            <w:tcW w:w="356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spacing w:after="0"/>
              <w:rPr>
                <w:sz w:val="16"/>
                <w:szCs w:val="16"/>
                <w:color w:val="auto"/>
              </w:rPr>
            </w:pPr>
          </w:p>
        </w:tc>
      </w:tr>
      <w:tr>
        <w:trPr>
          <w:trHeight w:val="108"/>
        </w:trPr>
        <w:tc>
          <w:tcPr>
            <w:tcW w:w="3560" w:type="dxa"/>
            <w:vAlign w:val="bottom"/>
            <w:tcBorders>
              <w:left w:val="single" w:sz="8" w:color="auto"/>
            </w:tcBorders>
            <w:shd w:val="clear" w:color="auto" w:fill="2AD2C9"/>
          </w:tcPr>
          <w:p>
            <w:pPr>
              <w:spacing w:after="0"/>
              <w:rPr>
                <w:sz w:val="9"/>
                <w:szCs w:val="9"/>
                <w:color w:val="auto"/>
              </w:rPr>
            </w:pPr>
          </w:p>
        </w:tc>
        <w:tc>
          <w:tcPr>
            <w:tcW w:w="2080" w:type="dxa"/>
            <w:vAlign w:val="bottom"/>
            <w:tcBorders>
              <w:right w:val="single" w:sz="8" w:color="2AD2C9"/>
            </w:tcBorders>
            <w:shd w:val="clear" w:color="auto" w:fill="2AD2C9"/>
          </w:tcPr>
          <w:p>
            <w:pPr>
              <w:spacing w:after="0"/>
              <w:rPr>
                <w:sz w:val="9"/>
                <w:szCs w:val="9"/>
                <w:color w:val="auto"/>
              </w:rPr>
            </w:pPr>
          </w:p>
        </w:tc>
        <w:tc>
          <w:tcPr>
            <w:tcW w:w="120" w:type="dxa"/>
            <w:vAlign w:val="bottom"/>
            <w:tcBorders>
              <w:right w:val="single" w:sz="8" w:color="auto"/>
            </w:tcBorders>
            <w:shd w:val="clear" w:color="auto" w:fill="2AD2C9"/>
          </w:tcPr>
          <w:p>
            <w:pPr>
              <w:spacing w:after="0"/>
              <w:rPr>
                <w:sz w:val="9"/>
                <w:szCs w:val="9"/>
                <w:color w:val="auto"/>
              </w:rPr>
            </w:pPr>
          </w:p>
        </w:tc>
        <w:tc>
          <w:tcPr>
            <w:tcW w:w="1140" w:type="dxa"/>
            <w:vAlign w:val="bottom"/>
            <w:shd w:val="clear" w:color="auto" w:fill="2AD2C9"/>
          </w:tcPr>
          <w:p>
            <w:pPr>
              <w:spacing w:after="0"/>
              <w:rPr>
                <w:sz w:val="9"/>
                <w:szCs w:val="9"/>
                <w:color w:val="auto"/>
              </w:rPr>
            </w:pPr>
          </w:p>
        </w:tc>
        <w:tc>
          <w:tcPr>
            <w:tcW w:w="1280" w:type="dxa"/>
            <w:vAlign w:val="bottom"/>
            <w:shd w:val="clear" w:color="auto" w:fill="2AD2C9"/>
          </w:tcPr>
          <w:p>
            <w:pPr>
              <w:ind w:left="460"/>
              <w:spacing w:after="0" w:line="108" w:lineRule="exact"/>
              <w:rPr>
                <w:sz w:val="20"/>
                <w:szCs w:val="20"/>
                <w:color w:val="auto"/>
              </w:rPr>
            </w:pPr>
            <w:r>
              <w:rPr>
                <w:rFonts w:ascii="Times New Roman" w:cs="Times New Roman" w:eastAsia="Times New Roman" w:hAnsi="Times New Roman"/>
                <w:sz w:val="12"/>
                <w:szCs w:val="12"/>
                <w:b w:val="1"/>
                <w:bCs w:val="1"/>
                <w:color w:val="FFFFFF"/>
              </w:rPr>
              <w:t>Quarter</w:t>
            </w:r>
          </w:p>
        </w:tc>
        <w:tc>
          <w:tcPr>
            <w:tcW w:w="1300" w:type="dxa"/>
            <w:vAlign w:val="bottom"/>
            <w:tcBorders>
              <w:right w:val="single" w:sz="8" w:color="auto"/>
            </w:tcBorders>
            <w:shd w:val="clear" w:color="auto" w:fill="2AD2C9"/>
          </w:tcPr>
          <w:p>
            <w:pPr>
              <w:spacing w:after="0"/>
              <w:rPr>
                <w:sz w:val="9"/>
                <w:szCs w:val="9"/>
                <w:color w:val="auto"/>
              </w:rPr>
            </w:pPr>
          </w:p>
        </w:tc>
        <w:tc>
          <w:tcPr>
            <w:tcW w:w="1780" w:type="dxa"/>
            <w:vAlign w:val="bottom"/>
            <w:tcBorders>
              <w:right w:val="single" w:sz="8" w:color="auto"/>
            </w:tcBorders>
            <w:gridSpan w:val="2"/>
            <w:shd w:val="clear" w:color="auto" w:fill="2AD2C9"/>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FFFFFF"/>
              </w:rPr>
              <w:t>Change</w:t>
            </w:r>
          </w:p>
        </w:tc>
      </w:tr>
      <w:tr>
        <w:trPr>
          <w:trHeight w:val="164"/>
        </w:trPr>
        <w:tc>
          <w:tcPr>
            <w:tcW w:w="3560" w:type="dxa"/>
            <w:vAlign w:val="bottom"/>
            <w:tcBorders>
              <w:left w:val="single" w:sz="8" w:color="auto"/>
              <w:bottom w:val="single" w:sz="8" w:color="auto"/>
            </w:tcBorders>
            <w:shd w:val="clear" w:color="auto" w:fill="2AD2C9"/>
          </w:tcPr>
          <w:p>
            <w:pPr>
              <w:spacing w:after="0"/>
              <w:rPr>
                <w:sz w:val="14"/>
                <w:szCs w:val="14"/>
                <w:color w:val="auto"/>
              </w:rPr>
            </w:pPr>
          </w:p>
        </w:tc>
        <w:tc>
          <w:tcPr>
            <w:tcW w:w="2080" w:type="dxa"/>
            <w:vAlign w:val="bottom"/>
            <w:tcBorders>
              <w:bottom w:val="single" w:sz="8" w:color="auto"/>
              <w:right w:val="single" w:sz="8" w:color="2AD2C9"/>
            </w:tcBorders>
            <w:shd w:val="clear" w:color="auto" w:fill="2AD2C9"/>
          </w:tcPr>
          <w:p>
            <w:pPr>
              <w:spacing w:after="0"/>
              <w:rPr>
                <w:sz w:val="14"/>
                <w:szCs w:val="14"/>
                <w:color w:val="auto"/>
              </w:rPr>
            </w:pPr>
          </w:p>
        </w:tc>
        <w:tc>
          <w:tcPr>
            <w:tcW w:w="120" w:type="dxa"/>
            <w:vAlign w:val="bottom"/>
            <w:tcBorders>
              <w:bottom w:val="single" w:sz="8" w:color="auto"/>
              <w:right w:val="single" w:sz="8" w:color="auto"/>
            </w:tcBorders>
            <w:shd w:val="clear" w:color="auto" w:fill="2AD2C9"/>
          </w:tcPr>
          <w:p>
            <w:pPr>
              <w:spacing w:after="0"/>
              <w:rPr>
                <w:sz w:val="14"/>
                <w:szCs w:val="14"/>
                <w:color w:val="auto"/>
              </w:rPr>
            </w:pPr>
          </w:p>
        </w:tc>
        <w:tc>
          <w:tcPr>
            <w:tcW w:w="1140" w:type="dxa"/>
            <w:vAlign w:val="bottom"/>
            <w:tcBorders>
              <w:bottom w:val="single" w:sz="8" w:color="auto"/>
            </w:tcBorders>
            <w:shd w:val="clear" w:color="auto" w:fill="2AD2C9"/>
          </w:tcPr>
          <w:p>
            <w:pPr>
              <w:jc w:val="center"/>
              <w:ind w:left="13"/>
              <w:spacing w:after="0"/>
              <w:rPr>
                <w:sz w:val="20"/>
                <w:szCs w:val="20"/>
                <w:color w:val="auto"/>
              </w:rPr>
            </w:pPr>
            <w:r>
              <w:rPr>
                <w:rFonts w:ascii="Times New Roman" w:cs="Times New Roman" w:eastAsia="Times New Roman" w:hAnsi="Times New Roman"/>
                <w:sz w:val="14"/>
                <w:szCs w:val="14"/>
                <w:b w:val="1"/>
                <w:bCs w:val="1"/>
                <w:color w:val="FFFFFF"/>
                <w:w w:val="93"/>
              </w:rPr>
              <w:t>1Q25</w:t>
            </w:r>
          </w:p>
        </w:tc>
        <w:tc>
          <w:tcPr>
            <w:tcW w:w="1280" w:type="dxa"/>
            <w:vAlign w:val="bottom"/>
            <w:tcBorders>
              <w:bottom w:val="single" w:sz="8" w:color="auto"/>
            </w:tcBorders>
            <w:shd w:val="clear" w:color="auto" w:fill="2AD2C9"/>
          </w:tcPr>
          <w:p>
            <w:pPr>
              <w:jc w:val="center"/>
              <w:ind w:left="53"/>
              <w:spacing w:after="0"/>
              <w:rPr>
                <w:sz w:val="20"/>
                <w:szCs w:val="20"/>
                <w:color w:val="auto"/>
              </w:rPr>
            </w:pPr>
            <w:r>
              <w:rPr>
                <w:rFonts w:ascii="Times New Roman" w:cs="Times New Roman" w:eastAsia="Times New Roman" w:hAnsi="Times New Roman"/>
                <w:sz w:val="14"/>
                <w:szCs w:val="14"/>
                <w:b w:val="1"/>
                <w:bCs w:val="1"/>
                <w:color w:val="FFFFFF"/>
              </w:rPr>
              <w:t>4Q25</w:t>
            </w:r>
          </w:p>
        </w:tc>
        <w:tc>
          <w:tcPr>
            <w:tcW w:w="130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Times New Roman" w:cs="Times New Roman" w:eastAsia="Times New Roman" w:hAnsi="Times New Roman"/>
                <w:sz w:val="14"/>
                <w:szCs w:val="14"/>
                <w:b w:val="1"/>
                <w:bCs w:val="1"/>
                <w:color w:val="FFFFFF"/>
              </w:rPr>
              <w:t>1Q26</w:t>
            </w:r>
          </w:p>
        </w:tc>
        <w:tc>
          <w:tcPr>
            <w:tcW w:w="860" w:type="dxa"/>
            <w:vAlign w:val="bottom"/>
            <w:tcBorders>
              <w:bottom w:val="single" w:sz="8" w:color="auto"/>
            </w:tcBorders>
            <w:shd w:val="clear" w:color="auto" w:fill="2AD2C9"/>
          </w:tcPr>
          <w:p>
            <w:pPr>
              <w:jc w:val="center"/>
              <w:spacing w:after="0"/>
              <w:rPr>
                <w:sz w:val="20"/>
                <w:szCs w:val="20"/>
                <w:color w:val="auto"/>
              </w:rPr>
            </w:pPr>
            <w:r>
              <w:rPr>
                <w:rFonts w:ascii="Times New Roman" w:cs="Times New Roman" w:eastAsia="Times New Roman" w:hAnsi="Times New Roman"/>
                <w:sz w:val="14"/>
                <w:szCs w:val="14"/>
                <w:b w:val="1"/>
                <w:bCs w:val="1"/>
                <w:color w:val="FFFFFF"/>
                <w:w w:val="97"/>
              </w:rPr>
              <w:t>QoQ</w:t>
            </w:r>
          </w:p>
        </w:tc>
        <w:tc>
          <w:tcPr>
            <w:tcW w:w="92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Times New Roman" w:cs="Times New Roman" w:eastAsia="Times New Roman" w:hAnsi="Times New Roman"/>
                <w:sz w:val="14"/>
                <w:szCs w:val="14"/>
                <w:b w:val="1"/>
                <w:bCs w:val="1"/>
                <w:color w:val="FFFFFF"/>
                <w:w w:val="95"/>
              </w:rPr>
              <w:t>YoY</w:t>
            </w:r>
          </w:p>
        </w:tc>
      </w:tr>
      <w:tr>
        <w:trPr>
          <w:trHeight w:val="112"/>
        </w:trPr>
        <w:tc>
          <w:tcPr>
            <w:tcW w:w="3560" w:type="dxa"/>
            <w:vAlign w:val="bottom"/>
            <w:tcBorders>
              <w:left w:val="single" w:sz="8" w:color="auto"/>
            </w:tcBorders>
          </w:tcPr>
          <w:p>
            <w:pPr>
              <w:ind w:left="100"/>
              <w:spacing w:after="0" w:line="112" w:lineRule="exact"/>
              <w:rPr>
                <w:sz w:val="20"/>
                <w:szCs w:val="20"/>
                <w:color w:val="auto"/>
              </w:rPr>
            </w:pPr>
            <w:r>
              <w:rPr>
                <w:rFonts w:ascii="Times New Roman" w:cs="Times New Roman" w:eastAsia="Times New Roman" w:hAnsi="Times New Roman"/>
                <w:sz w:val="12"/>
                <w:szCs w:val="12"/>
                <w:color w:val="auto"/>
              </w:rPr>
              <w:t>Efficiency ratio</w:t>
            </w:r>
          </w:p>
        </w:tc>
        <w:tc>
          <w:tcPr>
            <w:tcW w:w="208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140" w:type="dxa"/>
            <w:vAlign w:val="bottom"/>
          </w:tcPr>
          <w:p>
            <w:pPr>
              <w:jc w:val="center"/>
              <w:ind w:left="13"/>
              <w:spacing w:after="0" w:line="112" w:lineRule="exact"/>
              <w:rPr>
                <w:sz w:val="20"/>
                <w:szCs w:val="20"/>
                <w:color w:val="auto"/>
              </w:rPr>
            </w:pPr>
            <w:r>
              <w:rPr>
                <w:rFonts w:ascii="Times New Roman" w:cs="Times New Roman" w:eastAsia="Times New Roman" w:hAnsi="Times New Roman"/>
                <w:sz w:val="12"/>
                <w:szCs w:val="12"/>
                <w:color w:val="auto"/>
              </w:rPr>
              <w:t>52.9%</w:t>
            </w:r>
          </w:p>
        </w:tc>
        <w:tc>
          <w:tcPr>
            <w:tcW w:w="1280" w:type="dxa"/>
            <w:vAlign w:val="bottom"/>
          </w:tcPr>
          <w:p>
            <w:pPr>
              <w:jc w:val="center"/>
              <w:ind w:left="53"/>
              <w:spacing w:after="0" w:line="112" w:lineRule="exact"/>
              <w:rPr>
                <w:sz w:val="20"/>
                <w:szCs w:val="20"/>
                <w:color w:val="auto"/>
              </w:rPr>
            </w:pPr>
            <w:r>
              <w:rPr>
                <w:rFonts w:ascii="Times New Roman" w:cs="Times New Roman" w:eastAsia="Times New Roman" w:hAnsi="Times New Roman"/>
                <w:sz w:val="12"/>
                <w:szCs w:val="12"/>
                <w:color w:val="auto"/>
              </w:rPr>
              <w:t>49.6%</w:t>
            </w:r>
          </w:p>
        </w:tc>
        <w:tc>
          <w:tcPr>
            <w:tcW w:w="1300" w:type="dxa"/>
            <w:vAlign w:val="bottom"/>
            <w:tcBorders>
              <w:right w:val="single" w:sz="8" w:color="auto"/>
            </w:tcBorders>
          </w:tcPr>
          <w:p>
            <w:pPr>
              <w:jc w:val="center"/>
              <w:spacing w:after="0" w:line="112" w:lineRule="exact"/>
              <w:rPr>
                <w:sz w:val="20"/>
                <w:szCs w:val="20"/>
                <w:color w:val="auto"/>
              </w:rPr>
            </w:pPr>
            <w:r>
              <w:rPr>
                <w:rFonts w:ascii="Times New Roman" w:cs="Times New Roman" w:eastAsia="Times New Roman" w:hAnsi="Times New Roman"/>
                <w:sz w:val="12"/>
                <w:szCs w:val="12"/>
                <w:color w:val="auto"/>
              </w:rPr>
              <w:t>49.2%</w:t>
            </w:r>
          </w:p>
        </w:tc>
        <w:tc>
          <w:tcPr>
            <w:tcW w:w="860" w:type="dxa"/>
            <w:vAlign w:val="bottom"/>
          </w:tcPr>
          <w:p>
            <w:pPr>
              <w:jc w:val="center"/>
              <w:spacing w:after="0" w:line="112" w:lineRule="exact"/>
              <w:rPr>
                <w:sz w:val="20"/>
                <w:szCs w:val="20"/>
                <w:color w:val="auto"/>
              </w:rPr>
            </w:pPr>
            <w:r>
              <w:rPr>
                <w:rFonts w:ascii="Times New Roman" w:cs="Times New Roman" w:eastAsia="Times New Roman" w:hAnsi="Times New Roman"/>
                <w:sz w:val="12"/>
                <w:szCs w:val="12"/>
                <w:color w:val="auto"/>
              </w:rPr>
              <w:t>-37 bps</w:t>
            </w:r>
          </w:p>
        </w:tc>
        <w:tc>
          <w:tcPr>
            <w:tcW w:w="920" w:type="dxa"/>
            <w:vAlign w:val="bottom"/>
            <w:tcBorders>
              <w:right w:val="single" w:sz="8" w:color="auto"/>
            </w:tcBorders>
          </w:tcPr>
          <w:p>
            <w:pPr>
              <w:jc w:val="center"/>
              <w:spacing w:after="0" w:line="112" w:lineRule="exact"/>
              <w:rPr>
                <w:sz w:val="20"/>
                <w:szCs w:val="20"/>
                <w:color w:val="auto"/>
              </w:rPr>
            </w:pPr>
            <w:r>
              <w:rPr>
                <w:rFonts w:ascii="Times New Roman" w:cs="Times New Roman" w:eastAsia="Times New Roman" w:hAnsi="Times New Roman"/>
                <w:sz w:val="12"/>
                <w:szCs w:val="12"/>
                <w:color w:val="auto"/>
              </w:rPr>
              <w:t>-366 bps</w:t>
            </w:r>
          </w:p>
        </w:tc>
      </w:tr>
      <w:tr>
        <w:trPr>
          <w:trHeight w:val="140"/>
        </w:trPr>
        <w:tc>
          <w:tcPr>
            <w:tcW w:w="3560" w:type="dxa"/>
            <w:vAlign w:val="bottom"/>
            <w:tcBorders>
              <w:left w:val="single" w:sz="8" w:color="auto"/>
            </w:tcBorders>
          </w:tcPr>
          <w:p>
            <w:pPr>
              <w:ind w:left="100"/>
              <w:spacing w:after="0" w:line="140" w:lineRule="exact"/>
              <w:rPr>
                <w:sz w:val="20"/>
                <w:szCs w:val="20"/>
                <w:color w:val="auto"/>
              </w:rPr>
            </w:pPr>
            <w:r>
              <w:rPr>
                <w:rFonts w:ascii="Times New Roman" w:cs="Times New Roman" w:eastAsia="Times New Roman" w:hAnsi="Times New Roman"/>
                <w:sz w:val="14"/>
                <w:szCs w:val="14"/>
                <w:color w:val="auto"/>
              </w:rPr>
              <w:t>ROAE</w:t>
            </w:r>
          </w:p>
        </w:tc>
        <w:tc>
          <w:tcPr>
            <w:tcW w:w="2200" w:type="dxa"/>
            <w:vAlign w:val="bottom"/>
            <w:tcBorders>
              <w:right w:val="single" w:sz="8" w:color="auto"/>
            </w:tcBorders>
            <w:gridSpan w:val="2"/>
          </w:tcPr>
          <w:p>
            <w:pPr>
              <w:spacing w:after="0"/>
              <w:rPr>
                <w:sz w:val="12"/>
                <w:szCs w:val="12"/>
                <w:color w:val="auto"/>
              </w:rPr>
            </w:pPr>
          </w:p>
        </w:tc>
        <w:tc>
          <w:tcPr>
            <w:tcW w:w="1140" w:type="dxa"/>
            <w:vAlign w:val="bottom"/>
          </w:tcPr>
          <w:p>
            <w:pPr>
              <w:jc w:val="center"/>
              <w:ind w:left="13"/>
              <w:spacing w:after="0" w:line="140" w:lineRule="exact"/>
              <w:rPr>
                <w:sz w:val="20"/>
                <w:szCs w:val="20"/>
                <w:color w:val="auto"/>
              </w:rPr>
            </w:pPr>
            <w:r>
              <w:rPr>
                <w:rFonts w:ascii="Times New Roman" w:cs="Times New Roman" w:eastAsia="Times New Roman" w:hAnsi="Times New Roman"/>
                <w:sz w:val="14"/>
                <w:szCs w:val="14"/>
                <w:color w:val="auto"/>
                <w:w w:val="93"/>
              </w:rPr>
              <w:t>14.7%</w:t>
            </w:r>
          </w:p>
        </w:tc>
        <w:tc>
          <w:tcPr>
            <w:tcW w:w="1280" w:type="dxa"/>
            <w:vAlign w:val="bottom"/>
          </w:tcPr>
          <w:p>
            <w:pPr>
              <w:jc w:val="center"/>
              <w:ind w:left="53"/>
              <w:spacing w:after="0" w:line="140" w:lineRule="exact"/>
              <w:rPr>
                <w:sz w:val="20"/>
                <w:szCs w:val="20"/>
                <w:color w:val="auto"/>
              </w:rPr>
            </w:pPr>
            <w:r>
              <w:rPr>
                <w:rFonts w:ascii="Times New Roman" w:cs="Times New Roman" w:eastAsia="Times New Roman" w:hAnsi="Times New Roman"/>
                <w:sz w:val="14"/>
                <w:szCs w:val="14"/>
                <w:color w:val="auto"/>
                <w:w w:val="99"/>
              </w:rPr>
              <w:t>20.0%</w:t>
            </w:r>
          </w:p>
        </w:tc>
        <w:tc>
          <w:tcPr>
            <w:tcW w:w="130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9"/>
              </w:rPr>
              <w:t>21.9%</w:t>
            </w:r>
          </w:p>
        </w:tc>
        <w:tc>
          <w:tcPr>
            <w:tcW w:w="8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5"/>
              </w:rPr>
              <w:t>189 bps</w:t>
            </w:r>
          </w:p>
        </w:tc>
        <w:tc>
          <w:tcPr>
            <w:tcW w:w="92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5"/>
              </w:rPr>
              <w:t>723 bps</w:t>
            </w:r>
          </w:p>
        </w:tc>
      </w:tr>
      <w:tr>
        <w:trPr>
          <w:trHeight w:val="140"/>
        </w:trPr>
        <w:tc>
          <w:tcPr>
            <w:tcW w:w="3560" w:type="dxa"/>
            <w:vAlign w:val="bottom"/>
            <w:tcBorders>
              <w:left w:val="single" w:sz="8" w:color="auto"/>
            </w:tcBorders>
          </w:tcPr>
          <w:p>
            <w:pPr>
              <w:ind w:left="100"/>
              <w:spacing w:after="0" w:line="140" w:lineRule="exact"/>
              <w:rPr>
                <w:sz w:val="20"/>
                <w:szCs w:val="20"/>
                <w:color w:val="auto"/>
              </w:rPr>
            </w:pPr>
            <w:r>
              <w:rPr>
                <w:rFonts w:ascii="Times New Roman" w:cs="Times New Roman" w:eastAsia="Times New Roman" w:hAnsi="Times New Roman"/>
                <w:sz w:val="14"/>
                <w:szCs w:val="14"/>
                <w:color w:val="auto"/>
              </w:rPr>
              <w:t>ROAE incl. GoodWill</w:t>
            </w:r>
          </w:p>
        </w:tc>
        <w:tc>
          <w:tcPr>
            <w:tcW w:w="2200" w:type="dxa"/>
            <w:vAlign w:val="bottom"/>
            <w:tcBorders>
              <w:right w:val="single" w:sz="8" w:color="auto"/>
            </w:tcBorders>
            <w:gridSpan w:val="2"/>
          </w:tcPr>
          <w:p>
            <w:pPr>
              <w:spacing w:after="0"/>
              <w:rPr>
                <w:sz w:val="12"/>
                <w:szCs w:val="12"/>
                <w:color w:val="auto"/>
              </w:rPr>
            </w:pPr>
          </w:p>
        </w:tc>
        <w:tc>
          <w:tcPr>
            <w:tcW w:w="1140" w:type="dxa"/>
            <w:vAlign w:val="bottom"/>
          </w:tcPr>
          <w:p>
            <w:pPr>
              <w:jc w:val="center"/>
              <w:ind w:left="13"/>
              <w:spacing w:after="0" w:line="140" w:lineRule="exact"/>
              <w:rPr>
                <w:sz w:val="20"/>
                <w:szCs w:val="20"/>
                <w:color w:val="auto"/>
              </w:rPr>
            </w:pPr>
            <w:r>
              <w:rPr>
                <w:rFonts w:ascii="Times New Roman" w:cs="Times New Roman" w:eastAsia="Times New Roman" w:hAnsi="Times New Roman"/>
                <w:sz w:val="14"/>
                <w:szCs w:val="14"/>
                <w:color w:val="auto"/>
                <w:w w:val="93"/>
              </w:rPr>
              <w:t>13.9%</w:t>
            </w:r>
          </w:p>
        </w:tc>
        <w:tc>
          <w:tcPr>
            <w:tcW w:w="1280" w:type="dxa"/>
            <w:vAlign w:val="bottom"/>
          </w:tcPr>
          <w:p>
            <w:pPr>
              <w:jc w:val="center"/>
              <w:ind w:left="53"/>
              <w:spacing w:after="0" w:line="140" w:lineRule="exact"/>
              <w:rPr>
                <w:sz w:val="20"/>
                <w:szCs w:val="20"/>
                <w:color w:val="auto"/>
              </w:rPr>
            </w:pPr>
            <w:r>
              <w:rPr>
                <w:rFonts w:ascii="Times New Roman" w:cs="Times New Roman" w:eastAsia="Times New Roman" w:hAnsi="Times New Roman"/>
                <w:sz w:val="14"/>
                <w:szCs w:val="14"/>
                <w:color w:val="auto"/>
                <w:w w:val="99"/>
              </w:rPr>
              <w:t>19.0%</w:t>
            </w:r>
          </w:p>
        </w:tc>
        <w:tc>
          <w:tcPr>
            <w:tcW w:w="130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9"/>
              </w:rPr>
              <w:t>20.8%</w:t>
            </w:r>
          </w:p>
        </w:tc>
        <w:tc>
          <w:tcPr>
            <w:tcW w:w="8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5"/>
              </w:rPr>
              <w:t>179 bps</w:t>
            </w:r>
          </w:p>
        </w:tc>
        <w:tc>
          <w:tcPr>
            <w:tcW w:w="92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5"/>
              </w:rPr>
              <w:t>690 bps</w:t>
            </w:r>
          </w:p>
        </w:tc>
      </w:tr>
      <w:tr>
        <w:trPr>
          <w:trHeight w:val="140"/>
        </w:trPr>
        <w:tc>
          <w:tcPr>
            <w:tcW w:w="3560" w:type="dxa"/>
            <w:vAlign w:val="bottom"/>
            <w:tcBorders>
              <w:left w:val="single" w:sz="8" w:color="auto"/>
            </w:tcBorders>
          </w:tcPr>
          <w:p>
            <w:pPr>
              <w:ind w:left="100"/>
              <w:spacing w:after="0" w:line="140" w:lineRule="exact"/>
              <w:rPr>
                <w:sz w:val="20"/>
                <w:szCs w:val="20"/>
                <w:color w:val="auto"/>
              </w:rPr>
            </w:pPr>
            <w:r>
              <w:rPr>
                <w:rFonts w:ascii="Times New Roman" w:cs="Times New Roman" w:eastAsia="Times New Roman" w:hAnsi="Times New Roman"/>
                <w:sz w:val="14"/>
                <w:szCs w:val="14"/>
                <w:color w:val="auto"/>
              </w:rPr>
              <w:t>L/D ratio</w:t>
            </w:r>
          </w:p>
        </w:tc>
        <w:tc>
          <w:tcPr>
            <w:tcW w:w="2200" w:type="dxa"/>
            <w:vAlign w:val="bottom"/>
            <w:tcBorders>
              <w:right w:val="single" w:sz="8" w:color="auto"/>
            </w:tcBorders>
            <w:gridSpan w:val="2"/>
          </w:tcPr>
          <w:p>
            <w:pPr>
              <w:spacing w:after="0"/>
              <w:rPr>
                <w:sz w:val="12"/>
                <w:szCs w:val="12"/>
                <w:color w:val="auto"/>
              </w:rPr>
            </w:pPr>
          </w:p>
        </w:tc>
        <w:tc>
          <w:tcPr>
            <w:tcW w:w="1140" w:type="dxa"/>
            <w:vAlign w:val="bottom"/>
          </w:tcPr>
          <w:p>
            <w:pPr>
              <w:jc w:val="center"/>
              <w:ind w:left="13"/>
              <w:spacing w:after="0" w:line="140" w:lineRule="exact"/>
              <w:rPr>
                <w:sz w:val="20"/>
                <w:szCs w:val="20"/>
                <w:color w:val="auto"/>
              </w:rPr>
            </w:pPr>
            <w:r>
              <w:rPr>
                <w:rFonts w:ascii="Times New Roman" w:cs="Times New Roman" w:eastAsia="Times New Roman" w:hAnsi="Times New Roman"/>
                <w:sz w:val="14"/>
                <w:szCs w:val="14"/>
                <w:color w:val="auto"/>
                <w:w w:val="97"/>
              </w:rPr>
              <w:t>110.5%</w:t>
            </w:r>
          </w:p>
        </w:tc>
        <w:tc>
          <w:tcPr>
            <w:tcW w:w="1280" w:type="dxa"/>
            <w:vAlign w:val="bottom"/>
          </w:tcPr>
          <w:p>
            <w:pPr>
              <w:jc w:val="center"/>
              <w:ind w:left="73"/>
              <w:spacing w:after="0" w:line="140" w:lineRule="exact"/>
              <w:rPr>
                <w:sz w:val="20"/>
                <w:szCs w:val="20"/>
                <w:color w:val="auto"/>
              </w:rPr>
            </w:pPr>
            <w:r>
              <w:rPr>
                <w:rFonts w:ascii="Times New Roman" w:cs="Times New Roman" w:eastAsia="Times New Roman" w:hAnsi="Times New Roman"/>
                <w:sz w:val="14"/>
                <w:szCs w:val="14"/>
                <w:color w:val="auto"/>
                <w:w w:val="97"/>
              </w:rPr>
              <w:t>122.7%</w:t>
            </w:r>
          </w:p>
        </w:tc>
        <w:tc>
          <w:tcPr>
            <w:tcW w:w="130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7"/>
              </w:rPr>
              <w:t>126.5%</w:t>
            </w:r>
          </w:p>
        </w:tc>
        <w:tc>
          <w:tcPr>
            <w:tcW w:w="8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5"/>
              </w:rPr>
              <w:t>384 bps</w:t>
            </w:r>
          </w:p>
        </w:tc>
        <w:tc>
          <w:tcPr>
            <w:tcW w:w="92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8"/>
              </w:rPr>
              <w:t>1600 bps</w:t>
            </w:r>
          </w:p>
        </w:tc>
      </w:tr>
      <w:tr>
        <w:trPr>
          <w:trHeight w:val="140"/>
        </w:trPr>
        <w:tc>
          <w:tcPr>
            <w:tcW w:w="3560" w:type="dxa"/>
            <w:vAlign w:val="bottom"/>
            <w:tcBorders>
              <w:left w:val="single" w:sz="8" w:color="auto"/>
            </w:tcBorders>
          </w:tcPr>
          <w:p>
            <w:pPr>
              <w:ind w:left="100"/>
              <w:spacing w:after="0" w:line="140" w:lineRule="exact"/>
              <w:rPr>
                <w:sz w:val="20"/>
                <w:szCs w:val="20"/>
                <w:color w:val="auto"/>
              </w:rPr>
            </w:pPr>
            <w:r>
              <w:rPr>
                <w:rFonts w:ascii="Times New Roman" w:cs="Times New Roman" w:eastAsia="Times New Roman" w:hAnsi="Times New Roman"/>
                <w:sz w:val="14"/>
                <w:szCs w:val="14"/>
                <w:color w:val="auto"/>
              </w:rPr>
              <w:t>IOL ratio</w:t>
            </w:r>
          </w:p>
        </w:tc>
        <w:tc>
          <w:tcPr>
            <w:tcW w:w="2200" w:type="dxa"/>
            <w:vAlign w:val="bottom"/>
            <w:tcBorders>
              <w:right w:val="single" w:sz="8" w:color="auto"/>
            </w:tcBorders>
            <w:gridSpan w:val="2"/>
          </w:tcPr>
          <w:p>
            <w:pPr>
              <w:spacing w:after="0"/>
              <w:rPr>
                <w:sz w:val="12"/>
                <w:szCs w:val="12"/>
                <w:color w:val="auto"/>
              </w:rPr>
            </w:pPr>
          </w:p>
        </w:tc>
        <w:tc>
          <w:tcPr>
            <w:tcW w:w="114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5"/>
              </w:rPr>
              <w:t>5.6%</w:t>
            </w:r>
          </w:p>
        </w:tc>
        <w:tc>
          <w:tcPr>
            <w:tcW w:w="1280" w:type="dxa"/>
            <w:vAlign w:val="bottom"/>
          </w:tcPr>
          <w:p>
            <w:pPr>
              <w:jc w:val="center"/>
              <w:ind w:left="53"/>
              <w:spacing w:after="0" w:line="140" w:lineRule="exact"/>
              <w:rPr>
                <w:sz w:val="20"/>
                <w:szCs w:val="20"/>
                <w:color w:val="auto"/>
              </w:rPr>
            </w:pPr>
            <w:r>
              <w:rPr>
                <w:rFonts w:ascii="Times New Roman" w:cs="Times New Roman" w:eastAsia="Times New Roman" w:hAnsi="Times New Roman"/>
                <w:sz w:val="14"/>
                <w:szCs w:val="14"/>
                <w:color w:val="auto"/>
                <w:w w:val="95"/>
              </w:rPr>
              <w:t>4.3%</w:t>
            </w:r>
          </w:p>
        </w:tc>
        <w:tc>
          <w:tcPr>
            <w:tcW w:w="130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5"/>
              </w:rPr>
              <w:t>4.0%</w:t>
            </w:r>
          </w:p>
        </w:tc>
        <w:tc>
          <w:tcPr>
            <w:tcW w:w="8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-30 bps</w:t>
            </w:r>
          </w:p>
        </w:tc>
        <w:tc>
          <w:tcPr>
            <w:tcW w:w="92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4"/>
              </w:rPr>
              <w:t>-158 bps</w:t>
            </w:r>
          </w:p>
        </w:tc>
      </w:tr>
      <w:tr>
        <w:trPr>
          <w:trHeight w:val="140"/>
        </w:trPr>
        <w:tc>
          <w:tcPr>
            <w:tcW w:w="3560" w:type="dxa"/>
            <w:vAlign w:val="bottom"/>
            <w:tcBorders>
              <w:left w:val="single" w:sz="8" w:color="auto"/>
            </w:tcBorders>
          </w:tcPr>
          <w:p>
            <w:pPr>
              <w:ind w:left="100"/>
              <w:spacing w:after="0" w:line="140" w:lineRule="exact"/>
              <w:rPr>
                <w:sz w:val="20"/>
                <w:szCs w:val="20"/>
                <w:color w:val="auto"/>
              </w:rPr>
            </w:pPr>
            <w:r>
              <w:rPr>
                <w:rFonts w:ascii="Times New Roman" w:cs="Times New Roman" w:eastAsia="Times New Roman" w:hAnsi="Times New Roman"/>
                <w:sz w:val="14"/>
                <w:szCs w:val="14"/>
                <w:color w:val="auto"/>
              </w:rPr>
              <w:t>NPL ratio</w:t>
            </w:r>
          </w:p>
        </w:tc>
        <w:tc>
          <w:tcPr>
            <w:tcW w:w="2200" w:type="dxa"/>
            <w:vAlign w:val="bottom"/>
            <w:tcBorders>
              <w:right w:val="single" w:sz="8" w:color="auto"/>
            </w:tcBorders>
            <w:gridSpan w:val="2"/>
          </w:tcPr>
          <w:p>
            <w:pPr>
              <w:spacing w:after="0"/>
              <w:rPr>
                <w:sz w:val="12"/>
                <w:szCs w:val="12"/>
                <w:color w:val="auto"/>
              </w:rPr>
            </w:pPr>
          </w:p>
        </w:tc>
        <w:tc>
          <w:tcPr>
            <w:tcW w:w="114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5"/>
              </w:rPr>
              <w:t>6.4%</w:t>
            </w:r>
          </w:p>
        </w:tc>
        <w:tc>
          <w:tcPr>
            <w:tcW w:w="1280" w:type="dxa"/>
            <w:vAlign w:val="bottom"/>
          </w:tcPr>
          <w:p>
            <w:pPr>
              <w:jc w:val="center"/>
              <w:ind w:left="53"/>
              <w:spacing w:after="0" w:line="140" w:lineRule="exact"/>
              <w:rPr>
                <w:sz w:val="20"/>
                <w:szCs w:val="20"/>
                <w:color w:val="auto"/>
              </w:rPr>
            </w:pPr>
            <w:r>
              <w:rPr>
                <w:rFonts w:ascii="Times New Roman" w:cs="Times New Roman" w:eastAsia="Times New Roman" w:hAnsi="Times New Roman"/>
                <w:sz w:val="14"/>
                <w:szCs w:val="14"/>
                <w:color w:val="auto"/>
                <w:w w:val="95"/>
              </w:rPr>
              <w:t>5.3%</w:t>
            </w:r>
          </w:p>
        </w:tc>
        <w:tc>
          <w:tcPr>
            <w:tcW w:w="130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5"/>
              </w:rPr>
              <w:t>4.9%</w:t>
            </w:r>
          </w:p>
        </w:tc>
        <w:tc>
          <w:tcPr>
            <w:tcW w:w="8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-33 bps</w:t>
            </w:r>
          </w:p>
        </w:tc>
        <w:tc>
          <w:tcPr>
            <w:tcW w:w="92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4"/>
              </w:rPr>
              <w:t>-149 bps</w:t>
            </w:r>
          </w:p>
        </w:tc>
      </w:tr>
      <w:tr>
        <w:trPr>
          <w:trHeight w:val="140"/>
        </w:trPr>
        <w:tc>
          <w:tcPr>
            <w:tcW w:w="3560" w:type="dxa"/>
            <w:vAlign w:val="bottom"/>
            <w:tcBorders>
              <w:left w:val="single" w:sz="8" w:color="auto"/>
            </w:tcBorders>
          </w:tcPr>
          <w:p>
            <w:pPr>
              <w:ind w:left="100"/>
              <w:spacing w:after="0" w:line="140" w:lineRule="exact"/>
              <w:rPr>
                <w:sz w:val="20"/>
                <w:szCs w:val="20"/>
                <w:color w:val="auto"/>
              </w:rPr>
            </w:pPr>
            <w:r>
              <w:rPr>
                <w:rFonts w:ascii="Times New Roman" w:cs="Times New Roman" w:eastAsia="Times New Roman" w:hAnsi="Times New Roman"/>
                <w:sz w:val="14"/>
                <w:szCs w:val="14"/>
                <w:color w:val="auto"/>
              </w:rPr>
              <w:t>Coverage of IOLs</w:t>
            </w:r>
          </w:p>
        </w:tc>
        <w:tc>
          <w:tcPr>
            <w:tcW w:w="2200" w:type="dxa"/>
            <w:vAlign w:val="bottom"/>
            <w:tcBorders>
              <w:right w:val="single" w:sz="8" w:color="auto"/>
            </w:tcBorders>
            <w:gridSpan w:val="2"/>
          </w:tcPr>
          <w:p>
            <w:pPr>
              <w:spacing w:after="0"/>
              <w:rPr>
                <w:sz w:val="12"/>
                <w:szCs w:val="12"/>
                <w:color w:val="auto"/>
              </w:rPr>
            </w:pPr>
          </w:p>
        </w:tc>
        <w:tc>
          <w:tcPr>
            <w:tcW w:w="1140" w:type="dxa"/>
            <w:vAlign w:val="bottom"/>
          </w:tcPr>
          <w:p>
            <w:pPr>
              <w:jc w:val="center"/>
              <w:ind w:left="13"/>
              <w:spacing w:after="0" w:line="140" w:lineRule="exact"/>
              <w:rPr>
                <w:sz w:val="20"/>
                <w:szCs w:val="20"/>
                <w:color w:val="auto"/>
              </w:rPr>
            </w:pPr>
            <w:r>
              <w:rPr>
                <w:rFonts w:ascii="Times New Roman" w:cs="Times New Roman" w:eastAsia="Times New Roman" w:hAnsi="Times New Roman"/>
                <w:sz w:val="14"/>
                <w:szCs w:val="14"/>
                <w:color w:val="auto"/>
                <w:w w:val="97"/>
              </w:rPr>
              <w:t>123.8%</w:t>
            </w:r>
          </w:p>
        </w:tc>
        <w:tc>
          <w:tcPr>
            <w:tcW w:w="1280" w:type="dxa"/>
            <w:vAlign w:val="bottom"/>
          </w:tcPr>
          <w:p>
            <w:pPr>
              <w:jc w:val="center"/>
              <w:ind w:left="73"/>
              <w:spacing w:after="0" w:line="140" w:lineRule="exact"/>
              <w:rPr>
                <w:sz w:val="20"/>
                <w:szCs w:val="20"/>
                <w:color w:val="auto"/>
              </w:rPr>
            </w:pPr>
            <w:r>
              <w:rPr>
                <w:rFonts w:ascii="Times New Roman" w:cs="Times New Roman" w:eastAsia="Times New Roman" w:hAnsi="Times New Roman"/>
                <w:sz w:val="14"/>
                <w:szCs w:val="14"/>
                <w:color w:val="auto"/>
                <w:w w:val="97"/>
              </w:rPr>
              <w:t>155.7%</w:t>
            </w:r>
          </w:p>
        </w:tc>
        <w:tc>
          <w:tcPr>
            <w:tcW w:w="130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7"/>
              </w:rPr>
              <w:t>169.7%</w:t>
            </w:r>
          </w:p>
        </w:tc>
        <w:tc>
          <w:tcPr>
            <w:tcW w:w="8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8"/>
              </w:rPr>
              <w:t>1405 bps</w:t>
            </w:r>
          </w:p>
        </w:tc>
        <w:tc>
          <w:tcPr>
            <w:tcW w:w="92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8"/>
              </w:rPr>
              <w:t>4592 bps</w:t>
            </w:r>
          </w:p>
        </w:tc>
      </w:tr>
      <w:tr>
        <w:trPr>
          <w:trHeight w:val="160"/>
        </w:trPr>
        <w:tc>
          <w:tcPr>
            <w:tcW w:w="3560" w:type="dxa"/>
            <w:vAlign w:val="bottom"/>
            <w:tcBorders>
              <w:left w:val="single" w:sz="8" w:color="auto"/>
              <w:bottom w:val="single" w:sz="8" w:color="auto"/>
            </w:tcBorders>
          </w:tcPr>
          <w:p>
            <w:pPr>
              <w:ind w:left="100"/>
              <w:spacing w:after="0" w:line="160" w:lineRule="exact"/>
              <w:rPr>
                <w:sz w:val="20"/>
                <w:szCs w:val="20"/>
                <w:color w:val="auto"/>
              </w:rPr>
            </w:pPr>
            <w:r>
              <w:rPr>
                <w:rFonts w:ascii="Times New Roman" w:cs="Times New Roman" w:eastAsia="Times New Roman" w:hAnsi="Times New Roman"/>
                <w:sz w:val="14"/>
                <w:szCs w:val="14"/>
                <w:color w:val="auto"/>
              </w:rPr>
              <w:t>Coverage of NPLs</w:t>
            </w:r>
          </w:p>
        </w:tc>
        <w:tc>
          <w:tcPr>
            <w:tcW w:w="2200" w:type="dxa"/>
            <w:vAlign w:val="bottom"/>
            <w:tcBorders>
              <w:bottom w:val="single" w:sz="8" w:color="auto"/>
              <w:right w:val="single" w:sz="8" w:color="auto"/>
            </w:tcBorders>
            <w:gridSpan w:val="2"/>
          </w:tcPr>
          <w:p>
            <w:pPr>
              <w:spacing w:after="0"/>
              <w:rPr>
                <w:sz w:val="13"/>
                <w:szCs w:val="13"/>
                <w:color w:val="auto"/>
              </w:rPr>
            </w:pPr>
          </w:p>
        </w:tc>
        <w:tc>
          <w:tcPr>
            <w:tcW w:w="1140" w:type="dxa"/>
            <w:vAlign w:val="bottom"/>
            <w:tcBorders>
              <w:bottom w:val="single" w:sz="8" w:color="auto"/>
            </w:tcBorders>
          </w:tcPr>
          <w:p>
            <w:pPr>
              <w:jc w:val="center"/>
              <w:ind w:left="13"/>
              <w:spacing w:after="0" w:line="160" w:lineRule="exact"/>
              <w:rPr>
                <w:sz w:val="20"/>
                <w:szCs w:val="20"/>
                <w:color w:val="auto"/>
              </w:rPr>
            </w:pPr>
            <w:r>
              <w:rPr>
                <w:rFonts w:ascii="Times New Roman" w:cs="Times New Roman" w:eastAsia="Times New Roman" w:hAnsi="Times New Roman"/>
                <w:sz w:val="14"/>
                <w:szCs w:val="14"/>
                <w:color w:val="auto"/>
                <w:w w:val="97"/>
              </w:rPr>
              <w:t>107.3%</w:t>
            </w:r>
          </w:p>
        </w:tc>
        <w:tc>
          <w:tcPr>
            <w:tcW w:w="1280" w:type="dxa"/>
            <w:vAlign w:val="bottom"/>
            <w:tcBorders>
              <w:bottom w:val="single" w:sz="8" w:color="auto"/>
            </w:tcBorders>
          </w:tcPr>
          <w:p>
            <w:pPr>
              <w:jc w:val="center"/>
              <w:ind w:left="73"/>
              <w:spacing w:after="0" w:line="160" w:lineRule="exact"/>
              <w:rPr>
                <w:sz w:val="20"/>
                <w:szCs w:val="20"/>
                <w:color w:val="auto"/>
              </w:rPr>
            </w:pPr>
            <w:r>
              <w:rPr>
                <w:rFonts w:ascii="Times New Roman" w:cs="Times New Roman" w:eastAsia="Times New Roman" w:hAnsi="Times New Roman"/>
                <w:sz w:val="14"/>
                <w:szCs w:val="14"/>
                <w:color w:val="auto"/>
                <w:w w:val="97"/>
              </w:rPr>
              <w:t>127.1%</w:t>
            </w:r>
          </w:p>
        </w:tc>
        <w:tc>
          <w:tcPr>
            <w:tcW w:w="1300" w:type="dxa"/>
            <w:vAlign w:val="bottom"/>
            <w:tcBorders>
              <w:bottom w:val="single" w:sz="8" w:color="auto"/>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w w:val="97"/>
              </w:rPr>
              <w:t>137.4%</w:t>
            </w:r>
          </w:p>
        </w:tc>
        <w:tc>
          <w:tcPr>
            <w:tcW w:w="86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w w:val="98"/>
              </w:rPr>
              <w:t>1028 bps</w:t>
            </w:r>
          </w:p>
        </w:tc>
        <w:tc>
          <w:tcPr>
            <w:tcW w:w="920" w:type="dxa"/>
            <w:vAlign w:val="bottom"/>
            <w:tcBorders>
              <w:bottom w:val="single" w:sz="8" w:color="auto"/>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w w:val="98"/>
              </w:rPr>
              <w:t>3003 bps</w:t>
            </w:r>
          </w:p>
        </w:tc>
      </w:tr>
      <w:tr>
        <w:trPr>
          <w:trHeight w:val="112"/>
        </w:trPr>
        <w:tc>
          <w:tcPr>
            <w:tcW w:w="3560" w:type="dxa"/>
            <w:vAlign w:val="bottom"/>
            <w:tcBorders>
              <w:left w:val="single" w:sz="8" w:color="auto"/>
            </w:tcBorders>
          </w:tcPr>
          <w:p>
            <w:pPr>
              <w:ind w:left="100"/>
              <w:spacing w:after="0" w:line="112" w:lineRule="exact"/>
              <w:rPr>
                <w:sz w:val="20"/>
                <w:szCs w:val="20"/>
                <w:color w:val="auto"/>
              </w:rPr>
            </w:pPr>
            <w:r>
              <w:rPr>
                <w:rFonts w:ascii="Times New Roman" w:cs="Times New Roman" w:eastAsia="Times New Roman" w:hAnsi="Times New Roman"/>
                <w:sz w:val="9"/>
                <w:szCs w:val="9"/>
                <w:color w:val="auto"/>
              </w:rPr>
              <w:t xml:space="preserve">Branches </w:t>
            </w:r>
            <w:r>
              <w:rPr>
                <w:rFonts w:ascii="Times New Roman" w:cs="Times New Roman" w:eastAsia="Times New Roman" w:hAnsi="Times New Roman"/>
                <w:sz w:val="12"/>
                <w:szCs w:val="12"/>
                <w:color w:val="auto"/>
                <w:vertAlign w:val="superscript"/>
              </w:rPr>
              <w:t>(1)</w:t>
            </w:r>
          </w:p>
        </w:tc>
        <w:tc>
          <w:tcPr>
            <w:tcW w:w="2200" w:type="dxa"/>
            <w:vAlign w:val="bottom"/>
            <w:tcBorders>
              <w:right w:val="single" w:sz="8" w:color="auto"/>
            </w:tcBorders>
            <w:gridSpan w:val="2"/>
          </w:tcPr>
          <w:p>
            <w:pPr>
              <w:spacing w:after="0"/>
              <w:rPr>
                <w:sz w:val="9"/>
                <w:szCs w:val="9"/>
                <w:color w:val="auto"/>
              </w:rPr>
            </w:pPr>
          </w:p>
        </w:tc>
        <w:tc>
          <w:tcPr>
            <w:tcW w:w="1140" w:type="dxa"/>
            <w:vAlign w:val="bottom"/>
          </w:tcPr>
          <w:p>
            <w:pPr>
              <w:jc w:val="center"/>
              <w:spacing w:after="0" w:line="112" w:lineRule="exact"/>
              <w:rPr>
                <w:sz w:val="20"/>
                <w:szCs w:val="20"/>
                <w:color w:val="auto"/>
              </w:rPr>
            </w:pPr>
            <w:r>
              <w:rPr>
                <w:rFonts w:ascii="Times New Roman" w:cs="Times New Roman" w:eastAsia="Times New Roman" w:hAnsi="Times New Roman"/>
                <w:sz w:val="12"/>
                <w:szCs w:val="12"/>
                <w:color w:val="auto"/>
              </w:rPr>
              <w:t>285</w:t>
            </w:r>
          </w:p>
        </w:tc>
        <w:tc>
          <w:tcPr>
            <w:tcW w:w="1280" w:type="dxa"/>
            <w:vAlign w:val="bottom"/>
          </w:tcPr>
          <w:p>
            <w:pPr>
              <w:jc w:val="center"/>
              <w:ind w:left="53"/>
              <w:spacing w:after="0" w:line="112" w:lineRule="exact"/>
              <w:rPr>
                <w:sz w:val="20"/>
                <w:szCs w:val="20"/>
                <w:color w:val="auto"/>
              </w:rPr>
            </w:pPr>
            <w:r>
              <w:rPr>
                <w:rFonts w:ascii="Times New Roman" w:cs="Times New Roman" w:eastAsia="Times New Roman" w:hAnsi="Times New Roman"/>
                <w:sz w:val="12"/>
                <w:szCs w:val="12"/>
                <w:color w:val="auto"/>
              </w:rPr>
              <w:t>282</w:t>
            </w:r>
          </w:p>
        </w:tc>
        <w:tc>
          <w:tcPr>
            <w:tcW w:w="1300" w:type="dxa"/>
            <w:vAlign w:val="bottom"/>
            <w:tcBorders>
              <w:right w:val="single" w:sz="8" w:color="auto"/>
            </w:tcBorders>
          </w:tcPr>
          <w:p>
            <w:pPr>
              <w:jc w:val="center"/>
              <w:spacing w:after="0" w:line="112" w:lineRule="exact"/>
              <w:rPr>
                <w:sz w:val="20"/>
                <w:szCs w:val="20"/>
                <w:color w:val="auto"/>
              </w:rPr>
            </w:pPr>
            <w:r>
              <w:rPr>
                <w:rFonts w:ascii="Times New Roman" w:cs="Times New Roman" w:eastAsia="Times New Roman" w:hAnsi="Times New Roman"/>
                <w:sz w:val="12"/>
                <w:szCs w:val="12"/>
                <w:color w:val="auto"/>
              </w:rPr>
              <w:t>282</w:t>
            </w:r>
          </w:p>
        </w:tc>
        <w:tc>
          <w:tcPr>
            <w:tcW w:w="860" w:type="dxa"/>
            <w:vAlign w:val="bottom"/>
          </w:tcPr>
          <w:p>
            <w:pPr>
              <w:jc w:val="center"/>
              <w:spacing w:after="0" w:line="112" w:lineRule="exact"/>
              <w:rPr>
                <w:sz w:val="20"/>
                <w:szCs w:val="20"/>
                <w:color w:val="auto"/>
              </w:rPr>
            </w:pPr>
            <w:r>
              <w:rPr>
                <w:rFonts w:ascii="Times New Roman" w:cs="Times New Roman" w:eastAsia="Times New Roman" w:hAnsi="Times New Roman"/>
                <w:sz w:val="12"/>
                <w:szCs w:val="12"/>
                <w:color w:val="auto"/>
                <w:w w:val="99"/>
              </w:rPr>
              <w:t>0</w:t>
            </w:r>
          </w:p>
        </w:tc>
        <w:tc>
          <w:tcPr>
            <w:tcW w:w="920" w:type="dxa"/>
            <w:vAlign w:val="bottom"/>
            <w:tcBorders>
              <w:right w:val="single" w:sz="8" w:color="auto"/>
            </w:tcBorders>
          </w:tcPr>
          <w:p>
            <w:pPr>
              <w:jc w:val="center"/>
              <w:spacing w:after="0" w:line="112" w:lineRule="exact"/>
              <w:rPr>
                <w:sz w:val="20"/>
                <w:szCs w:val="20"/>
                <w:color w:val="auto"/>
              </w:rPr>
            </w:pPr>
            <w:r>
              <w:rPr>
                <w:rFonts w:ascii="Times New Roman" w:cs="Times New Roman" w:eastAsia="Times New Roman" w:hAnsi="Times New Roman"/>
                <w:sz w:val="12"/>
                <w:szCs w:val="12"/>
                <w:color w:val="auto"/>
                <w:w w:val="99"/>
              </w:rPr>
              <w:t>-3</w:t>
            </w:r>
          </w:p>
        </w:tc>
      </w:tr>
      <w:tr>
        <w:trPr>
          <w:trHeight w:val="160"/>
        </w:trPr>
        <w:tc>
          <w:tcPr>
            <w:tcW w:w="3560" w:type="dxa"/>
            <w:vAlign w:val="bottom"/>
            <w:tcBorders>
              <w:left w:val="single" w:sz="8" w:color="auto"/>
              <w:bottom w:val="single" w:sz="8" w:color="auto"/>
            </w:tcBorders>
          </w:tcPr>
          <w:p>
            <w:pPr>
              <w:ind w:left="100"/>
              <w:spacing w:after="0" w:line="160" w:lineRule="exact"/>
              <w:rPr>
                <w:sz w:val="20"/>
                <w:szCs w:val="20"/>
                <w:color w:val="auto"/>
              </w:rPr>
            </w:pPr>
            <w:r>
              <w:rPr>
                <w:rFonts w:ascii="Times New Roman" w:cs="Times New Roman" w:eastAsia="Times New Roman" w:hAnsi="Times New Roman"/>
                <w:sz w:val="14"/>
                <w:szCs w:val="14"/>
                <w:color w:val="auto"/>
              </w:rPr>
              <w:t>Employees</w:t>
            </w:r>
          </w:p>
        </w:tc>
        <w:tc>
          <w:tcPr>
            <w:tcW w:w="2200" w:type="dxa"/>
            <w:vAlign w:val="bottom"/>
            <w:tcBorders>
              <w:bottom w:val="single" w:sz="8" w:color="auto"/>
              <w:right w:val="single" w:sz="8" w:color="auto"/>
            </w:tcBorders>
            <w:gridSpan w:val="2"/>
          </w:tcPr>
          <w:p>
            <w:pPr>
              <w:spacing w:after="0"/>
              <w:rPr>
                <w:sz w:val="13"/>
                <w:szCs w:val="13"/>
                <w:color w:val="auto"/>
              </w:rPr>
            </w:pPr>
          </w:p>
        </w:tc>
        <w:tc>
          <w:tcPr>
            <w:tcW w:w="1140" w:type="dxa"/>
            <w:vAlign w:val="bottom"/>
            <w:tcBorders>
              <w:bottom w:val="single" w:sz="8" w:color="auto"/>
            </w:tcBorders>
          </w:tcPr>
          <w:p>
            <w:pPr>
              <w:jc w:val="center"/>
              <w:ind w:left="13"/>
              <w:spacing w:after="0" w:line="160" w:lineRule="exact"/>
              <w:rPr>
                <w:sz w:val="20"/>
                <w:szCs w:val="20"/>
                <w:color w:val="auto"/>
              </w:rPr>
            </w:pPr>
            <w:r>
              <w:rPr>
                <w:rFonts w:ascii="Times New Roman" w:cs="Times New Roman" w:eastAsia="Times New Roman" w:hAnsi="Times New Roman"/>
                <w:sz w:val="14"/>
                <w:szCs w:val="14"/>
                <w:color w:val="auto"/>
                <w:w w:val="95"/>
              </w:rPr>
              <w:t>9,735</w:t>
            </w:r>
          </w:p>
        </w:tc>
        <w:tc>
          <w:tcPr>
            <w:tcW w:w="1280" w:type="dxa"/>
            <w:vAlign w:val="bottom"/>
            <w:tcBorders>
              <w:bottom w:val="single" w:sz="8" w:color="auto"/>
            </w:tcBorders>
          </w:tcPr>
          <w:p>
            <w:pPr>
              <w:jc w:val="center"/>
              <w:ind w:left="73"/>
              <w:spacing w:after="0" w:line="160" w:lineRule="exact"/>
              <w:rPr>
                <w:sz w:val="20"/>
                <w:szCs w:val="20"/>
                <w:color w:val="auto"/>
              </w:rPr>
            </w:pPr>
            <w:r>
              <w:rPr>
                <w:rFonts w:ascii="Times New Roman" w:cs="Times New Roman" w:eastAsia="Times New Roman" w:hAnsi="Times New Roman"/>
                <w:sz w:val="14"/>
                <w:szCs w:val="14"/>
                <w:color w:val="auto"/>
                <w:w w:val="95"/>
              </w:rPr>
              <w:t>9,490</w:t>
            </w:r>
          </w:p>
        </w:tc>
        <w:tc>
          <w:tcPr>
            <w:tcW w:w="1300" w:type="dxa"/>
            <w:vAlign w:val="bottom"/>
            <w:tcBorders>
              <w:bottom w:val="single" w:sz="8" w:color="auto"/>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rPr>
              <w:t>9,535</w:t>
            </w:r>
          </w:p>
        </w:tc>
        <w:tc>
          <w:tcPr>
            <w:tcW w:w="86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w w:val="99"/>
              </w:rPr>
              <w:t>45</w:t>
            </w:r>
          </w:p>
        </w:tc>
        <w:tc>
          <w:tcPr>
            <w:tcW w:w="920" w:type="dxa"/>
            <w:vAlign w:val="bottom"/>
            <w:tcBorders>
              <w:bottom w:val="single" w:sz="8" w:color="auto"/>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rPr>
              <w:t>-200</w:t>
            </w:r>
          </w:p>
        </w:tc>
      </w:tr>
    </w:tbl>
    <w:p>
      <w:pPr>
        <w:spacing w:after="0" w:line="1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(1) Includes Banco de la Nacion branches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865505</wp:posOffset>
            </wp:positionV>
            <wp:extent cx="7140575" cy="1587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40575" cy="15875"/>
                    </a:xfrm>
                    <a:prstGeom prst="rect">
                      <a:avLst/>
                    </a:prstGeom>
                    <a:noFill/>
                  </pic:spPr>
                </pic:pic>
              </a:graphicData>
            </a:graphic>
          </wp:anchor>
        </w:drawing>
        <w:drawing>
          <wp:anchor simplePos="0" relativeHeight="251657728" behindDoc="1" locked="0" layoutInCell="0" allowOverlap="1">
            <wp:simplePos x="0" y="0"/>
            <wp:positionH relativeFrom="column">
              <wp:posOffset>339725</wp:posOffset>
            </wp:positionH>
            <wp:positionV relativeFrom="paragraph">
              <wp:posOffset>83820</wp:posOffset>
            </wp:positionV>
            <wp:extent cx="6447155" cy="53213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447155" cy="532130"/>
                    </a:xfrm>
                    <a:prstGeom prst="rect">
                      <a:avLst/>
                    </a:prstGeom>
                    <a:noFill/>
                  </pic:spPr>
                </pic:pic>
              </a:graphicData>
            </a:graphic>
          </wp:anchor>
        </w:drawing>
      </w:r>
    </w:p>
    <w:p>
      <w:pPr>
        <w:sectPr>
          <w:pgSz w:w="11900" w:h="16838" w:orient="portrait"/>
          <w:cols w:equalWidth="0" w:num="1">
            <w:col w:w="11240"/>
          </w:cols>
          <w:pgMar w:left="320" w:top="695" w:right="339" w:bottom="1440" w:gutter="0" w:footer="0" w:header="0"/>
        </w:sectPr>
      </w:pPr>
    </w:p>
    <w:bookmarkStart w:id="64" w:name="page65"/>
    <w:bookmarkEnd w:id="64"/>
    <w:p>
      <w:pPr>
        <w:ind w:left="3160"/>
        <w:spacing w:after="0"/>
        <w:tabs>
          <w:tab w:leader="none" w:pos="3380" w:val="left"/>
          <w:tab w:leader="none" w:pos="9060" w:val="left"/>
        </w:tabs>
        <w:rPr>
          <w:sz w:val="20"/>
          <w:szCs w:val="20"/>
          <w:color w:val="auto"/>
        </w:rPr>
      </w:pPr>
      <w:r>
        <w:rPr>
          <w:rFonts w:ascii="Times New Roman" w:cs="Times New Roman" w:eastAsia="Times New Roman" w:hAnsi="Times New Roman"/>
          <w:sz w:val="17"/>
          <w:szCs w:val="17"/>
          <w:b w:val="1"/>
          <w:bCs w:val="1"/>
          <w:color w:val="A6A6A6"/>
        </w:rPr>
        <w:drawing>
          <wp:anchor simplePos="0" relativeHeight="251657728" behindDoc="1" locked="0" layoutInCell="0" allowOverlap="1">
            <wp:simplePos x="0" y="0"/>
            <wp:positionH relativeFrom="page">
              <wp:posOffset>204470</wp:posOffset>
            </wp:positionH>
            <wp:positionV relativeFrom="page">
              <wp:posOffset>217805</wp:posOffset>
            </wp:positionV>
            <wp:extent cx="7140575" cy="62865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40575" cy="628650"/>
                    </a:xfrm>
                    <a:prstGeom prst="rect">
                      <a:avLst/>
                    </a:prstGeom>
                    <a:noFill/>
                  </pic:spPr>
                </pic:pic>
              </a:graphicData>
            </a:graphic>
          </wp:anchor>
        </w:drawing>
        <w:t>|</w:t>
      </w:r>
      <w:r>
        <w:rPr>
          <w:sz w:val="20"/>
          <w:szCs w:val="20"/>
          <w:color w:val="auto"/>
        </w:rPr>
        <w:tab/>
      </w:r>
      <w:r>
        <w:rPr>
          <w:rFonts w:ascii="Times New Roman" w:cs="Times New Roman" w:eastAsia="Times New Roman" w:hAnsi="Times New Roman"/>
          <w:sz w:val="14"/>
          <w:szCs w:val="14"/>
          <w:color w:val="FFFFFF"/>
        </w:rPr>
        <w:t>Earnings Release 1Q / 2026</w:t>
      </w:r>
      <w:r>
        <w:rPr>
          <w:sz w:val="20"/>
          <w:szCs w:val="20"/>
          <w:color w:val="auto"/>
        </w:rPr>
        <w:tab/>
      </w:r>
      <w:r>
        <w:rPr>
          <w:rFonts w:ascii="Times New Roman" w:cs="Times New Roman" w:eastAsia="Times New Roman" w:hAnsi="Times New Roman"/>
          <w:sz w:val="12"/>
          <w:szCs w:val="12"/>
          <w:color w:val="FF00FF"/>
        </w:rPr>
        <w:t>Analysis of 1Q26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280670</wp:posOffset>
            </wp:positionV>
            <wp:extent cx="7140575" cy="25781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40575" cy="25781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FFFFFF"/>
        </w:rPr>
        <w:t>12. Appendix</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12.7.7. Prima AFP</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Statement of Financial Position</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 Thousands, IFRS)</w:t>
      </w:r>
    </w:p>
    <w:p>
      <w:pPr>
        <w:spacing w:after="0" w:line="206" w:lineRule="exact"/>
        <w:rPr>
          <w:sz w:val="20"/>
          <w:szCs w:val="20"/>
          <w:color w:val="auto"/>
        </w:rPr>
      </w:pPr>
    </w:p>
    <w:tbl>
      <w:tblPr>
        <w:tblLayout w:type="fixed"/>
        <w:tblInd w:w="870" w:type="dxa"/>
        <w:tblCellMar>
          <w:top w:w="0" w:type="dxa"/>
          <w:left w:w="0" w:type="dxa"/>
          <w:bottom w:w="0" w:type="dxa"/>
          <w:right w:w="0" w:type="dxa"/>
        </w:tblCellMar>
      </w:tblPr>
      <w:tr>
        <w:trPr>
          <w:trHeight w:val="122"/>
        </w:trPr>
        <w:tc>
          <w:tcPr>
            <w:tcW w:w="5060" w:type="dxa"/>
            <w:vAlign w:val="bottom"/>
            <w:tcBorders>
              <w:top w:val="single" w:sz="8" w:color="auto"/>
              <w:left w:val="single" w:sz="8" w:color="auto"/>
              <w:right w:val="single" w:sz="8" w:color="auto"/>
            </w:tcBorders>
            <w:shd w:val="clear" w:color="auto" w:fill="2AD2C9"/>
          </w:tcPr>
          <w:p>
            <w:pPr>
              <w:spacing w:after="0"/>
              <w:rPr>
                <w:sz w:val="10"/>
                <w:szCs w:val="10"/>
                <w:color w:val="auto"/>
              </w:rPr>
            </w:pPr>
          </w:p>
        </w:tc>
        <w:tc>
          <w:tcPr>
            <w:tcW w:w="880" w:type="dxa"/>
            <w:vAlign w:val="bottom"/>
            <w:tcBorders>
              <w:top w:val="single" w:sz="8" w:color="auto"/>
            </w:tcBorders>
            <w:shd w:val="clear" w:color="auto" w:fill="2AD2C9"/>
          </w:tcPr>
          <w:p>
            <w:pPr>
              <w:spacing w:after="0"/>
              <w:rPr>
                <w:sz w:val="10"/>
                <w:szCs w:val="10"/>
                <w:color w:val="auto"/>
              </w:rPr>
            </w:pPr>
          </w:p>
        </w:tc>
        <w:tc>
          <w:tcPr>
            <w:tcW w:w="880" w:type="dxa"/>
            <w:vAlign w:val="bottom"/>
            <w:tcBorders>
              <w:top w:val="single" w:sz="8" w:color="auto"/>
            </w:tcBorders>
            <w:shd w:val="clear" w:color="auto" w:fill="2AD2C9"/>
          </w:tcPr>
          <w:p>
            <w:pPr>
              <w:jc w:val="center"/>
              <w:spacing w:after="0" w:line="122" w:lineRule="exact"/>
              <w:rPr>
                <w:sz w:val="20"/>
                <w:szCs w:val="20"/>
                <w:color w:val="auto"/>
              </w:rPr>
            </w:pPr>
            <w:r>
              <w:rPr>
                <w:rFonts w:ascii="Times New Roman" w:cs="Times New Roman" w:eastAsia="Times New Roman" w:hAnsi="Times New Roman"/>
                <w:sz w:val="12"/>
                <w:szCs w:val="12"/>
                <w:b w:val="1"/>
                <w:bCs w:val="1"/>
                <w:color w:val="FFFFFF"/>
                <w:w w:val="98"/>
              </w:rPr>
              <w:t>As of</w:t>
            </w:r>
          </w:p>
        </w:tc>
        <w:tc>
          <w:tcPr>
            <w:tcW w:w="940" w:type="dxa"/>
            <w:vAlign w:val="bottom"/>
            <w:tcBorders>
              <w:top w:val="single" w:sz="8" w:color="auto"/>
              <w:right w:val="single" w:sz="8" w:color="auto"/>
            </w:tcBorders>
            <w:shd w:val="clear" w:color="auto" w:fill="2AD2C9"/>
          </w:tcPr>
          <w:p>
            <w:pPr>
              <w:spacing w:after="0"/>
              <w:rPr>
                <w:sz w:val="10"/>
                <w:szCs w:val="10"/>
                <w:color w:val="auto"/>
              </w:rPr>
            </w:pPr>
          </w:p>
        </w:tc>
        <w:tc>
          <w:tcPr>
            <w:tcW w:w="620" w:type="dxa"/>
            <w:vAlign w:val="bottom"/>
            <w:tcBorders>
              <w:top w:val="single" w:sz="8" w:color="auto"/>
            </w:tcBorders>
            <w:shd w:val="clear" w:color="auto" w:fill="2AD2C9"/>
          </w:tcPr>
          <w:p>
            <w:pPr>
              <w:spacing w:after="0"/>
              <w:rPr>
                <w:sz w:val="10"/>
                <w:szCs w:val="10"/>
                <w:color w:val="auto"/>
              </w:rPr>
            </w:pPr>
          </w:p>
        </w:tc>
        <w:tc>
          <w:tcPr>
            <w:tcW w:w="1180" w:type="dxa"/>
            <w:vAlign w:val="bottom"/>
            <w:tcBorders>
              <w:top w:val="single" w:sz="8" w:color="auto"/>
              <w:right w:val="single" w:sz="8" w:color="auto"/>
            </w:tcBorders>
            <w:shd w:val="clear" w:color="auto" w:fill="2AD2C9"/>
          </w:tcPr>
          <w:p>
            <w:pPr>
              <w:spacing w:after="0" w:line="122" w:lineRule="exact"/>
              <w:rPr>
                <w:sz w:val="20"/>
                <w:szCs w:val="20"/>
                <w:color w:val="auto"/>
              </w:rPr>
            </w:pPr>
            <w:r>
              <w:rPr>
                <w:rFonts w:ascii="Times New Roman" w:cs="Times New Roman" w:eastAsia="Times New Roman" w:hAnsi="Times New Roman"/>
                <w:sz w:val="12"/>
                <w:szCs w:val="12"/>
                <w:b w:val="1"/>
                <w:bCs w:val="1"/>
                <w:color w:val="FFFFFF"/>
              </w:rPr>
              <w:t>% change</w:t>
            </w:r>
          </w:p>
        </w:tc>
      </w:tr>
      <w:tr>
        <w:trPr>
          <w:trHeight w:val="145"/>
        </w:trPr>
        <w:tc>
          <w:tcPr>
            <w:tcW w:w="5060" w:type="dxa"/>
            <w:vAlign w:val="bottom"/>
            <w:tcBorders>
              <w:left w:val="single" w:sz="8" w:color="auto"/>
              <w:bottom w:val="single" w:sz="8" w:color="auto"/>
              <w:right w:val="single" w:sz="8" w:color="auto"/>
            </w:tcBorders>
            <w:shd w:val="clear" w:color="auto" w:fill="2AD2C9"/>
          </w:tcPr>
          <w:p>
            <w:pPr>
              <w:spacing w:after="0"/>
              <w:rPr>
                <w:sz w:val="12"/>
                <w:szCs w:val="12"/>
                <w:color w:val="auto"/>
              </w:rPr>
            </w:pPr>
          </w:p>
        </w:tc>
        <w:tc>
          <w:tcPr>
            <w:tcW w:w="880" w:type="dxa"/>
            <w:vAlign w:val="bottom"/>
            <w:tcBorders>
              <w:bottom w:val="single" w:sz="8" w:color="auto"/>
            </w:tcBorders>
            <w:shd w:val="clear" w:color="auto" w:fill="2AD2C9"/>
          </w:tcPr>
          <w:p>
            <w:pPr>
              <w:ind w:left="240"/>
              <w:spacing w:after="0"/>
              <w:rPr>
                <w:sz w:val="20"/>
                <w:szCs w:val="20"/>
                <w:color w:val="auto"/>
              </w:rPr>
            </w:pPr>
            <w:r>
              <w:rPr>
                <w:rFonts w:ascii="Times New Roman" w:cs="Times New Roman" w:eastAsia="Times New Roman" w:hAnsi="Times New Roman"/>
                <w:sz w:val="12"/>
                <w:szCs w:val="12"/>
                <w:b w:val="1"/>
                <w:bCs w:val="1"/>
                <w:color w:val="FFFFFF"/>
              </w:rPr>
              <w:t>Mar 25</w:t>
            </w:r>
          </w:p>
        </w:tc>
        <w:tc>
          <w:tcPr>
            <w:tcW w:w="880" w:type="dxa"/>
            <w:vAlign w:val="bottom"/>
            <w:tcBorders>
              <w:bottom w:val="single" w:sz="8" w:color="auto"/>
            </w:tcBorders>
            <w:shd w:val="clear" w:color="auto" w:fill="2AD2C9"/>
          </w:tcPr>
          <w:p>
            <w:pPr>
              <w:jc w:val="center"/>
              <w:spacing w:after="0"/>
              <w:rPr>
                <w:sz w:val="20"/>
                <w:szCs w:val="20"/>
                <w:color w:val="auto"/>
              </w:rPr>
            </w:pPr>
            <w:r>
              <w:rPr>
                <w:rFonts w:ascii="Times New Roman" w:cs="Times New Roman" w:eastAsia="Times New Roman" w:hAnsi="Times New Roman"/>
                <w:sz w:val="12"/>
                <w:szCs w:val="12"/>
                <w:b w:val="1"/>
                <w:bCs w:val="1"/>
                <w:color w:val="FFFFFF"/>
                <w:w w:val="98"/>
              </w:rPr>
              <w:t>Dec 25</w:t>
            </w:r>
          </w:p>
        </w:tc>
        <w:tc>
          <w:tcPr>
            <w:tcW w:w="940" w:type="dxa"/>
            <w:vAlign w:val="bottom"/>
            <w:tcBorders>
              <w:bottom w:val="single" w:sz="8" w:color="auto"/>
              <w:right w:val="single" w:sz="8" w:color="auto"/>
            </w:tcBorders>
            <w:shd w:val="clear" w:color="auto" w:fill="2AD2C9"/>
          </w:tcPr>
          <w:p>
            <w:pPr>
              <w:ind w:left="280"/>
              <w:spacing w:after="0"/>
              <w:rPr>
                <w:sz w:val="20"/>
                <w:szCs w:val="20"/>
                <w:color w:val="auto"/>
              </w:rPr>
            </w:pPr>
            <w:r>
              <w:rPr>
                <w:rFonts w:ascii="Times New Roman" w:cs="Times New Roman" w:eastAsia="Times New Roman" w:hAnsi="Times New Roman"/>
                <w:sz w:val="12"/>
                <w:szCs w:val="12"/>
                <w:b w:val="1"/>
                <w:bCs w:val="1"/>
                <w:color w:val="FFFFFF"/>
              </w:rPr>
              <w:t>Mar 26</w:t>
            </w:r>
          </w:p>
        </w:tc>
        <w:tc>
          <w:tcPr>
            <w:tcW w:w="620" w:type="dxa"/>
            <w:vAlign w:val="bottom"/>
            <w:tcBorders>
              <w:bottom w:val="single" w:sz="8" w:color="auto"/>
            </w:tcBorders>
            <w:shd w:val="clear" w:color="auto" w:fill="2AD2C9"/>
          </w:tcPr>
          <w:p>
            <w:pPr>
              <w:jc w:val="center"/>
              <w:ind w:left="161"/>
              <w:spacing w:after="0"/>
              <w:rPr>
                <w:sz w:val="20"/>
                <w:szCs w:val="20"/>
                <w:color w:val="auto"/>
              </w:rPr>
            </w:pPr>
            <w:r>
              <w:rPr>
                <w:rFonts w:ascii="Times New Roman" w:cs="Times New Roman" w:eastAsia="Times New Roman" w:hAnsi="Times New Roman"/>
                <w:sz w:val="12"/>
                <w:szCs w:val="12"/>
                <w:b w:val="1"/>
                <w:bCs w:val="1"/>
                <w:color w:val="FFFFFF"/>
                <w:w w:val="97"/>
              </w:rPr>
              <w:t>QoQ</w:t>
            </w:r>
          </w:p>
        </w:tc>
        <w:tc>
          <w:tcPr>
            <w:tcW w:w="1180" w:type="dxa"/>
            <w:vAlign w:val="bottom"/>
            <w:tcBorders>
              <w:bottom w:val="single" w:sz="8" w:color="auto"/>
              <w:right w:val="single" w:sz="8" w:color="auto"/>
            </w:tcBorders>
            <w:shd w:val="clear" w:color="auto" w:fill="2AD2C9"/>
          </w:tcPr>
          <w:p>
            <w:pPr>
              <w:jc w:val="center"/>
              <w:ind w:left="161"/>
              <w:spacing w:after="0"/>
              <w:rPr>
                <w:sz w:val="20"/>
                <w:szCs w:val="20"/>
                <w:color w:val="auto"/>
              </w:rPr>
            </w:pPr>
            <w:r>
              <w:rPr>
                <w:rFonts w:ascii="Times New Roman" w:cs="Times New Roman" w:eastAsia="Times New Roman" w:hAnsi="Times New Roman"/>
                <w:sz w:val="12"/>
                <w:szCs w:val="12"/>
                <w:b w:val="1"/>
                <w:bCs w:val="1"/>
                <w:color w:val="FFFFFF"/>
                <w:w w:val="85"/>
              </w:rPr>
              <w:t>YoY</w:t>
            </w:r>
          </w:p>
        </w:tc>
      </w:tr>
      <w:tr>
        <w:trPr>
          <w:trHeight w:val="104"/>
        </w:trPr>
        <w:tc>
          <w:tcPr>
            <w:tcW w:w="5060" w:type="dxa"/>
            <w:vAlign w:val="bottom"/>
            <w:tcBorders>
              <w:left w:val="single" w:sz="8" w:color="auto"/>
              <w:right w:val="single" w:sz="8" w:color="auto"/>
            </w:tcBorders>
          </w:tcPr>
          <w:p>
            <w:pPr>
              <w:ind w:left="260"/>
              <w:spacing w:after="0" w:line="104" w:lineRule="exact"/>
              <w:rPr>
                <w:sz w:val="20"/>
                <w:szCs w:val="20"/>
                <w:color w:val="auto"/>
              </w:rPr>
            </w:pPr>
            <w:r>
              <w:rPr>
                <w:rFonts w:ascii="Times New Roman" w:cs="Times New Roman" w:eastAsia="Times New Roman" w:hAnsi="Times New Roman"/>
                <w:sz w:val="12"/>
                <w:szCs w:val="12"/>
                <w:b w:val="1"/>
                <w:bCs w:val="1"/>
                <w:color w:val="auto"/>
              </w:rPr>
              <w:t>Cash and due from banks</w:t>
            </w:r>
          </w:p>
        </w:tc>
        <w:tc>
          <w:tcPr>
            <w:tcW w:w="880" w:type="dxa"/>
            <w:vAlign w:val="bottom"/>
          </w:tcPr>
          <w:p>
            <w:pPr>
              <w:jc w:val="center"/>
              <w:spacing w:after="0" w:line="104" w:lineRule="exact"/>
              <w:rPr>
                <w:sz w:val="20"/>
                <w:szCs w:val="20"/>
                <w:color w:val="auto"/>
              </w:rPr>
            </w:pPr>
            <w:r>
              <w:rPr>
                <w:rFonts w:ascii="Times New Roman" w:cs="Times New Roman" w:eastAsia="Times New Roman" w:hAnsi="Times New Roman"/>
                <w:sz w:val="12"/>
                <w:szCs w:val="12"/>
                <w:b w:val="1"/>
                <w:bCs w:val="1"/>
                <w:color w:val="auto"/>
                <w:w w:val="97"/>
              </w:rPr>
              <w:t>132,293</w:t>
            </w:r>
          </w:p>
        </w:tc>
        <w:tc>
          <w:tcPr>
            <w:tcW w:w="880" w:type="dxa"/>
            <w:vAlign w:val="bottom"/>
          </w:tcPr>
          <w:p>
            <w:pPr>
              <w:jc w:val="center"/>
              <w:spacing w:after="0" w:line="104" w:lineRule="exact"/>
              <w:rPr>
                <w:sz w:val="20"/>
                <w:szCs w:val="20"/>
                <w:color w:val="auto"/>
              </w:rPr>
            </w:pPr>
            <w:r>
              <w:rPr>
                <w:rFonts w:ascii="Times New Roman" w:cs="Times New Roman" w:eastAsia="Times New Roman" w:hAnsi="Times New Roman"/>
                <w:sz w:val="12"/>
                <w:szCs w:val="12"/>
                <w:b w:val="1"/>
                <w:bCs w:val="1"/>
                <w:color w:val="auto"/>
                <w:w w:val="97"/>
              </w:rPr>
              <w:t>126,874</w:t>
            </w:r>
          </w:p>
        </w:tc>
        <w:tc>
          <w:tcPr>
            <w:tcW w:w="940" w:type="dxa"/>
            <w:vAlign w:val="bottom"/>
            <w:tcBorders>
              <w:right w:val="single" w:sz="8" w:color="auto"/>
            </w:tcBorders>
          </w:tcPr>
          <w:p>
            <w:pPr>
              <w:jc w:val="center"/>
              <w:spacing w:after="0" w:line="104" w:lineRule="exact"/>
              <w:rPr>
                <w:sz w:val="20"/>
                <w:szCs w:val="20"/>
                <w:color w:val="auto"/>
              </w:rPr>
            </w:pPr>
            <w:r>
              <w:rPr>
                <w:rFonts w:ascii="Times New Roman" w:cs="Times New Roman" w:eastAsia="Times New Roman" w:hAnsi="Times New Roman"/>
                <w:sz w:val="12"/>
                <w:szCs w:val="12"/>
                <w:b w:val="1"/>
                <w:bCs w:val="1"/>
                <w:color w:val="auto"/>
                <w:w w:val="97"/>
              </w:rPr>
              <w:t>126,919</w:t>
            </w:r>
          </w:p>
        </w:tc>
        <w:tc>
          <w:tcPr>
            <w:tcW w:w="620" w:type="dxa"/>
            <w:vAlign w:val="bottom"/>
          </w:tcPr>
          <w:p>
            <w:pPr>
              <w:jc w:val="center"/>
              <w:ind w:left="181"/>
              <w:spacing w:after="0" w:line="104" w:lineRule="exact"/>
              <w:rPr>
                <w:sz w:val="20"/>
                <w:szCs w:val="20"/>
                <w:color w:val="auto"/>
              </w:rPr>
            </w:pPr>
            <w:r>
              <w:rPr>
                <w:rFonts w:ascii="Times New Roman" w:cs="Times New Roman" w:eastAsia="Times New Roman" w:hAnsi="Times New Roman"/>
                <w:sz w:val="12"/>
                <w:szCs w:val="12"/>
                <w:b w:val="1"/>
                <w:bCs w:val="1"/>
                <w:color w:val="auto"/>
                <w:w w:val="96"/>
              </w:rPr>
              <w:t>0.0%</w:t>
            </w:r>
          </w:p>
        </w:tc>
        <w:tc>
          <w:tcPr>
            <w:tcW w:w="1180" w:type="dxa"/>
            <w:vAlign w:val="bottom"/>
            <w:tcBorders>
              <w:right w:val="single" w:sz="8" w:color="auto"/>
            </w:tcBorders>
          </w:tcPr>
          <w:p>
            <w:pPr>
              <w:jc w:val="center"/>
              <w:ind w:left="161"/>
              <w:spacing w:after="0" w:line="104" w:lineRule="exact"/>
              <w:rPr>
                <w:sz w:val="20"/>
                <w:szCs w:val="20"/>
                <w:color w:val="auto"/>
              </w:rPr>
            </w:pPr>
            <w:r>
              <w:rPr>
                <w:rFonts w:ascii="Times New Roman" w:cs="Times New Roman" w:eastAsia="Times New Roman" w:hAnsi="Times New Roman"/>
                <w:sz w:val="12"/>
                <w:szCs w:val="12"/>
                <w:b w:val="1"/>
                <w:bCs w:val="1"/>
                <w:color w:val="auto"/>
              </w:rPr>
              <w:t>-4.1%</w:t>
            </w:r>
          </w:p>
        </w:tc>
      </w:tr>
      <w:tr>
        <w:trPr>
          <w:trHeight w:val="127"/>
        </w:trPr>
        <w:tc>
          <w:tcPr>
            <w:tcW w:w="5060" w:type="dxa"/>
            <w:vAlign w:val="bottom"/>
            <w:tcBorders>
              <w:left w:val="single" w:sz="8" w:color="auto"/>
              <w:right w:val="single" w:sz="8" w:color="auto"/>
            </w:tcBorders>
          </w:tcPr>
          <w:p>
            <w:pPr>
              <w:ind w:left="420"/>
              <w:spacing w:after="0" w:line="127" w:lineRule="exact"/>
              <w:rPr>
                <w:sz w:val="20"/>
                <w:szCs w:val="20"/>
                <w:color w:val="auto"/>
              </w:rPr>
            </w:pPr>
            <w:r>
              <w:rPr>
                <w:rFonts w:ascii="Times New Roman" w:cs="Times New Roman" w:eastAsia="Times New Roman" w:hAnsi="Times New Roman"/>
                <w:sz w:val="12"/>
                <w:szCs w:val="12"/>
                <w:color w:val="auto"/>
              </w:rPr>
              <w:t>Non-interest bearing</w:t>
            </w:r>
          </w:p>
        </w:tc>
        <w:tc>
          <w:tcPr>
            <w:tcW w:w="88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6"/>
              </w:rPr>
              <w:t>2,244</w:t>
            </w:r>
          </w:p>
        </w:tc>
        <w:tc>
          <w:tcPr>
            <w:tcW w:w="88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6"/>
              </w:rPr>
              <w:t>1,458</w:t>
            </w:r>
          </w:p>
        </w:tc>
        <w:tc>
          <w:tcPr>
            <w:tcW w:w="940" w:type="dxa"/>
            <w:vAlign w:val="bottom"/>
            <w:tcBorders>
              <w:right w:val="single" w:sz="8" w:color="auto"/>
            </w:tcBorders>
          </w:tcPr>
          <w:p>
            <w:pPr>
              <w:jc w:val="center"/>
              <w:spacing w:after="0" w:line="127" w:lineRule="exact"/>
              <w:rPr>
                <w:sz w:val="20"/>
                <w:szCs w:val="20"/>
                <w:color w:val="auto"/>
              </w:rPr>
            </w:pPr>
            <w:r>
              <w:rPr>
                <w:rFonts w:ascii="Times New Roman" w:cs="Times New Roman" w:eastAsia="Times New Roman" w:hAnsi="Times New Roman"/>
                <w:sz w:val="12"/>
                <w:szCs w:val="12"/>
                <w:color w:val="auto"/>
              </w:rPr>
              <w:t>3,436</w:t>
            </w:r>
          </w:p>
        </w:tc>
        <w:tc>
          <w:tcPr>
            <w:tcW w:w="620" w:type="dxa"/>
            <w:vAlign w:val="bottom"/>
          </w:tcPr>
          <w:p>
            <w:pPr>
              <w:jc w:val="center"/>
              <w:ind w:left="161"/>
              <w:spacing w:after="0" w:line="127" w:lineRule="exact"/>
              <w:rPr>
                <w:sz w:val="20"/>
                <w:szCs w:val="20"/>
                <w:color w:val="auto"/>
              </w:rPr>
            </w:pPr>
            <w:r>
              <w:rPr>
                <w:rFonts w:ascii="Times New Roman" w:cs="Times New Roman" w:eastAsia="Times New Roman" w:hAnsi="Times New Roman"/>
                <w:sz w:val="12"/>
                <w:szCs w:val="12"/>
                <w:color w:val="auto"/>
                <w:w w:val="97"/>
              </w:rPr>
              <w:t>135.7%</w:t>
            </w:r>
          </w:p>
        </w:tc>
        <w:tc>
          <w:tcPr>
            <w:tcW w:w="1180" w:type="dxa"/>
            <w:vAlign w:val="bottom"/>
            <w:tcBorders>
              <w:right w:val="single" w:sz="8" w:color="auto"/>
            </w:tcBorders>
          </w:tcPr>
          <w:p>
            <w:pPr>
              <w:jc w:val="center"/>
              <w:ind w:left="161"/>
              <w:spacing w:after="0" w:line="127" w:lineRule="exact"/>
              <w:rPr>
                <w:sz w:val="20"/>
                <w:szCs w:val="20"/>
                <w:color w:val="auto"/>
              </w:rPr>
            </w:pPr>
            <w:r>
              <w:rPr>
                <w:rFonts w:ascii="Times New Roman" w:cs="Times New Roman" w:eastAsia="Times New Roman" w:hAnsi="Times New Roman"/>
                <w:sz w:val="12"/>
                <w:szCs w:val="12"/>
                <w:color w:val="auto"/>
              </w:rPr>
              <w:t>53.1%</w:t>
            </w:r>
          </w:p>
        </w:tc>
      </w:tr>
      <w:tr>
        <w:trPr>
          <w:trHeight w:val="127"/>
        </w:trPr>
        <w:tc>
          <w:tcPr>
            <w:tcW w:w="5060" w:type="dxa"/>
            <w:vAlign w:val="bottom"/>
            <w:tcBorders>
              <w:left w:val="single" w:sz="8" w:color="auto"/>
              <w:right w:val="single" w:sz="8" w:color="auto"/>
            </w:tcBorders>
          </w:tcPr>
          <w:p>
            <w:pPr>
              <w:ind w:left="420"/>
              <w:spacing w:after="0" w:line="127" w:lineRule="exact"/>
              <w:rPr>
                <w:sz w:val="20"/>
                <w:szCs w:val="20"/>
                <w:color w:val="auto"/>
              </w:rPr>
            </w:pPr>
            <w:r>
              <w:rPr>
                <w:rFonts w:ascii="Times New Roman" w:cs="Times New Roman" w:eastAsia="Times New Roman" w:hAnsi="Times New Roman"/>
                <w:sz w:val="12"/>
                <w:szCs w:val="12"/>
                <w:color w:val="auto"/>
              </w:rPr>
              <w:t>Interest bearing</w:t>
            </w:r>
          </w:p>
        </w:tc>
        <w:tc>
          <w:tcPr>
            <w:tcW w:w="88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7"/>
              </w:rPr>
              <w:t>130,049</w:t>
            </w:r>
          </w:p>
        </w:tc>
        <w:tc>
          <w:tcPr>
            <w:tcW w:w="88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7"/>
              </w:rPr>
              <w:t>125,416</w:t>
            </w:r>
          </w:p>
        </w:tc>
        <w:tc>
          <w:tcPr>
            <w:tcW w:w="940" w:type="dxa"/>
            <w:vAlign w:val="bottom"/>
            <w:tcBorders>
              <w:right w:val="single" w:sz="8" w:color="auto"/>
            </w:tcBorders>
          </w:tcPr>
          <w:p>
            <w:pPr>
              <w:jc w:val="center"/>
              <w:spacing w:after="0" w:line="127" w:lineRule="exact"/>
              <w:rPr>
                <w:sz w:val="20"/>
                <w:szCs w:val="20"/>
                <w:color w:val="auto"/>
              </w:rPr>
            </w:pPr>
            <w:r>
              <w:rPr>
                <w:rFonts w:ascii="Times New Roman" w:cs="Times New Roman" w:eastAsia="Times New Roman" w:hAnsi="Times New Roman"/>
                <w:sz w:val="12"/>
                <w:szCs w:val="12"/>
                <w:color w:val="auto"/>
                <w:w w:val="97"/>
              </w:rPr>
              <w:t>123,483</w:t>
            </w:r>
          </w:p>
        </w:tc>
        <w:tc>
          <w:tcPr>
            <w:tcW w:w="620" w:type="dxa"/>
            <w:vAlign w:val="bottom"/>
          </w:tcPr>
          <w:p>
            <w:pPr>
              <w:jc w:val="center"/>
              <w:ind w:left="161"/>
              <w:spacing w:after="0" w:line="127" w:lineRule="exact"/>
              <w:rPr>
                <w:sz w:val="20"/>
                <w:szCs w:val="20"/>
                <w:color w:val="auto"/>
              </w:rPr>
            </w:pPr>
            <w:r>
              <w:rPr>
                <w:rFonts w:ascii="Times New Roman" w:cs="Times New Roman" w:eastAsia="Times New Roman" w:hAnsi="Times New Roman"/>
                <w:sz w:val="12"/>
                <w:szCs w:val="12"/>
                <w:color w:val="auto"/>
                <w:w w:val="96"/>
              </w:rPr>
              <w:t>-1.5%</w:t>
            </w:r>
          </w:p>
        </w:tc>
        <w:tc>
          <w:tcPr>
            <w:tcW w:w="1180" w:type="dxa"/>
            <w:vAlign w:val="bottom"/>
            <w:tcBorders>
              <w:right w:val="single" w:sz="8" w:color="auto"/>
            </w:tcBorders>
          </w:tcPr>
          <w:p>
            <w:pPr>
              <w:jc w:val="center"/>
              <w:ind w:left="161"/>
              <w:spacing w:after="0" w:line="127" w:lineRule="exact"/>
              <w:rPr>
                <w:sz w:val="20"/>
                <w:szCs w:val="20"/>
                <w:color w:val="auto"/>
              </w:rPr>
            </w:pPr>
            <w:r>
              <w:rPr>
                <w:rFonts w:ascii="Times New Roman" w:cs="Times New Roman" w:eastAsia="Times New Roman" w:hAnsi="Times New Roman"/>
                <w:sz w:val="12"/>
                <w:szCs w:val="12"/>
                <w:color w:val="auto"/>
                <w:w w:val="96"/>
              </w:rPr>
              <w:t>-5.0%</w:t>
            </w:r>
          </w:p>
        </w:tc>
      </w:tr>
      <w:tr>
        <w:trPr>
          <w:trHeight w:val="127"/>
        </w:trPr>
        <w:tc>
          <w:tcPr>
            <w:tcW w:w="5060" w:type="dxa"/>
            <w:vAlign w:val="bottom"/>
            <w:tcBorders>
              <w:left w:val="single" w:sz="8" w:color="auto"/>
              <w:right w:val="single" w:sz="8" w:color="auto"/>
            </w:tcBorders>
          </w:tcPr>
          <w:p>
            <w:pPr>
              <w:ind w:left="420"/>
              <w:spacing w:after="0" w:line="127" w:lineRule="exact"/>
              <w:rPr>
                <w:sz w:val="20"/>
                <w:szCs w:val="20"/>
                <w:color w:val="auto"/>
              </w:rPr>
            </w:pPr>
            <w:r>
              <w:rPr>
                <w:rFonts w:ascii="Times New Roman" w:cs="Times New Roman" w:eastAsia="Times New Roman" w:hAnsi="Times New Roman"/>
                <w:sz w:val="12"/>
                <w:szCs w:val="12"/>
                <w:color w:val="auto"/>
              </w:rPr>
              <w:t>Fair value through profit or loss investments</w:t>
            </w:r>
          </w:p>
        </w:tc>
        <w:tc>
          <w:tcPr>
            <w:tcW w:w="88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7"/>
              </w:rPr>
              <w:t>302,482</w:t>
            </w:r>
          </w:p>
        </w:tc>
        <w:tc>
          <w:tcPr>
            <w:tcW w:w="88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7"/>
              </w:rPr>
              <w:t>335,803</w:t>
            </w:r>
          </w:p>
        </w:tc>
        <w:tc>
          <w:tcPr>
            <w:tcW w:w="940" w:type="dxa"/>
            <w:vAlign w:val="bottom"/>
            <w:tcBorders>
              <w:right w:val="single" w:sz="8" w:color="auto"/>
            </w:tcBorders>
          </w:tcPr>
          <w:p>
            <w:pPr>
              <w:jc w:val="center"/>
              <w:spacing w:after="0" w:line="127" w:lineRule="exact"/>
              <w:rPr>
                <w:sz w:val="20"/>
                <w:szCs w:val="20"/>
                <w:color w:val="auto"/>
              </w:rPr>
            </w:pPr>
            <w:r>
              <w:rPr>
                <w:rFonts w:ascii="Times New Roman" w:cs="Times New Roman" w:eastAsia="Times New Roman" w:hAnsi="Times New Roman"/>
                <w:sz w:val="12"/>
                <w:szCs w:val="12"/>
                <w:color w:val="auto"/>
                <w:w w:val="97"/>
              </w:rPr>
              <w:t>317,051</w:t>
            </w:r>
          </w:p>
        </w:tc>
        <w:tc>
          <w:tcPr>
            <w:tcW w:w="620" w:type="dxa"/>
            <w:vAlign w:val="bottom"/>
          </w:tcPr>
          <w:p>
            <w:pPr>
              <w:jc w:val="center"/>
              <w:ind w:left="161"/>
              <w:spacing w:after="0" w:line="127" w:lineRule="exact"/>
              <w:rPr>
                <w:sz w:val="20"/>
                <w:szCs w:val="20"/>
                <w:color w:val="auto"/>
              </w:rPr>
            </w:pPr>
            <w:r>
              <w:rPr>
                <w:rFonts w:ascii="Times New Roman" w:cs="Times New Roman" w:eastAsia="Times New Roman" w:hAnsi="Times New Roman"/>
                <w:sz w:val="12"/>
                <w:szCs w:val="12"/>
                <w:color w:val="auto"/>
                <w:w w:val="96"/>
              </w:rPr>
              <w:t>-5.6%</w:t>
            </w:r>
          </w:p>
        </w:tc>
        <w:tc>
          <w:tcPr>
            <w:tcW w:w="1180" w:type="dxa"/>
            <w:vAlign w:val="bottom"/>
            <w:tcBorders>
              <w:right w:val="single" w:sz="8" w:color="auto"/>
            </w:tcBorders>
          </w:tcPr>
          <w:p>
            <w:pPr>
              <w:jc w:val="center"/>
              <w:ind w:left="161"/>
              <w:spacing w:after="0" w:line="127" w:lineRule="exact"/>
              <w:rPr>
                <w:sz w:val="20"/>
                <w:szCs w:val="20"/>
                <w:color w:val="auto"/>
              </w:rPr>
            </w:pPr>
            <w:r>
              <w:rPr>
                <w:rFonts w:ascii="Times New Roman" w:cs="Times New Roman" w:eastAsia="Times New Roman" w:hAnsi="Times New Roman"/>
                <w:sz w:val="12"/>
                <w:szCs w:val="12"/>
                <w:color w:val="auto"/>
                <w:w w:val="95"/>
              </w:rPr>
              <w:t>4.8%</w:t>
            </w:r>
          </w:p>
        </w:tc>
      </w:tr>
      <w:tr>
        <w:trPr>
          <w:trHeight w:val="127"/>
        </w:trPr>
        <w:tc>
          <w:tcPr>
            <w:tcW w:w="5060" w:type="dxa"/>
            <w:vAlign w:val="bottom"/>
            <w:tcBorders>
              <w:left w:val="single" w:sz="8" w:color="auto"/>
              <w:right w:val="single" w:sz="8" w:color="auto"/>
            </w:tcBorders>
          </w:tcPr>
          <w:p>
            <w:pPr>
              <w:ind w:left="420"/>
              <w:spacing w:after="0" w:line="127" w:lineRule="exact"/>
              <w:rPr>
                <w:sz w:val="20"/>
                <w:szCs w:val="20"/>
                <w:color w:val="auto"/>
              </w:rPr>
            </w:pPr>
            <w:r>
              <w:rPr>
                <w:rFonts w:ascii="Times New Roman" w:cs="Times New Roman" w:eastAsia="Times New Roman" w:hAnsi="Times New Roman"/>
                <w:sz w:val="12"/>
                <w:szCs w:val="12"/>
                <w:color w:val="auto"/>
              </w:rPr>
              <w:t>Fair value through other comprehensive income investments</w:t>
            </w:r>
          </w:p>
        </w:tc>
        <w:tc>
          <w:tcPr>
            <w:tcW w:w="88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6"/>
              </w:rPr>
              <w:t>1,968</w:t>
            </w:r>
          </w:p>
        </w:tc>
        <w:tc>
          <w:tcPr>
            <w:tcW w:w="88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6"/>
              </w:rPr>
              <w:t>1,543</w:t>
            </w:r>
          </w:p>
        </w:tc>
        <w:tc>
          <w:tcPr>
            <w:tcW w:w="940" w:type="dxa"/>
            <w:vAlign w:val="bottom"/>
            <w:tcBorders>
              <w:right w:val="single" w:sz="8" w:color="auto"/>
            </w:tcBorders>
          </w:tcPr>
          <w:p>
            <w:pPr>
              <w:jc w:val="center"/>
              <w:spacing w:after="0" w:line="127" w:lineRule="exact"/>
              <w:rPr>
                <w:sz w:val="20"/>
                <w:szCs w:val="20"/>
                <w:color w:val="auto"/>
              </w:rPr>
            </w:pPr>
            <w:r>
              <w:rPr>
                <w:rFonts w:ascii="Times New Roman" w:cs="Times New Roman" w:eastAsia="Times New Roman" w:hAnsi="Times New Roman"/>
                <w:sz w:val="12"/>
                <w:szCs w:val="12"/>
                <w:color w:val="auto"/>
              </w:rPr>
              <w:t>2,689</w:t>
            </w:r>
          </w:p>
        </w:tc>
        <w:tc>
          <w:tcPr>
            <w:tcW w:w="620" w:type="dxa"/>
            <w:vAlign w:val="bottom"/>
          </w:tcPr>
          <w:p>
            <w:pPr>
              <w:jc w:val="center"/>
              <w:ind w:left="181"/>
              <w:spacing w:after="0" w:line="127" w:lineRule="exact"/>
              <w:rPr>
                <w:sz w:val="20"/>
                <w:szCs w:val="20"/>
                <w:color w:val="auto"/>
              </w:rPr>
            </w:pPr>
            <w:r>
              <w:rPr>
                <w:rFonts w:ascii="Times New Roman" w:cs="Times New Roman" w:eastAsia="Times New Roman" w:hAnsi="Times New Roman"/>
                <w:sz w:val="12"/>
                <w:szCs w:val="12"/>
                <w:color w:val="auto"/>
                <w:w w:val="96"/>
              </w:rPr>
              <w:t>74.3%</w:t>
            </w:r>
          </w:p>
        </w:tc>
        <w:tc>
          <w:tcPr>
            <w:tcW w:w="1180" w:type="dxa"/>
            <w:vAlign w:val="bottom"/>
            <w:tcBorders>
              <w:right w:val="single" w:sz="8" w:color="auto"/>
            </w:tcBorders>
          </w:tcPr>
          <w:p>
            <w:pPr>
              <w:jc w:val="center"/>
              <w:ind w:left="161"/>
              <w:spacing w:after="0" w:line="127" w:lineRule="exact"/>
              <w:rPr>
                <w:sz w:val="20"/>
                <w:szCs w:val="20"/>
                <w:color w:val="auto"/>
              </w:rPr>
            </w:pPr>
            <w:r>
              <w:rPr>
                <w:rFonts w:ascii="Times New Roman" w:cs="Times New Roman" w:eastAsia="Times New Roman" w:hAnsi="Times New Roman"/>
                <w:sz w:val="12"/>
                <w:szCs w:val="12"/>
                <w:color w:val="auto"/>
              </w:rPr>
              <w:t>36.6%</w:t>
            </w:r>
          </w:p>
        </w:tc>
      </w:tr>
      <w:tr>
        <w:trPr>
          <w:trHeight w:val="127"/>
        </w:trPr>
        <w:tc>
          <w:tcPr>
            <w:tcW w:w="5060" w:type="dxa"/>
            <w:vAlign w:val="bottom"/>
            <w:tcBorders>
              <w:left w:val="single" w:sz="8" w:color="auto"/>
              <w:right w:val="single" w:sz="8" w:color="auto"/>
            </w:tcBorders>
          </w:tcPr>
          <w:p>
            <w:pPr>
              <w:ind w:left="260"/>
              <w:spacing w:after="0" w:line="127" w:lineRule="exact"/>
              <w:rPr>
                <w:sz w:val="20"/>
                <w:szCs w:val="20"/>
                <w:color w:val="auto"/>
              </w:rPr>
            </w:pPr>
            <w:r>
              <w:rPr>
                <w:rFonts w:ascii="Times New Roman" w:cs="Times New Roman" w:eastAsia="Times New Roman" w:hAnsi="Times New Roman"/>
                <w:sz w:val="12"/>
                <w:szCs w:val="12"/>
                <w:color w:val="auto"/>
              </w:rPr>
              <w:t>Property, plant and equipment, net</w:t>
            </w:r>
          </w:p>
        </w:tc>
        <w:tc>
          <w:tcPr>
            <w:tcW w:w="88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6"/>
              </w:rPr>
              <w:t>6,233</w:t>
            </w:r>
          </w:p>
        </w:tc>
        <w:tc>
          <w:tcPr>
            <w:tcW w:w="88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6"/>
              </w:rPr>
              <w:t>5,484</w:t>
            </w:r>
          </w:p>
        </w:tc>
        <w:tc>
          <w:tcPr>
            <w:tcW w:w="940" w:type="dxa"/>
            <w:vAlign w:val="bottom"/>
            <w:tcBorders>
              <w:right w:val="single" w:sz="8" w:color="auto"/>
            </w:tcBorders>
          </w:tcPr>
          <w:p>
            <w:pPr>
              <w:jc w:val="center"/>
              <w:spacing w:after="0" w:line="127" w:lineRule="exact"/>
              <w:rPr>
                <w:sz w:val="20"/>
                <w:szCs w:val="20"/>
                <w:color w:val="auto"/>
              </w:rPr>
            </w:pPr>
            <w:r>
              <w:rPr>
                <w:rFonts w:ascii="Times New Roman" w:cs="Times New Roman" w:eastAsia="Times New Roman" w:hAnsi="Times New Roman"/>
                <w:sz w:val="12"/>
                <w:szCs w:val="12"/>
                <w:color w:val="auto"/>
              </w:rPr>
              <w:t>5,002</w:t>
            </w:r>
          </w:p>
        </w:tc>
        <w:tc>
          <w:tcPr>
            <w:tcW w:w="620" w:type="dxa"/>
            <w:vAlign w:val="bottom"/>
          </w:tcPr>
          <w:p>
            <w:pPr>
              <w:jc w:val="center"/>
              <w:ind w:left="161"/>
              <w:spacing w:after="0" w:line="127" w:lineRule="exact"/>
              <w:rPr>
                <w:sz w:val="20"/>
                <w:szCs w:val="20"/>
                <w:color w:val="auto"/>
              </w:rPr>
            </w:pPr>
            <w:r>
              <w:rPr>
                <w:rFonts w:ascii="Times New Roman" w:cs="Times New Roman" w:eastAsia="Times New Roman" w:hAnsi="Times New Roman"/>
                <w:sz w:val="12"/>
                <w:szCs w:val="12"/>
                <w:color w:val="auto"/>
                <w:w w:val="96"/>
              </w:rPr>
              <w:t>-8.8%</w:t>
            </w:r>
          </w:p>
        </w:tc>
        <w:tc>
          <w:tcPr>
            <w:tcW w:w="1180" w:type="dxa"/>
            <w:vAlign w:val="bottom"/>
            <w:tcBorders>
              <w:right w:val="single" w:sz="8" w:color="auto"/>
            </w:tcBorders>
          </w:tcPr>
          <w:p>
            <w:pPr>
              <w:jc w:val="center"/>
              <w:ind w:left="161"/>
              <w:spacing w:after="0" w:line="127" w:lineRule="exact"/>
              <w:rPr>
                <w:sz w:val="20"/>
                <w:szCs w:val="20"/>
                <w:color w:val="auto"/>
              </w:rPr>
            </w:pPr>
            <w:r>
              <w:rPr>
                <w:rFonts w:ascii="Times New Roman" w:cs="Times New Roman" w:eastAsia="Times New Roman" w:hAnsi="Times New Roman"/>
                <w:sz w:val="12"/>
                <w:szCs w:val="12"/>
                <w:color w:val="auto"/>
              </w:rPr>
              <w:t>-19.7%</w:t>
            </w:r>
          </w:p>
        </w:tc>
      </w:tr>
      <w:tr>
        <w:trPr>
          <w:trHeight w:val="125"/>
        </w:trPr>
        <w:tc>
          <w:tcPr>
            <w:tcW w:w="5060" w:type="dxa"/>
            <w:vAlign w:val="bottom"/>
            <w:tcBorders>
              <w:left w:val="single" w:sz="8" w:color="auto"/>
              <w:right w:val="single" w:sz="8" w:color="auto"/>
            </w:tcBorders>
          </w:tcPr>
          <w:p>
            <w:pPr>
              <w:ind w:left="260"/>
              <w:spacing w:after="0" w:line="125" w:lineRule="exact"/>
              <w:rPr>
                <w:sz w:val="20"/>
                <w:szCs w:val="20"/>
                <w:color w:val="auto"/>
              </w:rPr>
            </w:pPr>
            <w:r>
              <w:rPr>
                <w:rFonts w:ascii="Times New Roman" w:cs="Times New Roman" w:eastAsia="Times New Roman" w:hAnsi="Times New Roman"/>
                <w:sz w:val="12"/>
                <w:szCs w:val="12"/>
                <w:color w:val="auto"/>
              </w:rPr>
              <w:t>Other Assets</w:t>
            </w:r>
          </w:p>
        </w:tc>
        <w:tc>
          <w:tcPr>
            <w:tcW w:w="88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auto"/>
                <w:w w:val="97"/>
              </w:rPr>
              <w:t>214,822</w:t>
            </w:r>
          </w:p>
        </w:tc>
        <w:tc>
          <w:tcPr>
            <w:tcW w:w="88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auto"/>
                <w:w w:val="97"/>
              </w:rPr>
              <w:t>214,805</w:t>
            </w:r>
          </w:p>
        </w:tc>
        <w:tc>
          <w:tcPr>
            <w:tcW w:w="940" w:type="dxa"/>
            <w:vAlign w:val="bottom"/>
            <w:tcBorders>
              <w:right w:val="single" w:sz="8" w:color="auto"/>
            </w:tcBorders>
          </w:tcPr>
          <w:p>
            <w:pPr>
              <w:jc w:val="center"/>
              <w:spacing w:after="0" w:line="125" w:lineRule="exact"/>
              <w:rPr>
                <w:sz w:val="20"/>
                <w:szCs w:val="20"/>
                <w:color w:val="auto"/>
              </w:rPr>
            </w:pPr>
            <w:r>
              <w:rPr>
                <w:rFonts w:ascii="Times New Roman" w:cs="Times New Roman" w:eastAsia="Times New Roman" w:hAnsi="Times New Roman"/>
                <w:sz w:val="12"/>
                <w:szCs w:val="12"/>
                <w:color w:val="auto"/>
                <w:w w:val="97"/>
              </w:rPr>
              <w:t>211,755</w:t>
            </w:r>
          </w:p>
        </w:tc>
        <w:tc>
          <w:tcPr>
            <w:tcW w:w="620" w:type="dxa"/>
            <w:vAlign w:val="bottom"/>
          </w:tcPr>
          <w:p>
            <w:pPr>
              <w:jc w:val="center"/>
              <w:ind w:left="161"/>
              <w:spacing w:after="0" w:line="125" w:lineRule="exact"/>
              <w:rPr>
                <w:sz w:val="20"/>
                <w:szCs w:val="20"/>
                <w:color w:val="auto"/>
              </w:rPr>
            </w:pPr>
            <w:r>
              <w:rPr>
                <w:rFonts w:ascii="Times New Roman" w:cs="Times New Roman" w:eastAsia="Times New Roman" w:hAnsi="Times New Roman"/>
                <w:sz w:val="12"/>
                <w:szCs w:val="12"/>
                <w:color w:val="auto"/>
                <w:w w:val="96"/>
              </w:rPr>
              <w:t>-1.4%</w:t>
            </w:r>
          </w:p>
        </w:tc>
        <w:tc>
          <w:tcPr>
            <w:tcW w:w="1180" w:type="dxa"/>
            <w:vAlign w:val="bottom"/>
            <w:tcBorders>
              <w:right w:val="single" w:sz="8" w:color="auto"/>
            </w:tcBorders>
          </w:tcPr>
          <w:p>
            <w:pPr>
              <w:jc w:val="center"/>
              <w:ind w:left="161"/>
              <w:spacing w:after="0" w:line="125" w:lineRule="exact"/>
              <w:rPr>
                <w:sz w:val="20"/>
                <w:szCs w:val="20"/>
                <w:color w:val="auto"/>
              </w:rPr>
            </w:pPr>
            <w:r>
              <w:rPr>
                <w:rFonts w:ascii="Times New Roman" w:cs="Times New Roman" w:eastAsia="Times New Roman" w:hAnsi="Times New Roman"/>
                <w:sz w:val="12"/>
                <w:szCs w:val="12"/>
                <w:color w:val="auto"/>
                <w:w w:val="96"/>
              </w:rPr>
              <w:t>-1.4%</w:t>
            </w:r>
          </w:p>
        </w:tc>
      </w:tr>
      <w:tr>
        <w:trPr>
          <w:trHeight w:val="129"/>
        </w:trPr>
        <w:tc>
          <w:tcPr>
            <w:tcW w:w="5060" w:type="dxa"/>
            <w:vAlign w:val="bottom"/>
            <w:tcBorders>
              <w:left w:val="single" w:sz="8" w:color="auto"/>
              <w:right w:val="single" w:sz="8" w:color="auto"/>
            </w:tcBorders>
          </w:tcPr>
          <w:p>
            <w:pPr>
              <w:ind w:left="80"/>
              <w:spacing w:after="0" w:line="129" w:lineRule="exact"/>
              <w:rPr>
                <w:sz w:val="20"/>
                <w:szCs w:val="20"/>
                <w:color w:val="auto"/>
              </w:rPr>
            </w:pPr>
            <w:r>
              <w:rPr>
                <w:rFonts w:ascii="Times New Roman" w:cs="Times New Roman" w:eastAsia="Times New Roman" w:hAnsi="Times New Roman"/>
                <w:sz w:val="12"/>
                <w:szCs w:val="12"/>
                <w:b w:val="1"/>
                <w:bCs w:val="1"/>
                <w:color w:val="auto"/>
              </w:rPr>
              <w:t>Total Assets</w:t>
            </w:r>
          </w:p>
        </w:tc>
        <w:tc>
          <w:tcPr>
            <w:tcW w:w="880" w:type="dxa"/>
            <w:vAlign w:val="bottom"/>
          </w:tcPr>
          <w:p>
            <w:pPr>
              <w:jc w:val="center"/>
              <w:spacing w:after="0" w:line="129" w:lineRule="exact"/>
              <w:rPr>
                <w:sz w:val="20"/>
                <w:szCs w:val="20"/>
                <w:color w:val="auto"/>
              </w:rPr>
            </w:pPr>
            <w:r>
              <w:rPr>
                <w:rFonts w:ascii="Times New Roman" w:cs="Times New Roman" w:eastAsia="Times New Roman" w:hAnsi="Times New Roman"/>
                <w:sz w:val="12"/>
                <w:szCs w:val="12"/>
                <w:b w:val="1"/>
                <w:bCs w:val="1"/>
                <w:color w:val="auto"/>
                <w:w w:val="97"/>
              </w:rPr>
              <w:t>657,798</w:t>
            </w:r>
          </w:p>
        </w:tc>
        <w:tc>
          <w:tcPr>
            <w:tcW w:w="880" w:type="dxa"/>
            <w:vAlign w:val="bottom"/>
          </w:tcPr>
          <w:p>
            <w:pPr>
              <w:jc w:val="center"/>
              <w:spacing w:after="0" w:line="129" w:lineRule="exact"/>
              <w:rPr>
                <w:sz w:val="20"/>
                <w:szCs w:val="20"/>
                <w:color w:val="auto"/>
              </w:rPr>
            </w:pPr>
            <w:r>
              <w:rPr>
                <w:rFonts w:ascii="Times New Roman" w:cs="Times New Roman" w:eastAsia="Times New Roman" w:hAnsi="Times New Roman"/>
                <w:sz w:val="12"/>
                <w:szCs w:val="12"/>
                <w:b w:val="1"/>
                <w:bCs w:val="1"/>
                <w:color w:val="auto"/>
                <w:w w:val="97"/>
              </w:rPr>
              <w:t>684,509</w:t>
            </w:r>
          </w:p>
        </w:tc>
        <w:tc>
          <w:tcPr>
            <w:tcW w:w="940" w:type="dxa"/>
            <w:vAlign w:val="bottom"/>
            <w:tcBorders>
              <w:right w:val="single" w:sz="8" w:color="auto"/>
            </w:tcBorders>
          </w:tcPr>
          <w:p>
            <w:pPr>
              <w:jc w:val="center"/>
              <w:spacing w:after="0" w:line="129" w:lineRule="exact"/>
              <w:rPr>
                <w:sz w:val="20"/>
                <w:szCs w:val="20"/>
                <w:color w:val="auto"/>
              </w:rPr>
            </w:pPr>
            <w:r>
              <w:rPr>
                <w:rFonts w:ascii="Times New Roman" w:cs="Times New Roman" w:eastAsia="Times New Roman" w:hAnsi="Times New Roman"/>
                <w:sz w:val="12"/>
                <w:szCs w:val="12"/>
                <w:b w:val="1"/>
                <w:bCs w:val="1"/>
                <w:color w:val="auto"/>
                <w:w w:val="97"/>
              </w:rPr>
              <w:t>663,416</w:t>
            </w:r>
          </w:p>
        </w:tc>
        <w:tc>
          <w:tcPr>
            <w:tcW w:w="620" w:type="dxa"/>
            <w:vAlign w:val="bottom"/>
          </w:tcPr>
          <w:p>
            <w:pPr>
              <w:jc w:val="center"/>
              <w:ind w:left="181"/>
              <w:spacing w:after="0" w:line="129" w:lineRule="exact"/>
              <w:rPr>
                <w:sz w:val="20"/>
                <w:szCs w:val="20"/>
                <w:color w:val="auto"/>
              </w:rPr>
            </w:pPr>
            <w:r>
              <w:rPr>
                <w:rFonts w:ascii="Times New Roman" w:cs="Times New Roman" w:eastAsia="Times New Roman" w:hAnsi="Times New Roman"/>
                <w:sz w:val="12"/>
                <w:szCs w:val="12"/>
                <w:b w:val="1"/>
                <w:bCs w:val="1"/>
                <w:color w:val="auto"/>
                <w:w w:val="96"/>
              </w:rPr>
              <w:t>-3.1%</w:t>
            </w:r>
          </w:p>
        </w:tc>
        <w:tc>
          <w:tcPr>
            <w:tcW w:w="1180" w:type="dxa"/>
            <w:vAlign w:val="bottom"/>
            <w:tcBorders>
              <w:right w:val="single" w:sz="8" w:color="auto"/>
            </w:tcBorders>
          </w:tcPr>
          <w:p>
            <w:pPr>
              <w:jc w:val="center"/>
              <w:ind w:left="161"/>
              <w:spacing w:after="0" w:line="129" w:lineRule="exact"/>
              <w:rPr>
                <w:sz w:val="20"/>
                <w:szCs w:val="20"/>
                <w:color w:val="auto"/>
              </w:rPr>
            </w:pPr>
            <w:r>
              <w:rPr>
                <w:rFonts w:ascii="Times New Roman" w:cs="Times New Roman" w:eastAsia="Times New Roman" w:hAnsi="Times New Roman"/>
                <w:sz w:val="12"/>
                <w:szCs w:val="12"/>
                <w:b w:val="1"/>
                <w:bCs w:val="1"/>
                <w:color w:val="auto"/>
              </w:rPr>
              <w:t>0.9%</w:t>
            </w:r>
          </w:p>
        </w:tc>
      </w:tr>
      <w:tr>
        <w:trPr>
          <w:trHeight w:val="127"/>
        </w:trPr>
        <w:tc>
          <w:tcPr>
            <w:tcW w:w="5060" w:type="dxa"/>
            <w:vAlign w:val="bottom"/>
            <w:tcBorders>
              <w:left w:val="single" w:sz="8" w:color="auto"/>
              <w:right w:val="single" w:sz="8" w:color="auto"/>
            </w:tcBorders>
          </w:tcPr>
          <w:p>
            <w:pPr>
              <w:ind w:left="420"/>
              <w:spacing w:after="0" w:line="127" w:lineRule="exact"/>
              <w:rPr>
                <w:sz w:val="20"/>
                <w:szCs w:val="20"/>
                <w:color w:val="auto"/>
              </w:rPr>
            </w:pPr>
            <w:r>
              <w:rPr>
                <w:rFonts w:ascii="Times New Roman" w:cs="Times New Roman" w:eastAsia="Times New Roman" w:hAnsi="Times New Roman"/>
                <w:sz w:val="12"/>
                <w:szCs w:val="12"/>
                <w:color w:val="auto"/>
              </w:rPr>
              <w:t>Due to banks and correspondents</w:t>
            </w:r>
          </w:p>
        </w:tc>
        <w:tc>
          <w:tcPr>
            <w:tcW w:w="88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9"/>
              </w:rPr>
              <w:t>29</w:t>
            </w:r>
          </w:p>
        </w:tc>
        <w:tc>
          <w:tcPr>
            <w:tcW w:w="88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9"/>
              </w:rPr>
              <w:t>39</w:t>
            </w:r>
          </w:p>
        </w:tc>
        <w:tc>
          <w:tcPr>
            <w:tcW w:w="940" w:type="dxa"/>
            <w:vAlign w:val="bottom"/>
            <w:tcBorders>
              <w:right w:val="single" w:sz="8" w:color="auto"/>
            </w:tcBorders>
          </w:tcPr>
          <w:p>
            <w:pPr>
              <w:jc w:val="center"/>
              <w:spacing w:after="0" w:line="127" w:lineRule="exact"/>
              <w:rPr>
                <w:sz w:val="20"/>
                <w:szCs w:val="20"/>
                <w:color w:val="auto"/>
              </w:rPr>
            </w:pPr>
            <w:r>
              <w:rPr>
                <w:rFonts w:ascii="Times New Roman" w:cs="Times New Roman" w:eastAsia="Times New Roman" w:hAnsi="Times New Roman"/>
                <w:sz w:val="12"/>
                <w:szCs w:val="12"/>
                <w:color w:val="auto"/>
                <w:w w:val="99"/>
              </w:rPr>
              <w:t>20</w:t>
            </w:r>
          </w:p>
        </w:tc>
        <w:tc>
          <w:tcPr>
            <w:tcW w:w="620" w:type="dxa"/>
            <w:vAlign w:val="bottom"/>
          </w:tcPr>
          <w:p>
            <w:pPr>
              <w:jc w:val="center"/>
              <w:ind w:left="181"/>
              <w:spacing w:after="0" w:line="127" w:lineRule="exact"/>
              <w:rPr>
                <w:sz w:val="20"/>
                <w:szCs w:val="20"/>
                <w:color w:val="auto"/>
              </w:rPr>
            </w:pPr>
            <w:r>
              <w:rPr>
                <w:rFonts w:ascii="Times New Roman" w:cs="Times New Roman" w:eastAsia="Times New Roman" w:hAnsi="Times New Roman"/>
                <w:sz w:val="12"/>
                <w:szCs w:val="12"/>
                <w:color w:val="auto"/>
                <w:w w:val="97"/>
              </w:rPr>
              <w:t>-48.7%</w:t>
            </w:r>
          </w:p>
        </w:tc>
        <w:tc>
          <w:tcPr>
            <w:tcW w:w="1180" w:type="dxa"/>
            <w:vAlign w:val="bottom"/>
            <w:tcBorders>
              <w:right w:val="single" w:sz="8" w:color="auto"/>
            </w:tcBorders>
          </w:tcPr>
          <w:p>
            <w:pPr>
              <w:jc w:val="center"/>
              <w:ind w:left="161"/>
              <w:spacing w:after="0" w:line="127" w:lineRule="exact"/>
              <w:rPr>
                <w:sz w:val="20"/>
                <w:szCs w:val="20"/>
                <w:color w:val="auto"/>
              </w:rPr>
            </w:pPr>
            <w:r>
              <w:rPr>
                <w:rFonts w:ascii="Times New Roman" w:cs="Times New Roman" w:eastAsia="Times New Roman" w:hAnsi="Times New Roman"/>
                <w:sz w:val="12"/>
                <w:szCs w:val="12"/>
                <w:color w:val="auto"/>
              </w:rPr>
              <w:t>-31.0%</w:t>
            </w:r>
          </w:p>
        </w:tc>
      </w:tr>
      <w:tr>
        <w:trPr>
          <w:trHeight w:val="127"/>
        </w:trPr>
        <w:tc>
          <w:tcPr>
            <w:tcW w:w="5060" w:type="dxa"/>
            <w:vAlign w:val="bottom"/>
            <w:tcBorders>
              <w:left w:val="single" w:sz="8" w:color="auto"/>
              <w:right w:val="single" w:sz="8" w:color="auto"/>
            </w:tcBorders>
          </w:tcPr>
          <w:p>
            <w:pPr>
              <w:ind w:left="420"/>
              <w:spacing w:after="0" w:line="127" w:lineRule="exact"/>
              <w:rPr>
                <w:sz w:val="20"/>
                <w:szCs w:val="20"/>
                <w:color w:val="auto"/>
              </w:rPr>
            </w:pPr>
            <w:r>
              <w:rPr>
                <w:rFonts w:ascii="Times New Roman" w:cs="Times New Roman" w:eastAsia="Times New Roman" w:hAnsi="Times New Roman"/>
                <w:sz w:val="12"/>
                <w:szCs w:val="12"/>
                <w:color w:val="auto"/>
              </w:rPr>
              <w:t>Lease payable</w:t>
            </w:r>
          </w:p>
        </w:tc>
        <w:tc>
          <w:tcPr>
            <w:tcW w:w="88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6"/>
              </w:rPr>
              <w:t>2,745</w:t>
            </w:r>
          </w:p>
        </w:tc>
        <w:tc>
          <w:tcPr>
            <w:tcW w:w="88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6"/>
              </w:rPr>
              <w:t>2,373</w:t>
            </w:r>
          </w:p>
        </w:tc>
        <w:tc>
          <w:tcPr>
            <w:tcW w:w="940" w:type="dxa"/>
            <w:vAlign w:val="bottom"/>
            <w:tcBorders>
              <w:right w:val="single" w:sz="8" w:color="auto"/>
            </w:tcBorders>
          </w:tcPr>
          <w:p>
            <w:pPr>
              <w:jc w:val="center"/>
              <w:spacing w:after="0" w:line="127" w:lineRule="exact"/>
              <w:rPr>
                <w:sz w:val="20"/>
                <w:szCs w:val="20"/>
                <w:color w:val="auto"/>
              </w:rPr>
            </w:pPr>
            <w:r>
              <w:rPr>
                <w:rFonts w:ascii="Times New Roman" w:cs="Times New Roman" w:eastAsia="Times New Roman" w:hAnsi="Times New Roman"/>
                <w:sz w:val="12"/>
                <w:szCs w:val="12"/>
                <w:color w:val="auto"/>
              </w:rPr>
              <w:t>2,021</w:t>
            </w:r>
          </w:p>
        </w:tc>
        <w:tc>
          <w:tcPr>
            <w:tcW w:w="620" w:type="dxa"/>
            <w:vAlign w:val="bottom"/>
          </w:tcPr>
          <w:p>
            <w:pPr>
              <w:jc w:val="center"/>
              <w:ind w:left="181"/>
              <w:spacing w:after="0" w:line="127" w:lineRule="exact"/>
              <w:rPr>
                <w:sz w:val="20"/>
                <w:szCs w:val="20"/>
                <w:color w:val="auto"/>
              </w:rPr>
            </w:pPr>
            <w:r>
              <w:rPr>
                <w:rFonts w:ascii="Times New Roman" w:cs="Times New Roman" w:eastAsia="Times New Roman" w:hAnsi="Times New Roman"/>
                <w:sz w:val="12"/>
                <w:szCs w:val="12"/>
                <w:color w:val="auto"/>
                <w:w w:val="97"/>
              </w:rPr>
              <w:t>-14.8%</w:t>
            </w:r>
          </w:p>
        </w:tc>
        <w:tc>
          <w:tcPr>
            <w:tcW w:w="1180" w:type="dxa"/>
            <w:vAlign w:val="bottom"/>
            <w:tcBorders>
              <w:right w:val="single" w:sz="8" w:color="auto"/>
            </w:tcBorders>
          </w:tcPr>
          <w:p>
            <w:pPr>
              <w:jc w:val="center"/>
              <w:ind w:left="161"/>
              <w:spacing w:after="0" w:line="127" w:lineRule="exact"/>
              <w:rPr>
                <w:sz w:val="20"/>
                <w:szCs w:val="20"/>
                <w:color w:val="auto"/>
              </w:rPr>
            </w:pPr>
            <w:r>
              <w:rPr>
                <w:rFonts w:ascii="Times New Roman" w:cs="Times New Roman" w:eastAsia="Times New Roman" w:hAnsi="Times New Roman"/>
                <w:sz w:val="12"/>
                <w:szCs w:val="12"/>
                <w:color w:val="auto"/>
              </w:rPr>
              <w:t>-26.4%</w:t>
            </w:r>
          </w:p>
        </w:tc>
      </w:tr>
      <w:tr>
        <w:trPr>
          <w:trHeight w:val="125"/>
        </w:trPr>
        <w:tc>
          <w:tcPr>
            <w:tcW w:w="5060" w:type="dxa"/>
            <w:vAlign w:val="bottom"/>
            <w:tcBorders>
              <w:left w:val="single" w:sz="8" w:color="auto"/>
              <w:right w:val="single" w:sz="8" w:color="auto"/>
            </w:tcBorders>
          </w:tcPr>
          <w:p>
            <w:pPr>
              <w:ind w:left="420"/>
              <w:spacing w:after="0" w:line="125" w:lineRule="exact"/>
              <w:rPr>
                <w:sz w:val="20"/>
                <w:szCs w:val="20"/>
                <w:color w:val="auto"/>
              </w:rPr>
            </w:pPr>
            <w:r>
              <w:rPr>
                <w:rFonts w:ascii="Times New Roman" w:cs="Times New Roman" w:eastAsia="Times New Roman" w:hAnsi="Times New Roman"/>
                <w:sz w:val="12"/>
                <w:szCs w:val="12"/>
                <w:color w:val="auto"/>
              </w:rPr>
              <w:t>Other liabilities</w:t>
            </w:r>
          </w:p>
        </w:tc>
        <w:tc>
          <w:tcPr>
            <w:tcW w:w="88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auto"/>
                <w:w w:val="97"/>
              </w:rPr>
              <w:t>265,049</w:t>
            </w:r>
          </w:p>
        </w:tc>
        <w:tc>
          <w:tcPr>
            <w:tcW w:w="88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auto"/>
                <w:w w:val="97"/>
              </w:rPr>
              <w:t>228,823</w:t>
            </w:r>
          </w:p>
        </w:tc>
        <w:tc>
          <w:tcPr>
            <w:tcW w:w="940" w:type="dxa"/>
            <w:vAlign w:val="bottom"/>
            <w:tcBorders>
              <w:right w:val="single" w:sz="8" w:color="auto"/>
            </w:tcBorders>
          </w:tcPr>
          <w:p>
            <w:pPr>
              <w:jc w:val="center"/>
              <w:spacing w:after="0" w:line="125" w:lineRule="exact"/>
              <w:rPr>
                <w:sz w:val="20"/>
                <w:szCs w:val="20"/>
                <w:color w:val="auto"/>
              </w:rPr>
            </w:pPr>
            <w:r>
              <w:rPr>
                <w:rFonts w:ascii="Times New Roman" w:cs="Times New Roman" w:eastAsia="Times New Roman" w:hAnsi="Times New Roman"/>
                <w:sz w:val="12"/>
                <w:szCs w:val="12"/>
                <w:color w:val="auto"/>
                <w:w w:val="97"/>
              </w:rPr>
              <w:t>304,085</w:t>
            </w:r>
          </w:p>
        </w:tc>
        <w:tc>
          <w:tcPr>
            <w:tcW w:w="620" w:type="dxa"/>
            <w:vAlign w:val="bottom"/>
          </w:tcPr>
          <w:p>
            <w:pPr>
              <w:jc w:val="center"/>
              <w:ind w:left="181"/>
              <w:spacing w:after="0" w:line="125" w:lineRule="exact"/>
              <w:rPr>
                <w:sz w:val="20"/>
                <w:szCs w:val="20"/>
                <w:color w:val="auto"/>
              </w:rPr>
            </w:pPr>
            <w:r>
              <w:rPr>
                <w:rFonts w:ascii="Times New Roman" w:cs="Times New Roman" w:eastAsia="Times New Roman" w:hAnsi="Times New Roman"/>
                <w:sz w:val="12"/>
                <w:szCs w:val="12"/>
                <w:color w:val="auto"/>
                <w:w w:val="96"/>
              </w:rPr>
              <w:t>32.9%</w:t>
            </w:r>
          </w:p>
        </w:tc>
        <w:tc>
          <w:tcPr>
            <w:tcW w:w="1180" w:type="dxa"/>
            <w:vAlign w:val="bottom"/>
            <w:tcBorders>
              <w:right w:val="single" w:sz="8" w:color="auto"/>
            </w:tcBorders>
          </w:tcPr>
          <w:p>
            <w:pPr>
              <w:jc w:val="center"/>
              <w:ind w:left="161"/>
              <w:spacing w:after="0" w:line="125" w:lineRule="exact"/>
              <w:rPr>
                <w:sz w:val="20"/>
                <w:szCs w:val="20"/>
                <w:color w:val="auto"/>
              </w:rPr>
            </w:pPr>
            <w:r>
              <w:rPr>
                <w:rFonts w:ascii="Times New Roman" w:cs="Times New Roman" w:eastAsia="Times New Roman" w:hAnsi="Times New Roman"/>
                <w:sz w:val="12"/>
                <w:szCs w:val="12"/>
                <w:color w:val="auto"/>
              </w:rPr>
              <w:t>14.7%</w:t>
            </w:r>
          </w:p>
        </w:tc>
      </w:tr>
      <w:tr>
        <w:trPr>
          <w:trHeight w:val="156"/>
        </w:trPr>
        <w:tc>
          <w:tcPr>
            <w:tcW w:w="50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2"/>
                <w:szCs w:val="12"/>
                <w:b w:val="1"/>
                <w:bCs w:val="1"/>
                <w:color w:val="auto"/>
              </w:rPr>
              <w:t>Total Liabilities</w:t>
            </w:r>
          </w:p>
        </w:tc>
        <w:tc>
          <w:tcPr>
            <w:tcW w:w="8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267,823</w:t>
            </w:r>
          </w:p>
        </w:tc>
        <w:tc>
          <w:tcPr>
            <w:tcW w:w="8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231,235</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306,126</w:t>
            </w:r>
          </w:p>
        </w:tc>
        <w:tc>
          <w:tcPr>
            <w:tcW w:w="620" w:type="dxa"/>
            <w:vAlign w:val="bottom"/>
          </w:tcPr>
          <w:p>
            <w:pPr>
              <w:jc w:val="center"/>
              <w:ind w:left="161"/>
              <w:spacing w:after="0"/>
              <w:rPr>
                <w:sz w:val="20"/>
                <w:szCs w:val="20"/>
                <w:color w:val="auto"/>
              </w:rPr>
            </w:pPr>
            <w:r>
              <w:rPr>
                <w:rFonts w:ascii="Times New Roman" w:cs="Times New Roman" w:eastAsia="Times New Roman" w:hAnsi="Times New Roman"/>
                <w:sz w:val="12"/>
                <w:szCs w:val="12"/>
                <w:b w:val="1"/>
                <w:bCs w:val="1"/>
                <w:color w:val="auto"/>
                <w:w w:val="96"/>
              </w:rPr>
              <w:t>32.4%</w:t>
            </w:r>
          </w:p>
        </w:tc>
        <w:tc>
          <w:tcPr>
            <w:tcW w:w="1180" w:type="dxa"/>
            <w:vAlign w:val="bottom"/>
            <w:tcBorders>
              <w:right w:val="single" w:sz="8" w:color="auto"/>
            </w:tcBorders>
          </w:tcPr>
          <w:p>
            <w:pPr>
              <w:jc w:val="center"/>
              <w:ind w:left="161"/>
              <w:spacing w:after="0"/>
              <w:rPr>
                <w:sz w:val="20"/>
                <w:szCs w:val="20"/>
                <w:color w:val="auto"/>
              </w:rPr>
            </w:pPr>
            <w:r>
              <w:rPr>
                <w:rFonts w:ascii="Times New Roman" w:cs="Times New Roman" w:eastAsia="Times New Roman" w:hAnsi="Times New Roman"/>
                <w:sz w:val="12"/>
                <w:szCs w:val="12"/>
                <w:b w:val="1"/>
                <w:bCs w:val="1"/>
                <w:color w:val="auto"/>
                <w:w w:val="96"/>
              </w:rPr>
              <w:t>14.3%</w:t>
            </w:r>
          </w:p>
        </w:tc>
      </w:tr>
      <w:tr>
        <w:trPr>
          <w:trHeight w:val="227"/>
        </w:trPr>
        <w:tc>
          <w:tcPr>
            <w:tcW w:w="5060" w:type="dxa"/>
            <w:vAlign w:val="bottom"/>
            <w:tcBorders>
              <w:left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12"/>
                <w:szCs w:val="12"/>
                <w:color w:val="auto"/>
              </w:rPr>
              <w:t>Capital stock</w:t>
            </w:r>
          </w:p>
        </w:tc>
        <w:tc>
          <w:tcPr>
            <w:tcW w:w="8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40,505</w:t>
            </w:r>
          </w:p>
        </w:tc>
        <w:tc>
          <w:tcPr>
            <w:tcW w:w="8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40,505</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6"/>
              </w:rPr>
              <w:t>40,505</w:t>
            </w:r>
          </w:p>
        </w:tc>
        <w:tc>
          <w:tcPr>
            <w:tcW w:w="620" w:type="dxa"/>
            <w:vAlign w:val="bottom"/>
          </w:tcPr>
          <w:p>
            <w:pPr>
              <w:jc w:val="center"/>
              <w:ind w:left="181"/>
              <w:spacing w:after="0"/>
              <w:rPr>
                <w:sz w:val="20"/>
                <w:szCs w:val="20"/>
                <w:color w:val="auto"/>
              </w:rPr>
            </w:pPr>
            <w:r>
              <w:rPr>
                <w:rFonts w:ascii="Times New Roman" w:cs="Times New Roman" w:eastAsia="Times New Roman" w:hAnsi="Times New Roman"/>
                <w:sz w:val="12"/>
                <w:szCs w:val="12"/>
                <w:color w:val="auto"/>
              </w:rPr>
              <w:t>n.a.</w:t>
            </w:r>
          </w:p>
        </w:tc>
        <w:tc>
          <w:tcPr>
            <w:tcW w:w="1180" w:type="dxa"/>
            <w:vAlign w:val="bottom"/>
            <w:tcBorders>
              <w:right w:val="single" w:sz="8" w:color="auto"/>
            </w:tcBorders>
          </w:tcPr>
          <w:p>
            <w:pPr>
              <w:jc w:val="center"/>
              <w:ind w:left="161"/>
              <w:spacing w:after="0"/>
              <w:rPr>
                <w:sz w:val="20"/>
                <w:szCs w:val="20"/>
                <w:color w:val="auto"/>
              </w:rPr>
            </w:pPr>
            <w:r>
              <w:rPr>
                <w:rFonts w:ascii="Times New Roman" w:cs="Times New Roman" w:eastAsia="Times New Roman" w:hAnsi="Times New Roman"/>
                <w:sz w:val="12"/>
                <w:szCs w:val="12"/>
                <w:color w:val="auto"/>
                <w:w w:val="92"/>
              </w:rPr>
              <w:t>n.a.</w:t>
            </w:r>
          </w:p>
        </w:tc>
      </w:tr>
      <w:tr>
        <w:trPr>
          <w:trHeight w:val="127"/>
        </w:trPr>
        <w:tc>
          <w:tcPr>
            <w:tcW w:w="5060" w:type="dxa"/>
            <w:vAlign w:val="bottom"/>
            <w:tcBorders>
              <w:left w:val="single" w:sz="8" w:color="auto"/>
              <w:right w:val="single" w:sz="8" w:color="auto"/>
            </w:tcBorders>
          </w:tcPr>
          <w:p>
            <w:pPr>
              <w:ind w:left="420"/>
              <w:spacing w:after="0" w:line="127" w:lineRule="exact"/>
              <w:rPr>
                <w:sz w:val="20"/>
                <w:szCs w:val="20"/>
                <w:color w:val="auto"/>
              </w:rPr>
            </w:pPr>
            <w:r>
              <w:rPr>
                <w:rFonts w:ascii="Times New Roman" w:cs="Times New Roman" w:eastAsia="Times New Roman" w:hAnsi="Times New Roman"/>
                <w:sz w:val="12"/>
                <w:szCs w:val="12"/>
                <w:color w:val="auto"/>
              </w:rPr>
              <w:t>Reserves</w:t>
            </w:r>
          </w:p>
        </w:tc>
        <w:tc>
          <w:tcPr>
            <w:tcW w:w="88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rPr>
              <w:t>20,243</w:t>
            </w:r>
          </w:p>
        </w:tc>
        <w:tc>
          <w:tcPr>
            <w:tcW w:w="88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6"/>
              </w:rPr>
              <w:t>20,243</w:t>
            </w:r>
          </w:p>
        </w:tc>
        <w:tc>
          <w:tcPr>
            <w:tcW w:w="940" w:type="dxa"/>
            <w:vAlign w:val="bottom"/>
            <w:tcBorders>
              <w:right w:val="single" w:sz="8" w:color="auto"/>
            </w:tcBorders>
          </w:tcPr>
          <w:p>
            <w:pPr>
              <w:jc w:val="center"/>
              <w:spacing w:after="0" w:line="127" w:lineRule="exact"/>
              <w:rPr>
                <w:sz w:val="20"/>
                <w:szCs w:val="20"/>
                <w:color w:val="auto"/>
              </w:rPr>
            </w:pPr>
            <w:r>
              <w:rPr>
                <w:rFonts w:ascii="Times New Roman" w:cs="Times New Roman" w:eastAsia="Times New Roman" w:hAnsi="Times New Roman"/>
                <w:sz w:val="12"/>
                <w:szCs w:val="12"/>
                <w:color w:val="auto"/>
                <w:w w:val="96"/>
              </w:rPr>
              <w:t>20,243</w:t>
            </w:r>
          </w:p>
        </w:tc>
        <w:tc>
          <w:tcPr>
            <w:tcW w:w="620" w:type="dxa"/>
            <w:vAlign w:val="bottom"/>
          </w:tcPr>
          <w:p>
            <w:pPr>
              <w:jc w:val="center"/>
              <w:ind w:left="181"/>
              <w:spacing w:after="0" w:line="127" w:lineRule="exact"/>
              <w:rPr>
                <w:sz w:val="20"/>
                <w:szCs w:val="20"/>
                <w:color w:val="auto"/>
              </w:rPr>
            </w:pPr>
            <w:r>
              <w:rPr>
                <w:rFonts w:ascii="Times New Roman" w:cs="Times New Roman" w:eastAsia="Times New Roman" w:hAnsi="Times New Roman"/>
                <w:sz w:val="12"/>
                <w:szCs w:val="12"/>
                <w:color w:val="auto"/>
              </w:rPr>
              <w:t>n.a.</w:t>
            </w:r>
          </w:p>
        </w:tc>
        <w:tc>
          <w:tcPr>
            <w:tcW w:w="1180" w:type="dxa"/>
            <w:vAlign w:val="bottom"/>
            <w:tcBorders>
              <w:right w:val="single" w:sz="8" w:color="auto"/>
            </w:tcBorders>
          </w:tcPr>
          <w:p>
            <w:pPr>
              <w:jc w:val="center"/>
              <w:ind w:left="161"/>
              <w:spacing w:after="0" w:line="127" w:lineRule="exact"/>
              <w:rPr>
                <w:sz w:val="20"/>
                <w:szCs w:val="20"/>
                <w:color w:val="auto"/>
              </w:rPr>
            </w:pPr>
            <w:r>
              <w:rPr>
                <w:rFonts w:ascii="Times New Roman" w:cs="Times New Roman" w:eastAsia="Times New Roman" w:hAnsi="Times New Roman"/>
                <w:sz w:val="12"/>
                <w:szCs w:val="12"/>
                <w:color w:val="auto"/>
                <w:w w:val="92"/>
              </w:rPr>
              <w:t>n.a.</w:t>
            </w:r>
          </w:p>
        </w:tc>
      </w:tr>
      <w:tr>
        <w:trPr>
          <w:trHeight w:val="154"/>
        </w:trPr>
        <w:tc>
          <w:tcPr>
            <w:tcW w:w="5060" w:type="dxa"/>
            <w:vAlign w:val="bottom"/>
            <w:tcBorders>
              <w:left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12"/>
                <w:szCs w:val="12"/>
                <w:color w:val="auto"/>
              </w:rPr>
              <w:t>Other reserves</w:t>
            </w:r>
          </w:p>
        </w:tc>
        <w:tc>
          <w:tcPr>
            <w:tcW w:w="8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445</w:t>
            </w:r>
          </w:p>
        </w:tc>
        <w:tc>
          <w:tcPr>
            <w:tcW w:w="8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924</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1,265</w:t>
            </w:r>
          </w:p>
        </w:tc>
        <w:tc>
          <w:tcPr>
            <w:tcW w:w="620" w:type="dxa"/>
            <w:vAlign w:val="bottom"/>
          </w:tcPr>
          <w:p>
            <w:pPr>
              <w:jc w:val="center"/>
              <w:ind w:left="181"/>
              <w:spacing w:after="0"/>
              <w:rPr>
                <w:sz w:val="20"/>
                <w:szCs w:val="20"/>
                <w:color w:val="auto"/>
              </w:rPr>
            </w:pPr>
            <w:r>
              <w:rPr>
                <w:rFonts w:ascii="Times New Roman" w:cs="Times New Roman" w:eastAsia="Times New Roman" w:hAnsi="Times New Roman"/>
                <w:sz w:val="12"/>
                <w:szCs w:val="12"/>
                <w:color w:val="auto"/>
                <w:w w:val="96"/>
              </w:rPr>
              <w:t>36.9%</w:t>
            </w:r>
          </w:p>
        </w:tc>
        <w:tc>
          <w:tcPr>
            <w:tcW w:w="1180" w:type="dxa"/>
            <w:vAlign w:val="bottom"/>
            <w:tcBorders>
              <w:right w:val="single" w:sz="8" w:color="auto"/>
            </w:tcBorders>
          </w:tcPr>
          <w:p>
            <w:pPr>
              <w:jc w:val="center"/>
              <w:ind w:left="161"/>
              <w:spacing w:after="0"/>
              <w:rPr>
                <w:sz w:val="20"/>
                <w:szCs w:val="20"/>
                <w:color w:val="auto"/>
              </w:rPr>
            </w:pPr>
            <w:r>
              <w:rPr>
                <w:rFonts w:ascii="Times New Roman" w:cs="Times New Roman" w:eastAsia="Times New Roman" w:hAnsi="Times New Roman"/>
                <w:sz w:val="12"/>
                <w:szCs w:val="12"/>
                <w:color w:val="auto"/>
                <w:w w:val="97"/>
              </w:rPr>
              <w:t>184.3%</w:t>
            </w:r>
          </w:p>
        </w:tc>
      </w:tr>
      <w:tr>
        <w:trPr>
          <w:trHeight w:val="227"/>
        </w:trPr>
        <w:tc>
          <w:tcPr>
            <w:tcW w:w="50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Retained earnings</w:t>
            </w:r>
          </w:p>
        </w:tc>
        <w:tc>
          <w:tcPr>
            <w:tcW w:w="8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304,310</w:t>
            </w:r>
          </w:p>
        </w:tc>
        <w:tc>
          <w:tcPr>
            <w:tcW w:w="8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245,059</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257,992</w:t>
            </w:r>
          </w:p>
        </w:tc>
        <w:tc>
          <w:tcPr>
            <w:tcW w:w="620" w:type="dxa"/>
            <w:vAlign w:val="bottom"/>
          </w:tcPr>
          <w:p>
            <w:pPr>
              <w:jc w:val="center"/>
              <w:ind w:left="161"/>
              <w:spacing w:after="0"/>
              <w:rPr>
                <w:sz w:val="20"/>
                <w:szCs w:val="20"/>
                <w:color w:val="auto"/>
              </w:rPr>
            </w:pPr>
            <w:r>
              <w:rPr>
                <w:rFonts w:ascii="Times New Roman" w:cs="Times New Roman" w:eastAsia="Times New Roman" w:hAnsi="Times New Roman"/>
                <w:sz w:val="12"/>
                <w:szCs w:val="12"/>
                <w:color w:val="auto"/>
                <w:w w:val="95"/>
              </w:rPr>
              <w:t>5.3%</w:t>
            </w:r>
          </w:p>
        </w:tc>
        <w:tc>
          <w:tcPr>
            <w:tcW w:w="1180" w:type="dxa"/>
            <w:vAlign w:val="bottom"/>
            <w:tcBorders>
              <w:right w:val="single" w:sz="8" w:color="auto"/>
            </w:tcBorders>
          </w:tcPr>
          <w:p>
            <w:pPr>
              <w:jc w:val="center"/>
              <w:ind w:left="161"/>
              <w:spacing w:after="0"/>
              <w:rPr>
                <w:sz w:val="20"/>
                <w:szCs w:val="20"/>
                <w:color w:val="auto"/>
              </w:rPr>
            </w:pPr>
            <w:r>
              <w:rPr>
                <w:rFonts w:ascii="Times New Roman" w:cs="Times New Roman" w:eastAsia="Times New Roman" w:hAnsi="Times New Roman"/>
                <w:sz w:val="12"/>
                <w:szCs w:val="12"/>
                <w:color w:val="auto"/>
              </w:rPr>
              <w:t>-15.2%</w:t>
            </w:r>
          </w:p>
        </w:tc>
      </w:tr>
      <w:tr>
        <w:trPr>
          <w:trHeight w:val="125"/>
        </w:trPr>
        <w:tc>
          <w:tcPr>
            <w:tcW w:w="5060" w:type="dxa"/>
            <w:vAlign w:val="bottom"/>
            <w:tcBorders>
              <w:left w:val="single" w:sz="8" w:color="auto"/>
              <w:right w:val="single" w:sz="8" w:color="auto"/>
            </w:tcBorders>
          </w:tcPr>
          <w:p>
            <w:pPr>
              <w:ind w:left="80"/>
              <w:spacing w:after="0" w:line="125" w:lineRule="exact"/>
              <w:rPr>
                <w:sz w:val="20"/>
                <w:szCs w:val="20"/>
                <w:color w:val="auto"/>
              </w:rPr>
            </w:pPr>
            <w:r>
              <w:rPr>
                <w:rFonts w:ascii="Times New Roman" w:cs="Times New Roman" w:eastAsia="Times New Roman" w:hAnsi="Times New Roman"/>
                <w:sz w:val="12"/>
                <w:szCs w:val="12"/>
                <w:color w:val="auto"/>
              </w:rPr>
              <w:t>Net Income for the Period</w:t>
            </w:r>
          </w:p>
        </w:tc>
        <w:tc>
          <w:tcPr>
            <w:tcW w:w="88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auto"/>
              </w:rPr>
              <w:t>24,472</w:t>
            </w:r>
          </w:p>
        </w:tc>
        <w:tc>
          <w:tcPr>
            <w:tcW w:w="88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auto"/>
                <w:w w:val="97"/>
              </w:rPr>
              <w:t>146,543</w:t>
            </w:r>
          </w:p>
        </w:tc>
        <w:tc>
          <w:tcPr>
            <w:tcW w:w="940" w:type="dxa"/>
            <w:vAlign w:val="bottom"/>
            <w:tcBorders>
              <w:right w:val="single" w:sz="8" w:color="auto"/>
            </w:tcBorders>
          </w:tcPr>
          <w:p>
            <w:pPr>
              <w:jc w:val="center"/>
              <w:spacing w:after="0" w:line="125" w:lineRule="exact"/>
              <w:rPr>
                <w:sz w:val="20"/>
                <w:szCs w:val="20"/>
                <w:color w:val="auto"/>
              </w:rPr>
            </w:pPr>
            <w:r>
              <w:rPr>
                <w:rFonts w:ascii="Times New Roman" w:cs="Times New Roman" w:eastAsia="Times New Roman" w:hAnsi="Times New Roman"/>
                <w:sz w:val="12"/>
                <w:szCs w:val="12"/>
                <w:color w:val="auto"/>
                <w:w w:val="96"/>
              </w:rPr>
              <w:t>37,285</w:t>
            </w:r>
          </w:p>
        </w:tc>
        <w:tc>
          <w:tcPr>
            <w:tcW w:w="620" w:type="dxa"/>
            <w:vAlign w:val="bottom"/>
          </w:tcPr>
          <w:p>
            <w:pPr>
              <w:jc w:val="center"/>
              <w:ind w:left="181"/>
              <w:spacing w:after="0" w:line="125" w:lineRule="exact"/>
              <w:rPr>
                <w:sz w:val="20"/>
                <w:szCs w:val="20"/>
                <w:color w:val="auto"/>
              </w:rPr>
            </w:pPr>
            <w:r>
              <w:rPr>
                <w:rFonts w:ascii="Times New Roman" w:cs="Times New Roman" w:eastAsia="Times New Roman" w:hAnsi="Times New Roman"/>
                <w:sz w:val="12"/>
                <w:szCs w:val="12"/>
                <w:color w:val="auto"/>
                <w:w w:val="97"/>
              </w:rPr>
              <w:t>-74.6%</w:t>
            </w:r>
          </w:p>
        </w:tc>
        <w:tc>
          <w:tcPr>
            <w:tcW w:w="1180" w:type="dxa"/>
            <w:vAlign w:val="bottom"/>
            <w:tcBorders>
              <w:right w:val="single" w:sz="8" w:color="auto"/>
            </w:tcBorders>
          </w:tcPr>
          <w:p>
            <w:pPr>
              <w:jc w:val="center"/>
              <w:ind w:left="161"/>
              <w:spacing w:after="0" w:line="125" w:lineRule="exact"/>
              <w:rPr>
                <w:sz w:val="20"/>
                <w:szCs w:val="20"/>
                <w:color w:val="auto"/>
              </w:rPr>
            </w:pPr>
            <w:r>
              <w:rPr>
                <w:rFonts w:ascii="Times New Roman" w:cs="Times New Roman" w:eastAsia="Times New Roman" w:hAnsi="Times New Roman"/>
                <w:sz w:val="12"/>
                <w:szCs w:val="12"/>
                <w:color w:val="auto"/>
              </w:rPr>
              <w:t>52.4%</w:t>
            </w:r>
          </w:p>
        </w:tc>
      </w:tr>
      <w:tr>
        <w:trPr>
          <w:trHeight w:val="145"/>
        </w:trPr>
        <w:tc>
          <w:tcPr>
            <w:tcW w:w="50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2"/>
                <w:szCs w:val="12"/>
                <w:b w:val="1"/>
                <w:bCs w:val="1"/>
                <w:color w:val="auto"/>
              </w:rPr>
              <w:t>Total Liabilities and Equity</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657,798</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684,509</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663,416</w:t>
            </w:r>
          </w:p>
        </w:tc>
        <w:tc>
          <w:tcPr>
            <w:tcW w:w="620" w:type="dxa"/>
            <w:vAlign w:val="bottom"/>
            <w:tcBorders>
              <w:bottom w:val="single" w:sz="8" w:color="auto"/>
            </w:tcBorders>
          </w:tcPr>
          <w:p>
            <w:pPr>
              <w:jc w:val="center"/>
              <w:ind w:left="181"/>
              <w:spacing w:after="0"/>
              <w:rPr>
                <w:sz w:val="20"/>
                <w:szCs w:val="20"/>
                <w:color w:val="auto"/>
              </w:rPr>
            </w:pPr>
            <w:r>
              <w:rPr>
                <w:rFonts w:ascii="Times New Roman" w:cs="Times New Roman" w:eastAsia="Times New Roman" w:hAnsi="Times New Roman"/>
                <w:sz w:val="12"/>
                <w:szCs w:val="12"/>
                <w:b w:val="1"/>
                <w:bCs w:val="1"/>
                <w:color w:val="auto"/>
                <w:w w:val="96"/>
              </w:rPr>
              <w:t>-3.1%</w:t>
            </w:r>
          </w:p>
        </w:tc>
        <w:tc>
          <w:tcPr>
            <w:tcW w:w="1180" w:type="dxa"/>
            <w:vAlign w:val="bottom"/>
            <w:tcBorders>
              <w:bottom w:val="single" w:sz="8" w:color="auto"/>
              <w:right w:val="single" w:sz="8" w:color="auto"/>
            </w:tcBorders>
          </w:tcPr>
          <w:p>
            <w:pPr>
              <w:jc w:val="center"/>
              <w:ind w:left="161"/>
              <w:spacing w:after="0"/>
              <w:rPr>
                <w:sz w:val="20"/>
                <w:szCs w:val="20"/>
                <w:color w:val="auto"/>
              </w:rPr>
            </w:pPr>
            <w:r>
              <w:rPr>
                <w:rFonts w:ascii="Times New Roman" w:cs="Times New Roman" w:eastAsia="Times New Roman" w:hAnsi="Times New Roman"/>
                <w:sz w:val="12"/>
                <w:szCs w:val="12"/>
                <w:b w:val="1"/>
                <w:bCs w:val="1"/>
                <w:color w:val="auto"/>
              </w:rPr>
              <w:t>0.9%</w:t>
            </w:r>
          </w:p>
        </w:tc>
      </w:tr>
    </w:tbl>
    <w:p>
      <w:pPr>
        <w:spacing w:after="0" w:line="18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5"/>
          <w:szCs w:val="15"/>
          <w:b w:val="1"/>
          <w:bCs w:val="1"/>
          <w:color w:val="auto"/>
        </w:rPr>
        <w:t>Statement of Income</w:t>
      </w:r>
    </w:p>
    <w:p>
      <w:pPr>
        <w:spacing w:after="0" w:line="2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5"/>
          <w:szCs w:val="15"/>
          <w:b w:val="1"/>
          <w:bCs w:val="1"/>
          <w:color w:val="auto"/>
        </w:rPr>
        <w:t>(S/ Thousands, IFRS)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600" w:type="dxa"/>
            <w:vAlign w:val="bottom"/>
            <w:tcBorders>
              <w:right w:val="single" w:sz="8" w:color="auto"/>
            </w:tcBorders>
          </w:tcPr>
          <w:p>
            <w:pPr>
              <w:spacing w:after="0"/>
              <w:rPr>
                <w:sz w:val="10"/>
                <w:szCs w:val="10"/>
                <w:color w:val="auto"/>
              </w:rPr>
            </w:pPr>
          </w:p>
        </w:tc>
        <w:tc>
          <w:tcPr>
            <w:tcW w:w="100" w:type="dxa"/>
            <w:vAlign w:val="bottom"/>
            <w:tcBorders>
              <w:top w:val="single" w:sz="8" w:color="auto"/>
              <w:right w:val="single" w:sz="8" w:color="2AD2C9"/>
            </w:tcBorders>
            <w:shd w:val="clear" w:color="auto" w:fill="2AD2C9"/>
          </w:tcPr>
          <w:p>
            <w:pPr>
              <w:spacing w:after="0"/>
              <w:rPr>
                <w:sz w:val="10"/>
                <w:szCs w:val="10"/>
                <w:color w:val="auto"/>
              </w:rPr>
            </w:pPr>
          </w:p>
        </w:tc>
        <w:tc>
          <w:tcPr>
            <w:tcW w:w="3100" w:type="dxa"/>
            <w:vAlign w:val="bottom"/>
            <w:tcBorders>
              <w:top w:val="single" w:sz="8" w:color="auto"/>
            </w:tcBorders>
            <w:shd w:val="clear" w:color="auto" w:fill="2AD2C9"/>
          </w:tcPr>
          <w:p>
            <w:pPr>
              <w:spacing w:after="0"/>
              <w:rPr>
                <w:sz w:val="10"/>
                <w:szCs w:val="10"/>
                <w:color w:val="auto"/>
              </w:rPr>
            </w:pPr>
          </w:p>
        </w:tc>
        <w:tc>
          <w:tcPr>
            <w:tcW w:w="1400" w:type="dxa"/>
            <w:vAlign w:val="bottom"/>
            <w:tcBorders>
              <w:top w:val="single" w:sz="8" w:color="auto"/>
              <w:right w:val="single" w:sz="8" w:color="2AD2C9"/>
            </w:tcBorders>
            <w:shd w:val="clear" w:color="auto" w:fill="2AD2C9"/>
          </w:tcPr>
          <w:p>
            <w:pPr>
              <w:spacing w:after="0"/>
              <w:rPr>
                <w:sz w:val="10"/>
                <w:szCs w:val="10"/>
                <w:color w:val="auto"/>
              </w:rPr>
            </w:pPr>
          </w:p>
        </w:tc>
        <w:tc>
          <w:tcPr>
            <w:tcW w:w="1020" w:type="dxa"/>
            <w:vAlign w:val="bottom"/>
            <w:tcBorders>
              <w:top w:val="single" w:sz="8" w:color="auto"/>
              <w:right w:val="single" w:sz="8" w:color="auto"/>
            </w:tcBorders>
            <w:shd w:val="clear" w:color="auto" w:fill="2AD2C9"/>
          </w:tcPr>
          <w:p>
            <w:pPr>
              <w:spacing w:after="0"/>
              <w:rPr>
                <w:sz w:val="10"/>
                <w:szCs w:val="10"/>
                <w:color w:val="auto"/>
              </w:rPr>
            </w:pPr>
          </w:p>
        </w:tc>
        <w:tc>
          <w:tcPr>
            <w:tcW w:w="820" w:type="dxa"/>
            <w:vAlign w:val="bottom"/>
            <w:tcBorders>
              <w:top w:val="single" w:sz="8" w:color="auto"/>
            </w:tcBorders>
            <w:shd w:val="clear" w:color="auto" w:fill="2AD2C9"/>
          </w:tcPr>
          <w:p>
            <w:pPr>
              <w:spacing w:after="0"/>
              <w:rPr>
                <w:sz w:val="10"/>
                <w:szCs w:val="10"/>
                <w:color w:val="auto"/>
              </w:rPr>
            </w:pPr>
          </w:p>
        </w:tc>
        <w:tc>
          <w:tcPr>
            <w:tcW w:w="840" w:type="dxa"/>
            <w:vAlign w:val="bottom"/>
            <w:tcBorders>
              <w:top w:val="single" w:sz="8" w:color="auto"/>
              <w:right w:val="single" w:sz="8" w:color="2AD2C9"/>
            </w:tcBorders>
            <w:shd w:val="clear" w:color="auto" w:fill="2AD2C9"/>
          </w:tcPr>
          <w:p>
            <w:pPr>
              <w:ind w:left="300"/>
              <w:spacing w:after="0" w:line="122" w:lineRule="exact"/>
              <w:rPr>
                <w:sz w:val="20"/>
                <w:szCs w:val="20"/>
                <w:color w:val="auto"/>
              </w:rPr>
            </w:pPr>
            <w:r>
              <w:rPr>
                <w:rFonts w:ascii="Times New Roman" w:cs="Times New Roman" w:eastAsia="Times New Roman" w:hAnsi="Times New Roman"/>
                <w:sz w:val="12"/>
                <w:szCs w:val="12"/>
                <w:b w:val="1"/>
                <w:bCs w:val="1"/>
                <w:color w:val="FFFFFF"/>
              </w:rPr>
              <w:t>Quarter</w:t>
            </w:r>
          </w:p>
        </w:tc>
        <w:tc>
          <w:tcPr>
            <w:tcW w:w="1020" w:type="dxa"/>
            <w:vAlign w:val="bottom"/>
            <w:tcBorders>
              <w:top w:val="single" w:sz="8" w:color="auto"/>
              <w:right w:val="single" w:sz="8" w:color="auto"/>
            </w:tcBorders>
            <w:shd w:val="clear" w:color="auto" w:fill="2AD2C9"/>
          </w:tcPr>
          <w:p>
            <w:pPr>
              <w:spacing w:after="0"/>
              <w:rPr>
                <w:sz w:val="10"/>
                <w:szCs w:val="10"/>
                <w:color w:val="auto"/>
              </w:rPr>
            </w:pPr>
          </w:p>
        </w:tc>
        <w:tc>
          <w:tcPr>
            <w:tcW w:w="1800" w:type="dxa"/>
            <w:vAlign w:val="bottom"/>
            <w:tcBorders>
              <w:top w:val="single" w:sz="8" w:color="auto"/>
              <w:right w:val="single" w:sz="8" w:color="auto"/>
            </w:tcBorders>
            <w:gridSpan w:val="3"/>
            <w:shd w:val="clear" w:color="auto" w:fill="2AD2C9"/>
          </w:tcPr>
          <w:p>
            <w:pPr>
              <w:ind w:left="620"/>
              <w:spacing w:after="0" w:line="122" w:lineRule="exact"/>
              <w:rPr>
                <w:sz w:val="20"/>
                <w:szCs w:val="20"/>
                <w:color w:val="auto"/>
              </w:rPr>
            </w:pPr>
            <w:r>
              <w:rPr>
                <w:rFonts w:ascii="Times New Roman" w:cs="Times New Roman" w:eastAsia="Times New Roman" w:hAnsi="Times New Roman"/>
                <w:sz w:val="12"/>
                <w:szCs w:val="12"/>
                <w:b w:val="1"/>
                <w:bCs w:val="1"/>
                <w:color w:val="FFFFFF"/>
              </w:rPr>
              <w:t>% change</w:t>
            </w:r>
          </w:p>
        </w:tc>
        <w:tc>
          <w:tcPr>
            <w:tcW w:w="540" w:type="dxa"/>
            <w:vAlign w:val="bottom"/>
          </w:tcPr>
          <w:p>
            <w:pPr>
              <w:spacing w:after="0"/>
              <w:rPr>
                <w:sz w:val="10"/>
                <w:szCs w:val="10"/>
                <w:color w:val="auto"/>
              </w:rPr>
            </w:pPr>
          </w:p>
        </w:tc>
      </w:tr>
      <w:tr>
        <w:trPr>
          <w:trHeight w:val="145"/>
        </w:trPr>
        <w:tc>
          <w:tcPr>
            <w:tcW w:w="600" w:type="dxa"/>
            <w:vAlign w:val="bottom"/>
            <w:tcBorders>
              <w:right w:val="single" w:sz="8" w:color="auto"/>
            </w:tcBorders>
          </w:tcPr>
          <w:p>
            <w:pPr>
              <w:spacing w:after="0"/>
              <w:rPr>
                <w:sz w:val="12"/>
                <w:szCs w:val="12"/>
                <w:color w:val="auto"/>
              </w:rPr>
            </w:pPr>
          </w:p>
        </w:tc>
        <w:tc>
          <w:tcPr>
            <w:tcW w:w="100" w:type="dxa"/>
            <w:vAlign w:val="bottom"/>
            <w:tcBorders>
              <w:bottom w:val="single" w:sz="8" w:color="auto"/>
              <w:right w:val="single" w:sz="8" w:color="2AD2C9"/>
            </w:tcBorders>
            <w:shd w:val="clear" w:color="auto" w:fill="2AD2C9"/>
          </w:tcPr>
          <w:p>
            <w:pPr>
              <w:spacing w:after="0"/>
              <w:rPr>
                <w:sz w:val="12"/>
                <w:szCs w:val="12"/>
                <w:color w:val="auto"/>
              </w:rPr>
            </w:pPr>
          </w:p>
        </w:tc>
        <w:tc>
          <w:tcPr>
            <w:tcW w:w="3100" w:type="dxa"/>
            <w:vAlign w:val="bottom"/>
            <w:tcBorders>
              <w:bottom w:val="single" w:sz="8" w:color="auto"/>
            </w:tcBorders>
            <w:shd w:val="clear" w:color="auto" w:fill="2AD2C9"/>
          </w:tcPr>
          <w:p>
            <w:pPr>
              <w:spacing w:after="0"/>
              <w:rPr>
                <w:sz w:val="12"/>
                <w:szCs w:val="12"/>
                <w:color w:val="auto"/>
              </w:rPr>
            </w:pPr>
          </w:p>
        </w:tc>
        <w:tc>
          <w:tcPr>
            <w:tcW w:w="1400" w:type="dxa"/>
            <w:vAlign w:val="bottom"/>
            <w:tcBorders>
              <w:bottom w:val="single" w:sz="8" w:color="auto"/>
              <w:right w:val="single" w:sz="8" w:color="2AD2C9"/>
            </w:tcBorders>
            <w:shd w:val="clear" w:color="auto" w:fill="2AD2C9"/>
          </w:tcPr>
          <w:p>
            <w:pPr>
              <w:spacing w:after="0"/>
              <w:rPr>
                <w:sz w:val="12"/>
                <w:szCs w:val="12"/>
                <w:color w:val="auto"/>
              </w:rPr>
            </w:pPr>
          </w:p>
        </w:tc>
        <w:tc>
          <w:tcPr>
            <w:tcW w:w="1020" w:type="dxa"/>
            <w:vAlign w:val="bottom"/>
            <w:tcBorders>
              <w:bottom w:val="single" w:sz="8" w:color="auto"/>
              <w:right w:val="single" w:sz="8" w:color="auto"/>
            </w:tcBorders>
            <w:shd w:val="clear" w:color="auto" w:fill="2AD2C9"/>
          </w:tcPr>
          <w:p>
            <w:pPr>
              <w:spacing w:after="0"/>
              <w:rPr>
                <w:sz w:val="12"/>
                <w:szCs w:val="12"/>
                <w:color w:val="auto"/>
              </w:rPr>
            </w:pPr>
          </w:p>
        </w:tc>
        <w:tc>
          <w:tcPr>
            <w:tcW w:w="820" w:type="dxa"/>
            <w:vAlign w:val="bottom"/>
            <w:tcBorders>
              <w:bottom w:val="single" w:sz="8" w:color="auto"/>
            </w:tcBorders>
            <w:shd w:val="clear" w:color="auto" w:fill="2AD2C9"/>
          </w:tcPr>
          <w:p>
            <w:pPr>
              <w:jc w:val="center"/>
              <w:spacing w:after="0"/>
              <w:rPr>
                <w:sz w:val="20"/>
                <w:szCs w:val="20"/>
                <w:color w:val="auto"/>
              </w:rPr>
            </w:pPr>
            <w:r>
              <w:rPr>
                <w:rFonts w:ascii="Times New Roman" w:cs="Times New Roman" w:eastAsia="Times New Roman" w:hAnsi="Times New Roman"/>
                <w:sz w:val="12"/>
                <w:szCs w:val="12"/>
                <w:b w:val="1"/>
                <w:bCs w:val="1"/>
                <w:color w:val="FFFFFF"/>
                <w:w w:val="94"/>
              </w:rPr>
              <w:t>1Q25</w:t>
            </w:r>
          </w:p>
        </w:tc>
        <w:tc>
          <w:tcPr>
            <w:tcW w:w="840" w:type="dxa"/>
            <w:vAlign w:val="bottom"/>
            <w:tcBorders>
              <w:bottom w:val="single" w:sz="8" w:color="auto"/>
              <w:right w:val="single" w:sz="8" w:color="2AD2C9"/>
            </w:tcBorders>
            <w:shd w:val="clear" w:color="auto" w:fill="2AD2C9"/>
          </w:tcPr>
          <w:p>
            <w:pPr>
              <w:jc w:val="center"/>
              <w:ind w:left="81"/>
              <w:spacing w:after="0"/>
              <w:rPr>
                <w:sz w:val="20"/>
                <w:szCs w:val="20"/>
                <w:color w:val="auto"/>
              </w:rPr>
            </w:pPr>
            <w:r>
              <w:rPr>
                <w:rFonts w:ascii="Times New Roman" w:cs="Times New Roman" w:eastAsia="Times New Roman" w:hAnsi="Times New Roman"/>
                <w:sz w:val="12"/>
                <w:szCs w:val="12"/>
                <w:b w:val="1"/>
                <w:bCs w:val="1"/>
                <w:color w:val="FFFFFF"/>
                <w:w w:val="94"/>
              </w:rPr>
              <w:t>4Q25</w:t>
            </w:r>
          </w:p>
        </w:tc>
        <w:tc>
          <w:tcPr>
            <w:tcW w:w="1020" w:type="dxa"/>
            <w:vAlign w:val="bottom"/>
            <w:tcBorders>
              <w:bottom w:val="single" w:sz="8" w:color="auto"/>
              <w:right w:val="single" w:sz="8" w:color="auto"/>
            </w:tcBorders>
            <w:shd w:val="clear" w:color="auto" w:fill="2AD2C9"/>
          </w:tcPr>
          <w:p>
            <w:pPr>
              <w:jc w:val="center"/>
              <w:ind w:left="1"/>
              <w:spacing w:after="0"/>
              <w:rPr>
                <w:sz w:val="20"/>
                <w:szCs w:val="20"/>
                <w:color w:val="auto"/>
              </w:rPr>
            </w:pPr>
            <w:r>
              <w:rPr>
                <w:rFonts w:ascii="Times New Roman" w:cs="Times New Roman" w:eastAsia="Times New Roman" w:hAnsi="Times New Roman"/>
                <w:sz w:val="12"/>
                <w:szCs w:val="12"/>
                <w:b w:val="1"/>
                <w:bCs w:val="1"/>
                <w:color w:val="FFFFFF"/>
              </w:rPr>
              <w:t>1Q26</w:t>
            </w:r>
          </w:p>
        </w:tc>
        <w:tc>
          <w:tcPr>
            <w:tcW w:w="660" w:type="dxa"/>
            <w:vAlign w:val="bottom"/>
            <w:tcBorders>
              <w:bottom w:val="single" w:sz="8" w:color="auto"/>
            </w:tcBorders>
            <w:shd w:val="clear" w:color="auto" w:fill="2AD2C9"/>
          </w:tcPr>
          <w:p>
            <w:pPr>
              <w:jc w:val="center"/>
              <w:ind w:left="121"/>
              <w:spacing w:after="0"/>
              <w:rPr>
                <w:sz w:val="20"/>
                <w:szCs w:val="20"/>
                <w:color w:val="auto"/>
              </w:rPr>
            </w:pPr>
            <w:r>
              <w:rPr>
                <w:rFonts w:ascii="Times New Roman" w:cs="Times New Roman" w:eastAsia="Times New Roman" w:hAnsi="Times New Roman"/>
                <w:sz w:val="12"/>
                <w:szCs w:val="12"/>
                <w:b w:val="1"/>
                <w:bCs w:val="1"/>
                <w:color w:val="FFFFFF"/>
                <w:w w:val="97"/>
              </w:rPr>
              <w:t>QoQ</w:t>
            </w:r>
          </w:p>
        </w:tc>
        <w:tc>
          <w:tcPr>
            <w:tcW w:w="1140" w:type="dxa"/>
            <w:vAlign w:val="bottom"/>
            <w:tcBorders>
              <w:bottom w:val="single" w:sz="8" w:color="auto"/>
              <w:right w:val="single" w:sz="8" w:color="auto"/>
            </w:tcBorders>
            <w:gridSpan w:val="2"/>
            <w:shd w:val="clear" w:color="auto" w:fill="2AD2C9"/>
          </w:tcPr>
          <w:p>
            <w:pPr>
              <w:jc w:val="center"/>
              <w:ind w:left="121"/>
              <w:spacing w:after="0"/>
              <w:rPr>
                <w:sz w:val="20"/>
                <w:szCs w:val="20"/>
                <w:color w:val="auto"/>
              </w:rPr>
            </w:pPr>
            <w:r>
              <w:rPr>
                <w:rFonts w:ascii="Times New Roman" w:cs="Times New Roman" w:eastAsia="Times New Roman" w:hAnsi="Times New Roman"/>
                <w:sz w:val="12"/>
                <w:szCs w:val="12"/>
                <w:b w:val="1"/>
                <w:bCs w:val="1"/>
                <w:color w:val="FFFFFF"/>
                <w:w w:val="85"/>
              </w:rPr>
              <w:t>YoY</w:t>
            </w:r>
          </w:p>
        </w:tc>
        <w:tc>
          <w:tcPr>
            <w:tcW w:w="540" w:type="dxa"/>
            <w:vAlign w:val="bottom"/>
          </w:tcPr>
          <w:p>
            <w:pPr>
              <w:spacing w:after="0"/>
              <w:rPr>
                <w:sz w:val="12"/>
                <w:szCs w:val="12"/>
                <w:color w:val="auto"/>
              </w:rPr>
            </w:pPr>
          </w:p>
        </w:tc>
      </w:tr>
      <w:tr>
        <w:trPr>
          <w:trHeight w:val="104"/>
        </w:trPr>
        <w:tc>
          <w:tcPr>
            <w:tcW w:w="600" w:type="dxa"/>
            <w:vAlign w:val="bottom"/>
            <w:tcBorders>
              <w:right w:val="single" w:sz="8" w:color="auto"/>
            </w:tcBorders>
          </w:tcPr>
          <w:p>
            <w:pPr>
              <w:spacing w:after="0"/>
              <w:rPr>
                <w:sz w:val="9"/>
                <w:szCs w:val="9"/>
                <w:color w:val="auto"/>
              </w:rPr>
            </w:pPr>
          </w:p>
        </w:tc>
        <w:tc>
          <w:tcPr>
            <w:tcW w:w="3200" w:type="dxa"/>
            <w:vAlign w:val="bottom"/>
            <w:gridSpan w:val="2"/>
          </w:tcPr>
          <w:p>
            <w:pPr>
              <w:ind w:left="80"/>
              <w:spacing w:after="0" w:line="104" w:lineRule="exact"/>
              <w:rPr>
                <w:sz w:val="20"/>
                <w:szCs w:val="20"/>
                <w:color w:val="auto"/>
              </w:rPr>
            </w:pPr>
            <w:r>
              <w:rPr>
                <w:rFonts w:ascii="Times New Roman" w:cs="Times New Roman" w:eastAsia="Times New Roman" w:hAnsi="Times New Roman"/>
                <w:sz w:val="12"/>
                <w:szCs w:val="12"/>
                <w:color w:val="auto"/>
              </w:rPr>
              <w:t>Financial income</w:t>
            </w:r>
          </w:p>
        </w:tc>
        <w:tc>
          <w:tcPr>
            <w:tcW w:w="1400" w:type="dxa"/>
            <w:vAlign w:val="bottom"/>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820" w:type="dxa"/>
            <w:vAlign w:val="bottom"/>
          </w:tcPr>
          <w:p>
            <w:pPr>
              <w:jc w:val="center"/>
              <w:spacing w:after="0" w:line="104" w:lineRule="exact"/>
              <w:rPr>
                <w:sz w:val="20"/>
                <w:szCs w:val="20"/>
                <w:color w:val="auto"/>
              </w:rPr>
            </w:pPr>
            <w:r>
              <w:rPr>
                <w:rFonts w:ascii="Times New Roman" w:cs="Times New Roman" w:eastAsia="Times New Roman" w:hAnsi="Times New Roman"/>
                <w:sz w:val="12"/>
                <w:szCs w:val="12"/>
                <w:color w:val="auto"/>
                <w:w w:val="96"/>
              </w:rPr>
              <w:t>1,481</w:t>
            </w:r>
          </w:p>
        </w:tc>
        <w:tc>
          <w:tcPr>
            <w:tcW w:w="840" w:type="dxa"/>
            <w:vAlign w:val="bottom"/>
          </w:tcPr>
          <w:p>
            <w:pPr>
              <w:jc w:val="center"/>
              <w:ind w:left="81"/>
              <w:spacing w:after="0" w:line="104" w:lineRule="exact"/>
              <w:rPr>
                <w:sz w:val="20"/>
                <w:szCs w:val="20"/>
                <w:color w:val="auto"/>
              </w:rPr>
            </w:pPr>
            <w:r>
              <w:rPr>
                <w:rFonts w:ascii="Times New Roman" w:cs="Times New Roman" w:eastAsia="Times New Roman" w:hAnsi="Times New Roman"/>
                <w:sz w:val="12"/>
                <w:szCs w:val="12"/>
                <w:color w:val="auto"/>
                <w:w w:val="96"/>
              </w:rPr>
              <w:t>1,207</w:t>
            </w:r>
          </w:p>
        </w:tc>
        <w:tc>
          <w:tcPr>
            <w:tcW w:w="1020" w:type="dxa"/>
            <w:vAlign w:val="bottom"/>
            <w:tcBorders>
              <w:right w:val="single" w:sz="8" w:color="auto"/>
            </w:tcBorders>
          </w:tcPr>
          <w:p>
            <w:pPr>
              <w:jc w:val="center"/>
              <w:ind w:left="1"/>
              <w:spacing w:after="0" w:line="104" w:lineRule="exact"/>
              <w:rPr>
                <w:sz w:val="20"/>
                <w:szCs w:val="20"/>
                <w:color w:val="auto"/>
              </w:rPr>
            </w:pPr>
            <w:r>
              <w:rPr>
                <w:rFonts w:ascii="Times New Roman" w:cs="Times New Roman" w:eastAsia="Times New Roman" w:hAnsi="Times New Roman"/>
                <w:sz w:val="12"/>
                <w:szCs w:val="12"/>
                <w:color w:val="auto"/>
              </w:rPr>
              <w:t>1,201</w:t>
            </w:r>
          </w:p>
        </w:tc>
        <w:tc>
          <w:tcPr>
            <w:tcW w:w="660" w:type="dxa"/>
            <w:vAlign w:val="bottom"/>
          </w:tcPr>
          <w:p>
            <w:pPr>
              <w:jc w:val="center"/>
              <w:ind w:left="121"/>
              <w:spacing w:after="0" w:line="104" w:lineRule="exact"/>
              <w:rPr>
                <w:sz w:val="20"/>
                <w:szCs w:val="20"/>
                <w:color w:val="auto"/>
              </w:rPr>
            </w:pPr>
            <w:r>
              <w:rPr>
                <w:rFonts w:ascii="Times New Roman" w:cs="Times New Roman" w:eastAsia="Times New Roman" w:hAnsi="Times New Roman"/>
                <w:sz w:val="12"/>
                <w:szCs w:val="12"/>
                <w:color w:val="auto"/>
                <w:w w:val="96"/>
              </w:rPr>
              <w:t>-0.5%</w:t>
            </w:r>
          </w:p>
        </w:tc>
        <w:tc>
          <w:tcPr>
            <w:tcW w:w="1020" w:type="dxa"/>
            <w:vAlign w:val="bottom"/>
          </w:tcPr>
          <w:p>
            <w:pPr>
              <w:jc w:val="center"/>
              <w:ind w:left="241"/>
              <w:spacing w:after="0" w:line="104" w:lineRule="exact"/>
              <w:rPr>
                <w:sz w:val="20"/>
                <w:szCs w:val="20"/>
                <w:color w:val="auto"/>
              </w:rPr>
            </w:pPr>
            <w:r>
              <w:rPr>
                <w:rFonts w:ascii="Times New Roman" w:cs="Times New Roman" w:eastAsia="Times New Roman" w:hAnsi="Times New Roman"/>
                <w:sz w:val="12"/>
                <w:szCs w:val="12"/>
                <w:color w:val="auto"/>
              </w:rPr>
              <w:t>-18.9%</w:t>
            </w:r>
          </w:p>
        </w:tc>
        <w:tc>
          <w:tcPr>
            <w:tcW w:w="120" w:type="dxa"/>
            <w:vAlign w:val="bottom"/>
            <w:tcBorders>
              <w:right w:val="single" w:sz="8" w:color="auto"/>
            </w:tcBorders>
          </w:tcPr>
          <w:p>
            <w:pPr>
              <w:spacing w:after="0"/>
              <w:rPr>
                <w:sz w:val="9"/>
                <w:szCs w:val="9"/>
                <w:color w:val="auto"/>
              </w:rPr>
            </w:pPr>
          </w:p>
        </w:tc>
        <w:tc>
          <w:tcPr>
            <w:tcW w:w="540" w:type="dxa"/>
            <w:vAlign w:val="bottom"/>
          </w:tcPr>
          <w:p>
            <w:pPr>
              <w:spacing w:after="0"/>
              <w:rPr>
                <w:sz w:val="9"/>
                <w:szCs w:val="9"/>
                <w:color w:val="auto"/>
              </w:rPr>
            </w:pPr>
          </w:p>
        </w:tc>
      </w:tr>
      <w:tr>
        <w:trPr>
          <w:trHeight w:val="125"/>
        </w:trPr>
        <w:tc>
          <w:tcPr>
            <w:tcW w:w="600" w:type="dxa"/>
            <w:vAlign w:val="bottom"/>
            <w:tcBorders>
              <w:right w:val="single" w:sz="8" w:color="auto"/>
            </w:tcBorders>
          </w:tcPr>
          <w:p>
            <w:pPr>
              <w:spacing w:after="0"/>
              <w:rPr>
                <w:sz w:val="10"/>
                <w:szCs w:val="10"/>
                <w:color w:val="auto"/>
              </w:rPr>
            </w:pPr>
          </w:p>
        </w:tc>
        <w:tc>
          <w:tcPr>
            <w:tcW w:w="3200" w:type="dxa"/>
            <w:vAlign w:val="bottom"/>
            <w:gridSpan w:val="2"/>
          </w:tcPr>
          <w:p>
            <w:pPr>
              <w:ind w:left="80"/>
              <w:spacing w:after="0" w:line="125" w:lineRule="exact"/>
              <w:rPr>
                <w:sz w:val="20"/>
                <w:szCs w:val="20"/>
                <w:color w:val="auto"/>
              </w:rPr>
            </w:pPr>
            <w:r>
              <w:rPr>
                <w:rFonts w:ascii="Times New Roman" w:cs="Times New Roman" w:eastAsia="Times New Roman" w:hAnsi="Times New Roman"/>
                <w:sz w:val="12"/>
                <w:szCs w:val="12"/>
                <w:color w:val="auto"/>
              </w:rPr>
              <w:t>Financial expenses</w:t>
            </w:r>
          </w:p>
        </w:tc>
        <w:tc>
          <w:tcPr>
            <w:tcW w:w="1400" w:type="dxa"/>
            <w:vAlign w:val="bottom"/>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82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auto"/>
                <w:w w:val="99"/>
              </w:rPr>
              <w:t>(453)</w:t>
            </w:r>
          </w:p>
        </w:tc>
        <w:tc>
          <w:tcPr>
            <w:tcW w:w="840" w:type="dxa"/>
            <w:vAlign w:val="bottom"/>
          </w:tcPr>
          <w:p>
            <w:pPr>
              <w:jc w:val="center"/>
              <w:ind w:left="81"/>
              <w:spacing w:after="0" w:line="125" w:lineRule="exact"/>
              <w:rPr>
                <w:sz w:val="20"/>
                <w:szCs w:val="20"/>
                <w:color w:val="auto"/>
              </w:rPr>
            </w:pPr>
            <w:r>
              <w:rPr>
                <w:rFonts w:ascii="Times New Roman" w:cs="Times New Roman" w:eastAsia="Times New Roman" w:hAnsi="Times New Roman"/>
                <w:sz w:val="12"/>
                <w:szCs w:val="12"/>
                <w:color w:val="auto"/>
                <w:w w:val="99"/>
              </w:rPr>
              <w:t>(895)</w:t>
            </w:r>
          </w:p>
        </w:tc>
        <w:tc>
          <w:tcPr>
            <w:tcW w:w="1020" w:type="dxa"/>
            <w:vAlign w:val="bottom"/>
            <w:tcBorders>
              <w:right w:val="single" w:sz="8" w:color="auto"/>
            </w:tcBorders>
          </w:tcPr>
          <w:p>
            <w:pPr>
              <w:jc w:val="center"/>
              <w:ind w:left="21"/>
              <w:spacing w:after="0" w:line="125" w:lineRule="exact"/>
              <w:rPr>
                <w:sz w:val="20"/>
                <w:szCs w:val="20"/>
                <w:color w:val="auto"/>
              </w:rPr>
            </w:pPr>
            <w:r>
              <w:rPr>
                <w:rFonts w:ascii="Times New Roman" w:cs="Times New Roman" w:eastAsia="Times New Roman" w:hAnsi="Times New Roman"/>
                <w:sz w:val="12"/>
                <w:szCs w:val="12"/>
                <w:color w:val="auto"/>
                <w:w w:val="99"/>
              </w:rPr>
              <w:t>(972)</w:t>
            </w:r>
          </w:p>
        </w:tc>
        <w:tc>
          <w:tcPr>
            <w:tcW w:w="660" w:type="dxa"/>
            <w:vAlign w:val="bottom"/>
          </w:tcPr>
          <w:p>
            <w:pPr>
              <w:jc w:val="center"/>
              <w:ind w:left="121"/>
              <w:spacing w:after="0" w:line="125" w:lineRule="exact"/>
              <w:rPr>
                <w:sz w:val="20"/>
                <w:szCs w:val="20"/>
                <w:color w:val="auto"/>
              </w:rPr>
            </w:pPr>
            <w:r>
              <w:rPr>
                <w:rFonts w:ascii="Times New Roman" w:cs="Times New Roman" w:eastAsia="Times New Roman" w:hAnsi="Times New Roman"/>
                <w:sz w:val="12"/>
                <w:szCs w:val="12"/>
                <w:color w:val="auto"/>
                <w:w w:val="95"/>
              </w:rPr>
              <w:t>8.6%</w:t>
            </w:r>
          </w:p>
        </w:tc>
        <w:tc>
          <w:tcPr>
            <w:tcW w:w="1020" w:type="dxa"/>
            <w:vAlign w:val="bottom"/>
          </w:tcPr>
          <w:p>
            <w:pPr>
              <w:jc w:val="center"/>
              <w:ind w:left="241"/>
              <w:spacing w:after="0" w:line="125" w:lineRule="exact"/>
              <w:rPr>
                <w:sz w:val="20"/>
                <w:szCs w:val="20"/>
                <w:color w:val="auto"/>
              </w:rPr>
            </w:pPr>
            <w:r>
              <w:rPr>
                <w:rFonts w:ascii="Times New Roman" w:cs="Times New Roman" w:eastAsia="Times New Roman" w:hAnsi="Times New Roman"/>
                <w:sz w:val="12"/>
                <w:szCs w:val="12"/>
                <w:color w:val="auto"/>
                <w:w w:val="97"/>
              </w:rPr>
              <w:t>114.6%</w:t>
            </w:r>
          </w:p>
        </w:tc>
        <w:tc>
          <w:tcPr>
            <w:tcW w:w="120" w:type="dxa"/>
            <w:vAlign w:val="bottom"/>
            <w:tcBorders>
              <w:right w:val="single" w:sz="8" w:color="auto"/>
            </w:tcBorders>
          </w:tcPr>
          <w:p>
            <w:pPr>
              <w:spacing w:after="0"/>
              <w:rPr>
                <w:sz w:val="10"/>
                <w:szCs w:val="10"/>
                <w:color w:val="auto"/>
              </w:rPr>
            </w:pPr>
          </w:p>
        </w:tc>
        <w:tc>
          <w:tcPr>
            <w:tcW w:w="540" w:type="dxa"/>
            <w:vAlign w:val="bottom"/>
          </w:tcPr>
          <w:p>
            <w:pPr>
              <w:spacing w:after="0"/>
              <w:rPr>
                <w:sz w:val="10"/>
                <w:szCs w:val="10"/>
                <w:color w:val="auto"/>
              </w:rPr>
            </w:pPr>
          </w:p>
        </w:tc>
      </w:tr>
      <w:tr>
        <w:trPr>
          <w:trHeight w:val="129"/>
        </w:trPr>
        <w:tc>
          <w:tcPr>
            <w:tcW w:w="600" w:type="dxa"/>
            <w:vAlign w:val="bottom"/>
            <w:tcBorders>
              <w:right w:val="single" w:sz="8" w:color="auto"/>
            </w:tcBorders>
          </w:tcPr>
          <w:p>
            <w:pPr>
              <w:spacing w:after="0"/>
              <w:rPr>
                <w:sz w:val="11"/>
                <w:szCs w:val="11"/>
                <w:color w:val="auto"/>
              </w:rPr>
            </w:pPr>
          </w:p>
        </w:tc>
        <w:tc>
          <w:tcPr>
            <w:tcW w:w="3200" w:type="dxa"/>
            <w:vAlign w:val="bottom"/>
            <w:gridSpan w:val="2"/>
          </w:tcPr>
          <w:p>
            <w:pPr>
              <w:ind w:left="80"/>
              <w:spacing w:after="0" w:line="129" w:lineRule="exact"/>
              <w:rPr>
                <w:sz w:val="20"/>
                <w:szCs w:val="20"/>
                <w:color w:val="auto"/>
              </w:rPr>
            </w:pPr>
            <w:r>
              <w:rPr>
                <w:rFonts w:ascii="Times New Roman" w:cs="Times New Roman" w:eastAsia="Times New Roman" w:hAnsi="Times New Roman"/>
                <w:sz w:val="12"/>
                <w:szCs w:val="12"/>
                <w:b w:val="1"/>
                <w:bCs w:val="1"/>
                <w:color w:val="auto"/>
              </w:rPr>
              <w:t>Interest income, net</w:t>
            </w:r>
          </w:p>
        </w:tc>
        <w:tc>
          <w:tcPr>
            <w:tcW w:w="1400" w:type="dxa"/>
            <w:vAlign w:val="bottom"/>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820" w:type="dxa"/>
            <w:vAlign w:val="bottom"/>
          </w:tcPr>
          <w:p>
            <w:pPr>
              <w:jc w:val="center"/>
              <w:spacing w:after="0" w:line="129" w:lineRule="exact"/>
              <w:rPr>
                <w:sz w:val="20"/>
                <w:szCs w:val="20"/>
                <w:color w:val="auto"/>
              </w:rPr>
            </w:pPr>
            <w:r>
              <w:rPr>
                <w:rFonts w:ascii="Times New Roman" w:cs="Times New Roman" w:eastAsia="Times New Roman" w:hAnsi="Times New Roman"/>
                <w:sz w:val="12"/>
                <w:szCs w:val="12"/>
                <w:b w:val="1"/>
                <w:bCs w:val="1"/>
                <w:color w:val="auto"/>
                <w:w w:val="96"/>
              </w:rPr>
              <w:t>1,028</w:t>
            </w:r>
          </w:p>
        </w:tc>
        <w:tc>
          <w:tcPr>
            <w:tcW w:w="840" w:type="dxa"/>
            <w:vAlign w:val="bottom"/>
          </w:tcPr>
          <w:p>
            <w:pPr>
              <w:jc w:val="center"/>
              <w:ind w:left="81"/>
              <w:spacing w:after="0" w:line="129" w:lineRule="exact"/>
              <w:rPr>
                <w:sz w:val="20"/>
                <w:szCs w:val="20"/>
                <w:color w:val="auto"/>
              </w:rPr>
            </w:pPr>
            <w:r>
              <w:rPr>
                <w:rFonts w:ascii="Times New Roman" w:cs="Times New Roman" w:eastAsia="Times New Roman" w:hAnsi="Times New Roman"/>
                <w:sz w:val="12"/>
                <w:szCs w:val="12"/>
                <w:b w:val="1"/>
                <w:bCs w:val="1"/>
                <w:color w:val="auto"/>
                <w:w w:val="99"/>
              </w:rPr>
              <w:t>312</w:t>
            </w:r>
          </w:p>
        </w:tc>
        <w:tc>
          <w:tcPr>
            <w:tcW w:w="1020" w:type="dxa"/>
            <w:vAlign w:val="bottom"/>
            <w:tcBorders>
              <w:right w:val="single" w:sz="8" w:color="auto"/>
            </w:tcBorders>
          </w:tcPr>
          <w:p>
            <w:pPr>
              <w:jc w:val="center"/>
              <w:ind w:left="21"/>
              <w:spacing w:after="0" w:line="129" w:lineRule="exact"/>
              <w:rPr>
                <w:sz w:val="20"/>
                <w:szCs w:val="20"/>
                <w:color w:val="auto"/>
              </w:rPr>
            </w:pPr>
            <w:r>
              <w:rPr>
                <w:rFonts w:ascii="Times New Roman" w:cs="Times New Roman" w:eastAsia="Times New Roman" w:hAnsi="Times New Roman"/>
                <w:sz w:val="12"/>
                <w:szCs w:val="12"/>
                <w:b w:val="1"/>
                <w:bCs w:val="1"/>
                <w:color w:val="auto"/>
                <w:w w:val="99"/>
              </w:rPr>
              <w:t>229</w:t>
            </w:r>
          </w:p>
        </w:tc>
        <w:tc>
          <w:tcPr>
            <w:tcW w:w="660" w:type="dxa"/>
            <w:vAlign w:val="bottom"/>
          </w:tcPr>
          <w:p>
            <w:pPr>
              <w:jc w:val="center"/>
              <w:ind w:left="121"/>
              <w:spacing w:after="0" w:line="129" w:lineRule="exact"/>
              <w:rPr>
                <w:sz w:val="20"/>
                <w:szCs w:val="20"/>
                <w:color w:val="auto"/>
              </w:rPr>
            </w:pPr>
            <w:r>
              <w:rPr>
                <w:rFonts w:ascii="Times New Roman" w:cs="Times New Roman" w:eastAsia="Times New Roman" w:hAnsi="Times New Roman"/>
                <w:sz w:val="12"/>
                <w:szCs w:val="12"/>
                <w:b w:val="1"/>
                <w:bCs w:val="1"/>
                <w:color w:val="auto"/>
                <w:w w:val="97"/>
              </w:rPr>
              <w:t>-26.6%</w:t>
            </w:r>
          </w:p>
        </w:tc>
        <w:tc>
          <w:tcPr>
            <w:tcW w:w="1020" w:type="dxa"/>
            <w:vAlign w:val="bottom"/>
          </w:tcPr>
          <w:p>
            <w:pPr>
              <w:jc w:val="center"/>
              <w:ind w:left="241"/>
              <w:spacing w:after="0" w:line="129" w:lineRule="exact"/>
              <w:rPr>
                <w:sz w:val="20"/>
                <w:szCs w:val="20"/>
                <w:color w:val="auto"/>
              </w:rPr>
            </w:pPr>
            <w:r>
              <w:rPr>
                <w:rFonts w:ascii="Times New Roman" w:cs="Times New Roman" w:eastAsia="Times New Roman" w:hAnsi="Times New Roman"/>
                <w:sz w:val="12"/>
                <w:szCs w:val="12"/>
                <w:b w:val="1"/>
                <w:bCs w:val="1"/>
                <w:color w:val="auto"/>
                <w:w w:val="97"/>
              </w:rPr>
              <w:t>-77.7%</w:t>
            </w:r>
          </w:p>
        </w:tc>
        <w:tc>
          <w:tcPr>
            <w:tcW w:w="120" w:type="dxa"/>
            <w:vAlign w:val="bottom"/>
            <w:tcBorders>
              <w:right w:val="single" w:sz="8" w:color="auto"/>
            </w:tcBorders>
          </w:tcPr>
          <w:p>
            <w:pPr>
              <w:spacing w:after="0"/>
              <w:rPr>
                <w:sz w:val="11"/>
                <w:szCs w:val="11"/>
                <w:color w:val="auto"/>
              </w:rPr>
            </w:pPr>
          </w:p>
        </w:tc>
        <w:tc>
          <w:tcPr>
            <w:tcW w:w="540" w:type="dxa"/>
            <w:vAlign w:val="bottom"/>
          </w:tcPr>
          <w:p>
            <w:pPr>
              <w:spacing w:after="0"/>
              <w:rPr>
                <w:sz w:val="11"/>
                <w:szCs w:val="11"/>
                <w:color w:val="auto"/>
              </w:rPr>
            </w:pPr>
          </w:p>
        </w:tc>
      </w:tr>
      <w:tr>
        <w:trPr>
          <w:trHeight w:val="127"/>
        </w:trPr>
        <w:tc>
          <w:tcPr>
            <w:tcW w:w="600" w:type="dxa"/>
            <w:vAlign w:val="bottom"/>
            <w:tcBorders>
              <w:right w:val="single" w:sz="8" w:color="auto"/>
            </w:tcBorders>
          </w:tcPr>
          <w:p>
            <w:pPr>
              <w:spacing w:after="0"/>
              <w:rPr>
                <w:sz w:val="11"/>
                <w:szCs w:val="11"/>
                <w:color w:val="auto"/>
              </w:rPr>
            </w:pPr>
          </w:p>
        </w:tc>
        <w:tc>
          <w:tcPr>
            <w:tcW w:w="3200" w:type="dxa"/>
            <w:vAlign w:val="bottom"/>
            <w:gridSpan w:val="2"/>
          </w:tcPr>
          <w:p>
            <w:pPr>
              <w:ind w:left="80"/>
              <w:spacing w:after="0" w:line="127" w:lineRule="exact"/>
              <w:rPr>
                <w:sz w:val="20"/>
                <w:szCs w:val="20"/>
                <w:color w:val="auto"/>
              </w:rPr>
            </w:pPr>
            <w:r>
              <w:rPr>
                <w:rFonts w:ascii="Times New Roman" w:cs="Times New Roman" w:eastAsia="Times New Roman" w:hAnsi="Times New Roman"/>
                <w:sz w:val="12"/>
                <w:szCs w:val="12"/>
                <w:color w:val="auto"/>
              </w:rPr>
              <w:t>Fee income</w:t>
            </w:r>
          </w:p>
        </w:tc>
        <w:tc>
          <w:tcPr>
            <w:tcW w:w="1400" w:type="dxa"/>
            <w:vAlign w:val="bottom"/>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82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rPr>
              <w:t>94,072</w:t>
            </w:r>
          </w:p>
        </w:tc>
        <w:tc>
          <w:tcPr>
            <w:tcW w:w="840" w:type="dxa"/>
            <w:vAlign w:val="bottom"/>
          </w:tcPr>
          <w:p>
            <w:pPr>
              <w:jc w:val="center"/>
              <w:ind w:left="101"/>
              <w:spacing w:after="0" w:line="127" w:lineRule="exact"/>
              <w:rPr>
                <w:sz w:val="20"/>
                <w:szCs w:val="20"/>
                <w:color w:val="auto"/>
              </w:rPr>
            </w:pPr>
            <w:r>
              <w:rPr>
                <w:rFonts w:ascii="Times New Roman" w:cs="Times New Roman" w:eastAsia="Times New Roman" w:hAnsi="Times New Roman"/>
                <w:sz w:val="12"/>
                <w:szCs w:val="12"/>
                <w:color w:val="auto"/>
                <w:w w:val="96"/>
              </w:rPr>
              <w:t>97,023</w:t>
            </w:r>
          </w:p>
        </w:tc>
        <w:tc>
          <w:tcPr>
            <w:tcW w:w="1020" w:type="dxa"/>
            <w:vAlign w:val="bottom"/>
            <w:tcBorders>
              <w:right w:val="single" w:sz="8" w:color="auto"/>
            </w:tcBorders>
          </w:tcPr>
          <w:p>
            <w:pPr>
              <w:jc w:val="center"/>
              <w:ind w:left="1"/>
              <w:spacing w:after="0" w:line="127" w:lineRule="exact"/>
              <w:rPr>
                <w:sz w:val="20"/>
                <w:szCs w:val="20"/>
                <w:color w:val="auto"/>
              </w:rPr>
            </w:pPr>
            <w:r>
              <w:rPr>
                <w:rFonts w:ascii="Times New Roman" w:cs="Times New Roman" w:eastAsia="Times New Roman" w:hAnsi="Times New Roman"/>
                <w:sz w:val="12"/>
                <w:szCs w:val="12"/>
                <w:color w:val="auto"/>
                <w:w w:val="96"/>
              </w:rPr>
              <w:t>91,195</w:t>
            </w:r>
          </w:p>
        </w:tc>
        <w:tc>
          <w:tcPr>
            <w:tcW w:w="660" w:type="dxa"/>
            <w:vAlign w:val="bottom"/>
          </w:tcPr>
          <w:p>
            <w:pPr>
              <w:jc w:val="center"/>
              <w:ind w:left="121"/>
              <w:spacing w:after="0" w:line="127" w:lineRule="exact"/>
              <w:rPr>
                <w:sz w:val="20"/>
                <w:szCs w:val="20"/>
                <w:color w:val="auto"/>
              </w:rPr>
            </w:pPr>
            <w:r>
              <w:rPr>
                <w:rFonts w:ascii="Times New Roman" w:cs="Times New Roman" w:eastAsia="Times New Roman" w:hAnsi="Times New Roman"/>
                <w:sz w:val="12"/>
                <w:szCs w:val="12"/>
                <w:color w:val="auto"/>
                <w:w w:val="96"/>
              </w:rPr>
              <w:t>-6.0%</w:t>
            </w:r>
          </w:p>
        </w:tc>
        <w:tc>
          <w:tcPr>
            <w:tcW w:w="1020" w:type="dxa"/>
            <w:vAlign w:val="bottom"/>
          </w:tcPr>
          <w:p>
            <w:pPr>
              <w:jc w:val="center"/>
              <w:ind w:left="241"/>
              <w:spacing w:after="0" w:line="127" w:lineRule="exact"/>
              <w:rPr>
                <w:sz w:val="20"/>
                <w:szCs w:val="20"/>
                <w:color w:val="auto"/>
              </w:rPr>
            </w:pPr>
            <w:r>
              <w:rPr>
                <w:rFonts w:ascii="Times New Roman" w:cs="Times New Roman" w:eastAsia="Times New Roman" w:hAnsi="Times New Roman"/>
                <w:sz w:val="12"/>
                <w:szCs w:val="12"/>
                <w:color w:val="auto"/>
                <w:w w:val="96"/>
              </w:rPr>
              <w:t>-3.1%</w:t>
            </w:r>
          </w:p>
        </w:tc>
        <w:tc>
          <w:tcPr>
            <w:tcW w:w="120" w:type="dxa"/>
            <w:vAlign w:val="bottom"/>
            <w:tcBorders>
              <w:right w:val="single" w:sz="8" w:color="auto"/>
            </w:tcBorders>
          </w:tcPr>
          <w:p>
            <w:pPr>
              <w:spacing w:after="0"/>
              <w:rPr>
                <w:sz w:val="11"/>
                <w:szCs w:val="11"/>
                <w:color w:val="auto"/>
              </w:rPr>
            </w:pPr>
          </w:p>
        </w:tc>
        <w:tc>
          <w:tcPr>
            <w:tcW w:w="540" w:type="dxa"/>
            <w:vAlign w:val="bottom"/>
          </w:tcPr>
          <w:p>
            <w:pPr>
              <w:spacing w:after="0"/>
              <w:rPr>
                <w:sz w:val="11"/>
                <w:szCs w:val="11"/>
                <w:color w:val="auto"/>
              </w:rPr>
            </w:pPr>
          </w:p>
        </w:tc>
      </w:tr>
      <w:tr>
        <w:trPr>
          <w:trHeight w:val="127"/>
        </w:trPr>
        <w:tc>
          <w:tcPr>
            <w:tcW w:w="600" w:type="dxa"/>
            <w:vAlign w:val="bottom"/>
            <w:tcBorders>
              <w:right w:val="single" w:sz="8" w:color="auto"/>
            </w:tcBorders>
          </w:tcPr>
          <w:p>
            <w:pPr>
              <w:spacing w:after="0"/>
              <w:rPr>
                <w:sz w:val="11"/>
                <w:szCs w:val="11"/>
                <w:color w:val="auto"/>
              </w:rPr>
            </w:pPr>
          </w:p>
        </w:tc>
        <w:tc>
          <w:tcPr>
            <w:tcW w:w="3200" w:type="dxa"/>
            <w:vAlign w:val="bottom"/>
            <w:gridSpan w:val="2"/>
          </w:tcPr>
          <w:p>
            <w:pPr>
              <w:ind w:left="80"/>
              <w:spacing w:after="0" w:line="127" w:lineRule="exact"/>
              <w:rPr>
                <w:sz w:val="20"/>
                <w:szCs w:val="20"/>
                <w:color w:val="auto"/>
              </w:rPr>
            </w:pPr>
            <w:r>
              <w:rPr>
                <w:rFonts w:ascii="Times New Roman" w:cs="Times New Roman" w:eastAsia="Times New Roman" w:hAnsi="Times New Roman"/>
                <w:sz w:val="12"/>
                <w:szCs w:val="12"/>
                <w:color w:val="auto"/>
              </w:rPr>
              <w:t>Net gain (loss) on securities</w:t>
            </w:r>
          </w:p>
        </w:tc>
        <w:tc>
          <w:tcPr>
            <w:tcW w:w="1400" w:type="dxa"/>
            <w:vAlign w:val="bottom"/>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82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7"/>
              </w:rPr>
              <w:t>(7,380)</w:t>
            </w:r>
          </w:p>
        </w:tc>
        <w:tc>
          <w:tcPr>
            <w:tcW w:w="840" w:type="dxa"/>
            <w:vAlign w:val="bottom"/>
          </w:tcPr>
          <w:p>
            <w:pPr>
              <w:jc w:val="center"/>
              <w:ind w:left="101"/>
              <w:spacing w:after="0" w:line="127" w:lineRule="exact"/>
              <w:rPr>
                <w:sz w:val="20"/>
                <w:szCs w:val="20"/>
                <w:color w:val="auto"/>
              </w:rPr>
            </w:pPr>
            <w:r>
              <w:rPr>
                <w:rFonts w:ascii="Times New Roman" w:cs="Times New Roman" w:eastAsia="Times New Roman" w:hAnsi="Times New Roman"/>
                <w:sz w:val="12"/>
                <w:szCs w:val="12"/>
                <w:color w:val="auto"/>
                <w:w w:val="96"/>
              </w:rPr>
              <w:t>10,733</w:t>
            </w:r>
          </w:p>
        </w:tc>
        <w:tc>
          <w:tcPr>
            <w:tcW w:w="1020" w:type="dxa"/>
            <w:vAlign w:val="bottom"/>
            <w:tcBorders>
              <w:right w:val="single" w:sz="8" w:color="auto"/>
            </w:tcBorders>
          </w:tcPr>
          <w:p>
            <w:pPr>
              <w:jc w:val="center"/>
              <w:ind w:left="1"/>
              <w:spacing w:after="0" w:line="127" w:lineRule="exact"/>
              <w:rPr>
                <w:sz w:val="20"/>
                <w:szCs w:val="20"/>
                <w:color w:val="auto"/>
              </w:rPr>
            </w:pPr>
            <w:r>
              <w:rPr>
                <w:rFonts w:ascii="Times New Roman" w:cs="Times New Roman" w:eastAsia="Times New Roman" w:hAnsi="Times New Roman"/>
                <w:sz w:val="12"/>
                <w:szCs w:val="12"/>
                <w:color w:val="auto"/>
                <w:w w:val="96"/>
              </w:rPr>
              <w:t>15,648</w:t>
            </w:r>
          </w:p>
        </w:tc>
        <w:tc>
          <w:tcPr>
            <w:tcW w:w="660" w:type="dxa"/>
            <w:vAlign w:val="bottom"/>
          </w:tcPr>
          <w:p>
            <w:pPr>
              <w:jc w:val="center"/>
              <w:ind w:left="141"/>
              <w:spacing w:after="0" w:line="127" w:lineRule="exact"/>
              <w:rPr>
                <w:sz w:val="20"/>
                <w:szCs w:val="20"/>
                <w:color w:val="auto"/>
              </w:rPr>
            </w:pPr>
            <w:r>
              <w:rPr>
                <w:rFonts w:ascii="Times New Roman" w:cs="Times New Roman" w:eastAsia="Times New Roman" w:hAnsi="Times New Roman"/>
                <w:sz w:val="12"/>
                <w:szCs w:val="12"/>
                <w:color w:val="auto"/>
                <w:w w:val="96"/>
              </w:rPr>
              <w:t>45.8%</w:t>
            </w:r>
          </w:p>
        </w:tc>
        <w:tc>
          <w:tcPr>
            <w:tcW w:w="1020" w:type="dxa"/>
            <w:vAlign w:val="bottom"/>
          </w:tcPr>
          <w:p>
            <w:pPr>
              <w:jc w:val="center"/>
              <w:ind w:left="241"/>
              <w:spacing w:after="0" w:line="127" w:lineRule="exact"/>
              <w:rPr>
                <w:sz w:val="20"/>
                <w:szCs w:val="20"/>
                <w:color w:val="auto"/>
              </w:rPr>
            </w:pPr>
            <w:r>
              <w:rPr>
                <w:rFonts w:ascii="Times New Roman" w:cs="Times New Roman" w:eastAsia="Times New Roman" w:hAnsi="Times New Roman"/>
                <w:sz w:val="12"/>
                <w:szCs w:val="12"/>
                <w:color w:val="auto"/>
                <w:w w:val="97"/>
              </w:rPr>
              <w:t>-312.0%</w:t>
            </w:r>
          </w:p>
        </w:tc>
        <w:tc>
          <w:tcPr>
            <w:tcW w:w="120" w:type="dxa"/>
            <w:vAlign w:val="bottom"/>
            <w:tcBorders>
              <w:right w:val="single" w:sz="8" w:color="auto"/>
            </w:tcBorders>
          </w:tcPr>
          <w:p>
            <w:pPr>
              <w:spacing w:after="0"/>
              <w:rPr>
                <w:sz w:val="11"/>
                <w:szCs w:val="11"/>
                <w:color w:val="auto"/>
              </w:rPr>
            </w:pPr>
          </w:p>
        </w:tc>
        <w:tc>
          <w:tcPr>
            <w:tcW w:w="540" w:type="dxa"/>
            <w:vAlign w:val="bottom"/>
          </w:tcPr>
          <w:p>
            <w:pPr>
              <w:spacing w:after="0"/>
              <w:rPr>
                <w:sz w:val="11"/>
                <w:szCs w:val="11"/>
                <w:color w:val="auto"/>
              </w:rPr>
            </w:pPr>
          </w:p>
        </w:tc>
      </w:tr>
      <w:tr>
        <w:trPr>
          <w:trHeight w:val="127"/>
        </w:trPr>
        <w:tc>
          <w:tcPr>
            <w:tcW w:w="600" w:type="dxa"/>
            <w:vAlign w:val="bottom"/>
            <w:tcBorders>
              <w:right w:val="single" w:sz="8" w:color="auto"/>
            </w:tcBorders>
          </w:tcPr>
          <w:p>
            <w:pPr>
              <w:spacing w:after="0"/>
              <w:rPr>
                <w:sz w:val="11"/>
                <w:szCs w:val="11"/>
                <w:color w:val="auto"/>
              </w:rPr>
            </w:pPr>
          </w:p>
        </w:tc>
        <w:tc>
          <w:tcPr>
            <w:tcW w:w="3200" w:type="dxa"/>
            <w:vAlign w:val="bottom"/>
            <w:gridSpan w:val="2"/>
          </w:tcPr>
          <w:p>
            <w:pPr>
              <w:ind w:left="80"/>
              <w:spacing w:after="0" w:line="127" w:lineRule="exact"/>
              <w:rPr>
                <w:sz w:val="20"/>
                <w:szCs w:val="20"/>
                <w:color w:val="auto"/>
              </w:rPr>
            </w:pPr>
            <w:r>
              <w:rPr>
                <w:rFonts w:ascii="Times New Roman" w:cs="Times New Roman" w:eastAsia="Times New Roman" w:hAnsi="Times New Roman"/>
                <w:sz w:val="12"/>
                <w:szCs w:val="12"/>
                <w:color w:val="auto"/>
              </w:rPr>
              <w:t>Net gain (loss) from exchange differences</w:t>
            </w:r>
          </w:p>
        </w:tc>
        <w:tc>
          <w:tcPr>
            <w:tcW w:w="1400" w:type="dxa"/>
            <w:vAlign w:val="bottom"/>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82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9"/>
              </w:rPr>
              <w:t>250</w:t>
            </w:r>
          </w:p>
        </w:tc>
        <w:tc>
          <w:tcPr>
            <w:tcW w:w="840" w:type="dxa"/>
            <w:vAlign w:val="bottom"/>
          </w:tcPr>
          <w:p>
            <w:pPr>
              <w:jc w:val="center"/>
              <w:ind w:left="81"/>
              <w:spacing w:after="0" w:line="127" w:lineRule="exact"/>
              <w:rPr>
                <w:sz w:val="20"/>
                <w:szCs w:val="20"/>
                <w:color w:val="auto"/>
              </w:rPr>
            </w:pPr>
            <w:r>
              <w:rPr>
                <w:rFonts w:ascii="Times New Roman" w:cs="Times New Roman" w:eastAsia="Times New Roman" w:hAnsi="Times New Roman"/>
                <w:sz w:val="12"/>
                <w:szCs w:val="12"/>
                <w:color w:val="auto"/>
                <w:w w:val="99"/>
              </w:rPr>
              <w:t>398</w:t>
            </w:r>
          </w:p>
        </w:tc>
        <w:tc>
          <w:tcPr>
            <w:tcW w:w="1020" w:type="dxa"/>
            <w:vAlign w:val="bottom"/>
            <w:tcBorders>
              <w:right w:val="single" w:sz="8" w:color="auto"/>
            </w:tcBorders>
          </w:tcPr>
          <w:p>
            <w:pPr>
              <w:jc w:val="center"/>
              <w:ind w:left="1"/>
              <w:spacing w:after="0" w:line="127" w:lineRule="exact"/>
              <w:rPr>
                <w:sz w:val="20"/>
                <w:szCs w:val="20"/>
                <w:color w:val="auto"/>
              </w:rPr>
            </w:pPr>
            <w:r>
              <w:rPr>
                <w:rFonts w:ascii="Times New Roman" w:cs="Times New Roman" w:eastAsia="Times New Roman" w:hAnsi="Times New Roman"/>
                <w:sz w:val="12"/>
                <w:szCs w:val="12"/>
                <w:color w:val="auto"/>
                <w:w w:val="92"/>
              </w:rPr>
              <w:t>(113)</w:t>
            </w:r>
          </w:p>
        </w:tc>
        <w:tc>
          <w:tcPr>
            <w:tcW w:w="660" w:type="dxa"/>
            <w:vAlign w:val="bottom"/>
          </w:tcPr>
          <w:p>
            <w:pPr>
              <w:jc w:val="center"/>
              <w:ind w:left="121"/>
              <w:spacing w:after="0" w:line="127" w:lineRule="exact"/>
              <w:rPr>
                <w:sz w:val="20"/>
                <w:szCs w:val="20"/>
                <w:color w:val="auto"/>
              </w:rPr>
            </w:pPr>
            <w:r>
              <w:rPr>
                <w:rFonts w:ascii="Times New Roman" w:cs="Times New Roman" w:eastAsia="Times New Roman" w:hAnsi="Times New Roman"/>
                <w:sz w:val="12"/>
                <w:szCs w:val="12"/>
                <w:color w:val="auto"/>
                <w:w w:val="97"/>
              </w:rPr>
              <w:t>-128.4%</w:t>
            </w:r>
          </w:p>
        </w:tc>
        <w:tc>
          <w:tcPr>
            <w:tcW w:w="1020" w:type="dxa"/>
            <w:vAlign w:val="bottom"/>
          </w:tcPr>
          <w:p>
            <w:pPr>
              <w:jc w:val="center"/>
              <w:ind w:left="241"/>
              <w:spacing w:after="0" w:line="127" w:lineRule="exact"/>
              <w:rPr>
                <w:sz w:val="20"/>
                <w:szCs w:val="20"/>
                <w:color w:val="auto"/>
              </w:rPr>
            </w:pPr>
            <w:r>
              <w:rPr>
                <w:rFonts w:ascii="Times New Roman" w:cs="Times New Roman" w:eastAsia="Times New Roman" w:hAnsi="Times New Roman"/>
                <w:sz w:val="12"/>
                <w:szCs w:val="12"/>
                <w:color w:val="auto"/>
                <w:w w:val="97"/>
              </w:rPr>
              <w:t>-145.2%</w:t>
            </w:r>
          </w:p>
        </w:tc>
        <w:tc>
          <w:tcPr>
            <w:tcW w:w="120" w:type="dxa"/>
            <w:vAlign w:val="bottom"/>
            <w:tcBorders>
              <w:right w:val="single" w:sz="8" w:color="auto"/>
            </w:tcBorders>
          </w:tcPr>
          <w:p>
            <w:pPr>
              <w:spacing w:after="0"/>
              <w:rPr>
                <w:sz w:val="11"/>
                <w:szCs w:val="11"/>
                <w:color w:val="auto"/>
              </w:rPr>
            </w:pPr>
          </w:p>
        </w:tc>
        <w:tc>
          <w:tcPr>
            <w:tcW w:w="540" w:type="dxa"/>
            <w:vAlign w:val="bottom"/>
          </w:tcPr>
          <w:p>
            <w:pPr>
              <w:spacing w:after="0"/>
              <w:rPr>
                <w:sz w:val="11"/>
                <w:szCs w:val="11"/>
                <w:color w:val="auto"/>
              </w:rPr>
            </w:pPr>
          </w:p>
        </w:tc>
      </w:tr>
      <w:tr>
        <w:trPr>
          <w:trHeight w:val="127"/>
        </w:trPr>
        <w:tc>
          <w:tcPr>
            <w:tcW w:w="600" w:type="dxa"/>
            <w:vAlign w:val="bottom"/>
            <w:tcBorders>
              <w:right w:val="single" w:sz="8" w:color="auto"/>
            </w:tcBorders>
          </w:tcPr>
          <w:p>
            <w:pPr>
              <w:spacing w:after="0"/>
              <w:rPr>
                <w:sz w:val="11"/>
                <w:szCs w:val="11"/>
                <w:color w:val="auto"/>
              </w:rPr>
            </w:pPr>
          </w:p>
        </w:tc>
        <w:tc>
          <w:tcPr>
            <w:tcW w:w="3200" w:type="dxa"/>
            <w:vAlign w:val="bottom"/>
            <w:gridSpan w:val="2"/>
          </w:tcPr>
          <w:p>
            <w:pPr>
              <w:ind w:left="80"/>
              <w:spacing w:after="0" w:line="127" w:lineRule="exact"/>
              <w:rPr>
                <w:sz w:val="20"/>
                <w:szCs w:val="20"/>
                <w:color w:val="auto"/>
              </w:rPr>
            </w:pPr>
            <w:r>
              <w:rPr>
                <w:rFonts w:ascii="Times New Roman" w:cs="Times New Roman" w:eastAsia="Times New Roman" w:hAnsi="Times New Roman"/>
                <w:sz w:val="12"/>
                <w:szCs w:val="12"/>
                <w:color w:val="auto"/>
              </w:rPr>
              <w:t>Other income</w:t>
            </w:r>
          </w:p>
        </w:tc>
        <w:tc>
          <w:tcPr>
            <w:tcW w:w="1400" w:type="dxa"/>
            <w:vAlign w:val="bottom"/>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82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9"/>
              </w:rPr>
              <w:t>206</w:t>
            </w:r>
          </w:p>
        </w:tc>
        <w:tc>
          <w:tcPr>
            <w:tcW w:w="840" w:type="dxa"/>
            <w:vAlign w:val="bottom"/>
          </w:tcPr>
          <w:p>
            <w:pPr>
              <w:jc w:val="center"/>
              <w:ind w:left="81"/>
              <w:spacing w:after="0" w:line="127" w:lineRule="exact"/>
              <w:rPr>
                <w:sz w:val="20"/>
                <w:szCs w:val="20"/>
                <w:color w:val="auto"/>
              </w:rPr>
            </w:pPr>
            <w:r>
              <w:rPr>
                <w:rFonts w:ascii="Times New Roman" w:cs="Times New Roman" w:eastAsia="Times New Roman" w:hAnsi="Times New Roman"/>
                <w:sz w:val="12"/>
                <w:szCs w:val="12"/>
                <w:color w:val="auto"/>
                <w:w w:val="99"/>
              </w:rPr>
              <w:t>647</w:t>
            </w:r>
          </w:p>
        </w:tc>
        <w:tc>
          <w:tcPr>
            <w:tcW w:w="1020" w:type="dxa"/>
            <w:vAlign w:val="bottom"/>
            <w:tcBorders>
              <w:right w:val="single" w:sz="8" w:color="auto"/>
            </w:tcBorders>
          </w:tcPr>
          <w:p>
            <w:pPr>
              <w:jc w:val="center"/>
              <w:ind w:left="21"/>
              <w:spacing w:after="0" w:line="127" w:lineRule="exact"/>
              <w:rPr>
                <w:sz w:val="20"/>
                <w:szCs w:val="20"/>
                <w:color w:val="auto"/>
              </w:rPr>
            </w:pPr>
            <w:r>
              <w:rPr>
                <w:rFonts w:ascii="Times New Roman" w:cs="Times New Roman" w:eastAsia="Times New Roman" w:hAnsi="Times New Roman"/>
                <w:sz w:val="12"/>
                <w:szCs w:val="12"/>
                <w:color w:val="auto"/>
                <w:w w:val="99"/>
              </w:rPr>
              <w:t>673</w:t>
            </w:r>
          </w:p>
        </w:tc>
        <w:tc>
          <w:tcPr>
            <w:tcW w:w="660" w:type="dxa"/>
            <w:vAlign w:val="bottom"/>
          </w:tcPr>
          <w:p>
            <w:pPr>
              <w:jc w:val="center"/>
              <w:ind w:left="121"/>
              <w:spacing w:after="0" w:line="127" w:lineRule="exact"/>
              <w:rPr>
                <w:sz w:val="20"/>
                <w:szCs w:val="20"/>
                <w:color w:val="auto"/>
              </w:rPr>
            </w:pPr>
            <w:r>
              <w:rPr>
                <w:rFonts w:ascii="Times New Roman" w:cs="Times New Roman" w:eastAsia="Times New Roman" w:hAnsi="Times New Roman"/>
                <w:sz w:val="12"/>
                <w:szCs w:val="12"/>
                <w:color w:val="auto"/>
                <w:w w:val="95"/>
              </w:rPr>
              <w:t>4.0%</w:t>
            </w:r>
          </w:p>
        </w:tc>
        <w:tc>
          <w:tcPr>
            <w:tcW w:w="1020" w:type="dxa"/>
            <w:vAlign w:val="bottom"/>
          </w:tcPr>
          <w:p>
            <w:pPr>
              <w:jc w:val="center"/>
              <w:ind w:left="241"/>
              <w:spacing w:after="0" w:line="127" w:lineRule="exact"/>
              <w:rPr>
                <w:sz w:val="20"/>
                <w:szCs w:val="20"/>
                <w:color w:val="auto"/>
              </w:rPr>
            </w:pPr>
            <w:r>
              <w:rPr>
                <w:rFonts w:ascii="Times New Roman" w:cs="Times New Roman" w:eastAsia="Times New Roman" w:hAnsi="Times New Roman"/>
                <w:sz w:val="12"/>
                <w:szCs w:val="12"/>
                <w:color w:val="auto"/>
                <w:w w:val="97"/>
              </w:rPr>
              <w:t>226.7%</w:t>
            </w:r>
          </w:p>
        </w:tc>
        <w:tc>
          <w:tcPr>
            <w:tcW w:w="120" w:type="dxa"/>
            <w:vAlign w:val="bottom"/>
            <w:tcBorders>
              <w:right w:val="single" w:sz="8" w:color="auto"/>
            </w:tcBorders>
          </w:tcPr>
          <w:p>
            <w:pPr>
              <w:spacing w:after="0"/>
              <w:rPr>
                <w:sz w:val="11"/>
                <w:szCs w:val="11"/>
                <w:color w:val="auto"/>
              </w:rPr>
            </w:pPr>
          </w:p>
        </w:tc>
        <w:tc>
          <w:tcPr>
            <w:tcW w:w="540" w:type="dxa"/>
            <w:vAlign w:val="bottom"/>
          </w:tcPr>
          <w:p>
            <w:pPr>
              <w:spacing w:after="0"/>
              <w:rPr>
                <w:sz w:val="11"/>
                <w:szCs w:val="11"/>
                <w:color w:val="auto"/>
              </w:rPr>
            </w:pPr>
          </w:p>
        </w:tc>
      </w:tr>
      <w:tr>
        <w:trPr>
          <w:trHeight w:val="127"/>
        </w:trPr>
        <w:tc>
          <w:tcPr>
            <w:tcW w:w="600" w:type="dxa"/>
            <w:vAlign w:val="bottom"/>
            <w:tcBorders>
              <w:right w:val="single" w:sz="8" w:color="auto"/>
            </w:tcBorders>
          </w:tcPr>
          <w:p>
            <w:pPr>
              <w:spacing w:after="0"/>
              <w:rPr>
                <w:sz w:val="11"/>
                <w:szCs w:val="11"/>
                <w:color w:val="auto"/>
              </w:rPr>
            </w:pPr>
          </w:p>
        </w:tc>
        <w:tc>
          <w:tcPr>
            <w:tcW w:w="3200" w:type="dxa"/>
            <w:vAlign w:val="bottom"/>
            <w:gridSpan w:val="2"/>
          </w:tcPr>
          <w:p>
            <w:pPr>
              <w:ind w:left="80"/>
              <w:spacing w:after="0" w:line="127" w:lineRule="exact"/>
              <w:rPr>
                <w:sz w:val="20"/>
                <w:szCs w:val="20"/>
                <w:color w:val="auto"/>
              </w:rPr>
            </w:pPr>
            <w:r>
              <w:rPr>
                <w:rFonts w:ascii="Times New Roman" w:cs="Times New Roman" w:eastAsia="Times New Roman" w:hAnsi="Times New Roman"/>
                <w:sz w:val="12"/>
                <w:szCs w:val="12"/>
                <w:color w:val="auto"/>
              </w:rPr>
              <w:t>Salaries and employee benefits</w:t>
            </w:r>
          </w:p>
        </w:tc>
        <w:tc>
          <w:tcPr>
            <w:tcW w:w="1400" w:type="dxa"/>
            <w:vAlign w:val="bottom"/>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82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rPr>
              <w:t>(23,431)</w:t>
            </w:r>
          </w:p>
        </w:tc>
        <w:tc>
          <w:tcPr>
            <w:tcW w:w="840" w:type="dxa"/>
            <w:vAlign w:val="bottom"/>
          </w:tcPr>
          <w:p>
            <w:pPr>
              <w:jc w:val="center"/>
              <w:ind w:left="101"/>
              <w:spacing w:after="0" w:line="127" w:lineRule="exact"/>
              <w:rPr>
                <w:sz w:val="20"/>
                <w:szCs w:val="20"/>
                <w:color w:val="auto"/>
              </w:rPr>
            </w:pPr>
            <w:r>
              <w:rPr>
                <w:rFonts w:ascii="Times New Roman" w:cs="Times New Roman" w:eastAsia="Times New Roman" w:hAnsi="Times New Roman"/>
                <w:sz w:val="12"/>
                <w:szCs w:val="12"/>
                <w:color w:val="auto"/>
                <w:w w:val="97"/>
              </w:rPr>
              <w:t>(29,382)</w:t>
            </w:r>
          </w:p>
        </w:tc>
        <w:tc>
          <w:tcPr>
            <w:tcW w:w="1020" w:type="dxa"/>
            <w:vAlign w:val="bottom"/>
            <w:tcBorders>
              <w:right w:val="single" w:sz="8" w:color="auto"/>
            </w:tcBorders>
          </w:tcPr>
          <w:p>
            <w:pPr>
              <w:jc w:val="center"/>
              <w:ind w:left="1"/>
              <w:spacing w:after="0" w:line="127" w:lineRule="exact"/>
              <w:rPr>
                <w:sz w:val="20"/>
                <w:szCs w:val="20"/>
                <w:color w:val="auto"/>
              </w:rPr>
            </w:pPr>
            <w:r>
              <w:rPr>
                <w:rFonts w:ascii="Times New Roman" w:cs="Times New Roman" w:eastAsia="Times New Roman" w:hAnsi="Times New Roman"/>
                <w:sz w:val="12"/>
                <w:szCs w:val="12"/>
                <w:color w:val="auto"/>
                <w:w w:val="97"/>
              </w:rPr>
              <w:t>(24,830)</w:t>
            </w:r>
          </w:p>
        </w:tc>
        <w:tc>
          <w:tcPr>
            <w:tcW w:w="660" w:type="dxa"/>
            <w:vAlign w:val="bottom"/>
          </w:tcPr>
          <w:p>
            <w:pPr>
              <w:jc w:val="center"/>
              <w:ind w:left="141"/>
              <w:spacing w:after="0" w:line="127" w:lineRule="exact"/>
              <w:rPr>
                <w:sz w:val="20"/>
                <w:szCs w:val="20"/>
                <w:color w:val="auto"/>
              </w:rPr>
            </w:pPr>
            <w:r>
              <w:rPr>
                <w:rFonts w:ascii="Times New Roman" w:cs="Times New Roman" w:eastAsia="Times New Roman" w:hAnsi="Times New Roman"/>
                <w:sz w:val="12"/>
                <w:szCs w:val="12"/>
                <w:color w:val="auto"/>
                <w:w w:val="97"/>
              </w:rPr>
              <w:t>-15.5%</w:t>
            </w:r>
          </w:p>
        </w:tc>
        <w:tc>
          <w:tcPr>
            <w:tcW w:w="1020" w:type="dxa"/>
            <w:vAlign w:val="bottom"/>
          </w:tcPr>
          <w:p>
            <w:pPr>
              <w:jc w:val="center"/>
              <w:ind w:left="241"/>
              <w:spacing w:after="0" w:line="127" w:lineRule="exact"/>
              <w:rPr>
                <w:sz w:val="20"/>
                <w:szCs w:val="20"/>
                <w:color w:val="auto"/>
              </w:rPr>
            </w:pPr>
            <w:r>
              <w:rPr>
                <w:rFonts w:ascii="Times New Roman" w:cs="Times New Roman" w:eastAsia="Times New Roman" w:hAnsi="Times New Roman"/>
                <w:sz w:val="12"/>
                <w:szCs w:val="12"/>
                <w:color w:val="auto"/>
                <w:w w:val="95"/>
              </w:rPr>
              <w:t>6.0%</w:t>
            </w:r>
          </w:p>
        </w:tc>
        <w:tc>
          <w:tcPr>
            <w:tcW w:w="120" w:type="dxa"/>
            <w:vAlign w:val="bottom"/>
            <w:tcBorders>
              <w:right w:val="single" w:sz="8" w:color="auto"/>
            </w:tcBorders>
          </w:tcPr>
          <w:p>
            <w:pPr>
              <w:spacing w:after="0"/>
              <w:rPr>
                <w:sz w:val="11"/>
                <w:szCs w:val="11"/>
                <w:color w:val="auto"/>
              </w:rPr>
            </w:pPr>
          </w:p>
        </w:tc>
        <w:tc>
          <w:tcPr>
            <w:tcW w:w="540" w:type="dxa"/>
            <w:vAlign w:val="bottom"/>
          </w:tcPr>
          <w:p>
            <w:pPr>
              <w:spacing w:after="0"/>
              <w:rPr>
                <w:sz w:val="11"/>
                <w:szCs w:val="11"/>
                <w:color w:val="auto"/>
              </w:rPr>
            </w:pPr>
          </w:p>
        </w:tc>
      </w:tr>
      <w:tr>
        <w:trPr>
          <w:trHeight w:val="127"/>
        </w:trPr>
        <w:tc>
          <w:tcPr>
            <w:tcW w:w="600" w:type="dxa"/>
            <w:vAlign w:val="bottom"/>
            <w:tcBorders>
              <w:right w:val="single" w:sz="8" w:color="auto"/>
            </w:tcBorders>
          </w:tcPr>
          <w:p>
            <w:pPr>
              <w:spacing w:after="0"/>
              <w:rPr>
                <w:sz w:val="11"/>
                <w:szCs w:val="11"/>
                <w:color w:val="auto"/>
              </w:rPr>
            </w:pPr>
          </w:p>
        </w:tc>
        <w:tc>
          <w:tcPr>
            <w:tcW w:w="3200" w:type="dxa"/>
            <w:vAlign w:val="bottom"/>
            <w:gridSpan w:val="2"/>
          </w:tcPr>
          <w:p>
            <w:pPr>
              <w:ind w:left="80"/>
              <w:spacing w:after="0" w:line="127" w:lineRule="exact"/>
              <w:rPr>
                <w:sz w:val="20"/>
                <w:szCs w:val="20"/>
                <w:color w:val="auto"/>
              </w:rPr>
            </w:pPr>
            <w:r>
              <w:rPr>
                <w:rFonts w:ascii="Times New Roman" w:cs="Times New Roman" w:eastAsia="Times New Roman" w:hAnsi="Times New Roman"/>
                <w:sz w:val="12"/>
                <w:szCs w:val="12"/>
                <w:color w:val="auto"/>
              </w:rPr>
              <w:t>Administrative expenses</w:t>
            </w:r>
          </w:p>
        </w:tc>
        <w:tc>
          <w:tcPr>
            <w:tcW w:w="1400" w:type="dxa"/>
            <w:vAlign w:val="bottom"/>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82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rPr>
              <w:t>(21,577)</w:t>
            </w:r>
          </w:p>
        </w:tc>
        <w:tc>
          <w:tcPr>
            <w:tcW w:w="840" w:type="dxa"/>
            <w:vAlign w:val="bottom"/>
          </w:tcPr>
          <w:p>
            <w:pPr>
              <w:jc w:val="center"/>
              <w:ind w:left="101"/>
              <w:spacing w:after="0" w:line="127" w:lineRule="exact"/>
              <w:rPr>
                <w:sz w:val="20"/>
                <w:szCs w:val="20"/>
                <w:color w:val="auto"/>
              </w:rPr>
            </w:pPr>
            <w:r>
              <w:rPr>
                <w:rFonts w:ascii="Times New Roman" w:cs="Times New Roman" w:eastAsia="Times New Roman" w:hAnsi="Times New Roman"/>
                <w:sz w:val="12"/>
                <w:szCs w:val="12"/>
                <w:color w:val="auto"/>
                <w:w w:val="97"/>
              </w:rPr>
              <w:t>(19,811)</w:t>
            </w:r>
          </w:p>
        </w:tc>
        <w:tc>
          <w:tcPr>
            <w:tcW w:w="1020" w:type="dxa"/>
            <w:vAlign w:val="bottom"/>
            <w:tcBorders>
              <w:right w:val="single" w:sz="8" w:color="auto"/>
            </w:tcBorders>
          </w:tcPr>
          <w:p>
            <w:pPr>
              <w:jc w:val="center"/>
              <w:ind w:left="1"/>
              <w:spacing w:after="0" w:line="127" w:lineRule="exact"/>
              <w:rPr>
                <w:sz w:val="20"/>
                <w:szCs w:val="20"/>
                <w:color w:val="auto"/>
              </w:rPr>
            </w:pPr>
            <w:r>
              <w:rPr>
                <w:rFonts w:ascii="Times New Roman" w:cs="Times New Roman" w:eastAsia="Times New Roman" w:hAnsi="Times New Roman"/>
                <w:sz w:val="12"/>
                <w:szCs w:val="12"/>
                <w:color w:val="auto"/>
                <w:w w:val="97"/>
              </w:rPr>
              <w:t>(20,162)</w:t>
            </w:r>
          </w:p>
        </w:tc>
        <w:tc>
          <w:tcPr>
            <w:tcW w:w="660" w:type="dxa"/>
            <w:vAlign w:val="bottom"/>
          </w:tcPr>
          <w:p>
            <w:pPr>
              <w:jc w:val="center"/>
              <w:ind w:left="121"/>
              <w:spacing w:after="0" w:line="127" w:lineRule="exact"/>
              <w:rPr>
                <w:sz w:val="20"/>
                <w:szCs w:val="20"/>
                <w:color w:val="auto"/>
              </w:rPr>
            </w:pPr>
            <w:r>
              <w:rPr>
                <w:rFonts w:ascii="Times New Roman" w:cs="Times New Roman" w:eastAsia="Times New Roman" w:hAnsi="Times New Roman"/>
                <w:sz w:val="12"/>
                <w:szCs w:val="12"/>
                <w:color w:val="auto"/>
                <w:w w:val="95"/>
              </w:rPr>
              <w:t>1.8%</w:t>
            </w:r>
          </w:p>
        </w:tc>
        <w:tc>
          <w:tcPr>
            <w:tcW w:w="1020" w:type="dxa"/>
            <w:vAlign w:val="bottom"/>
          </w:tcPr>
          <w:p>
            <w:pPr>
              <w:jc w:val="center"/>
              <w:ind w:left="241"/>
              <w:spacing w:after="0" w:line="127" w:lineRule="exact"/>
              <w:rPr>
                <w:sz w:val="20"/>
                <w:szCs w:val="20"/>
                <w:color w:val="auto"/>
              </w:rPr>
            </w:pPr>
            <w:r>
              <w:rPr>
                <w:rFonts w:ascii="Times New Roman" w:cs="Times New Roman" w:eastAsia="Times New Roman" w:hAnsi="Times New Roman"/>
                <w:sz w:val="12"/>
                <w:szCs w:val="12"/>
                <w:color w:val="auto"/>
                <w:w w:val="96"/>
              </w:rPr>
              <w:t>-6.6%</w:t>
            </w:r>
          </w:p>
        </w:tc>
        <w:tc>
          <w:tcPr>
            <w:tcW w:w="120" w:type="dxa"/>
            <w:vAlign w:val="bottom"/>
            <w:tcBorders>
              <w:right w:val="single" w:sz="8" w:color="auto"/>
            </w:tcBorders>
          </w:tcPr>
          <w:p>
            <w:pPr>
              <w:spacing w:after="0"/>
              <w:rPr>
                <w:sz w:val="11"/>
                <w:szCs w:val="11"/>
                <w:color w:val="auto"/>
              </w:rPr>
            </w:pPr>
          </w:p>
        </w:tc>
        <w:tc>
          <w:tcPr>
            <w:tcW w:w="540" w:type="dxa"/>
            <w:vAlign w:val="bottom"/>
          </w:tcPr>
          <w:p>
            <w:pPr>
              <w:spacing w:after="0"/>
              <w:rPr>
                <w:sz w:val="11"/>
                <w:szCs w:val="11"/>
                <w:color w:val="auto"/>
              </w:rPr>
            </w:pPr>
          </w:p>
        </w:tc>
      </w:tr>
      <w:tr>
        <w:trPr>
          <w:trHeight w:val="127"/>
        </w:trPr>
        <w:tc>
          <w:tcPr>
            <w:tcW w:w="600" w:type="dxa"/>
            <w:vAlign w:val="bottom"/>
            <w:tcBorders>
              <w:right w:val="single" w:sz="8" w:color="auto"/>
            </w:tcBorders>
          </w:tcPr>
          <w:p>
            <w:pPr>
              <w:spacing w:after="0"/>
              <w:rPr>
                <w:sz w:val="11"/>
                <w:szCs w:val="11"/>
                <w:color w:val="auto"/>
              </w:rPr>
            </w:pPr>
          </w:p>
        </w:tc>
        <w:tc>
          <w:tcPr>
            <w:tcW w:w="3200" w:type="dxa"/>
            <w:vAlign w:val="bottom"/>
            <w:gridSpan w:val="2"/>
          </w:tcPr>
          <w:p>
            <w:pPr>
              <w:ind w:left="80"/>
              <w:spacing w:after="0" w:line="127" w:lineRule="exact"/>
              <w:rPr>
                <w:sz w:val="20"/>
                <w:szCs w:val="20"/>
                <w:color w:val="auto"/>
              </w:rPr>
            </w:pPr>
            <w:r>
              <w:rPr>
                <w:rFonts w:ascii="Times New Roman" w:cs="Times New Roman" w:eastAsia="Times New Roman" w:hAnsi="Times New Roman"/>
                <w:sz w:val="12"/>
                <w:szCs w:val="12"/>
                <w:color w:val="auto"/>
              </w:rPr>
              <w:t>Depreciation and amortization</w:t>
            </w:r>
          </w:p>
        </w:tc>
        <w:tc>
          <w:tcPr>
            <w:tcW w:w="1400" w:type="dxa"/>
            <w:vAlign w:val="bottom"/>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82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7"/>
              </w:rPr>
              <w:t>(6,870)</w:t>
            </w:r>
          </w:p>
        </w:tc>
        <w:tc>
          <w:tcPr>
            <w:tcW w:w="840" w:type="dxa"/>
            <w:vAlign w:val="bottom"/>
          </w:tcPr>
          <w:p>
            <w:pPr>
              <w:jc w:val="center"/>
              <w:ind w:left="81"/>
              <w:spacing w:after="0" w:line="127" w:lineRule="exact"/>
              <w:rPr>
                <w:sz w:val="20"/>
                <w:szCs w:val="20"/>
                <w:color w:val="auto"/>
              </w:rPr>
            </w:pPr>
            <w:r>
              <w:rPr>
                <w:rFonts w:ascii="Times New Roman" w:cs="Times New Roman" w:eastAsia="Times New Roman" w:hAnsi="Times New Roman"/>
                <w:sz w:val="12"/>
                <w:szCs w:val="12"/>
                <w:color w:val="auto"/>
                <w:w w:val="97"/>
              </w:rPr>
              <w:t>(7,160)</w:t>
            </w:r>
          </w:p>
        </w:tc>
        <w:tc>
          <w:tcPr>
            <w:tcW w:w="1020" w:type="dxa"/>
            <w:vAlign w:val="bottom"/>
            <w:tcBorders>
              <w:right w:val="single" w:sz="8" w:color="auto"/>
            </w:tcBorders>
          </w:tcPr>
          <w:p>
            <w:pPr>
              <w:jc w:val="center"/>
              <w:ind w:left="21"/>
              <w:spacing w:after="0" w:line="127" w:lineRule="exact"/>
              <w:rPr>
                <w:sz w:val="20"/>
                <w:szCs w:val="20"/>
                <w:color w:val="auto"/>
              </w:rPr>
            </w:pPr>
            <w:r>
              <w:rPr>
                <w:rFonts w:ascii="Times New Roman" w:cs="Times New Roman" w:eastAsia="Times New Roman" w:hAnsi="Times New Roman"/>
                <w:sz w:val="12"/>
                <w:szCs w:val="12"/>
                <w:color w:val="auto"/>
                <w:w w:val="97"/>
              </w:rPr>
              <w:t>(7,244)</w:t>
            </w:r>
          </w:p>
        </w:tc>
        <w:tc>
          <w:tcPr>
            <w:tcW w:w="660" w:type="dxa"/>
            <w:vAlign w:val="bottom"/>
          </w:tcPr>
          <w:p>
            <w:pPr>
              <w:jc w:val="center"/>
              <w:ind w:left="121"/>
              <w:spacing w:after="0" w:line="127" w:lineRule="exact"/>
              <w:rPr>
                <w:sz w:val="20"/>
                <w:szCs w:val="20"/>
                <w:color w:val="auto"/>
              </w:rPr>
            </w:pPr>
            <w:r>
              <w:rPr>
                <w:rFonts w:ascii="Times New Roman" w:cs="Times New Roman" w:eastAsia="Times New Roman" w:hAnsi="Times New Roman"/>
                <w:sz w:val="12"/>
                <w:szCs w:val="12"/>
                <w:color w:val="auto"/>
                <w:w w:val="95"/>
              </w:rPr>
              <w:t>1.2%</w:t>
            </w:r>
          </w:p>
        </w:tc>
        <w:tc>
          <w:tcPr>
            <w:tcW w:w="1020" w:type="dxa"/>
            <w:vAlign w:val="bottom"/>
          </w:tcPr>
          <w:p>
            <w:pPr>
              <w:jc w:val="center"/>
              <w:ind w:left="241"/>
              <w:spacing w:after="0" w:line="127" w:lineRule="exact"/>
              <w:rPr>
                <w:sz w:val="20"/>
                <w:szCs w:val="20"/>
                <w:color w:val="auto"/>
              </w:rPr>
            </w:pPr>
            <w:r>
              <w:rPr>
                <w:rFonts w:ascii="Times New Roman" w:cs="Times New Roman" w:eastAsia="Times New Roman" w:hAnsi="Times New Roman"/>
                <w:sz w:val="12"/>
                <w:szCs w:val="12"/>
                <w:color w:val="auto"/>
                <w:w w:val="95"/>
              </w:rPr>
              <w:t>5.4%</w:t>
            </w:r>
          </w:p>
        </w:tc>
        <w:tc>
          <w:tcPr>
            <w:tcW w:w="120" w:type="dxa"/>
            <w:vAlign w:val="bottom"/>
            <w:tcBorders>
              <w:right w:val="single" w:sz="8" w:color="auto"/>
            </w:tcBorders>
          </w:tcPr>
          <w:p>
            <w:pPr>
              <w:spacing w:after="0"/>
              <w:rPr>
                <w:sz w:val="11"/>
                <w:szCs w:val="11"/>
                <w:color w:val="auto"/>
              </w:rPr>
            </w:pPr>
          </w:p>
        </w:tc>
        <w:tc>
          <w:tcPr>
            <w:tcW w:w="540" w:type="dxa"/>
            <w:vAlign w:val="bottom"/>
          </w:tcPr>
          <w:p>
            <w:pPr>
              <w:spacing w:after="0"/>
              <w:rPr>
                <w:sz w:val="11"/>
                <w:szCs w:val="11"/>
                <w:color w:val="auto"/>
              </w:rPr>
            </w:pPr>
          </w:p>
        </w:tc>
      </w:tr>
      <w:tr>
        <w:trPr>
          <w:trHeight w:val="125"/>
        </w:trPr>
        <w:tc>
          <w:tcPr>
            <w:tcW w:w="600" w:type="dxa"/>
            <w:vAlign w:val="bottom"/>
            <w:tcBorders>
              <w:right w:val="single" w:sz="8" w:color="auto"/>
            </w:tcBorders>
          </w:tcPr>
          <w:p>
            <w:pPr>
              <w:spacing w:after="0"/>
              <w:rPr>
                <w:sz w:val="10"/>
                <w:szCs w:val="10"/>
                <w:color w:val="auto"/>
              </w:rPr>
            </w:pPr>
          </w:p>
        </w:tc>
        <w:tc>
          <w:tcPr>
            <w:tcW w:w="3200" w:type="dxa"/>
            <w:vAlign w:val="bottom"/>
            <w:gridSpan w:val="2"/>
          </w:tcPr>
          <w:p>
            <w:pPr>
              <w:ind w:left="80"/>
              <w:spacing w:after="0" w:line="125" w:lineRule="exact"/>
              <w:rPr>
                <w:sz w:val="20"/>
                <w:szCs w:val="20"/>
                <w:color w:val="auto"/>
              </w:rPr>
            </w:pPr>
            <w:r>
              <w:rPr>
                <w:rFonts w:ascii="Times New Roman" w:cs="Times New Roman" w:eastAsia="Times New Roman" w:hAnsi="Times New Roman"/>
                <w:sz w:val="12"/>
                <w:szCs w:val="12"/>
                <w:color w:val="auto"/>
              </w:rPr>
              <w:t>Other expenses</w:t>
            </w:r>
          </w:p>
        </w:tc>
        <w:tc>
          <w:tcPr>
            <w:tcW w:w="1400" w:type="dxa"/>
            <w:vAlign w:val="bottom"/>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82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auto"/>
                <w:w w:val="99"/>
              </w:rPr>
              <w:t>(165)</w:t>
            </w:r>
          </w:p>
        </w:tc>
        <w:tc>
          <w:tcPr>
            <w:tcW w:w="840" w:type="dxa"/>
            <w:vAlign w:val="bottom"/>
          </w:tcPr>
          <w:p>
            <w:pPr>
              <w:jc w:val="center"/>
              <w:ind w:left="81"/>
              <w:spacing w:after="0" w:line="125" w:lineRule="exact"/>
              <w:rPr>
                <w:sz w:val="20"/>
                <w:szCs w:val="20"/>
                <w:color w:val="auto"/>
              </w:rPr>
            </w:pPr>
            <w:r>
              <w:rPr>
                <w:rFonts w:ascii="Times New Roman" w:cs="Times New Roman" w:eastAsia="Times New Roman" w:hAnsi="Times New Roman"/>
                <w:sz w:val="12"/>
                <w:szCs w:val="12"/>
                <w:color w:val="auto"/>
                <w:w w:val="97"/>
              </w:rPr>
              <w:t>(3,661)</w:t>
            </w:r>
          </w:p>
        </w:tc>
        <w:tc>
          <w:tcPr>
            <w:tcW w:w="1020" w:type="dxa"/>
            <w:vAlign w:val="bottom"/>
            <w:tcBorders>
              <w:right w:val="single" w:sz="8" w:color="auto"/>
            </w:tcBorders>
          </w:tcPr>
          <w:p>
            <w:pPr>
              <w:jc w:val="center"/>
              <w:ind w:left="21"/>
              <w:spacing w:after="0" w:line="125" w:lineRule="exact"/>
              <w:rPr>
                <w:sz w:val="20"/>
                <w:szCs w:val="20"/>
                <w:color w:val="auto"/>
              </w:rPr>
            </w:pPr>
            <w:r>
              <w:rPr>
                <w:rFonts w:ascii="Times New Roman" w:cs="Times New Roman" w:eastAsia="Times New Roman" w:hAnsi="Times New Roman"/>
                <w:sz w:val="12"/>
                <w:szCs w:val="12"/>
                <w:color w:val="auto"/>
                <w:w w:val="99"/>
              </w:rPr>
              <w:t>(264)</w:t>
            </w:r>
          </w:p>
        </w:tc>
        <w:tc>
          <w:tcPr>
            <w:tcW w:w="660" w:type="dxa"/>
            <w:vAlign w:val="bottom"/>
          </w:tcPr>
          <w:p>
            <w:pPr>
              <w:jc w:val="center"/>
              <w:ind w:left="141"/>
              <w:spacing w:after="0" w:line="125" w:lineRule="exact"/>
              <w:rPr>
                <w:sz w:val="20"/>
                <w:szCs w:val="20"/>
                <w:color w:val="auto"/>
              </w:rPr>
            </w:pPr>
            <w:r>
              <w:rPr>
                <w:rFonts w:ascii="Times New Roman" w:cs="Times New Roman" w:eastAsia="Times New Roman" w:hAnsi="Times New Roman"/>
                <w:sz w:val="12"/>
                <w:szCs w:val="12"/>
                <w:color w:val="auto"/>
                <w:w w:val="97"/>
              </w:rPr>
              <w:t>-92.8%</w:t>
            </w:r>
          </w:p>
        </w:tc>
        <w:tc>
          <w:tcPr>
            <w:tcW w:w="1020" w:type="dxa"/>
            <w:vAlign w:val="bottom"/>
          </w:tcPr>
          <w:p>
            <w:pPr>
              <w:jc w:val="center"/>
              <w:ind w:left="241"/>
              <w:spacing w:after="0" w:line="125" w:lineRule="exact"/>
              <w:rPr>
                <w:sz w:val="20"/>
                <w:szCs w:val="20"/>
                <w:color w:val="auto"/>
              </w:rPr>
            </w:pPr>
            <w:r>
              <w:rPr>
                <w:rFonts w:ascii="Times New Roman" w:cs="Times New Roman" w:eastAsia="Times New Roman" w:hAnsi="Times New Roman"/>
                <w:sz w:val="12"/>
                <w:szCs w:val="12"/>
                <w:color w:val="auto"/>
              </w:rPr>
              <w:t>60.0%</w:t>
            </w:r>
          </w:p>
        </w:tc>
        <w:tc>
          <w:tcPr>
            <w:tcW w:w="120" w:type="dxa"/>
            <w:vAlign w:val="bottom"/>
            <w:tcBorders>
              <w:right w:val="single" w:sz="8" w:color="auto"/>
            </w:tcBorders>
          </w:tcPr>
          <w:p>
            <w:pPr>
              <w:spacing w:after="0"/>
              <w:rPr>
                <w:sz w:val="10"/>
                <w:szCs w:val="10"/>
                <w:color w:val="auto"/>
              </w:rPr>
            </w:pPr>
          </w:p>
        </w:tc>
        <w:tc>
          <w:tcPr>
            <w:tcW w:w="540" w:type="dxa"/>
            <w:vAlign w:val="bottom"/>
          </w:tcPr>
          <w:p>
            <w:pPr>
              <w:spacing w:after="0"/>
              <w:rPr>
                <w:sz w:val="10"/>
                <w:szCs w:val="10"/>
                <w:color w:val="auto"/>
              </w:rPr>
            </w:pPr>
          </w:p>
        </w:tc>
      </w:tr>
      <w:tr>
        <w:trPr>
          <w:trHeight w:val="129"/>
        </w:trPr>
        <w:tc>
          <w:tcPr>
            <w:tcW w:w="600" w:type="dxa"/>
            <w:vAlign w:val="bottom"/>
            <w:tcBorders>
              <w:right w:val="single" w:sz="8" w:color="auto"/>
            </w:tcBorders>
          </w:tcPr>
          <w:p>
            <w:pPr>
              <w:spacing w:after="0"/>
              <w:rPr>
                <w:sz w:val="11"/>
                <w:szCs w:val="11"/>
                <w:color w:val="auto"/>
              </w:rPr>
            </w:pPr>
          </w:p>
        </w:tc>
        <w:tc>
          <w:tcPr>
            <w:tcW w:w="3200" w:type="dxa"/>
            <w:vAlign w:val="bottom"/>
            <w:gridSpan w:val="2"/>
          </w:tcPr>
          <w:p>
            <w:pPr>
              <w:ind w:left="80"/>
              <w:spacing w:after="0" w:line="129" w:lineRule="exact"/>
              <w:rPr>
                <w:sz w:val="20"/>
                <w:szCs w:val="20"/>
                <w:color w:val="auto"/>
              </w:rPr>
            </w:pPr>
            <w:r>
              <w:rPr>
                <w:rFonts w:ascii="Times New Roman" w:cs="Times New Roman" w:eastAsia="Times New Roman" w:hAnsi="Times New Roman"/>
                <w:sz w:val="12"/>
                <w:szCs w:val="12"/>
                <w:b w:val="1"/>
                <w:bCs w:val="1"/>
                <w:color w:val="auto"/>
              </w:rPr>
              <w:t>Profit before income tax</w:t>
            </w:r>
          </w:p>
        </w:tc>
        <w:tc>
          <w:tcPr>
            <w:tcW w:w="1400" w:type="dxa"/>
            <w:vAlign w:val="bottom"/>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820" w:type="dxa"/>
            <w:vAlign w:val="bottom"/>
          </w:tcPr>
          <w:p>
            <w:pPr>
              <w:jc w:val="center"/>
              <w:spacing w:after="0" w:line="129" w:lineRule="exact"/>
              <w:rPr>
                <w:sz w:val="20"/>
                <w:szCs w:val="20"/>
                <w:color w:val="auto"/>
              </w:rPr>
            </w:pPr>
            <w:r>
              <w:rPr>
                <w:rFonts w:ascii="Times New Roman" w:cs="Times New Roman" w:eastAsia="Times New Roman" w:hAnsi="Times New Roman"/>
                <w:sz w:val="12"/>
                <w:szCs w:val="12"/>
                <w:b w:val="1"/>
                <w:bCs w:val="1"/>
                <w:color w:val="auto"/>
              </w:rPr>
              <w:t>36,133</w:t>
            </w:r>
          </w:p>
        </w:tc>
        <w:tc>
          <w:tcPr>
            <w:tcW w:w="840" w:type="dxa"/>
            <w:vAlign w:val="bottom"/>
          </w:tcPr>
          <w:p>
            <w:pPr>
              <w:jc w:val="center"/>
              <w:ind w:left="101"/>
              <w:spacing w:after="0" w:line="129" w:lineRule="exact"/>
              <w:rPr>
                <w:sz w:val="20"/>
                <w:szCs w:val="20"/>
                <w:color w:val="auto"/>
              </w:rPr>
            </w:pPr>
            <w:r>
              <w:rPr>
                <w:rFonts w:ascii="Times New Roman" w:cs="Times New Roman" w:eastAsia="Times New Roman" w:hAnsi="Times New Roman"/>
                <w:sz w:val="12"/>
                <w:szCs w:val="12"/>
                <w:b w:val="1"/>
                <w:bCs w:val="1"/>
                <w:color w:val="auto"/>
                <w:w w:val="96"/>
              </w:rPr>
              <w:t>49,099</w:t>
            </w:r>
          </w:p>
        </w:tc>
        <w:tc>
          <w:tcPr>
            <w:tcW w:w="1020" w:type="dxa"/>
            <w:vAlign w:val="bottom"/>
            <w:tcBorders>
              <w:right w:val="single" w:sz="8" w:color="auto"/>
            </w:tcBorders>
          </w:tcPr>
          <w:p>
            <w:pPr>
              <w:jc w:val="center"/>
              <w:ind w:left="1"/>
              <w:spacing w:after="0" w:line="129" w:lineRule="exact"/>
              <w:rPr>
                <w:sz w:val="20"/>
                <w:szCs w:val="20"/>
                <w:color w:val="auto"/>
              </w:rPr>
            </w:pPr>
            <w:r>
              <w:rPr>
                <w:rFonts w:ascii="Times New Roman" w:cs="Times New Roman" w:eastAsia="Times New Roman" w:hAnsi="Times New Roman"/>
                <w:sz w:val="12"/>
                <w:szCs w:val="12"/>
                <w:b w:val="1"/>
                <w:bCs w:val="1"/>
                <w:color w:val="auto"/>
                <w:w w:val="96"/>
              </w:rPr>
              <w:t>55,132</w:t>
            </w:r>
          </w:p>
        </w:tc>
        <w:tc>
          <w:tcPr>
            <w:tcW w:w="660" w:type="dxa"/>
            <w:vAlign w:val="bottom"/>
          </w:tcPr>
          <w:p>
            <w:pPr>
              <w:jc w:val="center"/>
              <w:ind w:left="121"/>
              <w:spacing w:after="0" w:line="129" w:lineRule="exact"/>
              <w:rPr>
                <w:sz w:val="20"/>
                <w:szCs w:val="20"/>
                <w:color w:val="auto"/>
              </w:rPr>
            </w:pPr>
            <w:r>
              <w:rPr>
                <w:rFonts w:ascii="Times New Roman" w:cs="Times New Roman" w:eastAsia="Times New Roman" w:hAnsi="Times New Roman"/>
                <w:sz w:val="12"/>
                <w:szCs w:val="12"/>
                <w:b w:val="1"/>
                <w:bCs w:val="1"/>
                <w:color w:val="auto"/>
                <w:w w:val="96"/>
              </w:rPr>
              <w:t>12.3%</w:t>
            </w:r>
          </w:p>
        </w:tc>
        <w:tc>
          <w:tcPr>
            <w:tcW w:w="1020" w:type="dxa"/>
            <w:vAlign w:val="bottom"/>
          </w:tcPr>
          <w:p>
            <w:pPr>
              <w:jc w:val="center"/>
              <w:ind w:left="241"/>
              <w:spacing w:after="0" w:line="129" w:lineRule="exact"/>
              <w:rPr>
                <w:sz w:val="20"/>
                <w:szCs w:val="20"/>
                <w:color w:val="auto"/>
              </w:rPr>
            </w:pPr>
            <w:r>
              <w:rPr>
                <w:rFonts w:ascii="Times New Roman" w:cs="Times New Roman" w:eastAsia="Times New Roman" w:hAnsi="Times New Roman"/>
                <w:sz w:val="12"/>
                <w:szCs w:val="12"/>
                <w:b w:val="1"/>
                <w:bCs w:val="1"/>
                <w:color w:val="auto"/>
                <w:w w:val="96"/>
              </w:rPr>
              <w:t>52.6%</w:t>
            </w:r>
          </w:p>
        </w:tc>
        <w:tc>
          <w:tcPr>
            <w:tcW w:w="120" w:type="dxa"/>
            <w:vAlign w:val="bottom"/>
            <w:tcBorders>
              <w:right w:val="single" w:sz="8" w:color="auto"/>
            </w:tcBorders>
          </w:tcPr>
          <w:p>
            <w:pPr>
              <w:spacing w:after="0"/>
              <w:rPr>
                <w:sz w:val="11"/>
                <w:szCs w:val="11"/>
                <w:color w:val="auto"/>
              </w:rPr>
            </w:pPr>
          </w:p>
        </w:tc>
        <w:tc>
          <w:tcPr>
            <w:tcW w:w="540" w:type="dxa"/>
            <w:vAlign w:val="bottom"/>
          </w:tcPr>
          <w:p>
            <w:pPr>
              <w:spacing w:after="0"/>
              <w:rPr>
                <w:sz w:val="11"/>
                <w:szCs w:val="11"/>
                <w:color w:val="auto"/>
              </w:rPr>
            </w:pPr>
          </w:p>
        </w:tc>
      </w:tr>
      <w:tr>
        <w:trPr>
          <w:trHeight w:val="125"/>
        </w:trPr>
        <w:tc>
          <w:tcPr>
            <w:tcW w:w="600" w:type="dxa"/>
            <w:vAlign w:val="bottom"/>
            <w:tcBorders>
              <w:right w:val="single" w:sz="8" w:color="auto"/>
            </w:tcBorders>
          </w:tcPr>
          <w:p>
            <w:pPr>
              <w:spacing w:after="0"/>
              <w:rPr>
                <w:sz w:val="10"/>
                <w:szCs w:val="10"/>
                <w:color w:val="auto"/>
              </w:rPr>
            </w:pPr>
          </w:p>
        </w:tc>
        <w:tc>
          <w:tcPr>
            <w:tcW w:w="3200" w:type="dxa"/>
            <w:vAlign w:val="bottom"/>
            <w:gridSpan w:val="2"/>
          </w:tcPr>
          <w:p>
            <w:pPr>
              <w:ind w:left="80"/>
              <w:spacing w:after="0" w:line="125" w:lineRule="exact"/>
              <w:rPr>
                <w:sz w:val="20"/>
                <w:szCs w:val="20"/>
                <w:color w:val="auto"/>
              </w:rPr>
            </w:pPr>
            <w:r>
              <w:rPr>
                <w:rFonts w:ascii="Times New Roman" w:cs="Times New Roman" w:eastAsia="Times New Roman" w:hAnsi="Times New Roman"/>
                <w:sz w:val="12"/>
                <w:szCs w:val="12"/>
                <w:color w:val="auto"/>
              </w:rPr>
              <w:t>Income tax</w:t>
            </w:r>
          </w:p>
        </w:tc>
        <w:tc>
          <w:tcPr>
            <w:tcW w:w="1400" w:type="dxa"/>
            <w:vAlign w:val="bottom"/>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820" w:type="dxa"/>
            <w:vAlign w:val="bottom"/>
          </w:tcPr>
          <w:p>
            <w:pPr>
              <w:jc w:val="center"/>
              <w:ind w:left="1"/>
              <w:spacing w:after="0" w:line="125" w:lineRule="exact"/>
              <w:rPr>
                <w:sz w:val="20"/>
                <w:szCs w:val="20"/>
                <w:color w:val="auto"/>
              </w:rPr>
            </w:pPr>
            <w:r>
              <w:rPr>
                <w:rFonts w:ascii="Times New Roman" w:cs="Times New Roman" w:eastAsia="Times New Roman" w:hAnsi="Times New Roman"/>
                <w:sz w:val="12"/>
                <w:szCs w:val="12"/>
                <w:color w:val="auto"/>
                <w:w w:val="97"/>
              </w:rPr>
              <w:t>(11,661)</w:t>
            </w:r>
          </w:p>
        </w:tc>
        <w:tc>
          <w:tcPr>
            <w:tcW w:w="840" w:type="dxa"/>
            <w:vAlign w:val="bottom"/>
          </w:tcPr>
          <w:p>
            <w:pPr>
              <w:jc w:val="center"/>
              <w:ind w:left="101"/>
              <w:spacing w:after="0" w:line="125" w:lineRule="exact"/>
              <w:rPr>
                <w:sz w:val="20"/>
                <w:szCs w:val="20"/>
                <w:color w:val="auto"/>
              </w:rPr>
            </w:pPr>
            <w:r>
              <w:rPr>
                <w:rFonts w:ascii="Times New Roman" w:cs="Times New Roman" w:eastAsia="Times New Roman" w:hAnsi="Times New Roman"/>
                <w:sz w:val="12"/>
                <w:szCs w:val="12"/>
                <w:color w:val="auto"/>
                <w:w w:val="97"/>
              </w:rPr>
              <w:t>(14,775)</w:t>
            </w:r>
          </w:p>
        </w:tc>
        <w:tc>
          <w:tcPr>
            <w:tcW w:w="1020" w:type="dxa"/>
            <w:vAlign w:val="bottom"/>
            <w:tcBorders>
              <w:right w:val="single" w:sz="8" w:color="auto"/>
            </w:tcBorders>
          </w:tcPr>
          <w:p>
            <w:pPr>
              <w:jc w:val="center"/>
              <w:ind w:left="1"/>
              <w:spacing w:after="0" w:line="125" w:lineRule="exact"/>
              <w:rPr>
                <w:sz w:val="20"/>
                <w:szCs w:val="20"/>
                <w:color w:val="auto"/>
              </w:rPr>
            </w:pPr>
            <w:r>
              <w:rPr>
                <w:rFonts w:ascii="Times New Roman" w:cs="Times New Roman" w:eastAsia="Times New Roman" w:hAnsi="Times New Roman"/>
                <w:sz w:val="12"/>
                <w:szCs w:val="12"/>
                <w:color w:val="auto"/>
                <w:w w:val="97"/>
              </w:rPr>
              <w:t>(17,847)</w:t>
            </w:r>
          </w:p>
        </w:tc>
        <w:tc>
          <w:tcPr>
            <w:tcW w:w="660" w:type="dxa"/>
            <w:vAlign w:val="bottom"/>
          </w:tcPr>
          <w:p>
            <w:pPr>
              <w:jc w:val="center"/>
              <w:ind w:left="141"/>
              <w:spacing w:after="0" w:line="125" w:lineRule="exact"/>
              <w:rPr>
                <w:sz w:val="20"/>
                <w:szCs w:val="20"/>
                <w:color w:val="auto"/>
              </w:rPr>
            </w:pPr>
            <w:r>
              <w:rPr>
                <w:rFonts w:ascii="Times New Roman" w:cs="Times New Roman" w:eastAsia="Times New Roman" w:hAnsi="Times New Roman"/>
                <w:sz w:val="12"/>
                <w:szCs w:val="12"/>
                <w:color w:val="auto"/>
                <w:w w:val="96"/>
              </w:rPr>
              <w:t>20.8%</w:t>
            </w:r>
          </w:p>
        </w:tc>
        <w:tc>
          <w:tcPr>
            <w:tcW w:w="1020" w:type="dxa"/>
            <w:vAlign w:val="bottom"/>
          </w:tcPr>
          <w:p>
            <w:pPr>
              <w:jc w:val="center"/>
              <w:ind w:left="241"/>
              <w:spacing w:after="0" w:line="125" w:lineRule="exact"/>
              <w:rPr>
                <w:sz w:val="20"/>
                <w:szCs w:val="20"/>
                <w:color w:val="auto"/>
              </w:rPr>
            </w:pPr>
            <w:r>
              <w:rPr>
                <w:rFonts w:ascii="Times New Roman" w:cs="Times New Roman" w:eastAsia="Times New Roman" w:hAnsi="Times New Roman"/>
                <w:sz w:val="12"/>
                <w:szCs w:val="12"/>
                <w:color w:val="auto"/>
              </w:rPr>
              <w:t>53.0%</w:t>
            </w:r>
          </w:p>
        </w:tc>
        <w:tc>
          <w:tcPr>
            <w:tcW w:w="120" w:type="dxa"/>
            <w:vAlign w:val="bottom"/>
            <w:tcBorders>
              <w:right w:val="single" w:sz="8" w:color="auto"/>
            </w:tcBorders>
          </w:tcPr>
          <w:p>
            <w:pPr>
              <w:spacing w:after="0"/>
              <w:rPr>
                <w:sz w:val="10"/>
                <w:szCs w:val="10"/>
                <w:color w:val="auto"/>
              </w:rPr>
            </w:pPr>
          </w:p>
        </w:tc>
        <w:tc>
          <w:tcPr>
            <w:tcW w:w="540" w:type="dxa"/>
            <w:vAlign w:val="bottom"/>
          </w:tcPr>
          <w:p>
            <w:pPr>
              <w:spacing w:after="0"/>
              <w:rPr>
                <w:sz w:val="10"/>
                <w:szCs w:val="10"/>
                <w:color w:val="auto"/>
              </w:rPr>
            </w:pPr>
          </w:p>
        </w:tc>
      </w:tr>
      <w:tr>
        <w:trPr>
          <w:trHeight w:val="145"/>
        </w:trPr>
        <w:tc>
          <w:tcPr>
            <w:tcW w:w="600" w:type="dxa"/>
            <w:vAlign w:val="bottom"/>
            <w:tcBorders>
              <w:right w:val="single" w:sz="8" w:color="auto"/>
            </w:tcBorders>
          </w:tcPr>
          <w:p>
            <w:pPr>
              <w:spacing w:after="0"/>
              <w:rPr>
                <w:sz w:val="12"/>
                <w:szCs w:val="12"/>
                <w:color w:val="auto"/>
              </w:rPr>
            </w:pPr>
          </w:p>
        </w:tc>
        <w:tc>
          <w:tcPr>
            <w:tcW w:w="32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Net profit</w:t>
            </w:r>
          </w:p>
        </w:tc>
        <w:tc>
          <w:tcPr>
            <w:tcW w:w="1400" w:type="dxa"/>
            <w:vAlign w:val="bottom"/>
            <w:tcBorders>
              <w:bottom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spacing w:after="0"/>
              <w:rPr>
                <w:sz w:val="12"/>
                <w:szCs w:val="12"/>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24,472</w:t>
            </w:r>
          </w:p>
        </w:tc>
        <w:tc>
          <w:tcPr>
            <w:tcW w:w="840" w:type="dxa"/>
            <w:vAlign w:val="bottom"/>
            <w:tcBorders>
              <w:bottom w:val="single" w:sz="8" w:color="auto"/>
            </w:tcBorders>
          </w:tcPr>
          <w:p>
            <w:pPr>
              <w:jc w:val="center"/>
              <w:ind w:left="101"/>
              <w:spacing w:after="0"/>
              <w:rPr>
                <w:sz w:val="20"/>
                <w:szCs w:val="20"/>
                <w:color w:val="auto"/>
              </w:rPr>
            </w:pPr>
            <w:r>
              <w:rPr>
                <w:rFonts w:ascii="Times New Roman" w:cs="Times New Roman" w:eastAsia="Times New Roman" w:hAnsi="Times New Roman"/>
                <w:sz w:val="12"/>
                <w:szCs w:val="12"/>
                <w:b w:val="1"/>
                <w:bCs w:val="1"/>
                <w:color w:val="auto"/>
                <w:w w:val="96"/>
              </w:rPr>
              <w:t>34,324</w:t>
            </w:r>
          </w:p>
        </w:tc>
        <w:tc>
          <w:tcPr>
            <w:tcW w:w="1020" w:type="dxa"/>
            <w:vAlign w:val="bottom"/>
            <w:tcBorders>
              <w:bottom w:val="single" w:sz="8" w:color="auto"/>
              <w:right w:val="single" w:sz="8" w:color="auto"/>
            </w:tcBorders>
          </w:tcPr>
          <w:p>
            <w:pPr>
              <w:jc w:val="center"/>
              <w:ind w:left="1"/>
              <w:spacing w:after="0"/>
              <w:rPr>
                <w:sz w:val="20"/>
                <w:szCs w:val="20"/>
                <w:color w:val="auto"/>
              </w:rPr>
            </w:pPr>
            <w:r>
              <w:rPr>
                <w:rFonts w:ascii="Times New Roman" w:cs="Times New Roman" w:eastAsia="Times New Roman" w:hAnsi="Times New Roman"/>
                <w:sz w:val="12"/>
                <w:szCs w:val="12"/>
                <w:b w:val="1"/>
                <w:bCs w:val="1"/>
                <w:color w:val="auto"/>
                <w:w w:val="96"/>
              </w:rPr>
              <w:t>37,285</w:t>
            </w:r>
          </w:p>
        </w:tc>
        <w:tc>
          <w:tcPr>
            <w:tcW w:w="660" w:type="dxa"/>
            <w:vAlign w:val="bottom"/>
            <w:tcBorders>
              <w:bottom w:val="single" w:sz="8" w:color="auto"/>
            </w:tcBorders>
          </w:tcPr>
          <w:p>
            <w:pPr>
              <w:jc w:val="center"/>
              <w:ind w:left="141"/>
              <w:spacing w:after="0"/>
              <w:rPr>
                <w:sz w:val="20"/>
                <w:szCs w:val="20"/>
                <w:color w:val="auto"/>
              </w:rPr>
            </w:pPr>
            <w:r>
              <w:rPr>
                <w:rFonts w:ascii="Times New Roman" w:cs="Times New Roman" w:eastAsia="Times New Roman" w:hAnsi="Times New Roman"/>
                <w:sz w:val="12"/>
                <w:szCs w:val="12"/>
                <w:b w:val="1"/>
                <w:bCs w:val="1"/>
                <w:color w:val="auto"/>
                <w:w w:val="96"/>
              </w:rPr>
              <w:t>8.6%</w:t>
            </w:r>
          </w:p>
        </w:tc>
        <w:tc>
          <w:tcPr>
            <w:tcW w:w="1020" w:type="dxa"/>
            <w:vAlign w:val="bottom"/>
            <w:tcBorders>
              <w:bottom w:val="single" w:sz="8" w:color="auto"/>
            </w:tcBorders>
          </w:tcPr>
          <w:p>
            <w:pPr>
              <w:jc w:val="center"/>
              <w:ind w:left="241"/>
              <w:spacing w:after="0"/>
              <w:rPr>
                <w:sz w:val="20"/>
                <w:szCs w:val="20"/>
                <w:color w:val="auto"/>
              </w:rPr>
            </w:pPr>
            <w:r>
              <w:rPr>
                <w:rFonts w:ascii="Times New Roman" w:cs="Times New Roman" w:eastAsia="Times New Roman" w:hAnsi="Times New Roman"/>
                <w:sz w:val="12"/>
                <w:szCs w:val="12"/>
                <w:b w:val="1"/>
                <w:bCs w:val="1"/>
                <w:color w:val="auto"/>
                <w:w w:val="96"/>
              </w:rPr>
              <w:t>52.4%</w:t>
            </w:r>
          </w:p>
        </w:tc>
        <w:tc>
          <w:tcPr>
            <w:tcW w:w="120" w:type="dxa"/>
            <w:vAlign w:val="bottom"/>
            <w:tcBorders>
              <w:bottom w:val="single" w:sz="8" w:color="auto"/>
              <w:right w:val="single" w:sz="8" w:color="auto"/>
            </w:tcBorders>
          </w:tcPr>
          <w:p>
            <w:pPr>
              <w:spacing w:after="0"/>
              <w:rPr>
                <w:sz w:val="12"/>
                <w:szCs w:val="12"/>
                <w:color w:val="auto"/>
              </w:rPr>
            </w:pPr>
          </w:p>
        </w:tc>
        <w:tc>
          <w:tcPr>
            <w:tcW w:w="540" w:type="dxa"/>
            <w:vAlign w:val="bottom"/>
          </w:tcPr>
          <w:p>
            <w:pPr>
              <w:spacing w:after="0"/>
              <w:rPr>
                <w:sz w:val="12"/>
                <w:szCs w:val="12"/>
                <w:color w:val="auto"/>
              </w:rPr>
            </w:pPr>
          </w:p>
        </w:tc>
      </w:tr>
      <w:tr>
        <w:trPr>
          <w:trHeight w:val="381"/>
        </w:trPr>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240" w:type="dxa"/>
            <w:vAlign w:val="bottom"/>
            <w:gridSpan w:val="3"/>
          </w:tcPr>
          <w:p>
            <w:pPr>
              <w:jc w:val="center"/>
              <w:ind w:left="364"/>
              <w:spacing w:after="0"/>
              <w:rPr>
                <w:sz w:val="20"/>
                <w:szCs w:val="20"/>
                <w:color w:val="auto"/>
              </w:rPr>
            </w:pPr>
            <w:r>
              <w:rPr>
                <w:rFonts w:ascii="Times New Roman" w:cs="Times New Roman" w:eastAsia="Times New Roman" w:hAnsi="Times New Roman"/>
                <w:sz w:val="15"/>
                <w:szCs w:val="15"/>
                <w:b w:val="1"/>
                <w:bCs w:val="1"/>
                <w:color w:val="auto"/>
              </w:rPr>
              <w:t>Selected Financial Indicators</w:t>
            </w: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95"/>
        </w:trPr>
        <w:tc>
          <w:tcPr>
            <w:tcW w:w="6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Pr>
          <w:p>
            <w:pPr>
              <w:spacing w:after="0"/>
              <w:rPr>
                <w:sz w:val="16"/>
                <w:szCs w:val="16"/>
                <w:color w:val="auto"/>
              </w:rPr>
            </w:pPr>
          </w:p>
        </w:tc>
      </w:tr>
      <w:tr>
        <w:trPr>
          <w:trHeight w:val="102"/>
        </w:trPr>
        <w:tc>
          <w:tcPr>
            <w:tcW w:w="600" w:type="dxa"/>
            <w:vAlign w:val="bottom"/>
            <w:tcBorders>
              <w:right w:val="single" w:sz="8" w:color="auto"/>
            </w:tcBorders>
          </w:tcPr>
          <w:p>
            <w:pPr>
              <w:spacing w:after="0"/>
              <w:rPr>
                <w:sz w:val="8"/>
                <w:szCs w:val="8"/>
                <w:color w:val="auto"/>
              </w:rPr>
            </w:pPr>
          </w:p>
        </w:tc>
        <w:tc>
          <w:tcPr>
            <w:tcW w:w="100" w:type="dxa"/>
            <w:vAlign w:val="bottom"/>
            <w:tcBorders>
              <w:right w:val="single" w:sz="8" w:color="2AD2C9"/>
            </w:tcBorders>
            <w:shd w:val="clear" w:color="auto" w:fill="2AD2C9"/>
          </w:tcPr>
          <w:p>
            <w:pPr>
              <w:spacing w:after="0"/>
              <w:rPr>
                <w:sz w:val="8"/>
                <w:szCs w:val="8"/>
                <w:color w:val="auto"/>
              </w:rPr>
            </w:pPr>
          </w:p>
        </w:tc>
        <w:tc>
          <w:tcPr>
            <w:tcW w:w="3100" w:type="dxa"/>
            <w:vAlign w:val="bottom"/>
            <w:shd w:val="clear" w:color="auto" w:fill="2AD2C9"/>
          </w:tcPr>
          <w:p>
            <w:pPr>
              <w:spacing w:after="0"/>
              <w:rPr>
                <w:sz w:val="8"/>
                <w:szCs w:val="8"/>
                <w:color w:val="auto"/>
              </w:rPr>
            </w:pPr>
          </w:p>
        </w:tc>
        <w:tc>
          <w:tcPr>
            <w:tcW w:w="1400" w:type="dxa"/>
            <w:vAlign w:val="bottom"/>
            <w:tcBorders>
              <w:right w:val="single" w:sz="8" w:color="2AD2C9"/>
            </w:tcBorders>
            <w:shd w:val="clear" w:color="auto" w:fill="2AD2C9"/>
          </w:tcPr>
          <w:p>
            <w:pPr>
              <w:spacing w:after="0"/>
              <w:rPr>
                <w:sz w:val="8"/>
                <w:szCs w:val="8"/>
                <w:color w:val="auto"/>
              </w:rPr>
            </w:pPr>
          </w:p>
        </w:tc>
        <w:tc>
          <w:tcPr>
            <w:tcW w:w="1020" w:type="dxa"/>
            <w:vAlign w:val="bottom"/>
            <w:tcBorders>
              <w:right w:val="single" w:sz="8" w:color="auto"/>
            </w:tcBorders>
            <w:shd w:val="clear" w:color="auto" w:fill="2AD2C9"/>
          </w:tcPr>
          <w:p>
            <w:pPr>
              <w:spacing w:after="0"/>
              <w:rPr>
                <w:sz w:val="8"/>
                <w:szCs w:val="8"/>
                <w:color w:val="auto"/>
              </w:rPr>
            </w:pPr>
          </w:p>
        </w:tc>
        <w:tc>
          <w:tcPr>
            <w:tcW w:w="820" w:type="dxa"/>
            <w:vAlign w:val="bottom"/>
            <w:shd w:val="clear" w:color="auto" w:fill="2AD2C9"/>
          </w:tcPr>
          <w:p>
            <w:pPr>
              <w:spacing w:after="0"/>
              <w:rPr>
                <w:sz w:val="8"/>
                <w:szCs w:val="8"/>
                <w:color w:val="auto"/>
              </w:rPr>
            </w:pPr>
          </w:p>
        </w:tc>
        <w:tc>
          <w:tcPr>
            <w:tcW w:w="840" w:type="dxa"/>
            <w:vAlign w:val="bottom"/>
            <w:tcBorders>
              <w:right w:val="single" w:sz="8" w:color="2AD2C9"/>
            </w:tcBorders>
            <w:shd w:val="clear" w:color="auto" w:fill="2AD2C9"/>
          </w:tcPr>
          <w:p>
            <w:pPr>
              <w:ind w:left="300"/>
              <w:spacing w:after="0" w:line="102" w:lineRule="exact"/>
              <w:rPr>
                <w:sz w:val="20"/>
                <w:szCs w:val="20"/>
                <w:color w:val="auto"/>
              </w:rPr>
            </w:pPr>
            <w:r>
              <w:rPr>
                <w:rFonts w:ascii="Times New Roman" w:cs="Times New Roman" w:eastAsia="Times New Roman" w:hAnsi="Times New Roman"/>
                <w:sz w:val="11"/>
                <w:szCs w:val="11"/>
                <w:b w:val="1"/>
                <w:bCs w:val="1"/>
                <w:color w:val="FFFFFF"/>
              </w:rPr>
              <w:t>Quarter</w:t>
            </w:r>
          </w:p>
        </w:tc>
        <w:tc>
          <w:tcPr>
            <w:tcW w:w="1020" w:type="dxa"/>
            <w:vAlign w:val="bottom"/>
            <w:tcBorders>
              <w:right w:val="single" w:sz="8" w:color="auto"/>
            </w:tcBorders>
            <w:shd w:val="clear" w:color="auto" w:fill="2AD2C9"/>
          </w:tcPr>
          <w:p>
            <w:pPr>
              <w:spacing w:after="0"/>
              <w:rPr>
                <w:sz w:val="8"/>
                <w:szCs w:val="8"/>
                <w:color w:val="auto"/>
              </w:rPr>
            </w:pPr>
          </w:p>
        </w:tc>
        <w:tc>
          <w:tcPr>
            <w:tcW w:w="660" w:type="dxa"/>
            <w:vAlign w:val="bottom"/>
            <w:shd w:val="clear" w:color="auto" w:fill="2AD2C9"/>
          </w:tcPr>
          <w:p>
            <w:pPr>
              <w:spacing w:after="0"/>
              <w:rPr>
                <w:sz w:val="8"/>
                <w:szCs w:val="8"/>
                <w:color w:val="auto"/>
              </w:rPr>
            </w:pPr>
          </w:p>
        </w:tc>
        <w:tc>
          <w:tcPr>
            <w:tcW w:w="1140" w:type="dxa"/>
            <w:vAlign w:val="bottom"/>
            <w:tcBorders>
              <w:right w:val="single" w:sz="8" w:color="auto"/>
            </w:tcBorders>
            <w:gridSpan w:val="2"/>
            <w:shd w:val="clear" w:color="auto" w:fill="2AD2C9"/>
          </w:tcPr>
          <w:p>
            <w:pPr>
              <w:ind w:left="20"/>
              <w:spacing w:after="0" w:line="102" w:lineRule="exact"/>
              <w:rPr>
                <w:sz w:val="20"/>
                <w:szCs w:val="20"/>
                <w:color w:val="auto"/>
              </w:rPr>
            </w:pPr>
            <w:r>
              <w:rPr>
                <w:rFonts w:ascii="Times New Roman" w:cs="Times New Roman" w:eastAsia="Times New Roman" w:hAnsi="Times New Roman"/>
                <w:sz w:val="11"/>
                <w:szCs w:val="11"/>
                <w:b w:val="1"/>
                <w:bCs w:val="1"/>
                <w:color w:val="FFFFFF"/>
              </w:rPr>
              <w:t>Change</w:t>
            </w:r>
          </w:p>
        </w:tc>
        <w:tc>
          <w:tcPr>
            <w:tcW w:w="540" w:type="dxa"/>
            <w:vAlign w:val="bottom"/>
          </w:tcPr>
          <w:p>
            <w:pPr>
              <w:spacing w:after="0"/>
              <w:rPr>
                <w:sz w:val="8"/>
                <w:szCs w:val="8"/>
                <w:color w:val="auto"/>
              </w:rPr>
            </w:pPr>
          </w:p>
        </w:tc>
      </w:tr>
      <w:tr>
        <w:trPr>
          <w:trHeight w:val="145"/>
        </w:trPr>
        <w:tc>
          <w:tcPr>
            <w:tcW w:w="600" w:type="dxa"/>
            <w:vAlign w:val="bottom"/>
            <w:tcBorders>
              <w:right w:val="single" w:sz="8" w:color="auto"/>
            </w:tcBorders>
          </w:tcPr>
          <w:p>
            <w:pPr>
              <w:spacing w:after="0"/>
              <w:rPr>
                <w:sz w:val="12"/>
                <w:szCs w:val="12"/>
                <w:color w:val="auto"/>
              </w:rPr>
            </w:pPr>
          </w:p>
        </w:tc>
        <w:tc>
          <w:tcPr>
            <w:tcW w:w="100" w:type="dxa"/>
            <w:vAlign w:val="bottom"/>
            <w:tcBorders>
              <w:bottom w:val="single" w:sz="8" w:color="auto"/>
              <w:right w:val="single" w:sz="8" w:color="2AD2C9"/>
            </w:tcBorders>
            <w:shd w:val="clear" w:color="auto" w:fill="2AD2C9"/>
          </w:tcPr>
          <w:p>
            <w:pPr>
              <w:spacing w:after="0"/>
              <w:rPr>
                <w:sz w:val="12"/>
                <w:szCs w:val="12"/>
                <w:color w:val="auto"/>
              </w:rPr>
            </w:pPr>
          </w:p>
        </w:tc>
        <w:tc>
          <w:tcPr>
            <w:tcW w:w="3100" w:type="dxa"/>
            <w:vAlign w:val="bottom"/>
            <w:tcBorders>
              <w:bottom w:val="single" w:sz="8" w:color="auto"/>
            </w:tcBorders>
            <w:shd w:val="clear" w:color="auto" w:fill="2AD2C9"/>
          </w:tcPr>
          <w:p>
            <w:pPr>
              <w:spacing w:after="0"/>
              <w:rPr>
                <w:sz w:val="12"/>
                <w:szCs w:val="12"/>
                <w:color w:val="auto"/>
              </w:rPr>
            </w:pPr>
          </w:p>
        </w:tc>
        <w:tc>
          <w:tcPr>
            <w:tcW w:w="1400" w:type="dxa"/>
            <w:vAlign w:val="bottom"/>
            <w:tcBorders>
              <w:bottom w:val="single" w:sz="8" w:color="auto"/>
              <w:right w:val="single" w:sz="8" w:color="2AD2C9"/>
            </w:tcBorders>
            <w:shd w:val="clear" w:color="auto" w:fill="2AD2C9"/>
          </w:tcPr>
          <w:p>
            <w:pPr>
              <w:spacing w:after="0"/>
              <w:rPr>
                <w:sz w:val="12"/>
                <w:szCs w:val="12"/>
                <w:color w:val="auto"/>
              </w:rPr>
            </w:pPr>
          </w:p>
        </w:tc>
        <w:tc>
          <w:tcPr>
            <w:tcW w:w="1020" w:type="dxa"/>
            <w:vAlign w:val="bottom"/>
            <w:tcBorders>
              <w:bottom w:val="single" w:sz="8" w:color="auto"/>
              <w:right w:val="single" w:sz="8" w:color="auto"/>
            </w:tcBorders>
            <w:shd w:val="clear" w:color="auto" w:fill="2AD2C9"/>
          </w:tcPr>
          <w:p>
            <w:pPr>
              <w:spacing w:after="0"/>
              <w:rPr>
                <w:sz w:val="12"/>
                <w:szCs w:val="12"/>
                <w:color w:val="auto"/>
              </w:rPr>
            </w:pPr>
          </w:p>
        </w:tc>
        <w:tc>
          <w:tcPr>
            <w:tcW w:w="820" w:type="dxa"/>
            <w:vAlign w:val="bottom"/>
            <w:tcBorders>
              <w:bottom w:val="single" w:sz="8" w:color="auto"/>
            </w:tcBorders>
            <w:shd w:val="clear" w:color="auto" w:fill="2AD2C9"/>
          </w:tcPr>
          <w:p>
            <w:pPr>
              <w:jc w:val="center"/>
              <w:spacing w:after="0"/>
              <w:rPr>
                <w:sz w:val="20"/>
                <w:szCs w:val="20"/>
                <w:color w:val="auto"/>
              </w:rPr>
            </w:pPr>
            <w:r>
              <w:rPr>
                <w:rFonts w:ascii="Times New Roman" w:cs="Times New Roman" w:eastAsia="Times New Roman" w:hAnsi="Times New Roman"/>
                <w:sz w:val="12"/>
                <w:szCs w:val="12"/>
                <w:b w:val="1"/>
                <w:bCs w:val="1"/>
                <w:color w:val="FFFFFF"/>
                <w:w w:val="94"/>
              </w:rPr>
              <w:t>1Q25</w:t>
            </w:r>
          </w:p>
        </w:tc>
        <w:tc>
          <w:tcPr>
            <w:tcW w:w="840" w:type="dxa"/>
            <w:vAlign w:val="bottom"/>
            <w:tcBorders>
              <w:bottom w:val="single" w:sz="8" w:color="auto"/>
              <w:right w:val="single" w:sz="8" w:color="2AD2C9"/>
            </w:tcBorders>
            <w:shd w:val="clear" w:color="auto" w:fill="2AD2C9"/>
          </w:tcPr>
          <w:p>
            <w:pPr>
              <w:jc w:val="center"/>
              <w:ind w:left="81"/>
              <w:spacing w:after="0"/>
              <w:rPr>
                <w:sz w:val="20"/>
                <w:szCs w:val="20"/>
                <w:color w:val="auto"/>
              </w:rPr>
            </w:pPr>
            <w:r>
              <w:rPr>
                <w:rFonts w:ascii="Times New Roman" w:cs="Times New Roman" w:eastAsia="Times New Roman" w:hAnsi="Times New Roman"/>
                <w:sz w:val="12"/>
                <w:szCs w:val="12"/>
                <w:b w:val="1"/>
                <w:bCs w:val="1"/>
                <w:color w:val="FFFFFF"/>
                <w:w w:val="94"/>
              </w:rPr>
              <w:t>4Q25</w:t>
            </w:r>
          </w:p>
        </w:tc>
        <w:tc>
          <w:tcPr>
            <w:tcW w:w="1020" w:type="dxa"/>
            <w:vAlign w:val="bottom"/>
            <w:tcBorders>
              <w:bottom w:val="single" w:sz="8" w:color="auto"/>
              <w:right w:val="single" w:sz="8" w:color="auto"/>
            </w:tcBorders>
            <w:shd w:val="clear" w:color="auto" w:fill="2AD2C9"/>
          </w:tcPr>
          <w:p>
            <w:pPr>
              <w:jc w:val="center"/>
              <w:ind w:left="1"/>
              <w:spacing w:after="0"/>
              <w:rPr>
                <w:sz w:val="20"/>
                <w:szCs w:val="20"/>
                <w:color w:val="auto"/>
              </w:rPr>
            </w:pPr>
            <w:r>
              <w:rPr>
                <w:rFonts w:ascii="Times New Roman" w:cs="Times New Roman" w:eastAsia="Times New Roman" w:hAnsi="Times New Roman"/>
                <w:sz w:val="12"/>
                <w:szCs w:val="12"/>
                <w:b w:val="1"/>
                <w:bCs w:val="1"/>
                <w:color w:val="FFFFFF"/>
              </w:rPr>
              <w:t>1Q26</w:t>
            </w:r>
          </w:p>
        </w:tc>
        <w:tc>
          <w:tcPr>
            <w:tcW w:w="660" w:type="dxa"/>
            <w:vAlign w:val="bottom"/>
            <w:tcBorders>
              <w:bottom w:val="single" w:sz="8" w:color="auto"/>
            </w:tcBorders>
            <w:shd w:val="clear" w:color="auto" w:fill="2AD2C9"/>
          </w:tcPr>
          <w:p>
            <w:pPr>
              <w:jc w:val="center"/>
              <w:ind w:left="121"/>
              <w:spacing w:after="0"/>
              <w:rPr>
                <w:sz w:val="20"/>
                <w:szCs w:val="20"/>
                <w:color w:val="auto"/>
              </w:rPr>
            </w:pPr>
            <w:r>
              <w:rPr>
                <w:rFonts w:ascii="Times New Roman" w:cs="Times New Roman" w:eastAsia="Times New Roman" w:hAnsi="Times New Roman"/>
                <w:sz w:val="12"/>
                <w:szCs w:val="12"/>
                <w:b w:val="1"/>
                <w:bCs w:val="1"/>
                <w:color w:val="FFFFFF"/>
                <w:w w:val="97"/>
              </w:rPr>
              <w:t>QoQ</w:t>
            </w:r>
          </w:p>
        </w:tc>
        <w:tc>
          <w:tcPr>
            <w:tcW w:w="1140" w:type="dxa"/>
            <w:vAlign w:val="bottom"/>
            <w:tcBorders>
              <w:bottom w:val="single" w:sz="8" w:color="auto"/>
              <w:right w:val="single" w:sz="8" w:color="auto"/>
            </w:tcBorders>
            <w:gridSpan w:val="2"/>
            <w:shd w:val="clear" w:color="auto" w:fill="2AD2C9"/>
          </w:tcPr>
          <w:p>
            <w:pPr>
              <w:jc w:val="center"/>
              <w:ind w:left="121"/>
              <w:spacing w:after="0"/>
              <w:rPr>
                <w:sz w:val="20"/>
                <w:szCs w:val="20"/>
                <w:color w:val="auto"/>
              </w:rPr>
            </w:pPr>
            <w:r>
              <w:rPr>
                <w:rFonts w:ascii="Times New Roman" w:cs="Times New Roman" w:eastAsia="Times New Roman" w:hAnsi="Times New Roman"/>
                <w:sz w:val="12"/>
                <w:szCs w:val="12"/>
                <w:b w:val="1"/>
                <w:bCs w:val="1"/>
                <w:color w:val="FFFFFF"/>
                <w:w w:val="85"/>
              </w:rPr>
              <w:t>YoY</w:t>
            </w:r>
          </w:p>
        </w:tc>
        <w:tc>
          <w:tcPr>
            <w:tcW w:w="540" w:type="dxa"/>
            <w:vAlign w:val="bottom"/>
          </w:tcPr>
          <w:p>
            <w:pPr>
              <w:spacing w:after="0"/>
              <w:rPr>
                <w:sz w:val="12"/>
                <w:szCs w:val="12"/>
                <w:color w:val="auto"/>
              </w:rPr>
            </w:pPr>
          </w:p>
        </w:tc>
      </w:tr>
      <w:tr>
        <w:trPr>
          <w:trHeight w:val="104"/>
        </w:trPr>
        <w:tc>
          <w:tcPr>
            <w:tcW w:w="600" w:type="dxa"/>
            <w:vAlign w:val="bottom"/>
            <w:tcBorders>
              <w:right w:val="single" w:sz="8" w:color="auto"/>
            </w:tcBorders>
          </w:tcPr>
          <w:p>
            <w:pPr>
              <w:spacing w:after="0"/>
              <w:rPr>
                <w:sz w:val="9"/>
                <w:szCs w:val="9"/>
                <w:color w:val="auto"/>
              </w:rPr>
            </w:pPr>
          </w:p>
        </w:tc>
        <w:tc>
          <w:tcPr>
            <w:tcW w:w="3200" w:type="dxa"/>
            <w:vAlign w:val="bottom"/>
            <w:gridSpan w:val="2"/>
          </w:tcPr>
          <w:p>
            <w:pPr>
              <w:ind w:left="80"/>
              <w:spacing w:after="0" w:line="104" w:lineRule="exact"/>
              <w:rPr>
                <w:sz w:val="20"/>
                <w:szCs w:val="20"/>
                <w:color w:val="auto"/>
              </w:rPr>
            </w:pPr>
            <w:r>
              <w:rPr>
                <w:rFonts w:ascii="Times New Roman" w:cs="Times New Roman" w:eastAsia="Times New Roman" w:hAnsi="Times New Roman"/>
                <w:sz w:val="12"/>
                <w:szCs w:val="12"/>
                <w:color w:val="auto"/>
              </w:rPr>
              <w:t>ROE</w:t>
            </w:r>
          </w:p>
        </w:tc>
        <w:tc>
          <w:tcPr>
            <w:tcW w:w="1400" w:type="dxa"/>
            <w:vAlign w:val="bottom"/>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820" w:type="dxa"/>
            <w:vAlign w:val="bottom"/>
          </w:tcPr>
          <w:p>
            <w:pPr>
              <w:jc w:val="center"/>
              <w:spacing w:after="0" w:line="104" w:lineRule="exact"/>
              <w:rPr>
                <w:sz w:val="20"/>
                <w:szCs w:val="20"/>
                <w:color w:val="auto"/>
              </w:rPr>
            </w:pPr>
            <w:r>
              <w:rPr>
                <w:rFonts w:ascii="Times New Roman" w:cs="Times New Roman" w:eastAsia="Times New Roman" w:hAnsi="Times New Roman"/>
                <w:sz w:val="12"/>
                <w:szCs w:val="12"/>
                <w:color w:val="auto"/>
                <w:w w:val="96"/>
              </w:rPr>
              <w:t>22.6%</w:t>
            </w:r>
          </w:p>
        </w:tc>
        <w:tc>
          <w:tcPr>
            <w:tcW w:w="840" w:type="dxa"/>
            <w:vAlign w:val="bottom"/>
          </w:tcPr>
          <w:p>
            <w:pPr>
              <w:jc w:val="center"/>
              <w:ind w:left="81"/>
              <w:spacing w:after="0" w:line="104" w:lineRule="exact"/>
              <w:rPr>
                <w:sz w:val="20"/>
                <w:szCs w:val="20"/>
                <w:color w:val="auto"/>
              </w:rPr>
            </w:pPr>
            <w:r>
              <w:rPr>
                <w:rFonts w:ascii="Times New Roman" w:cs="Times New Roman" w:eastAsia="Times New Roman" w:hAnsi="Times New Roman"/>
                <w:sz w:val="12"/>
                <w:szCs w:val="12"/>
                <w:color w:val="auto"/>
                <w:w w:val="96"/>
              </w:rPr>
              <w:t>29.5%</w:t>
            </w:r>
          </w:p>
        </w:tc>
        <w:tc>
          <w:tcPr>
            <w:tcW w:w="1020" w:type="dxa"/>
            <w:vAlign w:val="bottom"/>
            <w:tcBorders>
              <w:right w:val="single" w:sz="8" w:color="auto"/>
            </w:tcBorders>
          </w:tcPr>
          <w:p>
            <w:pPr>
              <w:jc w:val="center"/>
              <w:ind w:left="1"/>
              <w:spacing w:after="0" w:line="104" w:lineRule="exact"/>
              <w:rPr>
                <w:sz w:val="20"/>
                <w:szCs w:val="20"/>
                <w:color w:val="auto"/>
              </w:rPr>
            </w:pPr>
            <w:r>
              <w:rPr>
                <w:rFonts w:ascii="Times New Roman" w:cs="Times New Roman" w:eastAsia="Times New Roman" w:hAnsi="Times New Roman"/>
                <w:sz w:val="12"/>
                <w:szCs w:val="12"/>
                <w:color w:val="auto"/>
              </w:rPr>
              <w:t>36.8%</w:t>
            </w:r>
          </w:p>
        </w:tc>
        <w:tc>
          <w:tcPr>
            <w:tcW w:w="660" w:type="dxa"/>
            <w:vAlign w:val="bottom"/>
          </w:tcPr>
          <w:p>
            <w:pPr>
              <w:jc w:val="center"/>
              <w:ind w:left="121"/>
              <w:spacing w:after="0" w:line="104" w:lineRule="exact"/>
              <w:rPr>
                <w:sz w:val="20"/>
                <w:szCs w:val="20"/>
                <w:color w:val="auto"/>
              </w:rPr>
            </w:pPr>
            <w:r>
              <w:rPr>
                <w:rFonts w:ascii="Times New Roman" w:cs="Times New Roman" w:eastAsia="Times New Roman" w:hAnsi="Times New Roman"/>
                <w:sz w:val="12"/>
                <w:szCs w:val="12"/>
                <w:color w:val="auto"/>
                <w:w w:val="95"/>
              </w:rPr>
              <w:t>732 pbs</w:t>
            </w:r>
          </w:p>
        </w:tc>
        <w:tc>
          <w:tcPr>
            <w:tcW w:w="1140" w:type="dxa"/>
            <w:vAlign w:val="bottom"/>
            <w:tcBorders>
              <w:right w:val="single" w:sz="8" w:color="auto"/>
            </w:tcBorders>
            <w:gridSpan w:val="2"/>
          </w:tcPr>
          <w:p>
            <w:pPr>
              <w:jc w:val="center"/>
              <w:ind w:left="121"/>
              <w:spacing w:after="0" w:line="104" w:lineRule="exact"/>
              <w:rPr>
                <w:sz w:val="20"/>
                <w:szCs w:val="20"/>
                <w:color w:val="auto"/>
              </w:rPr>
            </w:pPr>
            <w:r>
              <w:rPr>
                <w:rFonts w:ascii="Times New Roman" w:cs="Times New Roman" w:eastAsia="Times New Roman" w:hAnsi="Times New Roman"/>
                <w:sz w:val="12"/>
                <w:szCs w:val="12"/>
                <w:color w:val="auto"/>
              </w:rPr>
              <w:t>1418 pbs</w:t>
            </w:r>
          </w:p>
        </w:tc>
        <w:tc>
          <w:tcPr>
            <w:tcW w:w="540" w:type="dxa"/>
            <w:vAlign w:val="bottom"/>
          </w:tcPr>
          <w:p>
            <w:pPr>
              <w:spacing w:after="0"/>
              <w:rPr>
                <w:sz w:val="9"/>
                <w:szCs w:val="9"/>
                <w:color w:val="auto"/>
              </w:rPr>
            </w:pPr>
          </w:p>
        </w:tc>
      </w:tr>
      <w:tr>
        <w:trPr>
          <w:trHeight w:val="127"/>
        </w:trPr>
        <w:tc>
          <w:tcPr>
            <w:tcW w:w="600" w:type="dxa"/>
            <w:vAlign w:val="bottom"/>
            <w:tcBorders>
              <w:right w:val="single" w:sz="8" w:color="auto"/>
            </w:tcBorders>
          </w:tcPr>
          <w:p>
            <w:pPr>
              <w:spacing w:after="0"/>
              <w:rPr>
                <w:sz w:val="11"/>
                <w:szCs w:val="11"/>
                <w:color w:val="auto"/>
              </w:rPr>
            </w:pPr>
          </w:p>
        </w:tc>
        <w:tc>
          <w:tcPr>
            <w:tcW w:w="3200" w:type="dxa"/>
            <w:vAlign w:val="bottom"/>
            <w:gridSpan w:val="2"/>
          </w:tcPr>
          <w:p>
            <w:pPr>
              <w:ind w:left="80"/>
              <w:spacing w:after="0" w:line="127" w:lineRule="exact"/>
              <w:rPr>
                <w:sz w:val="20"/>
                <w:szCs w:val="20"/>
                <w:color w:val="auto"/>
              </w:rPr>
            </w:pPr>
            <w:r>
              <w:rPr>
                <w:rFonts w:ascii="Times New Roman" w:cs="Times New Roman" w:eastAsia="Times New Roman" w:hAnsi="Times New Roman"/>
                <w:sz w:val="12"/>
                <w:szCs w:val="12"/>
                <w:color w:val="auto"/>
              </w:rPr>
              <w:t>Net Interest Margin</w:t>
            </w:r>
          </w:p>
        </w:tc>
        <w:tc>
          <w:tcPr>
            <w:tcW w:w="1400" w:type="dxa"/>
            <w:vAlign w:val="bottom"/>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82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rPr>
              <w:t>1.0%</w:t>
            </w:r>
          </w:p>
        </w:tc>
        <w:tc>
          <w:tcPr>
            <w:tcW w:w="840" w:type="dxa"/>
            <w:vAlign w:val="bottom"/>
          </w:tcPr>
          <w:p>
            <w:pPr>
              <w:jc w:val="center"/>
              <w:ind w:left="101"/>
              <w:spacing w:after="0" w:line="127" w:lineRule="exact"/>
              <w:rPr>
                <w:sz w:val="20"/>
                <w:szCs w:val="20"/>
                <w:color w:val="auto"/>
              </w:rPr>
            </w:pPr>
            <w:r>
              <w:rPr>
                <w:rFonts w:ascii="Times New Roman" w:cs="Times New Roman" w:eastAsia="Times New Roman" w:hAnsi="Times New Roman"/>
                <w:sz w:val="12"/>
                <w:szCs w:val="12"/>
                <w:color w:val="auto"/>
                <w:w w:val="95"/>
              </w:rPr>
              <w:t>0.3%</w:t>
            </w:r>
          </w:p>
        </w:tc>
        <w:tc>
          <w:tcPr>
            <w:tcW w:w="1020" w:type="dxa"/>
            <w:vAlign w:val="bottom"/>
            <w:tcBorders>
              <w:right w:val="single" w:sz="8" w:color="auto"/>
            </w:tcBorders>
          </w:tcPr>
          <w:p>
            <w:pPr>
              <w:jc w:val="center"/>
              <w:ind w:left="1"/>
              <w:spacing w:after="0" w:line="127" w:lineRule="exact"/>
              <w:rPr>
                <w:sz w:val="20"/>
                <w:szCs w:val="20"/>
                <w:color w:val="auto"/>
              </w:rPr>
            </w:pPr>
            <w:r>
              <w:rPr>
                <w:rFonts w:ascii="Times New Roman" w:cs="Times New Roman" w:eastAsia="Times New Roman" w:hAnsi="Times New Roman"/>
                <w:sz w:val="12"/>
                <w:szCs w:val="12"/>
                <w:color w:val="auto"/>
                <w:w w:val="95"/>
              </w:rPr>
              <w:t>0.2%</w:t>
            </w:r>
          </w:p>
        </w:tc>
        <w:tc>
          <w:tcPr>
            <w:tcW w:w="660" w:type="dxa"/>
            <w:vAlign w:val="bottom"/>
          </w:tcPr>
          <w:p>
            <w:pPr>
              <w:jc w:val="center"/>
              <w:ind w:left="141"/>
              <w:spacing w:after="0" w:line="127" w:lineRule="exact"/>
              <w:rPr>
                <w:sz w:val="20"/>
                <w:szCs w:val="20"/>
                <w:color w:val="auto"/>
              </w:rPr>
            </w:pPr>
            <w:r>
              <w:rPr>
                <w:rFonts w:ascii="Times New Roman" w:cs="Times New Roman" w:eastAsia="Times New Roman" w:hAnsi="Times New Roman"/>
                <w:sz w:val="12"/>
                <w:szCs w:val="12"/>
                <w:color w:val="auto"/>
              </w:rPr>
              <w:t>-8 pbs</w:t>
            </w:r>
          </w:p>
        </w:tc>
        <w:tc>
          <w:tcPr>
            <w:tcW w:w="1140" w:type="dxa"/>
            <w:vAlign w:val="bottom"/>
            <w:tcBorders>
              <w:right w:val="single" w:sz="8" w:color="auto"/>
            </w:tcBorders>
            <w:gridSpan w:val="2"/>
          </w:tcPr>
          <w:p>
            <w:pPr>
              <w:jc w:val="center"/>
              <w:ind w:left="121"/>
              <w:spacing w:after="0" w:line="127" w:lineRule="exact"/>
              <w:rPr>
                <w:sz w:val="20"/>
                <w:szCs w:val="20"/>
                <w:color w:val="auto"/>
              </w:rPr>
            </w:pPr>
            <w:r>
              <w:rPr>
                <w:rFonts w:ascii="Times New Roman" w:cs="Times New Roman" w:eastAsia="Times New Roman" w:hAnsi="Times New Roman"/>
                <w:sz w:val="12"/>
                <w:szCs w:val="12"/>
                <w:color w:val="auto"/>
              </w:rPr>
              <w:t>-75 pbs</w:t>
            </w:r>
          </w:p>
        </w:tc>
        <w:tc>
          <w:tcPr>
            <w:tcW w:w="540" w:type="dxa"/>
            <w:vAlign w:val="bottom"/>
          </w:tcPr>
          <w:p>
            <w:pPr>
              <w:spacing w:after="0"/>
              <w:rPr>
                <w:sz w:val="11"/>
                <w:szCs w:val="11"/>
                <w:color w:val="auto"/>
              </w:rPr>
            </w:pPr>
          </w:p>
        </w:tc>
      </w:tr>
      <w:tr>
        <w:trPr>
          <w:trHeight w:val="127"/>
        </w:trPr>
        <w:tc>
          <w:tcPr>
            <w:tcW w:w="600" w:type="dxa"/>
            <w:vAlign w:val="bottom"/>
            <w:tcBorders>
              <w:right w:val="single" w:sz="8" w:color="auto"/>
            </w:tcBorders>
          </w:tcPr>
          <w:p>
            <w:pPr>
              <w:spacing w:after="0"/>
              <w:rPr>
                <w:sz w:val="11"/>
                <w:szCs w:val="11"/>
                <w:color w:val="auto"/>
              </w:rPr>
            </w:pPr>
          </w:p>
        </w:tc>
        <w:tc>
          <w:tcPr>
            <w:tcW w:w="3200" w:type="dxa"/>
            <w:vAlign w:val="bottom"/>
            <w:gridSpan w:val="2"/>
          </w:tcPr>
          <w:p>
            <w:pPr>
              <w:ind w:left="80"/>
              <w:spacing w:after="0" w:line="127" w:lineRule="exact"/>
              <w:rPr>
                <w:sz w:val="20"/>
                <w:szCs w:val="20"/>
                <w:color w:val="auto"/>
              </w:rPr>
            </w:pPr>
            <w:r>
              <w:rPr>
                <w:rFonts w:ascii="Times New Roman" w:cs="Times New Roman" w:eastAsia="Times New Roman" w:hAnsi="Times New Roman"/>
                <w:sz w:val="12"/>
                <w:szCs w:val="12"/>
                <w:color w:val="auto"/>
              </w:rPr>
              <w:t>Efficiency Ratio</w:t>
            </w:r>
          </w:p>
        </w:tc>
        <w:tc>
          <w:tcPr>
            <w:tcW w:w="1400" w:type="dxa"/>
            <w:vAlign w:val="bottom"/>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82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6"/>
              </w:rPr>
              <w:t>54.4%</w:t>
            </w:r>
          </w:p>
        </w:tc>
        <w:tc>
          <w:tcPr>
            <w:tcW w:w="840" w:type="dxa"/>
            <w:vAlign w:val="bottom"/>
          </w:tcPr>
          <w:p>
            <w:pPr>
              <w:jc w:val="center"/>
              <w:ind w:left="81"/>
              <w:spacing w:after="0" w:line="127" w:lineRule="exact"/>
              <w:rPr>
                <w:sz w:val="20"/>
                <w:szCs w:val="20"/>
                <w:color w:val="auto"/>
              </w:rPr>
            </w:pPr>
            <w:r>
              <w:rPr>
                <w:rFonts w:ascii="Times New Roman" w:cs="Times New Roman" w:eastAsia="Times New Roman" w:hAnsi="Times New Roman"/>
                <w:sz w:val="12"/>
                <w:szCs w:val="12"/>
                <w:color w:val="auto"/>
                <w:w w:val="96"/>
              </w:rPr>
              <w:t>57.7%</w:t>
            </w:r>
          </w:p>
        </w:tc>
        <w:tc>
          <w:tcPr>
            <w:tcW w:w="1020" w:type="dxa"/>
            <w:vAlign w:val="bottom"/>
            <w:tcBorders>
              <w:right w:val="single" w:sz="8" w:color="auto"/>
            </w:tcBorders>
          </w:tcPr>
          <w:p>
            <w:pPr>
              <w:jc w:val="center"/>
              <w:ind w:left="1"/>
              <w:spacing w:after="0" w:line="127" w:lineRule="exact"/>
              <w:rPr>
                <w:sz w:val="20"/>
                <w:szCs w:val="20"/>
                <w:color w:val="auto"/>
              </w:rPr>
            </w:pPr>
            <w:r>
              <w:rPr>
                <w:rFonts w:ascii="Times New Roman" w:cs="Times New Roman" w:eastAsia="Times New Roman" w:hAnsi="Times New Roman"/>
                <w:sz w:val="12"/>
                <w:szCs w:val="12"/>
                <w:color w:val="auto"/>
              </w:rPr>
              <w:t>57.2%</w:t>
            </w:r>
          </w:p>
        </w:tc>
        <w:tc>
          <w:tcPr>
            <w:tcW w:w="660" w:type="dxa"/>
            <w:vAlign w:val="bottom"/>
          </w:tcPr>
          <w:p>
            <w:pPr>
              <w:jc w:val="center"/>
              <w:ind w:left="121"/>
              <w:spacing w:after="0" w:line="127" w:lineRule="exact"/>
              <w:rPr>
                <w:sz w:val="20"/>
                <w:szCs w:val="20"/>
                <w:color w:val="auto"/>
              </w:rPr>
            </w:pPr>
            <w:r>
              <w:rPr>
                <w:rFonts w:ascii="Times New Roman" w:cs="Times New Roman" w:eastAsia="Times New Roman" w:hAnsi="Times New Roman"/>
                <w:sz w:val="12"/>
                <w:szCs w:val="12"/>
                <w:color w:val="auto"/>
              </w:rPr>
              <w:t>-45 pbs</w:t>
            </w:r>
          </w:p>
        </w:tc>
        <w:tc>
          <w:tcPr>
            <w:tcW w:w="1140" w:type="dxa"/>
            <w:vAlign w:val="bottom"/>
            <w:tcBorders>
              <w:right w:val="single" w:sz="8" w:color="auto"/>
            </w:tcBorders>
            <w:gridSpan w:val="2"/>
          </w:tcPr>
          <w:p>
            <w:pPr>
              <w:jc w:val="center"/>
              <w:ind w:left="121"/>
              <w:spacing w:after="0" w:line="127" w:lineRule="exact"/>
              <w:rPr>
                <w:sz w:val="20"/>
                <w:szCs w:val="20"/>
                <w:color w:val="auto"/>
              </w:rPr>
            </w:pPr>
            <w:r>
              <w:rPr>
                <w:rFonts w:ascii="Times New Roman" w:cs="Times New Roman" w:eastAsia="Times New Roman" w:hAnsi="Times New Roman"/>
                <w:sz w:val="12"/>
                <w:szCs w:val="12"/>
                <w:color w:val="auto"/>
                <w:w w:val="95"/>
              </w:rPr>
              <w:t>280 pbs</w:t>
            </w:r>
          </w:p>
        </w:tc>
        <w:tc>
          <w:tcPr>
            <w:tcW w:w="540" w:type="dxa"/>
            <w:vAlign w:val="bottom"/>
          </w:tcPr>
          <w:p>
            <w:pPr>
              <w:spacing w:after="0"/>
              <w:rPr>
                <w:sz w:val="11"/>
                <w:szCs w:val="11"/>
                <w:color w:val="auto"/>
              </w:rPr>
            </w:pPr>
          </w:p>
        </w:tc>
      </w:tr>
      <w:tr>
        <w:trPr>
          <w:trHeight w:val="143"/>
        </w:trPr>
        <w:tc>
          <w:tcPr>
            <w:tcW w:w="600" w:type="dxa"/>
            <w:vAlign w:val="bottom"/>
            <w:tcBorders>
              <w:right w:val="single" w:sz="8" w:color="auto"/>
            </w:tcBorders>
          </w:tcPr>
          <w:p>
            <w:pPr>
              <w:spacing w:after="0"/>
              <w:rPr>
                <w:sz w:val="12"/>
                <w:szCs w:val="12"/>
                <w:color w:val="auto"/>
              </w:rPr>
            </w:pPr>
          </w:p>
        </w:tc>
        <w:tc>
          <w:tcPr>
            <w:tcW w:w="32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2"/>
                <w:szCs w:val="12"/>
                <w:color w:val="auto"/>
              </w:rPr>
              <w:t>Operating Expenses / Total Average Assets</w:t>
            </w:r>
          </w:p>
        </w:tc>
        <w:tc>
          <w:tcPr>
            <w:tcW w:w="1400" w:type="dxa"/>
            <w:vAlign w:val="bottom"/>
            <w:tcBorders>
              <w:bottom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spacing w:after="0"/>
              <w:rPr>
                <w:sz w:val="12"/>
                <w:szCs w:val="12"/>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6"/>
              </w:rPr>
              <w:t>31.5%</w:t>
            </w:r>
          </w:p>
        </w:tc>
        <w:tc>
          <w:tcPr>
            <w:tcW w:w="840" w:type="dxa"/>
            <w:vAlign w:val="bottom"/>
            <w:tcBorders>
              <w:bottom w:val="single" w:sz="8" w:color="auto"/>
            </w:tcBorders>
          </w:tcPr>
          <w:p>
            <w:pPr>
              <w:jc w:val="center"/>
              <w:ind w:left="81"/>
              <w:spacing w:after="0"/>
              <w:rPr>
                <w:sz w:val="20"/>
                <w:szCs w:val="20"/>
                <w:color w:val="auto"/>
              </w:rPr>
            </w:pPr>
            <w:r>
              <w:rPr>
                <w:rFonts w:ascii="Times New Roman" w:cs="Times New Roman" w:eastAsia="Times New Roman" w:hAnsi="Times New Roman"/>
                <w:sz w:val="12"/>
                <w:szCs w:val="12"/>
                <w:color w:val="auto"/>
                <w:w w:val="96"/>
              </w:rPr>
              <w:t>33.9%</w:t>
            </w:r>
          </w:p>
        </w:tc>
        <w:tc>
          <w:tcPr>
            <w:tcW w:w="1020" w:type="dxa"/>
            <w:vAlign w:val="bottom"/>
            <w:tcBorders>
              <w:bottom w:val="single" w:sz="8" w:color="auto"/>
              <w:right w:val="single" w:sz="8" w:color="auto"/>
            </w:tcBorders>
          </w:tcPr>
          <w:p>
            <w:pPr>
              <w:jc w:val="center"/>
              <w:ind w:left="1"/>
              <w:spacing w:after="0"/>
              <w:rPr>
                <w:sz w:val="20"/>
                <w:szCs w:val="20"/>
                <w:color w:val="auto"/>
              </w:rPr>
            </w:pPr>
            <w:r>
              <w:rPr>
                <w:rFonts w:ascii="Times New Roman" w:cs="Times New Roman" w:eastAsia="Times New Roman" w:hAnsi="Times New Roman"/>
                <w:sz w:val="12"/>
                <w:szCs w:val="12"/>
                <w:color w:val="auto"/>
              </w:rPr>
              <w:t>31.0%</w:t>
            </w:r>
          </w:p>
        </w:tc>
        <w:tc>
          <w:tcPr>
            <w:tcW w:w="660" w:type="dxa"/>
            <w:vAlign w:val="bottom"/>
            <w:tcBorders>
              <w:bottom w:val="single" w:sz="8" w:color="auto"/>
            </w:tcBorders>
          </w:tcPr>
          <w:p>
            <w:pPr>
              <w:jc w:val="center"/>
              <w:ind w:left="121"/>
              <w:spacing w:after="0"/>
              <w:rPr>
                <w:sz w:val="20"/>
                <w:szCs w:val="20"/>
                <w:color w:val="auto"/>
              </w:rPr>
            </w:pPr>
            <w:r>
              <w:rPr>
                <w:rFonts w:ascii="Times New Roman" w:cs="Times New Roman" w:eastAsia="Times New Roman" w:hAnsi="Times New Roman"/>
                <w:sz w:val="12"/>
                <w:szCs w:val="12"/>
                <w:color w:val="auto"/>
                <w:w w:val="95"/>
              </w:rPr>
              <w:t>-286 pbs</w:t>
            </w:r>
          </w:p>
        </w:tc>
        <w:tc>
          <w:tcPr>
            <w:tcW w:w="1140" w:type="dxa"/>
            <w:vAlign w:val="bottom"/>
            <w:tcBorders>
              <w:bottom w:val="single" w:sz="8" w:color="auto"/>
              <w:right w:val="single" w:sz="8" w:color="auto"/>
            </w:tcBorders>
            <w:gridSpan w:val="2"/>
          </w:tcPr>
          <w:p>
            <w:pPr>
              <w:jc w:val="center"/>
              <w:ind w:left="121"/>
              <w:spacing w:after="0"/>
              <w:rPr>
                <w:sz w:val="20"/>
                <w:szCs w:val="20"/>
                <w:color w:val="auto"/>
              </w:rPr>
            </w:pPr>
            <w:r>
              <w:rPr>
                <w:rFonts w:ascii="Times New Roman" w:cs="Times New Roman" w:eastAsia="Times New Roman" w:hAnsi="Times New Roman"/>
                <w:sz w:val="12"/>
                <w:szCs w:val="12"/>
                <w:color w:val="auto"/>
              </w:rPr>
              <w:t>-54 pbs</w:t>
            </w:r>
          </w:p>
        </w:tc>
        <w:tc>
          <w:tcPr>
            <w:tcW w:w="540" w:type="dxa"/>
            <w:vAlign w:val="bottom"/>
          </w:tcPr>
          <w:p>
            <w:pPr>
              <w:spacing w:after="0"/>
              <w:rPr>
                <w:sz w:val="12"/>
                <w:szCs w:val="12"/>
                <w:color w:val="auto"/>
              </w:rPr>
            </w:pPr>
          </w:p>
        </w:tc>
      </w:tr>
      <w:tr>
        <w:trPr>
          <w:trHeight w:val="394"/>
        </w:trPr>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240" w:type="dxa"/>
            <w:vAlign w:val="bottom"/>
            <w:gridSpan w:val="3"/>
          </w:tcPr>
          <w:p>
            <w:pPr>
              <w:ind w:left="660"/>
              <w:spacing w:after="0"/>
              <w:rPr>
                <w:sz w:val="20"/>
                <w:szCs w:val="20"/>
                <w:color w:val="auto"/>
              </w:rPr>
            </w:pPr>
            <w:r>
              <w:rPr>
                <w:rFonts w:ascii="Times New Roman" w:cs="Times New Roman" w:eastAsia="Times New Roman" w:hAnsi="Times New Roman"/>
                <w:sz w:val="15"/>
                <w:szCs w:val="15"/>
                <w:b w:val="1"/>
                <w:bCs w:val="1"/>
                <w:color w:val="auto"/>
              </w:rPr>
              <w:t>Main Indicators and Market Share</w:t>
            </w: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08"/>
        </w:trPr>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102"/>
        </w:trPr>
        <w:tc>
          <w:tcPr>
            <w:tcW w:w="60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3100" w:type="dxa"/>
            <w:vAlign w:val="bottom"/>
            <w:shd w:val="clear" w:color="auto" w:fill="2AD2C9"/>
          </w:tcPr>
          <w:p>
            <w:pPr>
              <w:spacing w:after="0"/>
              <w:rPr>
                <w:sz w:val="8"/>
                <w:szCs w:val="8"/>
                <w:color w:val="auto"/>
              </w:rPr>
            </w:pPr>
          </w:p>
        </w:tc>
        <w:tc>
          <w:tcPr>
            <w:tcW w:w="1400" w:type="dxa"/>
            <w:vAlign w:val="bottom"/>
            <w:tcBorders>
              <w:right w:val="single" w:sz="8" w:color="auto"/>
            </w:tcBorders>
            <w:shd w:val="clear" w:color="auto" w:fill="2AD2C9"/>
          </w:tcPr>
          <w:p>
            <w:pPr>
              <w:spacing w:after="0"/>
              <w:rPr>
                <w:sz w:val="8"/>
                <w:szCs w:val="8"/>
                <w:color w:val="auto"/>
              </w:rPr>
            </w:pPr>
          </w:p>
        </w:tc>
        <w:tc>
          <w:tcPr>
            <w:tcW w:w="1020" w:type="dxa"/>
            <w:vAlign w:val="bottom"/>
            <w:tcBorders>
              <w:right w:val="single" w:sz="8" w:color="2AD2C9"/>
            </w:tcBorders>
            <w:shd w:val="clear" w:color="auto" w:fill="2AD2C9"/>
          </w:tcPr>
          <w:p>
            <w:pPr>
              <w:jc w:val="center"/>
              <w:ind w:right="42"/>
              <w:spacing w:after="0" w:line="102" w:lineRule="exact"/>
              <w:rPr>
                <w:sz w:val="20"/>
                <w:szCs w:val="20"/>
                <w:color w:val="auto"/>
              </w:rPr>
            </w:pPr>
            <w:r>
              <w:rPr>
                <w:rFonts w:ascii="Times New Roman" w:cs="Times New Roman" w:eastAsia="Times New Roman" w:hAnsi="Times New Roman"/>
                <w:sz w:val="11"/>
                <w:szCs w:val="11"/>
                <w:b w:val="1"/>
                <w:bCs w:val="1"/>
                <w:color w:val="FFFFFF"/>
              </w:rPr>
              <w:t>Prima</w:t>
            </w:r>
          </w:p>
        </w:tc>
        <w:tc>
          <w:tcPr>
            <w:tcW w:w="820" w:type="dxa"/>
            <w:vAlign w:val="bottom"/>
            <w:shd w:val="clear" w:color="auto" w:fill="2AD2C9"/>
          </w:tcPr>
          <w:p>
            <w:pPr>
              <w:jc w:val="center"/>
              <w:ind w:right="121"/>
              <w:spacing w:after="0" w:line="102" w:lineRule="exact"/>
              <w:rPr>
                <w:sz w:val="20"/>
                <w:szCs w:val="20"/>
                <w:color w:val="auto"/>
              </w:rPr>
            </w:pPr>
            <w:r>
              <w:rPr>
                <w:rFonts w:ascii="Times New Roman" w:cs="Times New Roman" w:eastAsia="Times New Roman" w:hAnsi="Times New Roman"/>
                <w:sz w:val="11"/>
                <w:szCs w:val="11"/>
                <w:b w:val="1"/>
                <w:bCs w:val="1"/>
                <w:color w:val="FFFFFF"/>
              </w:rPr>
              <w:t>System</w:t>
            </w:r>
          </w:p>
        </w:tc>
        <w:tc>
          <w:tcPr>
            <w:tcW w:w="840" w:type="dxa"/>
            <w:vAlign w:val="bottom"/>
            <w:tcBorders>
              <w:right w:val="single" w:sz="8" w:color="auto"/>
            </w:tcBorders>
            <w:shd w:val="clear" w:color="auto" w:fill="2AD2C9"/>
          </w:tcPr>
          <w:p>
            <w:pPr>
              <w:ind w:left="160"/>
              <w:spacing w:after="0" w:line="102" w:lineRule="exact"/>
              <w:rPr>
                <w:sz w:val="20"/>
                <w:szCs w:val="20"/>
                <w:color w:val="auto"/>
              </w:rPr>
            </w:pPr>
            <w:r>
              <w:rPr>
                <w:rFonts w:ascii="Times New Roman" w:cs="Times New Roman" w:eastAsia="Times New Roman" w:hAnsi="Times New Roman"/>
                <w:sz w:val="11"/>
                <w:szCs w:val="11"/>
                <w:b w:val="1"/>
                <w:bCs w:val="1"/>
                <w:color w:val="FFFFFF"/>
              </w:rPr>
              <w:t>Share %</w:t>
            </w:r>
          </w:p>
        </w:tc>
        <w:tc>
          <w:tcPr>
            <w:tcW w:w="1020" w:type="dxa"/>
            <w:vAlign w:val="bottom"/>
            <w:tcBorders>
              <w:right w:val="single" w:sz="8" w:color="2AD2C9"/>
            </w:tcBorders>
            <w:shd w:val="clear" w:color="auto" w:fill="2AD2C9"/>
          </w:tcPr>
          <w:p>
            <w:pPr>
              <w:ind w:left="300"/>
              <w:spacing w:after="0" w:line="102" w:lineRule="exact"/>
              <w:rPr>
                <w:sz w:val="20"/>
                <w:szCs w:val="20"/>
                <w:color w:val="auto"/>
              </w:rPr>
            </w:pPr>
            <w:r>
              <w:rPr>
                <w:rFonts w:ascii="Times New Roman" w:cs="Times New Roman" w:eastAsia="Times New Roman" w:hAnsi="Times New Roman"/>
                <w:sz w:val="11"/>
                <w:szCs w:val="11"/>
                <w:b w:val="1"/>
                <w:bCs w:val="1"/>
                <w:color w:val="FFFFFF"/>
              </w:rPr>
              <w:t>Prima</w:t>
            </w:r>
          </w:p>
        </w:tc>
        <w:tc>
          <w:tcPr>
            <w:tcW w:w="660" w:type="dxa"/>
            <w:vAlign w:val="bottom"/>
            <w:shd w:val="clear" w:color="auto" w:fill="2AD2C9"/>
          </w:tcPr>
          <w:p>
            <w:pPr>
              <w:jc w:val="center"/>
              <w:spacing w:after="0" w:line="102" w:lineRule="exact"/>
              <w:rPr>
                <w:sz w:val="20"/>
                <w:szCs w:val="20"/>
                <w:color w:val="auto"/>
              </w:rPr>
            </w:pPr>
            <w:r>
              <w:rPr>
                <w:rFonts w:ascii="Times New Roman" w:cs="Times New Roman" w:eastAsia="Times New Roman" w:hAnsi="Times New Roman"/>
                <w:sz w:val="11"/>
                <w:szCs w:val="11"/>
                <w:b w:val="1"/>
                <w:bCs w:val="1"/>
                <w:color w:val="FFFFFF"/>
              </w:rPr>
              <w:t>System</w:t>
            </w:r>
          </w:p>
        </w:tc>
        <w:tc>
          <w:tcPr>
            <w:tcW w:w="1020" w:type="dxa"/>
            <w:vAlign w:val="bottom"/>
            <w:tcBorders>
              <w:right w:val="single" w:sz="8" w:color="auto"/>
            </w:tcBorders>
            <w:shd w:val="clear" w:color="auto" w:fill="2AD2C9"/>
          </w:tcPr>
          <w:p>
            <w:pPr>
              <w:ind w:left="360"/>
              <w:spacing w:after="0" w:line="102" w:lineRule="exact"/>
              <w:rPr>
                <w:sz w:val="20"/>
                <w:szCs w:val="20"/>
                <w:color w:val="auto"/>
              </w:rPr>
            </w:pPr>
            <w:r>
              <w:rPr>
                <w:rFonts w:ascii="Times New Roman" w:cs="Times New Roman" w:eastAsia="Times New Roman" w:hAnsi="Times New Roman"/>
                <w:sz w:val="11"/>
                <w:szCs w:val="11"/>
                <w:b w:val="1"/>
                <w:bCs w:val="1"/>
                <w:color w:val="FFFFFF"/>
              </w:rPr>
              <w:t>Share %</w:t>
            </w: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r>
      <w:tr>
        <w:trPr>
          <w:trHeight w:val="145"/>
        </w:trPr>
        <w:tc>
          <w:tcPr>
            <w:tcW w:w="6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3100" w:type="dxa"/>
            <w:vAlign w:val="bottom"/>
            <w:tcBorders>
              <w:bottom w:val="single" w:sz="8" w:color="auto"/>
            </w:tcBorders>
            <w:shd w:val="clear" w:color="auto" w:fill="2AD2C9"/>
          </w:tcPr>
          <w:p>
            <w:pPr>
              <w:spacing w:after="0"/>
              <w:rPr>
                <w:sz w:val="12"/>
                <w:szCs w:val="12"/>
                <w:color w:val="auto"/>
              </w:rPr>
            </w:pPr>
          </w:p>
        </w:tc>
        <w:tc>
          <w:tcPr>
            <w:tcW w:w="1400" w:type="dxa"/>
            <w:vAlign w:val="bottom"/>
            <w:tcBorders>
              <w:bottom w:val="single" w:sz="8" w:color="auto"/>
              <w:right w:val="single" w:sz="8" w:color="auto"/>
            </w:tcBorders>
            <w:shd w:val="clear" w:color="auto" w:fill="2AD2C9"/>
          </w:tcPr>
          <w:p>
            <w:pPr>
              <w:spacing w:after="0"/>
              <w:rPr>
                <w:sz w:val="12"/>
                <w:szCs w:val="12"/>
                <w:color w:val="auto"/>
              </w:rPr>
            </w:pPr>
          </w:p>
        </w:tc>
        <w:tc>
          <w:tcPr>
            <w:tcW w:w="1020" w:type="dxa"/>
            <w:vAlign w:val="bottom"/>
            <w:tcBorders>
              <w:bottom w:val="single" w:sz="8" w:color="auto"/>
              <w:right w:val="single" w:sz="8" w:color="2AD2C9"/>
            </w:tcBorders>
            <w:shd w:val="clear" w:color="auto" w:fill="2AD2C9"/>
          </w:tcPr>
          <w:p>
            <w:pPr>
              <w:jc w:val="center"/>
              <w:ind w:right="82"/>
              <w:spacing w:after="0"/>
              <w:rPr>
                <w:sz w:val="20"/>
                <w:szCs w:val="20"/>
                <w:color w:val="auto"/>
              </w:rPr>
            </w:pPr>
            <w:r>
              <w:rPr>
                <w:rFonts w:ascii="Times New Roman" w:cs="Times New Roman" w:eastAsia="Times New Roman" w:hAnsi="Times New Roman"/>
                <w:sz w:val="12"/>
                <w:szCs w:val="12"/>
                <w:b w:val="1"/>
                <w:bCs w:val="1"/>
                <w:color w:val="FFFFFF"/>
              </w:rPr>
              <w:t>4Q25</w:t>
            </w:r>
          </w:p>
        </w:tc>
        <w:tc>
          <w:tcPr>
            <w:tcW w:w="820" w:type="dxa"/>
            <w:vAlign w:val="bottom"/>
            <w:tcBorders>
              <w:bottom w:val="single" w:sz="8" w:color="auto"/>
            </w:tcBorders>
            <w:shd w:val="clear" w:color="auto" w:fill="2AD2C9"/>
          </w:tcPr>
          <w:p>
            <w:pPr>
              <w:jc w:val="center"/>
              <w:ind w:right="161"/>
              <w:spacing w:after="0"/>
              <w:rPr>
                <w:sz w:val="20"/>
                <w:szCs w:val="20"/>
                <w:color w:val="auto"/>
              </w:rPr>
            </w:pPr>
            <w:r>
              <w:rPr>
                <w:rFonts w:ascii="Times New Roman" w:cs="Times New Roman" w:eastAsia="Times New Roman" w:hAnsi="Times New Roman"/>
                <w:sz w:val="12"/>
                <w:szCs w:val="12"/>
                <w:b w:val="1"/>
                <w:bCs w:val="1"/>
                <w:color w:val="FFFFFF"/>
              </w:rPr>
              <w:t>4Q25</w:t>
            </w:r>
          </w:p>
        </w:tc>
        <w:tc>
          <w:tcPr>
            <w:tcW w:w="840" w:type="dxa"/>
            <w:vAlign w:val="bottom"/>
            <w:tcBorders>
              <w:bottom w:val="single" w:sz="8" w:color="auto"/>
              <w:right w:val="single" w:sz="8" w:color="auto"/>
            </w:tcBorders>
            <w:shd w:val="clear" w:color="auto" w:fill="2AD2C9"/>
          </w:tcPr>
          <w:p>
            <w:pPr>
              <w:ind w:left="240"/>
              <w:spacing w:after="0"/>
              <w:rPr>
                <w:sz w:val="20"/>
                <w:szCs w:val="20"/>
                <w:color w:val="auto"/>
              </w:rPr>
            </w:pPr>
            <w:r>
              <w:rPr>
                <w:rFonts w:ascii="Times New Roman" w:cs="Times New Roman" w:eastAsia="Times New Roman" w:hAnsi="Times New Roman"/>
                <w:sz w:val="12"/>
                <w:szCs w:val="12"/>
                <w:b w:val="1"/>
                <w:bCs w:val="1"/>
                <w:color w:val="FFFFFF"/>
              </w:rPr>
              <w:t>4Q25</w:t>
            </w:r>
          </w:p>
        </w:tc>
        <w:tc>
          <w:tcPr>
            <w:tcW w:w="1020" w:type="dxa"/>
            <w:vAlign w:val="bottom"/>
            <w:tcBorders>
              <w:bottom w:val="single" w:sz="8" w:color="auto"/>
              <w:right w:val="single" w:sz="8" w:color="2AD2C9"/>
            </w:tcBorders>
            <w:shd w:val="clear" w:color="auto" w:fill="2AD2C9"/>
          </w:tcPr>
          <w:p>
            <w:pPr>
              <w:ind w:left="300"/>
              <w:spacing w:after="0"/>
              <w:rPr>
                <w:sz w:val="20"/>
                <w:szCs w:val="20"/>
                <w:color w:val="auto"/>
              </w:rPr>
            </w:pPr>
            <w:r>
              <w:rPr>
                <w:rFonts w:ascii="Times New Roman" w:cs="Times New Roman" w:eastAsia="Times New Roman" w:hAnsi="Times New Roman"/>
                <w:sz w:val="12"/>
                <w:szCs w:val="12"/>
                <w:b w:val="1"/>
                <w:bCs w:val="1"/>
                <w:color w:val="FFFFFF"/>
              </w:rPr>
              <w:t>1Q26</w:t>
            </w:r>
          </w:p>
        </w:tc>
        <w:tc>
          <w:tcPr>
            <w:tcW w:w="660" w:type="dxa"/>
            <w:vAlign w:val="bottom"/>
            <w:tcBorders>
              <w:bottom w:val="single" w:sz="8" w:color="auto"/>
            </w:tcBorders>
            <w:shd w:val="clear" w:color="auto" w:fill="2AD2C9"/>
          </w:tcPr>
          <w:p>
            <w:pPr>
              <w:jc w:val="center"/>
              <w:spacing w:after="0"/>
              <w:rPr>
                <w:sz w:val="20"/>
                <w:szCs w:val="20"/>
                <w:color w:val="auto"/>
              </w:rPr>
            </w:pPr>
            <w:r>
              <w:rPr>
                <w:rFonts w:ascii="Times New Roman" w:cs="Times New Roman" w:eastAsia="Times New Roman" w:hAnsi="Times New Roman"/>
                <w:sz w:val="12"/>
                <w:szCs w:val="12"/>
                <w:b w:val="1"/>
                <w:bCs w:val="1"/>
                <w:color w:val="FFFFFF"/>
              </w:rPr>
              <w:t>1Q26</w:t>
            </w:r>
          </w:p>
        </w:tc>
        <w:tc>
          <w:tcPr>
            <w:tcW w:w="1020" w:type="dxa"/>
            <w:vAlign w:val="bottom"/>
            <w:tcBorders>
              <w:bottom w:val="single" w:sz="8" w:color="auto"/>
              <w:right w:val="single" w:sz="8" w:color="auto"/>
            </w:tcBorders>
            <w:shd w:val="clear" w:color="auto" w:fill="2AD2C9"/>
          </w:tcPr>
          <w:p>
            <w:pPr>
              <w:ind w:left="420"/>
              <w:spacing w:after="0"/>
              <w:rPr>
                <w:sz w:val="20"/>
                <w:szCs w:val="20"/>
                <w:color w:val="auto"/>
              </w:rPr>
            </w:pPr>
            <w:r>
              <w:rPr>
                <w:rFonts w:ascii="Times New Roman" w:cs="Times New Roman" w:eastAsia="Times New Roman" w:hAnsi="Times New Roman"/>
                <w:sz w:val="12"/>
                <w:szCs w:val="12"/>
                <w:b w:val="1"/>
                <w:bCs w:val="1"/>
                <w:color w:val="FFFFFF"/>
              </w:rPr>
              <w:t>1Q26</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04"/>
        </w:trPr>
        <w:tc>
          <w:tcPr>
            <w:tcW w:w="60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3100" w:type="dxa"/>
            <w:vAlign w:val="bottom"/>
          </w:tcPr>
          <w:p>
            <w:pPr>
              <w:ind w:left="80"/>
              <w:spacing w:after="0" w:line="104" w:lineRule="exact"/>
              <w:rPr>
                <w:sz w:val="20"/>
                <w:szCs w:val="20"/>
                <w:color w:val="auto"/>
              </w:rPr>
            </w:pPr>
            <w:r>
              <w:rPr>
                <w:rFonts w:ascii="Times New Roman" w:cs="Times New Roman" w:eastAsia="Times New Roman" w:hAnsi="Times New Roman"/>
                <w:sz w:val="12"/>
                <w:szCs w:val="12"/>
                <w:color w:val="auto"/>
              </w:rPr>
              <w:t>AUMs (S/ Millions)</w:t>
            </w:r>
          </w:p>
        </w:tc>
        <w:tc>
          <w:tcPr>
            <w:tcW w:w="1400" w:type="dxa"/>
            <w:vAlign w:val="bottom"/>
            <w:tcBorders>
              <w:right w:val="single" w:sz="8" w:color="auto"/>
            </w:tcBorders>
          </w:tcPr>
          <w:p>
            <w:pPr>
              <w:spacing w:after="0"/>
              <w:rPr>
                <w:sz w:val="9"/>
                <w:szCs w:val="9"/>
                <w:color w:val="auto"/>
              </w:rPr>
            </w:pPr>
          </w:p>
        </w:tc>
        <w:tc>
          <w:tcPr>
            <w:tcW w:w="1020" w:type="dxa"/>
            <w:vAlign w:val="bottom"/>
          </w:tcPr>
          <w:p>
            <w:pPr>
              <w:jc w:val="center"/>
              <w:ind w:right="122"/>
              <w:spacing w:after="0" w:line="104" w:lineRule="exact"/>
              <w:rPr>
                <w:sz w:val="20"/>
                <w:szCs w:val="20"/>
                <w:color w:val="auto"/>
              </w:rPr>
            </w:pPr>
            <w:r>
              <w:rPr>
                <w:rFonts w:ascii="Times New Roman" w:cs="Times New Roman" w:eastAsia="Times New Roman" w:hAnsi="Times New Roman"/>
                <w:sz w:val="12"/>
                <w:szCs w:val="12"/>
                <w:color w:val="auto"/>
                <w:w w:val="96"/>
              </w:rPr>
              <w:t>32,819</w:t>
            </w:r>
          </w:p>
        </w:tc>
        <w:tc>
          <w:tcPr>
            <w:tcW w:w="820" w:type="dxa"/>
            <w:vAlign w:val="bottom"/>
          </w:tcPr>
          <w:p>
            <w:pPr>
              <w:jc w:val="center"/>
              <w:ind w:right="181"/>
              <w:spacing w:after="0" w:line="104" w:lineRule="exact"/>
              <w:rPr>
                <w:sz w:val="20"/>
                <w:szCs w:val="20"/>
                <w:color w:val="auto"/>
              </w:rPr>
            </w:pPr>
            <w:r>
              <w:rPr>
                <w:rFonts w:ascii="Times New Roman" w:cs="Times New Roman" w:eastAsia="Times New Roman" w:hAnsi="Times New Roman"/>
                <w:sz w:val="12"/>
                <w:szCs w:val="12"/>
                <w:color w:val="auto"/>
                <w:w w:val="97"/>
              </w:rPr>
              <w:t>115,071</w:t>
            </w:r>
          </w:p>
        </w:tc>
        <w:tc>
          <w:tcPr>
            <w:tcW w:w="840" w:type="dxa"/>
            <w:vAlign w:val="bottom"/>
            <w:tcBorders>
              <w:right w:val="single" w:sz="8" w:color="auto"/>
            </w:tcBorders>
          </w:tcPr>
          <w:p>
            <w:pPr>
              <w:ind w:left="260"/>
              <w:spacing w:after="0" w:line="104" w:lineRule="exact"/>
              <w:rPr>
                <w:sz w:val="20"/>
                <w:szCs w:val="20"/>
                <w:color w:val="auto"/>
              </w:rPr>
            </w:pPr>
            <w:r>
              <w:rPr>
                <w:rFonts w:ascii="Times New Roman" w:cs="Times New Roman" w:eastAsia="Times New Roman" w:hAnsi="Times New Roman"/>
                <w:sz w:val="12"/>
                <w:szCs w:val="12"/>
                <w:color w:val="auto"/>
              </w:rPr>
              <w:t>29%</w:t>
            </w:r>
          </w:p>
        </w:tc>
        <w:tc>
          <w:tcPr>
            <w:tcW w:w="1020" w:type="dxa"/>
            <w:vAlign w:val="bottom"/>
          </w:tcPr>
          <w:p>
            <w:pPr>
              <w:jc w:val="center"/>
              <w:ind w:right="121"/>
              <w:spacing w:after="0" w:line="104" w:lineRule="exact"/>
              <w:rPr>
                <w:sz w:val="20"/>
                <w:szCs w:val="20"/>
                <w:color w:val="auto"/>
              </w:rPr>
            </w:pPr>
            <w:r>
              <w:rPr>
                <w:rFonts w:ascii="Times New Roman" w:cs="Times New Roman" w:eastAsia="Times New Roman" w:hAnsi="Times New Roman"/>
                <w:sz w:val="12"/>
                <w:szCs w:val="12"/>
                <w:color w:val="auto"/>
                <w:w w:val="96"/>
              </w:rPr>
              <w:t>31,611</w:t>
            </w:r>
          </w:p>
        </w:tc>
        <w:tc>
          <w:tcPr>
            <w:tcW w:w="660" w:type="dxa"/>
            <w:vAlign w:val="bottom"/>
          </w:tcPr>
          <w:p>
            <w:pPr>
              <w:jc w:val="center"/>
              <w:spacing w:after="0" w:line="104" w:lineRule="exact"/>
              <w:rPr>
                <w:sz w:val="20"/>
                <w:szCs w:val="20"/>
                <w:color w:val="auto"/>
              </w:rPr>
            </w:pPr>
            <w:r>
              <w:rPr>
                <w:rFonts w:ascii="Times New Roman" w:cs="Times New Roman" w:eastAsia="Times New Roman" w:hAnsi="Times New Roman"/>
                <w:sz w:val="12"/>
                <w:szCs w:val="12"/>
                <w:color w:val="auto"/>
                <w:w w:val="97"/>
              </w:rPr>
              <w:t>111,767</w:t>
            </w:r>
          </w:p>
        </w:tc>
        <w:tc>
          <w:tcPr>
            <w:tcW w:w="1020" w:type="dxa"/>
            <w:vAlign w:val="bottom"/>
            <w:tcBorders>
              <w:right w:val="single" w:sz="8" w:color="auto"/>
            </w:tcBorders>
          </w:tcPr>
          <w:p>
            <w:pPr>
              <w:ind w:left="440"/>
              <w:spacing w:after="0" w:line="104" w:lineRule="exact"/>
              <w:rPr>
                <w:sz w:val="20"/>
                <w:szCs w:val="20"/>
                <w:color w:val="auto"/>
              </w:rPr>
            </w:pPr>
            <w:r>
              <w:rPr>
                <w:rFonts w:ascii="Times New Roman" w:cs="Times New Roman" w:eastAsia="Times New Roman" w:hAnsi="Times New Roman"/>
                <w:sz w:val="12"/>
                <w:szCs w:val="12"/>
                <w:color w:val="auto"/>
              </w:rPr>
              <w:t>28%</w:t>
            </w: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r>
      <w:tr>
        <w:trPr>
          <w:trHeight w:val="127"/>
        </w:trPr>
        <w:tc>
          <w:tcPr>
            <w:tcW w:w="60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3100" w:type="dxa"/>
            <w:vAlign w:val="bottom"/>
          </w:tcPr>
          <w:p>
            <w:pPr>
              <w:ind w:left="80"/>
              <w:spacing w:after="0" w:line="127" w:lineRule="exact"/>
              <w:rPr>
                <w:sz w:val="20"/>
                <w:szCs w:val="20"/>
                <w:color w:val="auto"/>
              </w:rPr>
            </w:pPr>
            <w:r>
              <w:rPr>
                <w:rFonts w:ascii="Times New Roman" w:cs="Times New Roman" w:eastAsia="Times New Roman" w:hAnsi="Times New Roman"/>
                <w:sz w:val="12"/>
                <w:szCs w:val="12"/>
                <w:color w:val="auto"/>
              </w:rPr>
              <w:t>Affiliates (S/ Millions)</w:t>
            </w:r>
          </w:p>
        </w:tc>
        <w:tc>
          <w:tcPr>
            <w:tcW w:w="1400" w:type="dxa"/>
            <w:vAlign w:val="bottom"/>
            <w:tcBorders>
              <w:right w:val="single" w:sz="8" w:color="auto"/>
            </w:tcBorders>
          </w:tcPr>
          <w:p>
            <w:pPr>
              <w:spacing w:after="0"/>
              <w:rPr>
                <w:sz w:val="11"/>
                <w:szCs w:val="11"/>
                <w:color w:val="auto"/>
              </w:rPr>
            </w:pPr>
          </w:p>
        </w:tc>
        <w:tc>
          <w:tcPr>
            <w:tcW w:w="1020" w:type="dxa"/>
            <w:vAlign w:val="bottom"/>
          </w:tcPr>
          <w:p>
            <w:pPr>
              <w:jc w:val="center"/>
              <w:ind w:right="122"/>
              <w:spacing w:after="0" w:line="127" w:lineRule="exact"/>
              <w:rPr>
                <w:sz w:val="20"/>
                <w:szCs w:val="20"/>
                <w:color w:val="auto"/>
              </w:rPr>
            </w:pPr>
            <w:r>
              <w:rPr>
                <w:rFonts w:ascii="Times New Roman" w:cs="Times New Roman" w:eastAsia="Times New Roman" w:hAnsi="Times New Roman"/>
                <w:sz w:val="12"/>
                <w:szCs w:val="12"/>
                <w:color w:val="auto"/>
                <w:w w:val="99"/>
              </w:rPr>
              <w:t>2,360,014</w:t>
            </w:r>
          </w:p>
        </w:tc>
        <w:tc>
          <w:tcPr>
            <w:tcW w:w="820" w:type="dxa"/>
            <w:vAlign w:val="bottom"/>
          </w:tcPr>
          <w:p>
            <w:pPr>
              <w:jc w:val="center"/>
              <w:ind w:right="181"/>
              <w:spacing w:after="0" w:line="127" w:lineRule="exact"/>
              <w:rPr>
                <w:sz w:val="20"/>
                <w:szCs w:val="20"/>
                <w:color w:val="auto"/>
              </w:rPr>
            </w:pPr>
            <w:r>
              <w:rPr>
                <w:rFonts w:ascii="Times New Roman" w:cs="Times New Roman" w:eastAsia="Times New Roman" w:hAnsi="Times New Roman"/>
                <w:sz w:val="12"/>
                <w:szCs w:val="12"/>
                <w:color w:val="auto"/>
                <w:w w:val="99"/>
              </w:rPr>
              <w:t>10,290,313</w:t>
            </w:r>
          </w:p>
        </w:tc>
        <w:tc>
          <w:tcPr>
            <w:tcW w:w="840" w:type="dxa"/>
            <w:vAlign w:val="bottom"/>
            <w:tcBorders>
              <w:right w:val="single" w:sz="8" w:color="auto"/>
            </w:tcBorders>
          </w:tcPr>
          <w:p>
            <w:pPr>
              <w:ind w:left="260"/>
              <w:spacing w:after="0" w:line="127" w:lineRule="exact"/>
              <w:rPr>
                <w:sz w:val="20"/>
                <w:szCs w:val="20"/>
                <w:color w:val="auto"/>
              </w:rPr>
            </w:pPr>
            <w:r>
              <w:rPr>
                <w:rFonts w:ascii="Times New Roman" w:cs="Times New Roman" w:eastAsia="Times New Roman" w:hAnsi="Times New Roman"/>
                <w:sz w:val="12"/>
                <w:szCs w:val="12"/>
                <w:color w:val="auto"/>
              </w:rPr>
              <w:t>23%</w:t>
            </w:r>
          </w:p>
        </w:tc>
        <w:tc>
          <w:tcPr>
            <w:tcW w:w="1020" w:type="dxa"/>
            <w:vAlign w:val="bottom"/>
          </w:tcPr>
          <w:p>
            <w:pPr>
              <w:jc w:val="center"/>
              <w:ind w:right="101"/>
              <w:spacing w:after="0" w:line="127" w:lineRule="exact"/>
              <w:rPr>
                <w:sz w:val="20"/>
                <w:szCs w:val="20"/>
                <w:color w:val="auto"/>
              </w:rPr>
            </w:pPr>
            <w:r>
              <w:rPr>
                <w:rFonts w:ascii="Times New Roman" w:cs="Times New Roman" w:eastAsia="Times New Roman" w:hAnsi="Times New Roman"/>
                <w:sz w:val="12"/>
                <w:szCs w:val="12"/>
                <w:color w:val="auto"/>
                <w:w w:val="95"/>
              </w:rPr>
              <w:t>2,362,143</w:t>
            </w:r>
          </w:p>
        </w:tc>
        <w:tc>
          <w:tcPr>
            <w:tcW w:w="660" w:type="dxa"/>
            <w:vAlign w:val="bottom"/>
          </w:tcPr>
          <w:p>
            <w:pPr>
              <w:jc w:val="center"/>
              <w:ind w:right="1"/>
              <w:spacing w:after="0" w:line="127" w:lineRule="exact"/>
              <w:rPr>
                <w:sz w:val="20"/>
                <w:szCs w:val="20"/>
                <w:color w:val="auto"/>
              </w:rPr>
            </w:pPr>
            <w:r>
              <w:rPr>
                <w:rFonts w:ascii="Times New Roman" w:cs="Times New Roman" w:eastAsia="Times New Roman" w:hAnsi="Times New Roman"/>
                <w:sz w:val="12"/>
                <w:szCs w:val="12"/>
                <w:color w:val="auto"/>
                <w:w w:val="96"/>
              </w:rPr>
              <w:t>10,432,929</w:t>
            </w:r>
          </w:p>
        </w:tc>
        <w:tc>
          <w:tcPr>
            <w:tcW w:w="1020" w:type="dxa"/>
            <w:vAlign w:val="bottom"/>
            <w:tcBorders>
              <w:right w:val="single" w:sz="8" w:color="auto"/>
            </w:tcBorders>
          </w:tcPr>
          <w:p>
            <w:pPr>
              <w:ind w:left="440"/>
              <w:spacing w:after="0" w:line="127" w:lineRule="exact"/>
              <w:rPr>
                <w:sz w:val="20"/>
                <w:szCs w:val="20"/>
                <w:color w:val="auto"/>
              </w:rPr>
            </w:pPr>
            <w:r>
              <w:rPr>
                <w:rFonts w:ascii="Times New Roman" w:cs="Times New Roman" w:eastAsia="Times New Roman" w:hAnsi="Times New Roman"/>
                <w:sz w:val="12"/>
                <w:szCs w:val="12"/>
                <w:color w:val="auto"/>
              </w:rPr>
              <w:t>23%</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43"/>
        </w:trPr>
        <w:tc>
          <w:tcPr>
            <w:tcW w:w="6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31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Collections (S/ Millions)</w:t>
            </w:r>
          </w:p>
        </w:tc>
        <w:tc>
          <w:tcPr>
            <w:tcW w:w="140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tcBorders>
          </w:tcPr>
          <w:p>
            <w:pPr>
              <w:jc w:val="center"/>
              <w:ind w:right="102"/>
              <w:spacing w:after="0"/>
              <w:rPr>
                <w:sz w:val="20"/>
                <w:szCs w:val="20"/>
                <w:color w:val="auto"/>
              </w:rPr>
            </w:pPr>
            <w:r>
              <w:rPr>
                <w:rFonts w:ascii="Times New Roman" w:cs="Times New Roman" w:eastAsia="Times New Roman" w:hAnsi="Times New Roman"/>
                <w:sz w:val="12"/>
                <w:szCs w:val="12"/>
                <w:color w:val="auto"/>
                <w:w w:val="96"/>
              </w:rPr>
              <w:t>1,123</w:t>
            </w:r>
          </w:p>
        </w:tc>
        <w:tc>
          <w:tcPr>
            <w:tcW w:w="820" w:type="dxa"/>
            <w:vAlign w:val="bottom"/>
            <w:tcBorders>
              <w:bottom w:val="single" w:sz="8" w:color="auto"/>
            </w:tcBorders>
          </w:tcPr>
          <w:p>
            <w:pPr>
              <w:jc w:val="center"/>
              <w:ind w:right="181"/>
              <w:spacing w:after="0"/>
              <w:rPr>
                <w:sz w:val="20"/>
                <w:szCs w:val="20"/>
                <w:color w:val="auto"/>
              </w:rPr>
            </w:pPr>
            <w:r>
              <w:rPr>
                <w:rFonts w:ascii="Times New Roman" w:cs="Times New Roman" w:eastAsia="Times New Roman" w:hAnsi="Times New Roman"/>
                <w:sz w:val="12"/>
                <w:szCs w:val="12"/>
                <w:color w:val="auto"/>
                <w:w w:val="96"/>
              </w:rPr>
              <w:t>4,525</w:t>
            </w:r>
          </w:p>
        </w:tc>
        <w:tc>
          <w:tcPr>
            <w:tcW w:w="84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2"/>
                <w:szCs w:val="12"/>
                <w:color w:val="auto"/>
              </w:rPr>
              <w:t>25%</w:t>
            </w:r>
          </w:p>
        </w:tc>
        <w:tc>
          <w:tcPr>
            <w:tcW w:w="102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2"/>
                <w:szCs w:val="12"/>
                <w:color w:val="auto"/>
                <w:w w:val="99"/>
              </w:rPr>
              <w:t>763</w:t>
            </w:r>
          </w:p>
        </w:tc>
        <w:tc>
          <w:tcPr>
            <w:tcW w:w="660" w:type="dxa"/>
            <w:vAlign w:val="bottom"/>
            <w:tcBorders>
              <w:bottom w:val="single" w:sz="8" w:color="auto"/>
            </w:tcBorders>
          </w:tcPr>
          <w:p>
            <w:pPr>
              <w:jc w:val="center"/>
              <w:ind w:right="1"/>
              <w:spacing w:after="0"/>
              <w:rPr>
                <w:sz w:val="20"/>
                <w:szCs w:val="20"/>
                <w:color w:val="auto"/>
              </w:rPr>
            </w:pPr>
            <w:r>
              <w:rPr>
                <w:rFonts w:ascii="Times New Roman" w:cs="Times New Roman" w:eastAsia="Times New Roman" w:hAnsi="Times New Roman"/>
                <w:sz w:val="12"/>
                <w:szCs w:val="12"/>
                <w:color w:val="auto"/>
              </w:rPr>
              <w:t>3,143</w:t>
            </w:r>
          </w:p>
        </w:tc>
        <w:tc>
          <w:tcPr>
            <w:tcW w:w="1020" w:type="dxa"/>
            <w:vAlign w:val="bottom"/>
            <w:tcBorders>
              <w:bottom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2"/>
                <w:szCs w:val="12"/>
                <w:color w:val="auto"/>
              </w:rPr>
              <w:t>24%</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46"/>
        </w:trPr>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2"/>
                <w:szCs w:val="12"/>
                <w:color w:val="auto"/>
              </w:rPr>
              <w:t>Source: Superintendencia de Banca, Seguros y AFPs.</w:t>
            </w:r>
          </w:p>
        </w:tc>
        <w:tc>
          <w:tcPr>
            <w:tcW w:w="14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337"/>
        </w:trPr>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-796925</wp:posOffset>
            </wp:positionV>
            <wp:extent cx="6447155" cy="53213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447155" cy="532130"/>
                    </a:xfrm>
                    <a:prstGeom prst="rect">
                      <a:avLst/>
                    </a:prstGeom>
                    <a:noFill/>
                  </pic:spPr>
                </pic:pic>
              </a:graphicData>
            </a:graphic>
          </wp:anchor>
        </w:drawing>
      </w:r>
    </w:p>
    <w:p>
      <w:pPr>
        <w:sectPr>
          <w:pgSz w:w="11900" w:h="16838" w:orient="portrait"/>
          <w:cols w:equalWidth="0" w:num="1">
            <w:col w:w="11240"/>
          </w:cols>
          <w:pgMar w:left="320" w:top="695" w:right="339" w:bottom="1440" w:gutter="0" w:footer="0" w:header="0"/>
        </w:sectPr>
      </w:pPr>
    </w:p>
    <w:bookmarkStart w:id="65" w:name="page66"/>
    <w:bookmarkEnd w:id="65"/>
    <w:p>
      <w:pPr>
        <w:ind w:left="3160"/>
        <w:spacing w:after="0"/>
        <w:tabs>
          <w:tab w:leader="none" w:pos="3380" w:val="left"/>
          <w:tab w:leader="none" w:pos="9060" w:val="left"/>
        </w:tabs>
        <w:rPr>
          <w:sz w:val="20"/>
          <w:szCs w:val="20"/>
          <w:color w:val="auto"/>
        </w:rPr>
      </w:pPr>
      <w:r>
        <w:rPr>
          <w:rFonts w:ascii="Times New Roman" w:cs="Times New Roman" w:eastAsia="Times New Roman" w:hAnsi="Times New Roman"/>
          <w:sz w:val="17"/>
          <w:szCs w:val="17"/>
          <w:b w:val="1"/>
          <w:bCs w:val="1"/>
          <w:color w:val="A6A6A6"/>
        </w:rPr>
        <w:drawing>
          <wp:anchor simplePos="0" relativeHeight="251657728" behindDoc="1" locked="0" layoutInCell="0" allowOverlap="1">
            <wp:simplePos x="0" y="0"/>
            <wp:positionH relativeFrom="page">
              <wp:posOffset>204470</wp:posOffset>
            </wp:positionH>
            <wp:positionV relativeFrom="page">
              <wp:posOffset>217805</wp:posOffset>
            </wp:positionV>
            <wp:extent cx="7140575" cy="62865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40575" cy="628650"/>
                    </a:xfrm>
                    <a:prstGeom prst="rect">
                      <a:avLst/>
                    </a:prstGeom>
                    <a:noFill/>
                  </pic:spPr>
                </pic:pic>
              </a:graphicData>
            </a:graphic>
          </wp:anchor>
        </w:drawing>
        <w:t>|</w:t>
      </w:r>
      <w:r>
        <w:rPr>
          <w:sz w:val="20"/>
          <w:szCs w:val="20"/>
          <w:color w:val="auto"/>
        </w:rPr>
        <w:tab/>
      </w:r>
      <w:r>
        <w:rPr>
          <w:rFonts w:ascii="Times New Roman" w:cs="Times New Roman" w:eastAsia="Times New Roman" w:hAnsi="Times New Roman"/>
          <w:sz w:val="14"/>
          <w:szCs w:val="14"/>
          <w:color w:val="FFFFFF"/>
        </w:rPr>
        <w:t>Earnings Release 1Q / 2026</w:t>
      </w:r>
      <w:r>
        <w:rPr>
          <w:sz w:val="20"/>
          <w:szCs w:val="20"/>
          <w:color w:val="auto"/>
        </w:rPr>
        <w:tab/>
      </w:r>
      <w:r>
        <w:rPr>
          <w:rFonts w:ascii="Times New Roman" w:cs="Times New Roman" w:eastAsia="Times New Roman" w:hAnsi="Times New Roman"/>
          <w:sz w:val="12"/>
          <w:szCs w:val="12"/>
          <w:color w:val="FF00FF"/>
        </w:rPr>
        <w:t>Analysis of 1Q26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280670</wp:posOffset>
            </wp:positionV>
            <wp:extent cx="7140575" cy="25781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40575" cy="25781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FFFFFF"/>
        </w:rPr>
        <w:t>12. Appendix</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12.7.8. Grupo Pacifico</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Key Indicators of Financial Position</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(S/ Thousands, IFRS)</w:t>
      </w:r>
    </w:p>
    <w:p>
      <w:pPr>
        <w:spacing w:after="0" w:line="217" w:lineRule="exact"/>
        <w:rPr>
          <w:sz w:val="20"/>
          <w:szCs w:val="20"/>
          <w:color w:val="auto"/>
        </w:rPr>
      </w:pPr>
    </w:p>
    <w:tbl>
      <w:tblPr>
        <w:tblLayout w:type="fixed"/>
        <w:tblInd w:w="230" w:type="dxa"/>
        <w:tblCellMar>
          <w:top w:w="0" w:type="dxa"/>
          <w:left w:w="0" w:type="dxa"/>
          <w:bottom w:w="0" w:type="dxa"/>
          <w:right w:w="0" w:type="dxa"/>
        </w:tblCellMar>
      </w:tblPr>
      <w:tr>
        <w:trPr>
          <w:trHeight w:val="128"/>
        </w:trPr>
        <w:tc>
          <w:tcPr>
            <w:tcW w:w="5200" w:type="dxa"/>
            <w:vAlign w:val="bottom"/>
            <w:tcBorders>
              <w:top w:val="single" w:sz="8" w:color="auto"/>
              <w:left w:val="single" w:sz="8" w:color="auto"/>
              <w:right w:val="single" w:sz="8" w:color="auto"/>
            </w:tcBorders>
            <w:shd w:val="clear" w:color="auto" w:fill="2AD2C9"/>
          </w:tcPr>
          <w:p>
            <w:pPr>
              <w:spacing w:after="0"/>
              <w:rPr>
                <w:sz w:val="11"/>
                <w:szCs w:val="11"/>
                <w:color w:val="auto"/>
              </w:rPr>
            </w:pPr>
          </w:p>
        </w:tc>
        <w:tc>
          <w:tcPr>
            <w:tcW w:w="1100" w:type="dxa"/>
            <w:vAlign w:val="bottom"/>
            <w:tcBorders>
              <w:top w:val="single" w:sz="8" w:color="auto"/>
            </w:tcBorders>
            <w:shd w:val="clear" w:color="auto" w:fill="2AD2C9"/>
          </w:tcPr>
          <w:p>
            <w:pPr>
              <w:spacing w:after="0"/>
              <w:rPr>
                <w:sz w:val="11"/>
                <w:szCs w:val="11"/>
                <w:color w:val="auto"/>
              </w:rPr>
            </w:pPr>
          </w:p>
        </w:tc>
        <w:tc>
          <w:tcPr>
            <w:tcW w:w="1120" w:type="dxa"/>
            <w:vAlign w:val="bottom"/>
            <w:tcBorders>
              <w:top w:val="single" w:sz="8" w:color="auto"/>
            </w:tcBorders>
            <w:shd w:val="clear" w:color="auto" w:fill="2AD2C9"/>
          </w:tcPr>
          <w:p>
            <w:pPr>
              <w:jc w:val="center"/>
              <w:spacing w:after="0" w:line="128" w:lineRule="exact"/>
              <w:rPr>
                <w:sz w:val="20"/>
                <w:szCs w:val="20"/>
                <w:color w:val="auto"/>
              </w:rPr>
            </w:pPr>
            <w:r>
              <w:rPr>
                <w:rFonts w:ascii="Times New Roman" w:cs="Times New Roman" w:eastAsia="Times New Roman" w:hAnsi="Times New Roman"/>
                <w:sz w:val="14"/>
                <w:szCs w:val="14"/>
                <w:b w:val="1"/>
                <w:bCs w:val="1"/>
                <w:color w:val="FFFFFF"/>
                <w:w w:val="97"/>
              </w:rPr>
              <w:t>As of</w:t>
            </w:r>
          </w:p>
        </w:tc>
        <w:tc>
          <w:tcPr>
            <w:tcW w:w="1140" w:type="dxa"/>
            <w:vAlign w:val="bottom"/>
            <w:tcBorders>
              <w:top w:val="single" w:sz="8" w:color="auto"/>
              <w:right w:val="single" w:sz="8" w:color="auto"/>
            </w:tcBorders>
            <w:shd w:val="clear" w:color="auto" w:fill="2AD2C9"/>
          </w:tcPr>
          <w:p>
            <w:pPr>
              <w:spacing w:after="0"/>
              <w:rPr>
                <w:sz w:val="11"/>
                <w:szCs w:val="11"/>
                <w:color w:val="auto"/>
              </w:rPr>
            </w:pPr>
          </w:p>
        </w:tc>
        <w:tc>
          <w:tcPr>
            <w:tcW w:w="760" w:type="dxa"/>
            <w:vAlign w:val="bottom"/>
            <w:tcBorders>
              <w:top w:val="single" w:sz="8" w:color="auto"/>
            </w:tcBorders>
            <w:shd w:val="clear" w:color="auto" w:fill="2AD2C9"/>
          </w:tcPr>
          <w:p>
            <w:pPr>
              <w:spacing w:after="0"/>
              <w:rPr>
                <w:sz w:val="11"/>
                <w:szCs w:val="11"/>
                <w:color w:val="auto"/>
              </w:rPr>
            </w:pPr>
          </w:p>
        </w:tc>
        <w:tc>
          <w:tcPr>
            <w:tcW w:w="1480" w:type="dxa"/>
            <w:vAlign w:val="bottom"/>
            <w:tcBorders>
              <w:top w:val="single" w:sz="8" w:color="auto"/>
              <w:right w:val="single" w:sz="8" w:color="auto"/>
            </w:tcBorders>
            <w:shd w:val="clear" w:color="auto" w:fill="2AD2C9"/>
          </w:tcPr>
          <w:p>
            <w:pPr>
              <w:ind w:left="40"/>
              <w:spacing w:after="0" w:line="128" w:lineRule="exact"/>
              <w:rPr>
                <w:sz w:val="20"/>
                <w:szCs w:val="20"/>
                <w:color w:val="auto"/>
              </w:rPr>
            </w:pPr>
            <w:r>
              <w:rPr>
                <w:rFonts w:ascii="Times New Roman" w:cs="Times New Roman" w:eastAsia="Times New Roman" w:hAnsi="Times New Roman"/>
                <w:sz w:val="14"/>
                <w:szCs w:val="14"/>
                <w:b w:val="1"/>
                <w:bCs w:val="1"/>
                <w:color w:val="FFFFFF"/>
              </w:rPr>
              <w:t>% Change</w:t>
            </w:r>
          </w:p>
        </w:tc>
      </w:tr>
      <w:tr>
        <w:trPr>
          <w:trHeight w:val="164"/>
        </w:trPr>
        <w:tc>
          <w:tcPr>
            <w:tcW w:w="5200" w:type="dxa"/>
            <w:vAlign w:val="bottom"/>
            <w:tcBorders>
              <w:left w:val="single" w:sz="8" w:color="auto"/>
              <w:bottom w:val="single" w:sz="8" w:color="auto"/>
              <w:right w:val="single" w:sz="8" w:color="auto"/>
            </w:tcBorders>
            <w:shd w:val="clear" w:color="auto" w:fill="2AD2C9"/>
          </w:tcPr>
          <w:p>
            <w:pPr>
              <w:spacing w:after="0"/>
              <w:rPr>
                <w:sz w:val="14"/>
                <w:szCs w:val="14"/>
                <w:color w:val="auto"/>
              </w:rPr>
            </w:pPr>
          </w:p>
        </w:tc>
        <w:tc>
          <w:tcPr>
            <w:tcW w:w="1100" w:type="dxa"/>
            <w:vAlign w:val="bottom"/>
            <w:tcBorders>
              <w:bottom w:val="single" w:sz="8" w:color="auto"/>
            </w:tcBorders>
            <w:shd w:val="clear" w:color="auto" w:fill="2AD2C9"/>
          </w:tcPr>
          <w:p>
            <w:pPr>
              <w:ind w:left="340"/>
              <w:spacing w:after="0"/>
              <w:rPr>
                <w:sz w:val="20"/>
                <w:szCs w:val="20"/>
                <w:color w:val="auto"/>
              </w:rPr>
            </w:pPr>
            <w:r>
              <w:rPr>
                <w:rFonts w:ascii="Times New Roman" w:cs="Times New Roman" w:eastAsia="Times New Roman" w:hAnsi="Times New Roman"/>
                <w:sz w:val="14"/>
                <w:szCs w:val="14"/>
                <w:b w:val="1"/>
                <w:bCs w:val="1"/>
                <w:color w:val="FFFFFF"/>
              </w:rPr>
              <w:t>Mar 25</w:t>
            </w:r>
          </w:p>
        </w:tc>
        <w:tc>
          <w:tcPr>
            <w:tcW w:w="1120" w:type="dxa"/>
            <w:vAlign w:val="bottom"/>
            <w:tcBorders>
              <w:bottom w:val="single" w:sz="8" w:color="auto"/>
            </w:tcBorders>
            <w:shd w:val="clear" w:color="auto" w:fill="2AD2C9"/>
          </w:tcPr>
          <w:p>
            <w:pPr>
              <w:jc w:val="center"/>
              <w:spacing w:after="0"/>
              <w:rPr>
                <w:sz w:val="20"/>
                <w:szCs w:val="20"/>
                <w:color w:val="auto"/>
              </w:rPr>
            </w:pPr>
            <w:r>
              <w:rPr>
                <w:rFonts w:ascii="Times New Roman" w:cs="Times New Roman" w:eastAsia="Times New Roman" w:hAnsi="Times New Roman"/>
                <w:sz w:val="14"/>
                <w:szCs w:val="14"/>
                <w:b w:val="1"/>
                <w:bCs w:val="1"/>
                <w:color w:val="FFFFFF"/>
                <w:w w:val="94"/>
              </w:rPr>
              <w:t>Dec 25</w:t>
            </w:r>
          </w:p>
        </w:tc>
        <w:tc>
          <w:tcPr>
            <w:tcW w:w="1140" w:type="dxa"/>
            <w:vAlign w:val="bottom"/>
            <w:tcBorders>
              <w:bottom w:val="single" w:sz="8" w:color="auto"/>
              <w:right w:val="single" w:sz="8" w:color="auto"/>
            </w:tcBorders>
            <w:shd w:val="clear" w:color="auto" w:fill="2AD2C9"/>
          </w:tcPr>
          <w:p>
            <w:pPr>
              <w:ind w:left="340"/>
              <w:spacing w:after="0"/>
              <w:rPr>
                <w:sz w:val="20"/>
                <w:szCs w:val="20"/>
                <w:color w:val="auto"/>
              </w:rPr>
            </w:pPr>
            <w:r>
              <w:rPr>
                <w:rFonts w:ascii="Times New Roman" w:cs="Times New Roman" w:eastAsia="Times New Roman" w:hAnsi="Times New Roman"/>
                <w:sz w:val="14"/>
                <w:szCs w:val="14"/>
                <w:b w:val="1"/>
                <w:bCs w:val="1"/>
                <w:color w:val="FFFFFF"/>
              </w:rPr>
              <w:t>Mar 26</w:t>
            </w:r>
          </w:p>
        </w:tc>
        <w:tc>
          <w:tcPr>
            <w:tcW w:w="760" w:type="dxa"/>
            <w:vAlign w:val="bottom"/>
            <w:tcBorders>
              <w:bottom w:val="single" w:sz="8" w:color="auto"/>
            </w:tcBorders>
            <w:shd w:val="clear" w:color="auto" w:fill="2AD2C9"/>
          </w:tcPr>
          <w:p>
            <w:pPr>
              <w:ind w:left="400"/>
              <w:spacing w:after="0"/>
              <w:rPr>
                <w:sz w:val="20"/>
                <w:szCs w:val="20"/>
                <w:color w:val="auto"/>
              </w:rPr>
            </w:pPr>
            <w:r>
              <w:rPr>
                <w:rFonts w:ascii="Times New Roman" w:cs="Times New Roman" w:eastAsia="Times New Roman" w:hAnsi="Times New Roman"/>
                <w:sz w:val="14"/>
                <w:szCs w:val="14"/>
                <w:b w:val="1"/>
                <w:bCs w:val="1"/>
                <w:color w:val="FFFFFF"/>
              </w:rPr>
              <w:t>QoQ</w:t>
            </w:r>
          </w:p>
        </w:tc>
        <w:tc>
          <w:tcPr>
            <w:tcW w:w="1480" w:type="dxa"/>
            <w:vAlign w:val="bottom"/>
            <w:tcBorders>
              <w:bottom w:val="single" w:sz="8" w:color="auto"/>
              <w:right w:val="single" w:sz="8" w:color="auto"/>
            </w:tcBorders>
            <w:shd w:val="clear" w:color="auto" w:fill="2AD2C9"/>
          </w:tcPr>
          <w:p>
            <w:pPr>
              <w:ind w:left="780"/>
              <w:spacing w:after="0"/>
              <w:rPr>
                <w:sz w:val="20"/>
                <w:szCs w:val="20"/>
                <w:color w:val="auto"/>
              </w:rPr>
            </w:pPr>
            <w:r>
              <w:rPr>
                <w:rFonts w:ascii="Times New Roman" w:cs="Times New Roman" w:eastAsia="Times New Roman" w:hAnsi="Times New Roman"/>
                <w:sz w:val="14"/>
                <w:szCs w:val="14"/>
                <w:b w:val="1"/>
                <w:bCs w:val="1"/>
                <w:color w:val="FFFFFF"/>
              </w:rPr>
              <w:t>YoY</w:t>
            </w:r>
          </w:p>
        </w:tc>
      </w:tr>
      <w:tr>
        <w:trPr>
          <w:trHeight w:val="109"/>
        </w:trPr>
        <w:tc>
          <w:tcPr>
            <w:tcW w:w="5200" w:type="dxa"/>
            <w:vAlign w:val="bottom"/>
            <w:tcBorders>
              <w:left w:val="single" w:sz="8" w:color="auto"/>
              <w:right w:val="single" w:sz="8" w:color="auto"/>
            </w:tcBorders>
          </w:tcPr>
          <w:p>
            <w:pPr>
              <w:ind w:left="120"/>
              <w:spacing w:after="0" w:line="109" w:lineRule="exact"/>
              <w:rPr>
                <w:sz w:val="20"/>
                <w:szCs w:val="20"/>
                <w:color w:val="auto"/>
              </w:rPr>
            </w:pPr>
            <w:r>
              <w:rPr>
                <w:rFonts w:ascii="Times New Roman" w:cs="Times New Roman" w:eastAsia="Times New Roman" w:hAnsi="Times New Roman"/>
                <w:sz w:val="12"/>
                <w:szCs w:val="12"/>
                <w:color w:val="auto"/>
              </w:rPr>
              <w:t>Total assets</w:t>
            </w:r>
          </w:p>
        </w:tc>
        <w:tc>
          <w:tcPr>
            <w:tcW w:w="110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color w:val="auto"/>
              </w:rPr>
              <w:t>20,203,139</w:t>
            </w:r>
          </w:p>
        </w:tc>
        <w:tc>
          <w:tcPr>
            <w:tcW w:w="112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color w:val="auto"/>
              </w:rPr>
              <w:t>20,626,179</w:t>
            </w:r>
          </w:p>
        </w:tc>
        <w:tc>
          <w:tcPr>
            <w:tcW w:w="1140" w:type="dxa"/>
            <w:vAlign w:val="bottom"/>
            <w:tcBorders>
              <w:right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color w:val="auto"/>
              </w:rPr>
              <w:t>21,109,210</w:t>
            </w:r>
          </w:p>
        </w:tc>
        <w:tc>
          <w:tcPr>
            <w:tcW w:w="760" w:type="dxa"/>
            <w:vAlign w:val="bottom"/>
          </w:tcPr>
          <w:p>
            <w:pPr>
              <w:jc w:val="center"/>
              <w:ind w:left="253"/>
              <w:spacing w:after="0" w:line="109" w:lineRule="exact"/>
              <w:rPr>
                <w:sz w:val="20"/>
                <w:szCs w:val="20"/>
                <w:color w:val="auto"/>
              </w:rPr>
            </w:pPr>
            <w:r>
              <w:rPr>
                <w:rFonts w:ascii="Times New Roman" w:cs="Times New Roman" w:eastAsia="Times New Roman" w:hAnsi="Times New Roman"/>
                <w:sz w:val="12"/>
                <w:szCs w:val="12"/>
                <w:color w:val="auto"/>
              </w:rPr>
              <w:t>2.3%</w:t>
            </w:r>
          </w:p>
        </w:tc>
        <w:tc>
          <w:tcPr>
            <w:tcW w:w="1480" w:type="dxa"/>
            <w:vAlign w:val="bottom"/>
            <w:tcBorders>
              <w:right w:val="single" w:sz="8" w:color="auto"/>
            </w:tcBorders>
          </w:tcPr>
          <w:p>
            <w:pPr>
              <w:ind w:left="760"/>
              <w:spacing w:after="0" w:line="109" w:lineRule="exact"/>
              <w:rPr>
                <w:sz w:val="20"/>
                <w:szCs w:val="20"/>
                <w:color w:val="auto"/>
              </w:rPr>
            </w:pPr>
            <w:r>
              <w:rPr>
                <w:rFonts w:ascii="Times New Roman" w:cs="Times New Roman" w:eastAsia="Times New Roman" w:hAnsi="Times New Roman"/>
                <w:sz w:val="12"/>
                <w:szCs w:val="12"/>
                <w:color w:val="auto"/>
              </w:rPr>
              <w:t>4.5%</w:t>
            </w:r>
          </w:p>
        </w:tc>
      </w:tr>
      <w:tr>
        <w:trPr>
          <w:trHeight w:val="143"/>
        </w:trPr>
        <w:tc>
          <w:tcPr>
            <w:tcW w:w="5200" w:type="dxa"/>
            <w:vAlign w:val="bottom"/>
            <w:tcBorders>
              <w:left w:val="single" w:sz="8" w:color="auto"/>
              <w:right w:val="single" w:sz="8" w:color="auto"/>
            </w:tcBorders>
          </w:tcPr>
          <w:p>
            <w:pPr>
              <w:ind w:left="120"/>
              <w:spacing w:after="0" w:line="143" w:lineRule="exact"/>
              <w:rPr>
                <w:sz w:val="20"/>
                <w:szCs w:val="20"/>
                <w:color w:val="auto"/>
              </w:rPr>
            </w:pPr>
            <w:r>
              <w:rPr>
                <w:rFonts w:ascii="Times New Roman" w:cs="Times New Roman" w:eastAsia="Times New Roman" w:hAnsi="Times New Roman"/>
                <w:sz w:val="11"/>
                <w:szCs w:val="11"/>
                <w:color w:val="auto"/>
              </w:rPr>
              <w:t xml:space="preserve">Total Invesment </w:t>
            </w:r>
            <w:r>
              <w:rPr>
                <w:rFonts w:ascii="Times New Roman" w:cs="Times New Roman" w:eastAsia="Times New Roman" w:hAnsi="Times New Roman"/>
                <w:sz w:val="16"/>
                <w:szCs w:val="16"/>
                <w:color w:val="auto"/>
                <w:vertAlign w:val="superscript"/>
              </w:rPr>
              <w:t>(1)</w:t>
            </w:r>
          </w:p>
        </w:tc>
        <w:tc>
          <w:tcPr>
            <w:tcW w:w="110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color w:val="auto"/>
                <w:w w:val="95"/>
              </w:rPr>
              <w:t>14,117,211</w:t>
            </w:r>
          </w:p>
        </w:tc>
        <w:tc>
          <w:tcPr>
            <w:tcW w:w="112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color w:val="auto"/>
                <w:w w:val="95"/>
              </w:rPr>
              <w:t>14,870,100</w:t>
            </w:r>
          </w:p>
        </w:tc>
        <w:tc>
          <w:tcPr>
            <w:tcW w:w="1140" w:type="dxa"/>
            <w:vAlign w:val="bottom"/>
            <w:tcBorders>
              <w:right w:val="single" w:sz="8" w:color="auto"/>
            </w:tcBorders>
          </w:tcPr>
          <w:p>
            <w:pPr>
              <w:jc w:val="center"/>
              <w:spacing w:after="0" w:line="143" w:lineRule="exact"/>
              <w:rPr>
                <w:sz w:val="20"/>
                <w:szCs w:val="20"/>
                <w:color w:val="auto"/>
              </w:rPr>
            </w:pPr>
            <w:r>
              <w:rPr>
                <w:rFonts w:ascii="Times New Roman" w:cs="Times New Roman" w:eastAsia="Times New Roman" w:hAnsi="Times New Roman"/>
                <w:sz w:val="14"/>
                <w:szCs w:val="14"/>
                <w:color w:val="auto"/>
                <w:w w:val="95"/>
              </w:rPr>
              <w:t>14,826,311</w:t>
            </w:r>
          </w:p>
        </w:tc>
        <w:tc>
          <w:tcPr>
            <w:tcW w:w="760" w:type="dxa"/>
            <w:vAlign w:val="bottom"/>
          </w:tcPr>
          <w:p>
            <w:pPr>
              <w:jc w:val="center"/>
              <w:ind w:left="253"/>
              <w:spacing w:after="0" w:line="143" w:lineRule="exact"/>
              <w:rPr>
                <w:sz w:val="20"/>
                <w:szCs w:val="20"/>
                <w:color w:val="auto"/>
              </w:rPr>
            </w:pPr>
            <w:r>
              <w:rPr>
                <w:rFonts w:ascii="Times New Roman" w:cs="Times New Roman" w:eastAsia="Times New Roman" w:hAnsi="Times New Roman"/>
                <w:sz w:val="14"/>
                <w:szCs w:val="14"/>
                <w:color w:val="auto"/>
                <w:w w:val="94"/>
              </w:rPr>
              <w:t>-0.3%</w:t>
            </w:r>
          </w:p>
        </w:tc>
        <w:tc>
          <w:tcPr>
            <w:tcW w:w="1480" w:type="dxa"/>
            <w:vAlign w:val="bottom"/>
            <w:tcBorders>
              <w:right w:val="single" w:sz="8" w:color="auto"/>
            </w:tcBorders>
          </w:tcPr>
          <w:p>
            <w:pPr>
              <w:ind w:left="760"/>
              <w:spacing w:after="0" w:line="143" w:lineRule="exact"/>
              <w:rPr>
                <w:sz w:val="20"/>
                <w:szCs w:val="20"/>
                <w:color w:val="auto"/>
              </w:rPr>
            </w:pPr>
            <w:r>
              <w:rPr>
                <w:rFonts w:ascii="Times New Roman" w:cs="Times New Roman" w:eastAsia="Times New Roman" w:hAnsi="Times New Roman"/>
                <w:sz w:val="14"/>
                <w:szCs w:val="14"/>
                <w:color w:val="auto"/>
              </w:rPr>
              <w:t>5.0%</w:t>
            </w:r>
          </w:p>
        </w:tc>
      </w:tr>
      <w:tr>
        <w:trPr>
          <w:trHeight w:val="140"/>
        </w:trPr>
        <w:tc>
          <w:tcPr>
            <w:tcW w:w="5200" w:type="dxa"/>
            <w:vAlign w:val="bottom"/>
            <w:tcBorders>
              <w:left w:val="single" w:sz="8" w:color="auto"/>
              <w:right w:val="single" w:sz="8" w:color="auto"/>
            </w:tcBorders>
          </w:tcPr>
          <w:p>
            <w:pPr>
              <w:ind w:left="120"/>
              <w:spacing w:after="0" w:line="140" w:lineRule="exact"/>
              <w:rPr>
                <w:sz w:val="20"/>
                <w:szCs w:val="20"/>
                <w:color w:val="auto"/>
              </w:rPr>
            </w:pPr>
            <w:r>
              <w:rPr>
                <w:rFonts w:ascii="Times New Roman" w:cs="Times New Roman" w:eastAsia="Times New Roman" w:hAnsi="Times New Roman"/>
                <w:sz w:val="14"/>
                <w:szCs w:val="14"/>
                <w:color w:val="auto"/>
              </w:rPr>
              <w:t>Total Liabilities</w:t>
            </w:r>
          </w:p>
        </w:tc>
        <w:tc>
          <w:tcPr>
            <w:tcW w:w="110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8"/>
              </w:rPr>
              <w:t>16,280,582</w:t>
            </w:r>
          </w:p>
        </w:tc>
        <w:tc>
          <w:tcPr>
            <w:tcW w:w="11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5"/>
              </w:rPr>
              <w:t>16,311,360</w:t>
            </w:r>
          </w:p>
        </w:tc>
        <w:tc>
          <w:tcPr>
            <w:tcW w:w="114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5"/>
              </w:rPr>
              <w:t>17,089,133</w:t>
            </w:r>
          </w:p>
        </w:tc>
        <w:tc>
          <w:tcPr>
            <w:tcW w:w="760" w:type="dxa"/>
            <w:vAlign w:val="bottom"/>
          </w:tcPr>
          <w:p>
            <w:pPr>
              <w:jc w:val="center"/>
              <w:ind w:left="253"/>
              <w:spacing w:after="0" w:line="140" w:lineRule="exact"/>
              <w:rPr>
                <w:sz w:val="20"/>
                <w:szCs w:val="20"/>
                <w:color w:val="auto"/>
              </w:rPr>
            </w:pPr>
            <w:r>
              <w:rPr>
                <w:rFonts w:ascii="Times New Roman" w:cs="Times New Roman" w:eastAsia="Times New Roman" w:hAnsi="Times New Roman"/>
                <w:sz w:val="14"/>
                <w:szCs w:val="14"/>
                <w:color w:val="auto"/>
                <w:w w:val="95"/>
              </w:rPr>
              <w:t>4.8%</w:t>
            </w:r>
          </w:p>
        </w:tc>
        <w:tc>
          <w:tcPr>
            <w:tcW w:w="1480" w:type="dxa"/>
            <w:vAlign w:val="bottom"/>
            <w:tcBorders>
              <w:right w:val="single" w:sz="8" w:color="auto"/>
            </w:tcBorders>
          </w:tcPr>
          <w:p>
            <w:pPr>
              <w:ind w:left="760"/>
              <w:spacing w:after="0" w:line="140" w:lineRule="exact"/>
              <w:rPr>
                <w:sz w:val="20"/>
                <w:szCs w:val="20"/>
                <w:color w:val="auto"/>
              </w:rPr>
            </w:pPr>
            <w:r>
              <w:rPr>
                <w:rFonts w:ascii="Times New Roman" w:cs="Times New Roman" w:eastAsia="Times New Roman" w:hAnsi="Times New Roman"/>
                <w:sz w:val="14"/>
                <w:szCs w:val="14"/>
                <w:color w:val="auto"/>
              </w:rPr>
              <w:t>5.0%</w:t>
            </w:r>
          </w:p>
        </w:tc>
      </w:tr>
      <w:tr>
        <w:trPr>
          <w:trHeight w:val="160"/>
        </w:trPr>
        <w:tc>
          <w:tcPr>
            <w:tcW w:w="5200" w:type="dxa"/>
            <w:vAlign w:val="bottom"/>
            <w:tcBorders>
              <w:left w:val="single" w:sz="8" w:color="auto"/>
              <w:bottom w:val="single" w:sz="8" w:color="auto"/>
              <w:right w:val="single" w:sz="8" w:color="auto"/>
            </w:tcBorders>
          </w:tcPr>
          <w:p>
            <w:pPr>
              <w:ind w:left="120"/>
              <w:spacing w:after="0" w:line="160" w:lineRule="exact"/>
              <w:rPr>
                <w:sz w:val="20"/>
                <w:szCs w:val="20"/>
                <w:color w:val="auto"/>
              </w:rPr>
            </w:pPr>
            <w:r>
              <w:rPr>
                <w:rFonts w:ascii="Times New Roman" w:cs="Times New Roman" w:eastAsia="Times New Roman" w:hAnsi="Times New Roman"/>
                <w:sz w:val="14"/>
                <w:szCs w:val="14"/>
                <w:color w:val="auto"/>
              </w:rPr>
              <w:t>Net equity</w:t>
            </w:r>
          </w:p>
        </w:tc>
        <w:tc>
          <w:tcPr>
            <w:tcW w:w="110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w w:val="96"/>
              </w:rPr>
              <w:t>3,177,756</w:t>
            </w:r>
          </w:p>
        </w:tc>
        <w:tc>
          <w:tcPr>
            <w:tcW w:w="112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w w:val="96"/>
              </w:rPr>
              <w:t>3,596,512</w:t>
            </w:r>
          </w:p>
        </w:tc>
        <w:tc>
          <w:tcPr>
            <w:tcW w:w="1140" w:type="dxa"/>
            <w:vAlign w:val="bottom"/>
            <w:tcBorders>
              <w:bottom w:val="single" w:sz="8" w:color="auto"/>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w w:val="96"/>
              </w:rPr>
              <w:t>3,412,102</w:t>
            </w:r>
          </w:p>
        </w:tc>
        <w:tc>
          <w:tcPr>
            <w:tcW w:w="760" w:type="dxa"/>
            <w:vAlign w:val="bottom"/>
            <w:tcBorders>
              <w:bottom w:val="single" w:sz="8" w:color="auto"/>
            </w:tcBorders>
          </w:tcPr>
          <w:p>
            <w:pPr>
              <w:jc w:val="center"/>
              <w:ind w:left="253"/>
              <w:spacing w:after="0" w:line="160" w:lineRule="exact"/>
              <w:rPr>
                <w:sz w:val="20"/>
                <w:szCs w:val="20"/>
                <w:color w:val="auto"/>
              </w:rPr>
            </w:pPr>
            <w:r>
              <w:rPr>
                <w:rFonts w:ascii="Times New Roman" w:cs="Times New Roman" w:eastAsia="Times New Roman" w:hAnsi="Times New Roman"/>
                <w:sz w:val="14"/>
                <w:szCs w:val="14"/>
                <w:color w:val="auto"/>
                <w:w w:val="94"/>
              </w:rPr>
              <w:t>-5.1%</w:t>
            </w:r>
          </w:p>
        </w:tc>
        <w:tc>
          <w:tcPr>
            <w:tcW w:w="1480" w:type="dxa"/>
            <w:vAlign w:val="bottom"/>
            <w:tcBorders>
              <w:bottom w:val="single" w:sz="8" w:color="auto"/>
              <w:right w:val="single" w:sz="8" w:color="auto"/>
            </w:tcBorders>
          </w:tcPr>
          <w:p>
            <w:pPr>
              <w:ind w:left="760"/>
              <w:spacing w:after="0" w:line="160" w:lineRule="exact"/>
              <w:rPr>
                <w:sz w:val="20"/>
                <w:szCs w:val="20"/>
                <w:color w:val="auto"/>
              </w:rPr>
            </w:pPr>
            <w:r>
              <w:rPr>
                <w:rFonts w:ascii="Times New Roman" w:cs="Times New Roman" w:eastAsia="Times New Roman" w:hAnsi="Times New Roman"/>
                <w:sz w:val="14"/>
                <w:szCs w:val="14"/>
                <w:color w:val="auto"/>
              </w:rPr>
              <w:t>7.4%</w:t>
            </w:r>
          </w:p>
        </w:tc>
      </w:tr>
    </w:tbl>
    <w:p>
      <w:pPr>
        <w:spacing w:after="0" w:line="187" w:lineRule="exact"/>
        <w:rPr>
          <w:sz w:val="20"/>
          <w:szCs w:val="20"/>
          <w:color w:val="auto"/>
        </w:rPr>
      </w:pPr>
    </w:p>
    <w:tbl>
      <w:tblPr>
        <w:tblLayout w:type="fixed"/>
        <w:tblInd w:w="230" w:type="dxa"/>
        <w:tblCellMar>
          <w:top w:w="0" w:type="dxa"/>
          <w:left w:w="0" w:type="dxa"/>
          <w:bottom w:w="0" w:type="dxa"/>
          <w:right w:w="0" w:type="dxa"/>
        </w:tblCellMar>
      </w:tblPr>
      <w:tr>
        <w:trPr>
          <w:trHeight w:val="202"/>
        </w:trPr>
        <w:tc>
          <w:tcPr>
            <w:tcW w:w="3880" w:type="dxa"/>
            <w:vAlign w:val="bottom"/>
          </w:tcPr>
          <w:p>
            <w:pPr>
              <w:spacing w:after="0"/>
              <w:rPr>
                <w:sz w:val="17"/>
                <w:szCs w:val="17"/>
                <w:color w:val="auto"/>
              </w:rPr>
            </w:pPr>
          </w:p>
        </w:tc>
        <w:tc>
          <w:tcPr>
            <w:tcW w:w="2460" w:type="dxa"/>
            <w:vAlign w:val="bottom"/>
            <w:gridSpan w:val="2"/>
          </w:tcPr>
          <w:p>
            <w:pPr>
              <w:jc w:val="right"/>
              <w:ind w:right="193"/>
              <w:spacing w:after="0"/>
              <w:rPr>
                <w:sz w:val="20"/>
                <w:szCs w:val="20"/>
                <w:color w:val="auto"/>
              </w:rPr>
            </w:pPr>
            <w:r>
              <w:rPr>
                <w:rFonts w:ascii="Times New Roman" w:cs="Times New Roman" w:eastAsia="Times New Roman" w:hAnsi="Times New Roman"/>
                <w:sz w:val="15"/>
                <w:szCs w:val="15"/>
                <w:b w:val="1"/>
                <w:bCs w:val="1"/>
                <w:color w:val="auto"/>
              </w:rPr>
              <w:t>Statement of Income</w:t>
            </w:r>
          </w:p>
        </w:tc>
        <w:tc>
          <w:tcPr>
            <w:tcW w:w="10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tcPr>
          <w:p>
            <w:pPr>
              <w:spacing w:after="0"/>
              <w:rPr>
                <w:sz w:val="17"/>
                <w:szCs w:val="17"/>
                <w:color w:val="auto"/>
              </w:rPr>
            </w:pPr>
          </w:p>
        </w:tc>
        <w:tc>
          <w:tcPr>
            <w:tcW w:w="2460" w:type="dxa"/>
            <w:vAlign w:val="bottom"/>
            <w:gridSpan w:val="2"/>
          </w:tcPr>
          <w:p>
            <w:pPr>
              <w:jc w:val="right"/>
              <w:ind w:right="193"/>
              <w:spacing w:after="0"/>
              <w:rPr>
                <w:sz w:val="20"/>
                <w:szCs w:val="20"/>
                <w:color w:val="auto"/>
              </w:rPr>
            </w:pPr>
            <w:r>
              <w:rPr>
                <w:rFonts w:ascii="Times New Roman" w:cs="Times New Roman" w:eastAsia="Times New Roman" w:hAnsi="Times New Roman"/>
                <w:sz w:val="15"/>
                <w:szCs w:val="15"/>
                <w:b w:val="1"/>
                <w:bCs w:val="1"/>
                <w:color w:val="auto"/>
              </w:rPr>
              <w:t>(S/ Thousands, IFRS)</w:t>
            </w:r>
          </w:p>
        </w:tc>
        <w:tc>
          <w:tcPr>
            <w:tcW w:w="10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8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880" w:type="dxa"/>
            <w:vAlign w:val="bottom"/>
            <w:tcBorders>
              <w:left w:val="single" w:sz="8" w:color="auto"/>
            </w:tcBorders>
            <w:shd w:val="clear" w:color="auto" w:fill="2AD2C9"/>
          </w:tcPr>
          <w:p>
            <w:pPr>
              <w:spacing w:after="0"/>
              <w:rPr>
                <w:sz w:val="9"/>
                <w:szCs w:val="9"/>
                <w:color w:val="auto"/>
              </w:rPr>
            </w:pPr>
          </w:p>
        </w:tc>
        <w:tc>
          <w:tcPr>
            <w:tcW w:w="1320" w:type="dxa"/>
            <w:vAlign w:val="bottom"/>
            <w:tcBorders>
              <w:right w:val="single" w:sz="8" w:color="auto"/>
            </w:tcBorders>
            <w:shd w:val="clear" w:color="auto" w:fill="2AD2C9"/>
          </w:tcPr>
          <w:p>
            <w:pPr>
              <w:spacing w:after="0"/>
              <w:rPr>
                <w:sz w:val="9"/>
                <w:szCs w:val="9"/>
                <w:color w:val="auto"/>
              </w:rPr>
            </w:pPr>
          </w:p>
        </w:tc>
        <w:tc>
          <w:tcPr>
            <w:tcW w:w="1140" w:type="dxa"/>
            <w:vAlign w:val="bottom"/>
            <w:shd w:val="clear" w:color="auto" w:fill="2AD2C9"/>
          </w:tcPr>
          <w:p>
            <w:pPr>
              <w:spacing w:after="0"/>
              <w:rPr>
                <w:sz w:val="9"/>
                <w:szCs w:val="9"/>
                <w:color w:val="auto"/>
              </w:rPr>
            </w:pPr>
          </w:p>
        </w:tc>
        <w:tc>
          <w:tcPr>
            <w:tcW w:w="1080" w:type="dxa"/>
            <w:vAlign w:val="bottom"/>
            <w:shd w:val="clear" w:color="auto" w:fill="2AD2C9"/>
          </w:tcPr>
          <w:p>
            <w:pPr>
              <w:ind w:left="300"/>
              <w:spacing w:after="0" w:line="108" w:lineRule="exact"/>
              <w:rPr>
                <w:sz w:val="20"/>
                <w:szCs w:val="20"/>
                <w:color w:val="auto"/>
              </w:rPr>
            </w:pPr>
            <w:r>
              <w:rPr>
                <w:rFonts w:ascii="Times New Roman" w:cs="Times New Roman" w:eastAsia="Times New Roman" w:hAnsi="Times New Roman"/>
                <w:sz w:val="12"/>
                <w:szCs w:val="12"/>
                <w:b w:val="1"/>
                <w:bCs w:val="1"/>
                <w:color w:val="FFFFFF"/>
              </w:rPr>
              <w:t>Quarter</w:t>
            </w:r>
          </w:p>
        </w:tc>
        <w:tc>
          <w:tcPr>
            <w:tcW w:w="1140" w:type="dxa"/>
            <w:vAlign w:val="bottom"/>
            <w:tcBorders>
              <w:right w:val="single" w:sz="8" w:color="auto"/>
            </w:tcBorders>
            <w:shd w:val="clear" w:color="auto" w:fill="2AD2C9"/>
          </w:tcPr>
          <w:p>
            <w:pPr>
              <w:spacing w:after="0"/>
              <w:rPr>
                <w:sz w:val="9"/>
                <w:szCs w:val="9"/>
                <w:color w:val="auto"/>
              </w:rPr>
            </w:pPr>
          </w:p>
        </w:tc>
        <w:tc>
          <w:tcPr>
            <w:tcW w:w="780" w:type="dxa"/>
            <w:vAlign w:val="bottom"/>
            <w:shd w:val="clear" w:color="auto" w:fill="2AD2C9"/>
          </w:tcPr>
          <w:p>
            <w:pPr>
              <w:spacing w:after="0"/>
              <w:rPr>
                <w:sz w:val="9"/>
                <w:szCs w:val="9"/>
                <w:color w:val="auto"/>
              </w:rPr>
            </w:pPr>
          </w:p>
        </w:tc>
        <w:tc>
          <w:tcPr>
            <w:tcW w:w="1460" w:type="dxa"/>
            <w:vAlign w:val="bottom"/>
            <w:tcBorders>
              <w:right w:val="single" w:sz="8" w:color="auto"/>
            </w:tcBorders>
            <w:shd w:val="clear" w:color="auto" w:fill="2AD2C9"/>
          </w:tcPr>
          <w:p>
            <w:pPr>
              <w:ind w:left="20"/>
              <w:spacing w:after="0" w:line="108" w:lineRule="exact"/>
              <w:rPr>
                <w:sz w:val="20"/>
                <w:szCs w:val="20"/>
                <w:color w:val="auto"/>
              </w:rPr>
            </w:pPr>
            <w:r>
              <w:rPr>
                <w:rFonts w:ascii="Times New Roman" w:cs="Times New Roman" w:eastAsia="Times New Roman" w:hAnsi="Times New Roman"/>
                <w:sz w:val="12"/>
                <w:szCs w:val="12"/>
                <w:b w:val="1"/>
                <w:bCs w:val="1"/>
                <w:color w:val="FFFFFF"/>
              </w:rPr>
              <w:t>% Change</w:t>
            </w:r>
          </w:p>
        </w:tc>
        <w:tc>
          <w:tcPr>
            <w:tcW w:w="0" w:type="dxa"/>
            <w:vAlign w:val="bottom"/>
          </w:tcPr>
          <w:p>
            <w:pPr>
              <w:spacing w:after="0"/>
              <w:rPr>
                <w:sz w:val="1"/>
                <w:szCs w:val="1"/>
                <w:color w:val="auto"/>
              </w:rPr>
            </w:pPr>
          </w:p>
        </w:tc>
      </w:tr>
      <w:tr>
        <w:trPr>
          <w:trHeight w:val="164"/>
        </w:trPr>
        <w:tc>
          <w:tcPr>
            <w:tcW w:w="3880" w:type="dxa"/>
            <w:vAlign w:val="bottom"/>
            <w:tcBorders>
              <w:left w:val="single" w:sz="8" w:color="auto"/>
              <w:bottom w:val="single" w:sz="8" w:color="auto"/>
            </w:tcBorders>
            <w:shd w:val="clear" w:color="auto" w:fill="2AD2C9"/>
          </w:tcPr>
          <w:p>
            <w:pPr>
              <w:spacing w:after="0"/>
              <w:rPr>
                <w:sz w:val="14"/>
                <w:szCs w:val="14"/>
                <w:color w:val="auto"/>
              </w:rPr>
            </w:pPr>
          </w:p>
        </w:tc>
        <w:tc>
          <w:tcPr>
            <w:tcW w:w="1320" w:type="dxa"/>
            <w:vAlign w:val="bottom"/>
            <w:tcBorders>
              <w:bottom w:val="single" w:sz="8" w:color="auto"/>
              <w:right w:val="single" w:sz="8" w:color="auto"/>
            </w:tcBorders>
            <w:shd w:val="clear" w:color="auto" w:fill="2AD2C9"/>
          </w:tcPr>
          <w:p>
            <w:pPr>
              <w:spacing w:after="0"/>
              <w:rPr>
                <w:sz w:val="14"/>
                <w:szCs w:val="14"/>
                <w:color w:val="auto"/>
              </w:rPr>
            </w:pPr>
          </w:p>
        </w:tc>
        <w:tc>
          <w:tcPr>
            <w:tcW w:w="1140" w:type="dxa"/>
            <w:vAlign w:val="bottom"/>
            <w:tcBorders>
              <w:bottom w:val="single" w:sz="8" w:color="auto"/>
            </w:tcBorders>
            <w:shd w:val="clear" w:color="auto" w:fill="2AD2C9"/>
          </w:tcPr>
          <w:p>
            <w:pPr>
              <w:jc w:val="center"/>
              <w:spacing w:after="0"/>
              <w:rPr>
                <w:sz w:val="20"/>
                <w:szCs w:val="20"/>
                <w:color w:val="auto"/>
              </w:rPr>
            </w:pPr>
            <w:r>
              <w:rPr>
                <w:rFonts w:ascii="Times New Roman" w:cs="Times New Roman" w:eastAsia="Times New Roman" w:hAnsi="Times New Roman"/>
                <w:sz w:val="14"/>
                <w:szCs w:val="14"/>
                <w:b w:val="1"/>
                <w:bCs w:val="1"/>
                <w:color w:val="FFFFFF"/>
                <w:w w:val="93"/>
              </w:rPr>
              <w:t>1Q25</w:t>
            </w:r>
          </w:p>
        </w:tc>
        <w:tc>
          <w:tcPr>
            <w:tcW w:w="1080" w:type="dxa"/>
            <w:vAlign w:val="bottom"/>
            <w:tcBorders>
              <w:bottom w:val="single" w:sz="8" w:color="auto"/>
            </w:tcBorders>
            <w:shd w:val="clear" w:color="auto" w:fill="2AD2C9"/>
          </w:tcPr>
          <w:p>
            <w:pPr>
              <w:jc w:val="center"/>
              <w:spacing w:after="0"/>
              <w:rPr>
                <w:sz w:val="20"/>
                <w:szCs w:val="20"/>
                <w:color w:val="auto"/>
              </w:rPr>
            </w:pPr>
            <w:r>
              <w:rPr>
                <w:rFonts w:ascii="Times New Roman" w:cs="Times New Roman" w:eastAsia="Times New Roman" w:hAnsi="Times New Roman"/>
                <w:sz w:val="14"/>
                <w:szCs w:val="14"/>
                <w:b w:val="1"/>
                <w:bCs w:val="1"/>
                <w:color w:val="FFFFFF"/>
              </w:rPr>
              <w:t>4Q25</w:t>
            </w:r>
          </w:p>
        </w:tc>
        <w:tc>
          <w:tcPr>
            <w:tcW w:w="114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Times New Roman" w:cs="Times New Roman" w:eastAsia="Times New Roman" w:hAnsi="Times New Roman"/>
                <w:sz w:val="14"/>
                <w:szCs w:val="14"/>
                <w:b w:val="1"/>
                <w:bCs w:val="1"/>
                <w:color w:val="FFFFFF"/>
              </w:rPr>
              <w:t>1Q26</w:t>
            </w:r>
          </w:p>
        </w:tc>
        <w:tc>
          <w:tcPr>
            <w:tcW w:w="780" w:type="dxa"/>
            <w:vAlign w:val="bottom"/>
            <w:tcBorders>
              <w:bottom w:val="single" w:sz="8" w:color="auto"/>
            </w:tcBorders>
            <w:shd w:val="clear" w:color="auto" w:fill="2AD2C9"/>
          </w:tcPr>
          <w:p>
            <w:pPr>
              <w:ind w:left="400"/>
              <w:spacing w:after="0"/>
              <w:rPr>
                <w:sz w:val="20"/>
                <w:szCs w:val="20"/>
                <w:color w:val="auto"/>
              </w:rPr>
            </w:pPr>
            <w:r>
              <w:rPr>
                <w:rFonts w:ascii="Times New Roman" w:cs="Times New Roman" w:eastAsia="Times New Roman" w:hAnsi="Times New Roman"/>
                <w:sz w:val="14"/>
                <w:szCs w:val="14"/>
                <w:b w:val="1"/>
                <w:bCs w:val="1"/>
                <w:color w:val="FFFFFF"/>
              </w:rPr>
              <w:t>QoQ</w:t>
            </w:r>
          </w:p>
        </w:tc>
        <w:tc>
          <w:tcPr>
            <w:tcW w:w="1460" w:type="dxa"/>
            <w:vAlign w:val="bottom"/>
            <w:tcBorders>
              <w:bottom w:val="single" w:sz="8" w:color="auto"/>
              <w:right w:val="single" w:sz="8" w:color="auto"/>
            </w:tcBorders>
            <w:shd w:val="clear" w:color="auto" w:fill="2AD2C9"/>
          </w:tcPr>
          <w:p>
            <w:pPr>
              <w:ind w:left="760"/>
              <w:spacing w:after="0"/>
              <w:rPr>
                <w:sz w:val="20"/>
                <w:szCs w:val="20"/>
                <w:color w:val="auto"/>
              </w:rPr>
            </w:pPr>
            <w:r>
              <w:rPr>
                <w:rFonts w:ascii="Times New Roman" w:cs="Times New Roman" w:eastAsia="Times New Roman" w:hAnsi="Times New Roman"/>
                <w:sz w:val="14"/>
                <w:szCs w:val="14"/>
                <w:b w:val="1"/>
                <w:bCs w:val="1"/>
                <w:color w:val="FFFFFF"/>
              </w:rPr>
              <w:t>YoY</w:t>
            </w:r>
          </w:p>
        </w:tc>
        <w:tc>
          <w:tcPr>
            <w:tcW w:w="0" w:type="dxa"/>
            <w:vAlign w:val="bottom"/>
          </w:tcPr>
          <w:p>
            <w:pPr>
              <w:spacing w:after="0"/>
              <w:rPr>
                <w:sz w:val="1"/>
                <w:szCs w:val="1"/>
                <w:color w:val="auto"/>
              </w:rPr>
            </w:pPr>
          </w:p>
        </w:tc>
      </w:tr>
      <w:tr>
        <w:trPr>
          <w:trHeight w:val="112"/>
        </w:trPr>
        <w:tc>
          <w:tcPr>
            <w:tcW w:w="3880" w:type="dxa"/>
            <w:vAlign w:val="bottom"/>
            <w:tcBorders>
              <w:left w:val="single" w:sz="8" w:color="auto"/>
            </w:tcBorders>
          </w:tcPr>
          <w:p>
            <w:pPr>
              <w:ind w:left="120"/>
              <w:spacing w:after="0" w:line="112" w:lineRule="exact"/>
              <w:rPr>
                <w:sz w:val="20"/>
                <w:szCs w:val="20"/>
                <w:color w:val="auto"/>
              </w:rPr>
            </w:pPr>
            <w:r>
              <w:rPr>
                <w:rFonts w:ascii="Times New Roman" w:cs="Times New Roman" w:eastAsia="Times New Roman" w:hAnsi="Times New Roman"/>
                <w:sz w:val="12"/>
                <w:szCs w:val="12"/>
                <w:color w:val="auto"/>
              </w:rPr>
              <w:t>Insurance Service Result</w:t>
            </w:r>
          </w:p>
        </w:tc>
        <w:tc>
          <w:tcPr>
            <w:tcW w:w="1320" w:type="dxa"/>
            <w:vAlign w:val="bottom"/>
            <w:tcBorders>
              <w:right w:val="single" w:sz="8" w:color="auto"/>
            </w:tcBorders>
          </w:tcPr>
          <w:p>
            <w:pPr>
              <w:spacing w:after="0"/>
              <w:rPr>
                <w:sz w:val="9"/>
                <w:szCs w:val="9"/>
                <w:color w:val="auto"/>
              </w:rPr>
            </w:pPr>
          </w:p>
        </w:tc>
        <w:tc>
          <w:tcPr>
            <w:tcW w:w="1140" w:type="dxa"/>
            <w:vAlign w:val="bottom"/>
          </w:tcPr>
          <w:p>
            <w:pPr>
              <w:jc w:val="center"/>
              <w:spacing w:after="0" w:line="112" w:lineRule="exact"/>
              <w:rPr>
                <w:sz w:val="20"/>
                <w:szCs w:val="20"/>
                <w:color w:val="auto"/>
              </w:rPr>
            </w:pPr>
            <w:r>
              <w:rPr>
                <w:rFonts w:ascii="Times New Roman" w:cs="Times New Roman" w:eastAsia="Times New Roman" w:hAnsi="Times New Roman"/>
                <w:sz w:val="12"/>
                <w:szCs w:val="12"/>
                <w:color w:val="auto"/>
              </w:rPr>
              <w:t>279,931</w:t>
            </w:r>
          </w:p>
        </w:tc>
        <w:tc>
          <w:tcPr>
            <w:tcW w:w="1080" w:type="dxa"/>
            <w:vAlign w:val="bottom"/>
          </w:tcPr>
          <w:p>
            <w:pPr>
              <w:jc w:val="center"/>
              <w:spacing w:after="0" w:line="112" w:lineRule="exact"/>
              <w:rPr>
                <w:sz w:val="20"/>
                <w:szCs w:val="20"/>
                <w:color w:val="auto"/>
              </w:rPr>
            </w:pPr>
            <w:r>
              <w:rPr>
                <w:rFonts w:ascii="Times New Roman" w:cs="Times New Roman" w:eastAsia="Times New Roman" w:hAnsi="Times New Roman"/>
                <w:sz w:val="12"/>
                <w:szCs w:val="12"/>
                <w:color w:val="auto"/>
              </w:rPr>
              <w:t>385,944</w:t>
            </w:r>
          </w:p>
        </w:tc>
        <w:tc>
          <w:tcPr>
            <w:tcW w:w="1140" w:type="dxa"/>
            <w:vAlign w:val="bottom"/>
            <w:tcBorders>
              <w:right w:val="single" w:sz="8" w:color="auto"/>
            </w:tcBorders>
          </w:tcPr>
          <w:p>
            <w:pPr>
              <w:jc w:val="center"/>
              <w:spacing w:after="0" w:line="112" w:lineRule="exact"/>
              <w:rPr>
                <w:sz w:val="20"/>
                <w:szCs w:val="20"/>
                <w:color w:val="auto"/>
              </w:rPr>
            </w:pPr>
            <w:r>
              <w:rPr>
                <w:rFonts w:ascii="Times New Roman" w:cs="Times New Roman" w:eastAsia="Times New Roman" w:hAnsi="Times New Roman"/>
                <w:sz w:val="12"/>
                <w:szCs w:val="12"/>
                <w:color w:val="auto"/>
              </w:rPr>
              <w:t>221,138</w:t>
            </w:r>
          </w:p>
        </w:tc>
        <w:tc>
          <w:tcPr>
            <w:tcW w:w="780" w:type="dxa"/>
            <w:vAlign w:val="bottom"/>
          </w:tcPr>
          <w:p>
            <w:pPr>
              <w:jc w:val="center"/>
              <w:ind w:left="233"/>
              <w:spacing w:after="0" w:line="112" w:lineRule="exact"/>
              <w:rPr>
                <w:sz w:val="20"/>
                <w:szCs w:val="20"/>
                <w:color w:val="auto"/>
              </w:rPr>
            </w:pPr>
            <w:r>
              <w:rPr>
                <w:rFonts w:ascii="Times New Roman" w:cs="Times New Roman" w:eastAsia="Times New Roman" w:hAnsi="Times New Roman"/>
                <w:sz w:val="12"/>
                <w:szCs w:val="12"/>
                <w:color w:val="auto"/>
              </w:rPr>
              <w:t>-42.7%</w:t>
            </w:r>
          </w:p>
        </w:tc>
        <w:tc>
          <w:tcPr>
            <w:tcW w:w="1460" w:type="dxa"/>
            <w:vAlign w:val="bottom"/>
            <w:tcBorders>
              <w:right w:val="single" w:sz="8" w:color="auto"/>
            </w:tcBorders>
          </w:tcPr>
          <w:p>
            <w:pPr>
              <w:jc w:val="center"/>
              <w:ind w:left="233"/>
              <w:spacing w:after="0" w:line="112" w:lineRule="exact"/>
              <w:rPr>
                <w:sz w:val="20"/>
                <w:szCs w:val="20"/>
                <w:color w:val="auto"/>
              </w:rPr>
            </w:pPr>
            <w:r>
              <w:rPr>
                <w:rFonts w:ascii="Times New Roman" w:cs="Times New Roman" w:eastAsia="Times New Roman" w:hAnsi="Times New Roman"/>
                <w:sz w:val="12"/>
                <w:szCs w:val="12"/>
                <w:color w:val="auto"/>
              </w:rPr>
              <w:t>-21.0%</w:t>
            </w:r>
          </w:p>
        </w:tc>
        <w:tc>
          <w:tcPr>
            <w:tcW w:w="0" w:type="dxa"/>
            <w:vAlign w:val="bottom"/>
          </w:tcPr>
          <w:p>
            <w:pPr>
              <w:spacing w:after="0"/>
              <w:rPr>
                <w:sz w:val="1"/>
                <w:szCs w:val="1"/>
                <w:color w:val="auto"/>
              </w:rPr>
            </w:pPr>
          </w:p>
        </w:tc>
      </w:tr>
      <w:tr>
        <w:trPr>
          <w:trHeight w:val="136"/>
        </w:trPr>
        <w:tc>
          <w:tcPr>
            <w:tcW w:w="3880" w:type="dxa"/>
            <w:vAlign w:val="bottom"/>
            <w:tcBorders>
              <w:left w:val="single" w:sz="8" w:color="auto"/>
            </w:tcBorders>
          </w:tcPr>
          <w:p>
            <w:pPr>
              <w:ind w:left="120"/>
              <w:spacing w:after="0" w:line="136" w:lineRule="exact"/>
              <w:rPr>
                <w:sz w:val="20"/>
                <w:szCs w:val="20"/>
                <w:color w:val="auto"/>
              </w:rPr>
            </w:pPr>
            <w:r>
              <w:rPr>
                <w:rFonts w:ascii="Times New Roman" w:cs="Times New Roman" w:eastAsia="Times New Roman" w:hAnsi="Times New Roman"/>
                <w:sz w:val="14"/>
                <w:szCs w:val="14"/>
                <w:color w:val="auto"/>
              </w:rPr>
              <w:t>Reinsurance Result</w:t>
            </w:r>
          </w:p>
        </w:tc>
        <w:tc>
          <w:tcPr>
            <w:tcW w:w="1320" w:type="dxa"/>
            <w:vAlign w:val="bottom"/>
            <w:tcBorders>
              <w:right w:val="single" w:sz="8" w:color="auto"/>
            </w:tcBorders>
          </w:tcPr>
          <w:p>
            <w:pPr>
              <w:spacing w:after="0"/>
              <w:rPr>
                <w:sz w:val="11"/>
                <w:szCs w:val="11"/>
                <w:color w:val="auto"/>
              </w:rPr>
            </w:pPr>
          </w:p>
        </w:tc>
        <w:tc>
          <w:tcPr>
            <w:tcW w:w="114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w w:val="96"/>
              </w:rPr>
              <w:t>(94,861)</w:t>
            </w:r>
          </w:p>
        </w:tc>
        <w:tc>
          <w:tcPr>
            <w:tcW w:w="108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w w:val="94"/>
              </w:rPr>
              <w:t>(175,202)</w:t>
            </w:r>
          </w:p>
        </w:tc>
        <w:tc>
          <w:tcPr>
            <w:tcW w:w="114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4"/>
                <w:szCs w:val="14"/>
                <w:color w:val="auto"/>
              </w:rPr>
              <w:t>(65,101)</w:t>
            </w:r>
          </w:p>
        </w:tc>
        <w:tc>
          <w:tcPr>
            <w:tcW w:w="780" w:type="dxa"/>
            <w:vAlign w:val="bottom"/>
          </w:tcPr>
          <w:p>
            <w:pPr>
              <w:jc w:val="center"/>
              <w:ind w:left="233"/>
              <w:spacing w:after="0" w:line="136" w:lineRule="exact"/>
              <w:rPr>
                <w:sz w:val="20"/>
                <w:szCs w:val="20"/>
                <w:color w:val="auto"/>
              </w:rPr>
            </w:pPr>
            <w:r>
              <w:rPr>
                <w:rFonts w:ascii="Times New Roman" w:cs="Times New Roman" w:eastAsia="Times New Roman" w:hAnsi="Times New Roman"/>
                <w:sz w:val="14"/>
                <w:szCs w:val="14"/>
                <w:color w:val="auto"/>
                <w:w w:val="97"/>
              </w:rPr>
              <w:t>-62.8%</w:t>
            </w:r>
          </w:p>
        </w:tc>
        <w:tc>
          <w:tcPr>
            <w:tcW w:w="1460" w:type="dxa"/>
            <w:vAlign w:val="bottom"/>
            <w:tcBorders>
              <w:right w:val="single" w:sz="8" w:color="auto"/>
            </w:tcBorders>
          </w:tcPr>
          <w:p>
            <w:pPr>
              <w:jc w:val="center"/>
              <w:ind w:left="233"/>
              <w:spacing w:after="0" w:line="136" w:lineRule="exact"/>
              <w:rPr>
                <w:sz w:val="20"/>
                <w:szCs w:val="20"/>
                <w:color w:val="auto"/>
              </w:rPr>
            </w:pPr>
            <w:r>
              <w:rPr>
                <w:rFonts w:ascii="Times New Roman" w:cs="Times New Roman" w:eastAsia="Times New Roman" w:hAnsi="Times New Roman"/>
                <w:sz w:val="14"/>
                <w:szCs w:val="14"/>
                <w:color w:val="auto"/>
                <w:w w:val="97"/>
              </w:rPr>
              <w:t>-31.4%</w:t>
            </w:r>
          </w:p>
        </w:tc>
        <w:tc>
          <w:tcPr>
            <w:tcW w:w="0" w:type="dxa"/>
            <w:vAlign w:val="bottom"/>
          </w:tcPr>
          <w:p>
            <w:pPr>
              <w:spacing w:after="0"/>
              <w:rPr>
                <w:sz w:val="1"/>
                <w:szCs w:val="1"/>
                <w:color w:val="auto"/>
              </w:rPr>
            </w:pPr>
          </w:p>
        </w:tc>
      </w:tr>
      <w:tr>
        <w:trPr>
          <w:trHeight w:val="144"/>
        </w:trPr>
        <w:tc>
          <w:tcPr>
            <w:tcW w:w="3880" w:type="dxa"/>
            <w:vAlign w:val="bottom"/>
            <w:tcBorders>
              <w:left w:val="single" w:sz="8" w:color="auto"/>
            </w:tcBorders>
          </w:tcPr>
          <w:p>
            <w:pPr>
              <w:ind w:left="120"/>
              <w:spacing w:after="0" w:line="144" w:lineRule="exact"/>
              <w:rPr>
                <w:sz w:val="20"/>
                <w:szCs w:val="20"/>
                <w:color w:val="auto"/>
              </w:rPr>
            </w:pPr>
            <w:r>
              <w:rPr>
                <w:rFonts w:ascii="Times New Roman" w:cs="Times New Roman" w:eastAsia="Times New Roman" w:hAnsi="Times New Roman"/>
                <w:sz w:val="14"/>
                <w:szCs w:val="14"/>
                <w:b w:val="1"/>
                <w:bCs w:val="1"/>
                <w:color w:val="auto"/>
              </w:rPr>
              <w:t>Insurance underwriting result</w:t>
            </w:r>
          </w:p>
        </w:tc>
        <w:tc>
          <w:tcPr>
            <w:tcW w:w="1320" w:type="dxa"/>
            <w:vAlign w:val="bottom"/>
            <w:tcBorders>
              <w:right w:val="single" w:sz="8" w:color="auto"/>
            </w:tcBorders>
          </w:tcPr>
          <w:p>
            <w:pPr>
              <w:spacing w:after="0"/>
              <w:rPr>
                <w:sz w:val="12"/>
                <w:szCs w:val="12"/>
                <w:color w:val="auto"/>
              </w:rPr>
            </w:pPr>
          </w:p>
        </w:tc>
        <w:tc>
          <w:tcPr>
            <w:tcW w:w="114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6"/>
              </w:rPr>
              <w:t>185,070</w:t>
            </w:r>
          </w:p>
        </w:tc>
        <w:tc>
          <w:tcPr>
            <w:tcW w:w="108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6"/>
              </w:rPr>
              <w:t>210,742</w:t>
            </w:r>
          </w:p>
        </w:tc>
        <w:tc>
          <w:tcPr>
            <w:tcW w:w="1140" w:type="dxa"/>
            <w:vAlign w:val="bottom"/>
            <w:tcBorders>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6"/>
              </w:rPr>
              <w:t>156,037</w:t>
            </w:r>
          </w:p>
        </w:tc>
        <w:tc>
          <w:tcPr>
            <w:tcW w:w="780" w:type="dxa"/>
            <w:vAlign w:val="bottom"/>
          </w:tcPr>
          <w:p>
            <w:pPr>
              <w:jc w:val="center"/>
              <w:ind w:left="253"/>
              <w:spacing w:after="0" w:line="144" w:lineRule="exact"/>
              <w:rPr>
                <w:sz w:val="20"/>
                <w:szCs w:val="20"/>
                <w:color w:val="auto"/>
              </w:rPr>
            </w:pPr>
            <w:r>
              <w:rPr>
                <w:rFonts w:ascii="Times New Roman" w:cs="Times New Roman" w:eastAsia="Times New Roman" w:hAnsi="Times New Roman"/>
                <w:sz w:val="14"/>
                <w:szCs w:val="14"/>
                <w:b w:val="1"/>
                <w:bCs w:val="1"/>
                <w:color w:val="auto"/>
                <w:w w:val="97"/>
              </w:rPr>
              <w:t>-26.0%</w:t>
            </w:r>
          </w:p>
        </w:tc>
        <w:tc>
          <w:tcPr>
            <w:tcW w:w="1460" w:type="dxa"/>
            <w:vAlign w:val="bottom"/>
            <w:tcBorders>
              <w:right w:val="single" w:sz="8" w:color="auto"/>
            </w:tcBorders>
          </w:tcPr>
          <w:p>
            <w:pPr>
              <w:jc w:val="center"/>
              <w:ind w:left="233"/>
              <w:spacing w:after="0" w:line="144" w:lineRule="exact"/>
              <w:rPr>
                <w:sz w:val="20"/>
                <w:szCs w:val="20"/>
                <w:color w:val="auto"/>
              </w:rPr>
            </w:pPr>
            <w:r>
              <w:rPr>
                <w:rFonts w:ascii="Times New Roman" w:cs="Times New Roman" w:eastAsia="Times New Roman" w:hAnsi="Times New Roman"/>
                <w:sz w:val="14"/>
                <w:szCs w:val="14"/>
                <w:b w:val="1"/>
                <w:bCs w:val="1"/>
                <w:color w:val="auto"/>
                <w:w w:val="92"/>
              </w:rPr>
              <w:t>-15.7%</w:t>
            </w:r>
          </w:p>
        </w:tc>
        <w:tc>
          <w:tcPr>
            <w:tcW w:w="0" w:type="dxa"/>
            <w:vAlign w:val="bottom"/>
          </w:tcPr>
          <w:p>
            <w:pPr>
              <w:spacing w:after="0"/>
              <w:rPr>
                <w:sz w:val="1"/>
                <w:szCs w:val="1"/>
                <w:color w:val="auto"/>
              </w:rPr>
            </w:pPr>
          </w:p>
        </w:tc>
      </w:tr>
      <w:tr>
        <w:trPr>
          <w:trHeight w:val="140"/>
        </w:trPr>
        <w:tc>
          <w:tcPr>
            <w:tcW w:w="3880" w:type="dxa"/>
            <w:vAlign w:val="bottom"/>
            <w:tcBorders>
              <w:left w:val="single" w:sz="8" w:color="auto"/>
            </w:tcBorders>
          </w:tcPr>
          <w:p>
            <w:pPr>
              <w:ind w:left="120"/>
              <w:spacing w:after="0" w:line="140" w:lineRule="exact"/>
              <w:rPr>
                <w:sz w:val="20"/>
                <w:szCs w:val="20"/>
                <w:color w:val="auto"/>
              </w:rPr>
            </w:pPr>
            <w:r>
              <w:rPr>
                <w:rFonts w:ascii="Times New Roman" w:cs="Times New Roman" w:eastAsia="Times New Roman" w:hAnsi="Times New Roman"/>
                <w:sz w:val="14"/>
                <w:szCs w:val="14"/>
                <w:color w:val="auto"/>
              </w:rPr>
              <w:t>Sale of medical services</w:t>
            </w:r>
          </w:p>
        </w:tc>
        <w:tc>
          <w:tcPr>
            <w:tcW w:w="1320" w:type="dxa"/>
            <w:vAlign w:val="bottom"/>
            <w:tcBorders>
              <w:right w:val="single" w:sz="8" w:color="auto"/>
            </w:tcBorders>
          </w:tcPr>
          <w:p>
            <w:pPr>
              <w:spacing w:after="0"/>
              <w:rPr>
                <w:sz w:val="12"/>
                <w:szCs w:val="12"/>
                <w:color w:val="auto"/>
              </w:rPr>
            </w:pPr>
          </w:p>
        </w:tc>
        <w:tc>
          <w:tcPr>
            <w:tcW w:w="114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8"/>
              </w:rPr>
              <w:t>78,267</w:t>
            </w:r>
          </w:p>
        </w:tc>
        <w:tc>
          <w:tcPr>
            <w:tcW w:w="108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414,421</w:t>
            </w:r>
          </w:p>
        </w:tc>
        <w:tc>
          <w:tcPr>
            <w:tcW w:w="114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424,663</w:t>
            </w:r>
          </w:p>
        </w:tc>
        <w:tc>
          <w:tcPr>
            <w:tcW w:w="780" w:type="dxa"/>
            <w:vAlign w:val="bottom"/>
          </w:tcPr>
          <w:p>
            <w:pPr>
              <w:jc w:val="center"/>
              <w:ind w:left="233"/>
              <w:spacing w:after="0" w:line="140" w:lineRule="exact"/>
              <w:rPr>
                <w:sz w:val="20"/>
                <w:szCs w:val="20"/>
                <w:color w:val="auto"/>
              </w:rPr>
            </w:pPr>
            <w:r>
              <w:rPr>
                <w:rFonts w:ascii="Times New Roman" w:cs="Times New Roman" w:eastAsia="Times New Roman" w:hAnsi="Times New Roman"/>
                <w:sz w:val="14"/>
                <w:szCs w:val="14"/>
                <w:color w:val="auto"/>
                <w:w w:val="95"/>
              </w:rPr>
              <w:t>2.5%</w:t>
            </w:r>
          </w:p>
        </w:tc>
        <w:tc>
          <w:tcPr>
            <w:tcW w:w="1460" w:type="dxa"/>
            <w:vAlign w:val="bottom"/>
            <w:tcBorders>
              <w:right w:val="single" w:sz="8" w:color="auto"/>
            </w:tcBorders>
          </w:tcPr>
          <w:p>
            <w:pPr>
              <w:jc w:val="center"/>
              <w:ind w:left="233"/>
              <w:spacing w:after="0" w:line="140" w:lineRule="exact"/>
              <w:rPr>
                <w:sz w:val="20"/>
                <w:szCs w:val="20"/>
                <w:color w:val="auto"/>
              </w:rPr>
            </w:pPr>
            <w:r>
              <w:rPr>
                <w:rFonts w:ascii="Times New Roman" w:cs="Times New Roman" w:eastAsia="Times New Roman" w:hAnsi="Times New Roman"/>
                <w:sz w:val="14"/>
                <w:szCs w:val="14"/>
                <w:color w:val="auto"/>
                <w:w w:val="92"/>
              </w:rPr>
              <w:t>442.6%</w:t>
            </w:r>
          </w:p>
        </w:tc>
        <w:tc>
          <w:tcPr>
            <w:tcW w:w="0" w:type="dxa"/>
            <w:vAlign w:val="bottom"/>
          </w:tcPr>
          <w:p>
            <w:pPr>
              <w:spacing w:after="0"/>
              <w:rPr>
                <w:sz w:val="1"/>
                <w:szCs w:val="1"/>
                <w:color w:val="auto"/>
              </w:rPr>
            </w:pPr>
          </w:p>
        </w:tc>
      </w:tr>
      <w:tr>
        <w:trPr>
          <w:trHeight w:val="136"/>
        </w:trPr>
        <w:tc>
          <w:tcPr>
            <w:tcW w:w="3880" w:type="dxa"/>
            <w:vAlign w:val="bottom"/>
            <w:tcBorders>
              <w:left w:val="single" w:sz="8" w:color="auto"/>
            </w:tcBorders>
          </w:tcPr>
          <w:p>
            <w:pPr>
              <w:ind w:left="120"/>
              <w:spacing w:after="0" w:line="136" w:lineRule="exact"/>
              <w:rPr>
                <w:sz w:val="20"/>
                <w:szCs w:val="20"/>
                <w:color w:val="auto"/>
              </w:rPr>
            </w:pPr>
            <w:r>
              <w:rPr>
                <w:rFonts w:ascii="Times New Roman" w:cs="Times New Roman" w:eastAsia="Times New Roman" w:hAnsi="Times New Roman"/>
                <w:sz w:val="14"/>
                <w:szCs w:val="14"/>
                <w:color w:val="auto"/>
              </w:rPr>
              <w:t>Cost of sales of medical services</w:t>
            </w:r>
          </w:p>
        </w:tc>
        <w:tc>
          <w:tcPr>
            <w:tcW w:w="1320" w:type="dxa"/>
            <w:vAlign w:val="bottom"/>
            <w:tcBorders>
              <w:right w:val="single" w:sz="8" w:color="auto"/>
            </w:tcBorders>
          </w:tcPr>
          <w:p>
            <w:pPr>
              <w:spacing w:after="0"/>
              <w:rPr>
                <w:sz w:val="11"/>
                <w:szCs w:val="11"/>
                <w:color w:val="auto"/>
              </w:rPr>
            </w:pPr>
          </w:p>
        </w:tc>
        <w:tc>
          <w:tcPr>
            <w:tcW w:w="114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w w:val="96"/>
              </w:rPr>
              <w:t>(35,393)</w:t>
            </w:r>
          </w:p>
        </w:tc>
        <w:tc>
          <w:tcPr>
            <w:tcW w:w="108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w w:val="94"/>
              </w:rPr>
              <w:t>(289,738)</w:t>
            </w:r>
          </w:p>
        </w:tc>
        <w:tc>
          <w:tcPr>
            <w:tcW w:w="114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4"/>
                <w:szCs w:val="14"/>
                <w:color w:val="auto"/>
                <w:w w:val="94"/>
              </w:rPr>
              <w:t>(300,820)</w:t>
            </w:r>
          </w:p>
        </w:tc>
        <w:tc>
          <w:tcPr>
            <w:tcW w:w="780" w:type="dxa"/>
            <w:vAlign w:val="bottom"/>
          </w:tcPr>
          <w:p>
            <w:pPr>
              <w:jc w:val="center"/>
              <w:ind w:left="233"/>
              <w:spacing w:after="0" w:line="136" w:lineRule="exact"/>
              <w:rPr>
                <w:sz w:val="20"/>
                <w:szCs w:val="20"/>
                <w:color w:val="auto"/>
              </w:rPr>
            </w:pPr>
            <w:r>
              <w:rPr>
                <w:rFonts w:ascii="Times New Roman" w:cs="Times New Roman" w:eastAsia="Times New Roman" w:hAnsi="Times New Roman"/>
                <w:sz w:val="14"/>
                <w:szCs w:val="14"/>
                <w:color w:val="auto"/>
                <w:w w:val="95"/>
              </w:rPr>
              <w:t>3.8%</w:t>
            </w:r>
          </w:p>
        </w:tc>
        <w:tc>
          <w:tcPr>
            <w:tcW w:w="1460" w:type="dxa"/>
            <w:vAlign w:val="bottom"/>
            <w:tcBorders>
              <w:right w:val="single" w:sz="8" w:color="auto"/>
            </w:tcBorders>
          </w:tcPr>
          <w:p>
            <w:pPr>
              <w:jc w:val="center"/>
              <w:ind w:left="233"/>
              <w:spacing w:after="0" w:line="136" w:lineRule="exact"/>
              <w:rPr>
                <w:sz w:val="20"/>
                <w:szCs w:val="20"/>
                <w:color w:val="auto"/>
              </w:rPr>
            </w:pPr>
            <w:r>
              <w:rPr>
                <w:rFonts w:ascii="Times New Roman" w:cs="Times New Roman" w:eastAsia="Times New Roman" w:hAnsi="Times New Roman"/>
                <w:sz w:val="14"/>
                <w:szCs w:val="14"/>
                <w:color w:val="auto"/>
                <w:w w:val="92"/>
              </w:rPr>
              <w:t>749.9%</w:t>
            </w:r>
          </w:p>
        </w:tc>
        <w:tc>
          <w:tcPr>
            <w:tcW w:w="0" w:type="dxa"/>
            <w:vAlign w:val="bottom"/>
          </w:tcPr>
          <w:p>
            <w:pPr>
              <w:spacing w:after="0"/>
              <w:rPr>
                <w:sz w:val="1"/>
                <w:szCs w:val="1"/>
                <w:color w:val="auto"/>
              </w:rPr>
            </w:pPr>
          </w:p>
        </w:tc>
      </w:tr>
      <w:tr>
        <w:trPr>
          <w:trHeight w:val="144"/>
        </w:trPr>
        <w:tc>
          <w:tcPr>
            <w:tcW w:w="3880" w:type="dxa"/>
            <w:vAlign w:val="bottom"/>
            <w:tcBorders>
              <w:left w:val="single" w:sz="8" w:color="auto"/>
            </w:tcBorders>
          </w:tcPr>
          <w:p>
            <w:pPr>
              <w:ind w:left="120"/>
              <w:spacing w:after="0" w:line="144" w:lineRule="exact"/>
              <w:rPr>
                <w:sz w:val="20"/>
                <w:szCs w:val="20"/>
                <w:color w:val="auto"/>
              </w:rPr>
            </w:pPr>
            <w:r>
              <w:rPr>
                <w:rFonts w:ascii="Times New Roman" w:cs="Times New Roman" w:eastAsia="Times New Roman" w:hAnsi="Times New Roman"/>
                <w:sz w:val="14"/>
                <w:szCs w:val="14"/>
                <w:b w:val="1"/>
                <w:bCs w:val="1"/>
                <w:color w:val="auto"/>
              </w:rPr>
              <w:t>Medical services result</w:t>
            </w:r>
          </w:p>
        </w:tc>
        <w:tc>
          <w:tcPr>
            <w:tcW w:w="1320" w:type="dxa"/>
            <w:vAlign w:val="bottom"/>
            <w:tcBorders>
              <w:right w:val="single" w:sz="8" w:color="auto"/>
            </w:tcBorders>
          </w:tcPr>
          <w:p>
            <w:pPr>
              <w:spacing w:after="0"/>
              <w:rPr>
                <w:sz w:val="12"/>
                <w:szCs w:val="12"/>
                <w:color w:val="auto"/>
              </w:rPr>
            </w:pPr>
          </w:p>
        </w:tc>
        <w:tc>
          <w:tcPr>
            <w:tcW w:w="114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8"/>
              </w:rPr>
              <w:t>42,874</w:t>
            </w:r>
          </w:p>
        </w:tc>
        <w:tc>
          <w:tcPr>
            <w:tcW w:w="108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6"/>
              </w:rPr>
              <w:t>124,683</w:t>
            </w:r>
          </w:p>
        </w:tc>
        <w:tc>
          <w:tcPr>
            <w:tcW w:w="1140" w:type="dxa"/>
            <w:vAlign w:val="bottom"/>
            <w:tcBorders>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6"/>
              </w:rPr>
              <w:t>123,843</w:t>
            </w:r>
          </w:p>
        </w:tc>
        <w:tc>
          <w:tcPr>
            <w:tcW w:w="780" w:type="dxa"/>
            <w:vAlign w:val="bottom"/>
          </w:tcPr>
          <w:p>
            <w:pPr>
              <w:jc w:val="center"/>
              <w:ind w:left="233"/>
              <w:spacing w:after="0" w:line="144" w:lineRule="exact"/>
              <w:rPr>
                <w:sz w:val="20"/>
                <w:szCs w:val="20"/>
                <w:color w:val="auto"/>
              </w:rPr>
            </w:pPr>
            <w:r>
              <w:rPr>
                <w:rFonts w:ascii="Times New Roman" w:cs="Times New Roman" w:eastAsia="Times New Roman" w:hAnsi="Times New Roman"/>
                <w:sz w:val="14"/>
                <w:szCs w:val="14"/>
                <w:b w:val="1"/>
                <w:bCs w:val="1"/>
                <w:color w:val="auto"/>
                <w:w w:val="99"/>
              </w:rPr>
              <w:t>-0.7%</w:t>
            </w:r>
          </w:p>
        </w:tc>
        <w:tc>
          <w:tcPr>
            <w:tcW w:w="1460" w:type="dxa"/>
            <w:vAlign w:val="bottom"/>
            <w:tcBorders>
              <w:right w:val="single" w:sz="8" w:color="auto"/>
            </w:tcBorders>
          </w:tcPr>
          <w:p>
            <w:pPr>
              <w:jc w:val="center"/>
              <w:ind w:left="233"/>
              <w:spacing w:after="0" w:line="144" w:lineRule="exact"/>
              <w:rPr>
                <w:sz w:val="20"/>
                <w:szCs w:val="20"/>
                <w:color w:val="auto"/>
              </w:rPr>
            </w:pPr>
            <w:r>
              <w:rPr>
                <w:rFonts w:ascii="Times New Roman" w:cs="Times New Roman" w:eastAsia="Times New Roman" w:hAnsi="Times New Roman"/>
                <w:sz w:val="14"/>
                <w:szCs w:val="14"/>
                <w:b w:val="1"/>
                <w:bCs w:val="1"/>
                <w:color w:val="auto"/>
                <w:w w:val="96"/>
              </w:rPr>
              <w:t>188.9%</w:t>
            </w:r>
          </w:p>
        </w:tc>
        <w:tc>
          <w:tcPr>
            <w:tcW w:w="0" w:type="dxa"/>
            <w:vAlign w:val="bottom"/>
          </w:tcPr>
          <w:p>
            <w:pPr>
              <w:spacing w:after="0"/>
              <w:rPr>
                <w:sz w:val="1"/>
                <w:szCs w:val="1"/>
                <w:color w:val="auto"/>
              </w:rPr>
            </w:pPr>
          </w:p>
        </w:tc>
      </w:tr>
      <w:tr>
        <w:trPr>
          <w:trHeight w:val="140"/>
        </w:trPr>
        <w:tc>
          <w:tcPr>
            <w:tcW w:w="3880" w:type="dxa"/>
            <w:vAlign w:val="bottom"/>
            <w:tcBorders>
              <w:left w:val="single" w:sz="8" w:color="auto"/>
            </w:tcBorders>
          </w:tcPr>
          <w:p>
            <w:pPr>
              <w:ind w:left="120"/>
              <w:spacing w:after="0" w:line="140" w:lineRule="exact"/>
              <w:rPr>
                <w:sz w:val="20"/>
                <w:szCs w:val="20"/>
                <w:color w:val="auto"/>
              </w:rPr>
            </w:pPr>
            <w:r>
              <w:rPr>
                <w:rFonts w:ascii="Times New Roman" w:cs="Times New Roman" w:eastAsia="Times New Roman" w:hAnsi="Times New Roman"/>
                <w:sz w:val="14"/>
                <w:szCs w:val="14"/>
                <w:color w:val="auto"/>
              </w:rPr>
              <w:t>Interest income</w:t>
            </w:r>
          </w:p>
        </w:tc>
        <w:tc>
          <w:tcPr>
            <w:tcW w:w="1320" w:type="dxa"/>
            <w:vAlign w:val="bottom"/>
            <w:tcBorders>
              <w:right w:val="single" w:sz="8" w:color="auto"/>
            </w:tcBorders>
          </w:tcPr>
          <w:p>
            <w:pPr>
              <w:spacing w:after="0"/>
              <w:rPr>
                <w:sz w:val="12"/>
                <w:szCs w:val="12"/>
                <w:color w:val="auto"/>
              </w:rPr>
            </w:pPr>
          </w:p>
        </w:tc>
        <w:tc>
          <w:tcPr>
            <w:tcW w:w="114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238,213</w:t>
            </w:r>
          </w:p>
        </w:tc>
        <w:tc>
          <w:tcPr>
            <w:tcW w:w="108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226,388</w:t>
            </w:r>
          </w:p>
        </w:tc>
        <w:tc>
          <w:tcPr>
            <w:tcW w:w="114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281,302</w:t>
            </w:r>
          </w:p>
        </w:tc>
        <w:tc>
          <w:tcPr>
            <w:tcW w:w="780" w:type="dxa"/>
            <w:vAlign w:val="bottom"/>
          </w:tcPr>
          <w:p>
            <w:pPr>
              <w:jc w:val="center"/>
              <w:ind w:left="233"/>
              <w:spacing w:after="0" w:line="140" w:lineRule="exact"/>
              <w:rPr>
                <w:sz w:val="20"/>
                <w:szCs w:val="20"/>
                <w:color w:val="auto"/>
              </w:rPr>
            </w:pPr>
            <w:r>
              <w:rPr>
                <w:rFonts w:ascii="Times New Roman" w:cs="Times New Roman" w:eastAsia="Times New Roman" w:hAnsi="Times New Roman"/>
                <w:sz w:val="14"/>
                <w:szCs w:val="14"/>
                <w:color w:val="auto"/>
                <w:w w:val="99"/>
              </w:rPr>
              <w:t>24.3%</w:t>
            </w:r>
          </w:p>
        </w:tc>
        <w:tc>
          <w:tcPr>
            <w:tcW w:w="1460" w:type="dxa"/>
            <w:vAlign w:val="bottom"/>
            <w:tcBorders>
              <w:right w:val="single" w:sz="8" w:color="auto"/>
            </w:tcBorders>
          </w:tcPr>
          <w:p>
            <w:pPr>
              <w:jc w:val="center"/>
              <w:ind w:left="233"/>
              <w:spacing w:after="0" w:line="140" w:lineRule="exact"/>
              <w:rPr>
                <w:sz w:val="20"/>
                <w:szCs w:val="20"/>
                <w:color w:val="auto"/>
              </w:rPr>
            </w:pPr>
            <w:r>
              <w:rPr>
                <w:rFonts w:ascii="Times New Roman" w:cs="Times New Roman" w:eastAsia="Times New Roman" w:hAnsi="Times New Roman"/>
                <w:sz w:val="14"/>
                <w:szCs w:val="14"/>
                <w:color w:val="auto"/>
                <w:w w:val="99"/>
              </w:rPr>
              <w:t>18.1%</w:t>
            </w:r>
          </w:p>
        </w:tc>
        <w:tc>
          <w:tcPr>
            <w:tcW w:w="0" w:type="dxa"/>
            <w:vAlign w:val="bottom"/>
          </w:tcPr>
          <w:p>
            <w:pPr>
              <w:spacing w:after="0"/>
              <w:rPr>
                <w:sz w:val="1"/>
                <w:szCs w:val="1"/>
                <w:color w:val="auto"/>
              </w:rPr>
            </w:pPr>
          </w:p>
        </w:tc>
      </w:tr>
      <w:tr>
        <w:trPr>
          <w:trHeight w:val="140"/>
        </w:trPr>
        <w:tc>
          <w:tcPr>
            <w:tcW w:w="3880" w:type="dxa"/>
            <w:vAlign w:val="bottom"/>
            <w:tcBorders>
              <w:left w:val="single" w:sz="8" w:color="auto"/>
            </w:tcBorders>
          </w:tcPr>
          <w:p>
            <w:pPr>
              <w:ind w:left="120"/>
              <w:spacing w:after="0" w:line="140" w:lineRule="exact"/>
              <w:rPr>
                <w:sz w:val="20"/>
                <w:szCs w:val="20"/>
                <w:color w:val="auto"/>
              </w:rPr>
            </w:pPr>
            <w:r>
              <w:rPr>
                <w:rFonts w:ascii="Times New Roman" w:cs="Times New Roman" w:eastAsia="Times New Roman" w:hAnsi="Times New Roman"/>
                <w:sz w:val="14"/>
                <w:szCs w:val="14"/>
                <w:color w:val="auto"/>
              </w:rPr>
              <w:t>Interest Expenses</w:t>
            </w:r>
          </w:p>
        </w:tc>
        <w:tc>
          <w:tcPr>
            <w:tcW w:w="1320" w:type="dxa"/>
            <w:vAlign w:val="bottom"/>
            <w:tcBorders>
              <w:right w:val="single" w:sz="8" w:color="auto"/>
            </w:tcBorders>
          </w:tcPr>
          <w:p>
            <w:pPr>
              <w:spacing w:after="0"/>
              <w:rPr>
                <w:sz w:val="12"/>
                <w:szCs w:val="12"/>
                <w:color w:val="auto"/>
              </w:rPr>
            </w:pPr>
          </w:p>
        </w:tc>
        <w:tc>
          <w:tcPr>
            <w:tcW w:w="114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8"/>
              </w:rPr>
              <w:t>(145,698)</w:t>
            </w:r>
          </w:p>
        </w:tc>
        <w:tc>
          <w:tcPr>
            <w:tcW w:w="108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4"/>
              </w:rPr>
              <w:t>(160,732)</w:t>
            </w:r>
          </w:p>
        </w:tc>
        <w:tc>
          <w:tcPr>
            <w:tcW w:w="114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4"/>
              </w:rPr>
              <w:t>(182,052)</w:t>
            </w:r>
          </w:p>
        </w:tc>
        <w:tc>
          <w:tcPr>
            <w:tcW w:w="780" w:type="dxa"/>
            <w:vAlign w:val="bottom"/>
          </w:tcPr>
          <w:p>
            <w:pPr>
              <w:jc w:val="center"/>
              <w:ind w:left="233"/>
              <w:spacing w:after="0" w:line="140" w:lineRule="exact"/>
              <w:rPr>
                <w:sz w:val="20"/>
                <w:szCs w:val="20"/>
                <w:color w:val="auto"/>
              </w:rPr>
            </w:pPr>
            <w:r>
              <w:rPr>
                <w:rFonts w:ascii="Times New Roman" w:cs="Times New Roman" w:eastAsia="Times New Roman" w:hAnsi="Times New Roman"/>
                <w:sz w:val="14"/>
                <w:szCs w:val="14"/>
                <w:color w:val="auto"/>
                <w:w w:val="99"/>
              </w:rPr>
              <w:t>13.3%</w:t>
            </w:r>
          </w:p>
        </w:tc>
        <w:tc>
          <w:tcPr>
            <w:tcW w:w="1460" w:type="dxa"/>
            <w:vAlign w:val="bottom"/>
            <w:tcBorders>
              <w:right w:val="single" w:sz="8" w:color="auto"/>
            </w:tcBorders>
          </w:tcPr>
          <w:p>
            <w:pPr>
              <w:jc w:val="center"/>
              <w:ind w:left="233"/>
              <w:spacing w:after="0" w:line="140" w:lineRule="exact"/>
              <w:rPr>
                <w:sz w:val="20"/>
                <w:szCs w:val="20"/>
                <w:color w:val="auto"/>
              </w:rPr>
            </w:pPr>
            <w:r>
              <w:rPr>
                <w:rFonts w:ascii="Times New Roman" w:cs="Times New Roman" w:eastAsia="Times New Roman" w:hAnsi="Times New Roman"/>
                <w:sz w:val="14"/>
                <w:szCs w:val="14"/>
                <w:color w:val="auto"/>
                <w:w w:val="99"/>
              </w:rPr>
              <w:t>25.0%</w:t>
            </w:r>
          </w:p>
        </w:tc>
        <w:tc>
          <w:tcPr>
            <w:tcW w:w="0" w:type="dxa"/>
            <w:vAlign w:val="bottom"/>
          </w:tcPr>
          <w:p>
            <w:pPr>
              <w:spacing w:after="0"/>
              <w:rPr>
                <w:sz w:val="1"/>
                <w:szCs w:val="1"/>
                <w:color w:val="auto"/>
              </w:rPr>
            </w:pPr>
          </w:p>
        </w:tc>
      </w:tr>
      <w:tr>
        <w:trPr>
          <w:trHeight w:val="136"/>
        </w:trPr>
        <w:tc>
          <w:tcPr>
            <w:tcW w:w="3880" w:type="dxa"/>
            <w:vAlign w:val="bottom"/>
            <w:tcBorders>
              <w:left w:val="single" w:sz="8" w:color="auto"/>
            </w:tcBorders>
          </w:tcPr>
          <w:p>
            <w:pPr>
              <w:ind w:left="280"/>
              <w:spacing w:after="0" w:line="136" w:lineRule="exact"/>
              <w:rPr>
                <w:sz w:val="20"/>
                <w:szCs w:val="20"/>
                <w:color w:val="auto"/>
              </w:rPr>
            </w:pPr>
            <w:r>
              <w:rPr>
                <w:rFonts w:ascii="Times New Roman" w:cs="Times New Roman" w:eastAsia="Times New Roman" w:hAnsi="Times New Roman"/>
                <w:sz w:val="14"/>
                <w:szCs w:val="14"/>
                <w:color w:val="auto"/>
              </w:rPr>
              <w:t>Interest expenses attributable to insurance activities</w:t>
            </w:r>
          </w:p>
        </w:tc>
        <w:tc>
          <w:tcPr>
            <w:tcW w:w="1320" w:type="dxa"/>
            <w:vAlign w:val="bottom"/>
            <w:tcBorders>
              <w:right w:val="single" w:sz="8" w:color="auto"/>
            </w:tcBorders>
          </w:tcPr>
          <w:p>
            <w:pPr>
              <w:spacing w:after="0"/>
              <w:rPr>
                <w:sz w:val="11"/>
                <w:szCs w:val="11"/>
                <w:color w:val="auto"/>
              </w:rPr>
            </w:pPr>
          </w:p>
        </w:tc>
        <w:tc>
          <w:tcPr>
            <w:tcW w:w="114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w w:val="98"/>
              </w:rPr>
              <w:t>(135,622)</w:t>
            </w:r>
          </w:p>
        </w:tc>
        <w:tc>
          <w:tcPr>
            <w:tcW w:w="108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w w:val="94"/>
              </w:rPr>
              <w:t>(143,961)</w:t>
            </w:r>
          </w:p>
        </w:tc>
        <w:tc>
          <w:tcPr>
            <w:tcW w:w="114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4"/>
                <w:szCs w:val="14"/>
                <w:color w:val="auto"/>
                <w:w w:val="94"/>
              </w:rPr>
              <w:t>(162,917)</w:t>
            </w:r>
          </w:p>
        </w:tc>
        <w:tc>
          <w:tcPr>
            <w:tcW w:w="780" w:type="dxa"/>
            <w:vAlign w:val="bottom"/>
          </w:tcPr>
          <w:p>
            <w:pPr>
              <w:jc w:val="center"/>
              <w:ind w:left="233"/>
              <w:spacing w:after="0" w:line="136" w:lineRule="exact"/>
              <w:rPr>
                <w:sz w:val="20"/>
                <w:szCs w:val="20"/>
                <w:color w:val="auto"/>
              </w:rPr>
            </w:pPr>
            <w:r>
              <w:rPr>
                <w:rFonts w:ascii="Times New Roman" w:cs="Times New Roman" w:eastAsia="Times New Roman" w:hAnsi="Times New Roman"/>
                <w:sz w:val="14"/>
                <w:szCs w:val="14"/>
                <w:color w:val="auto"/>
                <w:w w:val="99"/>
              </w:rPr>
              <w:t>13.2%</w:t>
            </w:r>
          </w:p>
        </w:tc>
        <w:tc>
          <w:tcPr>
            <w:tcW w:w="1460" w:type="dxa"/>
            <w:vAlign w:val="bottom"/>
            <w:tcBorders>
              <w:right w:val="single" w:sz="8" w:color="auto"/>
            </w:tcBorders>
          </w:tcPr>
          <w:p>
            <w:pPr>
              <w:jc w:val="center"/>
              <w:ind w:left="233"/>
              <w:spacing w:after="0" w:line="136" w:lineRule="exact"/>
              <w:rPr>
                <w:sz w:val="20"/>
                <w:szCs w:val="20"/>
                <w:color w:val="auto"/>
              </w:rPr>
            </w:pPr>
            <w:r>
              <w:rPr>
                <w:rFonts w:ascii="Times New Roman" w:cs="Times New Roman" w:eastAsia="Times New Roman" w:hAnsi="Times New Roman"/>
                <w:sz w:val="14"/>
                <w:szCs w:val="14"/>
                <w:color w:val="auto"/>
                <w:w w:val="99"/>
              </w:rPr>
              <w:t>20.1%</w:t>
            </w:r>
          </w:p>
        </w:tc>
        <w:tc>
          <w:tcPr>
            <w:tcW w:w="0" w:type="dxa"/>
            <w:vAlign w:val="bottom"/>
          </w:tcPr>
          <w:p>
            <w:pPr>
              <w:spacing w:after="0"/>
              <w:rPr>
                <w:sz w:val="1"/>
                <w:szCs w:val="1"/>
                <w:color w:val="auto"/>
              </w:rPr>
            </w:pPr>
          </w:p>
        </w:tc>
      </w:tr>
      <w:tr>
        <w:trPr>
          <w:trHeight w:val="144"/>
        </w:trPr>
        <w:tc>
          <w:tcPr>
            <w:tcW w:w="3880" w:type="dxa"/>
            <w:vAlign w:val="bottom"/>
            <w:tcBorders>
              <w:left w:val="single" w:sz="8" w:color="auto"/>
            </w:tcBorders>
          </w:tcPr>
          <w:p>
            <w:pPr>
              <w:ind w:left="120"/>
              <w:spacing w:after="0" w:line="144" w:lineRule="exact"/>
              <w:rPr>
                <w:sz w:val="20"/>
                <w:szCs w:val="20"/>
                <w:color w:val="auto"/>
              </w:rPr>
            </w:pPr>
            <w:r>
              <w:rPr>
                <w:rFonts w:ascii="Times New Roman" w:cs="Times New Roman" w:eastAsia="Times New Roman" w:hAnsi="Times New Roman"/>
                <w:sz w:val="14"/>
                <w:szCs w:val="14"/>
                <w:b w:val="1"/>
                <w:bCs w:val="1"/>
                <w:color w:val="auto"/>
              </w:rPr>
              <w:t>Net Interest Income</w:t>
            </w:r>
          </w:p>
        </w:tc>
        <w:tc>
          <w:tcPr>
            <w:tcW w:w="1320" w:type="dxa"/>
            <w:vAlign w:val="bottom"/>
            <w:tcBorders>
              <w:right w:val="single" w:sz="8" w:color="auto"/>
            </w:tcBorders>
          </w:tcPr>
          <w:p>
            <w:pPr>
              <w:spacing w:after="0"/>
              <w:rPr>
                <w:sz w:val="12"/>
                <w:szCs w:val="12"/>
                <w:color w:val="auto"/>
              </w:rPr>
            </w:pPr>
          </w:p>
        </w:tc>
        <w:tc>
          <w:tcPr>
            <w:tcW w:w="114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8"/>
              </w:rPr>
              <w:t>92,515</w:t>
            </w:r>
          </w:p>
        </w:tc>
        <w:tc>
          <w:tcPr>
            <w:tcW w:w="108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3"/>
              </w:rPr>
              <w:t>65,656</w:t>
            </w:r>
          </w:p>
        </w:tc>
        <w:tc>
          <w:tcPr>
            <w:tcW w:w="1140" w:type="dxa"/>
            <w:vAlign w:val="bottom"/>
            <w:tcBorders>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3"/>
              </w:rPr>
              <w:t>99,250</w:t>
            </w:r>
          </w:p>
        </w:tc>
        <w:tc>
          <w:tcPr>
            <w:tcW w:w="780" w:type="dxa"/>
            <w:vAlign w:val="bottom"/>
          </w:tcPr>
          <w:p>
            <w:pPr>
              <w:jc w:val="center"/>
              <w:ind w:left="233"/>
              <w:spacing w:after="0" w:line="144" w:lineRule="exact"/>
              <w:rPr>
                <w:sz w:val="20"/>
                <w:szCs w:val="20"/>
                <w:color w:val="auto"/>
              </w:rPr>
            </w:pPr>
            <w:r>
              <w:rPr>
                <w:rFonts w:ascii="Times New Roman" w:cs="Times New Roman" w:eastAsia="Times New Roman" w:hAnsi="Times New Roman"/>
                <w:sz w:val="14"/>
                <w:szCs w:val="14"/>
                <w:b w:val="1"/>
                <w:bCs w:val="1"/>
                <w:color w:val="auto"/>
                <w:w w:val="93"/>
              </w:rPr>
              <w:t>51.2%</w:t>
            </w:r>
          </w:p>
        </w:tc>
        <w:tc>
          <w:tcPr>
            <w:tcW w:w="1460" w:type="dxa"/>
            <w:vAlign w:val="bottom"/>
            <w:tcBorders>
              <w:right w:val="single" w:sz="8" w:color="auto"/>
            </w:tcBorders>
          </w:tcPr>
          <w:p>
            <w:pPr>
              <w:jc w:val="center"/>
              <w:ind w:left="233"/>
              <w:spacing w:after="0" w:line="144" w:lineRule="exact"/>
              <w:rPr>
                <w:sz w:val="20"/>
                <w:szCs w:val="20"/>
                <w:color w:val="auto"/>
              </w:rPr>
            </w:pPr>
            <w:r>
              <w:rPr>
                <w:rFonts w:ascii="Times New Roman" w:cs="Times New Roman" w:eastAsia="Times New Roman" w:hAnsi="Times New Roman"/>
                <w:sz w:val="14"/>
                <w:szCs w:val="14"/>
                <w:b w:val="1"/>
                <w:bCs w:val="1"/>
                <w:color w:val="auto"/>
              </w:rPr>
              <w:t>7.3%</w:t>
            </w:r>
          </w:p>
        </w:tc>
        <w:tc>
          <w:tcPr>
            <w:tcW w:w="0" w:type="dxa"/>
            <w:vAlign w:val="bottom"/>
          </w:tcPr>
          <w:p>
            <w:pPr>
              <w:spacing w:after="0"/>
              <w:rPr>
                <w:sz w:val="1"/>
                <w:szCs w:val="1"/>
                <w:color w:val="auto"/>
              </w:rPr>
            </w:pPr>
          </w:p>
        </w:tc>
      </w:tr>
      <w:tr>
        <w:trPr>
          <w:trHeight w:val="138"/>
        </w:trPr>
        <w:tc>
          <w:tcPr>
            <w:tcW w:w="3880" w:type="dxa"/>
            <w:vAlign w:val="bottom"/>
            <w:tcBorders>
              <w:left w:val="single" w:sz="8" w:color="auto"/>
            </w:tcBorders>
          </w:tcPr>
          <w:p>
            <w:pPr>
              <w:ind w:left="120"/>
              <w:spacing w:after="0" w:line="138" w:lineRule="exact"/>
              <w:rPr>
                <w:sz w:val="20"/>
                <w:szCs w:val="20"/>
                <w:color w:val="auto"/>
              </w:rPr>
            </w:pPr>
            <w:r>
              <w:rPr>
                <w:rFonts w:ascii="Times New Roman" w:cs="Times New Roman" w:eastAsia="Times New Roman" w:hAnsi="Times New Roman"/>
                <w:sz w:val="14"/>
                <w:szCs w:val="14"/>
                <w:color w:val="auto"/>
              </w:rPr>
              <w:t>Fee Income and Gain in FX</w:t>
            </w:r>
          </w:p>
        </w:tc>
        <w:tc>
          <w:tcPr>
            <w:tcW w:w="1320" w:type="dxa"/>
            <w:vAlign w:val="bottom"/>
            <w:tcBorders>
              <w:right w:val="single" w:sz="8" w:color="auto"/>
            </w:tcBorders>
          </w:tcPr>
          <w:p>
            <w:pPr>
              <w:spacing w:after="0"/>
              <w:rPr>
                <w:sz w:val="11"/>
                <w:szCs w:val="11"/>
                <w:color w:val="auto"/>
              </w:rPr>
            </w:pPr>
          </w:p>
        </w:tc>
        <w:tc>
          <w:tcPr>
            <w:tcW w:w="114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color w:val="auto"/>
                <w:w w:val="97"/>
              </w:rPr>
              <w:t>(4,151)</w:t>
            </w:r>
          </w:p>
        </w:tc>
        <w:tc>
          <w:tcPr>
            <w:tcW w:w="108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color w:val="auto"/>
                <w:w w:val="97"/>
              </w:rPr>
              <w:t>(4,433)</w:t>
            </w:r>
          </w:p>
        </w:tc>
        <w:tc>
          <w:tcPr>
            <w:tcW w:w="1140" w:type="dxa"/>
            <w:vAlign w:val="bottom"/>
            <w:tcBorders>
              <w:right w:val="single" w:sz="8" w:color="auto"/>
            </w:tcBorders>
          </w:tcPr>
          <w:p>
            <w:pPr>
              <w:jc w:val="center"/>
              <w:spacing w:after="0" w:line="138" w:lineRule="exact"/>
              <w:rPr>
                <w:sz w:val="20"/>
                <w:szCs w:val="20"/>
                <w:color w:val="auto"/>
              </w:rPr>
            </w:pPr>
            <w:r>
              <w:rPr>
                <w:rFonts w:ascii="Times New Roman" w:cs="Times New Roman" w:eastAsia="Times New Roman" w:hAnsi="Times New Roman"/>
                <w:sz w:val="14"/>
                <w:szCs w:val="14"/>
                <w:color w:val="auto"/>
                <w:w w:val="97"/>
              </w:rPr>
              <w:t>(5,799)</w:t>
            </w:r>
          </w:p>
        </w:tc>
        <w:tc>
          <w:tcPr>
            <w:tcW w:w="780" w:type="dxa"/>
            <w:vAlign w:val="bottom"/>
          </w:tcPr>
          <w:p>
            <w:pPr>
              <w:jc w:val="center"/>
              <w:ind w:left="233"/>
              <w:spacing w:after="0" w:line="138" w:lineRule="exact"/>
              <w:rPr>
                <w:sz w:val="20"/>
                <w:szCs w:val="20"/>
                <w:color w:val="auto"/>
              </w:rPr>
            </w:pPr>
            <w:r>
              <w:rPr>
                <w:rFonts w:ascii="Times New Roman" w:cs="Times New Roman" w:eastAsia="Times New Roman" w:hAnsi="Times New Roman"/>
                <w:sz w:val="14"/>
                <w:szCs w:val="14"/>
                <w:color w:val="auto"/>
                <w:w w:val="99"/>
              </w:rPr>
              <w:t>30.8%</w:t>
            </w:r>
          </w:p>
        </w:tc>
        <w:tc>
          <w:tcPr>
            <w:tcW w:w="1460" w:type="dxa"/>
            <w:vAlign w:val="bottom"/>
            <w:tcBorders>
              <w:right w:val="single" w:sz="8" w:color="auto"/>
            </w:tcBorders>
          </w:tcPr>
          <w:p>
            <w:pPr>
              <w:jc w:val="center"/>
              <w:ind w:left="233"/>
              <w:spacing w:after="0" w:line="138" w:lineRule="exact"/>
              <w:rPr>
                <w:sz w:val="20"/>
                <w:szCs w:val="20"/>
                <w:color w:val="auto"/>
              </w:rPr>
            </w:pPr>
            <w:r>
              <w:rPr>
                <w:rFonts w:ascii="Times New Roman" w:cs="Times New Roman" w:eastAsia="Times New Roman" w:hAnsi="Times New Roman"/>
                <w:sz w:val="14"/>
                <w:szCs w:val="14"/>
                <w:color w:val="auto"/>
                <w:w w:val="99"/>
              </w:rPr>
              <w:t>39.7%</w:t>
            </w:r>
          </w:p>
        </w:tc>
        <w:tc>
          <w:tcPr>
            <w:tcW w:w="0" w:type="dxa"/>
            <w:vAlign w:val="bottom"/>
          </w:tcPr>
          <w:p>
            <w:pPr>
              <w:spacing w:after="0"/>
              <w:rPr>
                <w:sz w:val="1"/>
                <w:szCs w:val="1"/>
                <w:color w:val="auto"/>
              </w:rPr>
            </w:pPr>
          </w:p>
        </w:tc>
      </w:tr>
      <w:tr>
        <w:trPr>
          <w:trHeight w:val="142"/>
        </w:trPr>
        <w:tc>
          <w:tcPr>
            <w:tcW w:w="3880" w:type="dxa"/>
            <w:vAlign w:val="bottom"/>
            <w:tcBorders>
              <w:left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i w:val="1"/>
                <w:iCs w:val="1"/>
                <w:color w:val="auto"/>
              </w:rPr>
              <w:t>Other Income No Core:</w:t>
            </w:r>
          </w:p>
        </w:tc>
        <w:tc>
          <w:tcPr>
            <w:tcW w:w="1320" w:type="dxa"/>
            <w:vAlign w:val="bottom"/>
            <w:tcBorders>
              <w:right w:val="single" w:sz="8" w:color="auto"/>
            </w:tcBorders>
          </w:tcPr>
          <w:p>
            <w:pPr>
              <w:spacing w:after="0"/>
              <w:rPr>
                <w:sz w:val="12"/>
                <w:szCs w:val="12"/>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(351)</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(4,500)</w:t>
            </w: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2"/>
              </w:rPr>
              <w:t>(660)</w:t>
            </w:r>
          </w:p>
        </w:tc>
        <w:tc>
          <w:tcPr>
            <w:tcW w:w="780" w:type="dxa"/>
            <w:vAlign w:val="bottom"/>
            <w:vMerge w:val="restart"/>
          </w:tcPr>
          <w:p>
            <w:pPr>
              <w:jc w:val="center"/>
              <w:ind w:left="233"/>
              <w:spacing w:after="0"/>
              <w:rPr>
                <w:sz w:val="20"/>
                <w:szCs w:val="20"/>
                <w:color w:val="auto"/>
              </w:rPr>
            </w:pPr>
            <w:r>
              <w:rPr>
                <w:rFonts w:ascii="Times New Roman" w:cs="Times New Roman" w:eastAsia="Times New Roman" w:hAnsi="Times New Roman"/>
                <w:sz w:val="14"/>
                <w:szCs w:val="14"/>
                <w:color w:val="auto"/>
                <w:w w:val="97"/>
              </w:rPr>
              <w:t>-85.3%</w:t>
            </w:r>
          </w:p>
        </w:tc>
        <w:tc>
          <w:tcPr>
            <w:tcW w:w="1460" w:type="dxa"/>
            <w:vAlign w:val="bottom"/>
            <w:tcBorders>
              <w:right w:val="single" w:sz="8" w:color="auto"/>
            </w:tcBorders>
            <w:vMerge w:val="restart"/>
          </w:tcPr>
          <w:p>
            <w:pPr>
              <w:jc w:val="center"/>
              <w:ind w:left="233"/>
              <w:spacing w:after="0"/>
              <w:rPr>
                <w:sz w:val="20"/>
                <w:szCs w:val="20"/>
                <w:color w:val="auto"/>
              </w:rPr>
            </w:pPr>
            <w:r>
              <w:rPr>
                <w:rFonts w:ascii="Times New Roman" w:cs="Times New Roman" w:eastAsia="Times New Roman" w:hAnsi="Times New Roman"/>
                <w:sz w:val="14"/>
                <w:szCs w:val="14"/>
                <w:color w:val="auto"/>
                <w:w w:val="99"/>
              </w:rPr>
              <w:t>88.0%</w:t>
            </w:r>
          </w:p>
        </w:tc>
        <w:tc>
          <w:tcPr>
            <w:tcW w:w="0" w:type="dxa"/>
            <w:vAlign w:val="bottom"/>
          </w:tcPr>
          <w:p>
            <w:pPr>
              <w:spacing w:after="0"/>
              <w:rPr>
                <w:sz w:val="1"/>
                <w:szCs w:val="1"/>
                <w:color w:val="auto"/>
              </w:rPr>
            </w:pPr>
          </w:p>
        </w:tc>
      </w:tr>
      <w:tr>
        <w:trPr>
          <w:trHeight w:val="140"/>
        </w:trPr>
        <w:tc>
          <w:tcPr>
            <w:tcW w:w="3880" w:type="dxa"/>
            <w:vAlign w:val="bottom"/>
            <w:tcBorders>
              <w:left w:val="single" w:sz="8" w:color="auto"/>
            </w:tcBorders>
          </w:tcPr>
          <w:p>
            <w:pPr>
              <w:ind w:left="120"/>
              <w:spacing w:after="0" w:line="140" w:lineRule="exact"/>
              <w:rPr>
                <w:sz w:val="20"/>
                <w:szCs w:val="20"/>
                <w:color w:val="auto"/>
              </w:rPr>
            </w:pPr>
            <w:r>
              <w:rPr>
                <w:rFonts w:ascii="Times New Roman" w:cs="Times New Roman" w:eastAsia="Times New Roman" w:hAnsi="Times New Roman"/>
                <w:sz w:val="14"/>
                <w:szCs w:val="14"/>
                <w:color w:val="auto"/>
              </w:rPr>
              <w:t>Net gain (loss) from exchange differences</w:t>
            </w:r>
          </w:p>
        </w:tc>
        <w:tc>
          <w:tcPr>
            <w:tcW w:w="1320" w:type="dxa"/>
            <w:vAlign w:val="bottom"/>
            <w:tcBorders>
              <w:right w:val="single" w:sz="8" w:color="auto"/>
            </w:tcBorders>
          </w:tcPr>
          <w:p>
            <w:pPr>
              <w:spacing w:after="0"/>
              <w:rPr>
                <w:sz w:val="12"/>
                <w:szCs w:val="12"/>
                <w:color w:val="auto"/>
              </w:rPr>
            </w:pPr>
          </w:p>
        </w:tc>
        <w:tc>
          <w:tcPr>
            <w:tcW w:w="114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140" w:type="dxa"/>
            <w:vAlign w:val="bottom"/>
            <w:tcBorders>
              <w:right w:val="single" w:sz="8" w:color="auto"/>
            </w:tcBorders>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14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880" w:type="dxa"/>
            <w:vAlign w:val="bottom"/>
            <w:tcBorders>
              <w:left w:val="single" w:sz="8" w:color="auto"/>
            </w:tcBorders>
          </w:tcPr>
          <w:p>
            <w:pPr>
              <w:ind w:left="120"/>
              <w:spacing w:after="0" w:line="140" w:lineRule="exact"/>
              <w:rPr>
                <w:sz w:val="20"/>
                <w:szCs w:val="20"/>
                <w:color w:val="auto"/>
              </w:rPr>
            </w:pPr>
            <w:r>
              <w:rPr>
                <w:rFonts w:ascii="Times New Roman" w:cs="Times New Roman" w:eastAsia="Times New Roman" w:hAnsi="Times New Roman"/>
                <w:sz w:val="14"/>
                <w:szCs w:val="14"/>
                <w:color w:val="auto"/>
              </w:rPr>
              <w:t>Net loss on securities and associates</w:t>
            </w:r>
          </w:p>
        </w:tc>
        <w:tc>
          <w:tcPr>
            <w:tcW w:w="1320" w:type="dxa"/>
            <w:vAlign w:val="bottom"/>
            <w:tcBorders>
              <w:right w:val="single" w:sz="8" w:color="auto"/>
            </w:tcBorders>
          </w:tcPr>
          <w:p>
            <w:pPr>
              <w:spacing w:after="0"/>
              <w:rPr>
                <w:sz w:val="12"/>
                <w:szCs w:val="12"/>
                <w:color w:val="auto"/>
              </w:rPr>
            </w:pPr>
          </w:p>
        </w:tc>
        <w:tc>
          <w:tcPr>
            <w:tcW w:w="114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(34,396)</w:t>
            </w:r>
          </w:p>
        </w:tc>
        <w:tc>
          <w:tcPr>
            <w:tcW w:w="108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3"/>
              </w:rPr>
              <w:t>20,281</w:t>
            </w:r>
          </w:p>
        </w:tc>
        <w:tc>
          <w:tcPr>
            <w:tcW w:w="114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rPr>
              <w:t>4,024</w:t>
            </w:r>
          </w:p>
        </w:tc>
        <w:tc>
          <w:tcPr>
            <w:tcW w:w="780" w:type="dxa"/>
            <w:vAlign w:val="bottom"/>
          </w:tcPr>
          <w:p>
            <w:pPr>
              <w:jc w:val="center"/>
              <w:ind w:left="233"/>
              <w:spacing w:after="0" w:line="140" w:lineRule="exact"/>
              <w:rPr>
                <w:sz w:val="20"/>
                <w:szCs w:val="20"/>
                <w:color w:val="auto"/>
              </w:rPr>
            </w:pPr>
            <w:r>
              <w:rPr>
                <w:rFonts w:ascii="Times New Roman" w:cs="Times New Roman" w:eastAsia="Times New Roman" w:hAnsi="Times New Roman"/>
                <w:sz w:val="14"/>
                <w:szCs w:val="14"/>
                <w:color w:val="auto"/>
                <w:w w:val="97"/>
              </w:rPr>
              <w:t>-80.2%</w:t>
            </w:r>
          </w:p>
        </w:tc>
        <w:tc>
          <w:tcPr>
            <w:tcW w:w="1460" w:type="dxa"/>
            <w:vAlign w:val="bottom"/>
            <w:tcBorders>
              <w:right w:val="single" w:sz="8" w:color="auto"/>
            </w:tcBorders>
          </w:tcPr>
          <w:p>
            <w:pPr>
              <w:jc w:val="center"/>
              <w:ind w:left="233"/>
              <w:spacing w:after="0" w:line="140" w:lineRule="exact"/>
              <w:rPr>
                <w:sz w:val="20"/>
                <w:szCs w:val="20"/>
                <w:color w:val="auto"/>
              </w:rPr>
            </w:pPr>
            <w:r>
              <w:rPr>
                <w:rFonts w:ascii="Times New Roman" w:cs="Times New Roman" w:eastAsia="Times New Roman" w:hAnsi="Times New Roman"/>
                <w:sz w:val="14"/>
                <w:szCs w:val="14"/>
                <w:color w:val="auto"/>
                <w:w w:val="91"/>
              </w:rPr>
              <w:t>-111.7%</w:t>
            </w:r>
          </w:p>
        </w:tc>
        <w:tc>
          <w:tcPr>
            <w:tcW w:w="0" w:type="dxa"/>
            <w:vAlign w:val="bottom"/>
          </w:tcPr>
          <w:p>
            <w:pPr>
              <w:spacing w:after="0"/>
              <w:rPr>
                <w:sz w:val="1"/>
                <w:szCs w:val="1"/>
                <w:color w:val="auto"/>
              </w:rPr>
            </w:pPr>
          </w:p>
        </w:tc>
      </w:tr>
      <w:tr>
        <w:trPr>
          <w:trHeight w:val="136"/>
        </w:trPr>
        <w:tc>
          <w:tcPr>
            <w:tcW w:w="3880" w:type="dxa"/>
            <w:vAlign w:val="bottom"/>
            <w:tcBorders>
              <w:left w:val="single" w:sz="8" w:color="auto"/>
            </w:tcBorders>
          </w:tcPr>
          <w:p>
            <w:pPr>
              <w:ind w:left="120"/>
              <w:spacing w:after="0" w:line="136" w:lineRule="exact"/>
              <w:rPr>
                <w:sz w:val="20"/>
                <w:szCs w:val="20"/>
                <w:color w:val="auto"/>
              </w:rPr>
            </w:pPr>
            <w:r>
              <w:rPr>
                <w:rFonts w:ascii="Times New Roman" w:cs="Times New Roman" w:eastAsia="Times New Roman" w:hAnsi="Times New Roman"/>
                <w:sz w:val="14"/>
                <w:szCs w:val="14"/>
                <w:color w:val="auto"/>
              </w:rPr>
              <w:t>Other Income not operational</w:t>
            </w:r>
          </w:p>
        </w:tc>
        <w:tc>
          <w:tcPr>
            <w:tcW w:w="1320" w:type="dxa"/>
            <w:vAlign w:val="bottom"/>
            <w:tcBorders>
              <w:right w:val="single" w:sz="8" w:color="auto"/>
            </w:tcBorders>
          </w:tcPr>
          <w:p>
            <w:pPr>
              <w:spacing w:after="0"/>
              <w:rPr>
                <w:sz w:val="11"/>
                <w:szCs w:val="11"/>
                <w:color w:val="auto"/>
              </w:rPr>
            </w:pPr>
          </w:p>
        </w:tc>
        <w:tc>
          <w:tcPr>
            <w:tcW w:w="114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w w:val="98"/>
              </w:rPr>
              <w:t>26,264</w:t>
            </w:r>
          </w:p>
        </w:tc>
        <w:tc>
          <w:tcPr>
            <w:tcW w:w="108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w w:val="93"/>
              </w:rPr>
              <w:t>92,116</w:t>
            </w:r>
          </w:p>
        </w:tc>
        <w:tc>
          <w:tcPr>
            <w:tcW w:w="114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4"/>
                <w:szCs w:val="14"/>
                <w:color w:val="auto"/>
                <w:w w:val="93"/>
              </w:rPr>
              <w:t>32,161</w:t>
            </w:r>
          </w:p>
        </w:tc>
        <w:tc>
          <w:tcPr>
            <w:tcW w:w="780" w:type="dxa"/>
            <w:vAlign w:val="bottom"/>
          </w:tcPr>
          <w:p>
            <w:pPr>
              <w:jc w:val="center"/>
              <w:ind w:left="233"/>
              <w:spacing w:after="0" w:line="136" w:lineRule="exact"/>
              <w:rPr>
                <w:sz w:val="20"/>
                <w:szCs w:val="20"/>
                <w:color w:val="auto"/>
              </w:rPr>
            </w:pPr>
            <w:r>
              <w:rPr>
                <w:rFonts w:ascii="Times New Roman" w:cs="Times New Roman" w:eastAsia="Times New Roman" w:hAnsi="Times New Roman"/>
                <w:sz w:val="14"/>
                <w:szCs w:val="14"/>
                <w:color w:val="auto"/>
                <w:w w:val="97"/>
              </w:rPr>
              <w:t>-65.1%</w:t>
            </w:r>
          </w:p>
        </w:tc>
        <w:tc>
          <w:tcPr>
            <w:tcW w:w="1460" w:type="dxa"/>
            <w:vAlign w:val="bottom"/>
            <w:tcBorders>
              <w:right w:val="single" w:sz="8" w:color="auto"/>
            </w:tcBorders>
          </w:tcPr>
          <w:p>
            <w:pPr>
              <w:jc w:val="center"/>
              <w:ind w:left="233"/>
              <w:spacing w:after="0" w:line="136" w:lineRule="exact"/>
              <w:rPr>
                <w:sz w:val="20"/>
                <w:szCs w:val="20"/>
                <w:color w:val="auto"/>
              </w:rPr>
            </w:pPr>
            <w:r>
              <w:rPr>
                <w:rFonts w:ascii="Times New Roman" w:cs="Times New Roman" w:eastAsia="Times New Roman" w:hAnsi="Times New Roman"/>
                <w:sz w:val="14"/>
                <w:szCs w:val="14"/>
                <w:color w:val="auto"/>
                <w:w w:val="99"/>
              </w:rPr>
              <w:t>22.5%</w:t>
            </w:r>
          </w:p>
        </w:tc>
        <w:tc>
          <w:tcPr>
            <w:tcW w:w="0" w:type="dxa"/>
            <w:vAlign w:val="bottom"/>
          </w:tcPr>
          <w:p>
            <w:pPr>
              <w:spacing w:after="0"/>
              <w:rPr>
                <w:sz w:val="1"/>
                <w:szCs w:val="1"/>
                <w:color w:val="auto"/>
              </w:rPr>
            </w:pPr>
          </w:p>
        </w:tc>
      </w:tr>
      <w:tr>
        <w:trPr>
          <w:trHeight w:val="144"/>
        </w:trPr>
        <w:tc>
          <w:tcPr>
            <w:tcW w:w="3880" w:type="dxa"/>
            <w:vAlign w:val="bottom"/>
            <w:tcBorders>
              <w:left w:val="single" w:sz="8" w:color="auto"/>
            </w:tcBorders>
          </w:tcPr>
          <w:p>
            <w:pPr>
              <w:ind w:left="120"/>
              <w:spacing w:after="0" w:line="144" w:lineRule="exact"/>
              <w:rPr>
                <w:sz w:val="20"/>
                <w:szCs w:val="20"/>
                <w:color w:val="auto"/>
              </w:rPr>
            </w:pPr>
            <w:r>
              <w:rPr>
                <w:rFonts w:ascii="Times New Roman" w:cs="Times New Roman" w:eastAsia="Times New Roman" w:hAnsi="Times New Roman"/>
                <w:sz w:val="14"/>
                <w:szCs w:val="14"/>
                <w:b w:val="1"/>
                <w:bCs w:val="1"/>
                <w:color w:val="auto"/>
              </w:rPr>
              <w:t>Other Income</w:t>
            </w:r>
          </w:p>
        </w:tc>
        <w:tc>
          <w:tcPr>
            <w:tcW w:w="1320" w:type="dxa"/>
            <w:vAlign w:val="bottom"/>
            <w:tcBorders>
              <w:right w:val="single" w:sz="8" w:color="auto"/>
            </w:tcBorders>
          </w:tcPr>
          <w:p>
            <w:pPr>
              <w:spacing w:after="0"/>
              <w:rPr>
                <w:sz w:val="12"/>
                <w:szCs w:val="12"/>
                <w:color w:val="auto"/>
              </w:rPr>
            </w:pPr>
          </w:p>
        </w:tc>
        <w:tc>
          <w:tcPr>
            <w:tcW w:w="114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6"/>
              </w:rPr>
              <w:t>(12,634)</w:t>
            </w:r>
          </w:p>
        </w:tc>
        <w:tc>
          <w:tcPr>
            <w:tcW w:w="108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6"/>
              </w:rPr>
              <w:t>103,464</w:t>
            </w:r>
          </w:p>
        </w:tc>
        <w:tc>
          <w:tcPr>
            <w:tcW w:w="1140" w:type="dxa"/>
            <w:vAlign w:val="bottom"/>
            <w:tcBorders>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3"/>
              </w:rPr>
              <w:t>29,726</w:t>
            </w:r>
          </w:p>
        </w:tc>
        <w:tc>
          <w:tcPr>
            <w:tcW w:w="780" w:type="dxa"/>
            <w:vAlign w:val="bottom"/>
          </w:tcPr>
          <w:p>
            <w:pPr>
              <w:jc w:val="center"/>
              <w:ind w:left="253"/>
              <w:spacing w:after="0" w:line="144" w:lineRule="exact"/>
              <w:rPr>
                <w:sz w:val="20"/>
                <w:szCs w:val="20"/>
                <w:color w:val="auto"/>
              </w:rPr>
            </w:pPr>
            <w:r>
              <w:rPr>
                <w:rFonts w:ascii="Times New Roman" w:cs="Times New Roman" w:eastAsia="Times New Roman" w:hAnsi="Times New Roman"/>
                <w:sz w:val="14"/>
                <w:szCs w:val="14"/>
                <w:b w:val="1"/>
                <w:bCs w:val="1"/>
                <w:color w:val="auto"/>
                <w:w w:val="97"/>
              </w:rPr>
              <w:t>-71.3%</w:t>
            </w:r>
          </w:p>
        </w:tc>
        <w:tc>
          <w:tcPr>
            <w:tcW w:w="1460" w:type="dxa"/>
            <w:vAlign w:val="bottom"/>
            <w:tcBorders>
              <w:right w:val="single" w:sz="8" w:color="auto"/>
            </w:tcBorders>
          </w:tcPr>
          <w:p>
            <w:pPr>
              <w:jc w:val="center"/>
              <w:ind w:left="233"/>
              <w:spacing w:after="0" w:line="144" w:lineRule="exact"/>
              <w:rPr>
                <w:sz w:val="20"/>
                <w:szCs w:val="20"/>
                <w:color w:val="auto"/>
              </w:rPr>
            </w:pPr>
            <w:r>
              <w:rPr>
                <w:rFonts w:ascii="Times New Roman" w:cs="Times New Roman" w:eastAsia="Times New Roman" w:hAnsi="Times New Roman"/>
                <w:sz w:val="14"/>
                <w:szCs w:val="14"/>
                <w:b w:val="1"/>
                <w:bCs w:val="1"/>
                <w:color w:val="auto"/>
                <w:w w:val="95"/>
              </w:rPr>
              <w:t>-335.3%</w:t>
            </w:r>
          </w:p>
        </w:tc>
        <w:tc>
          <w:tcPr>
            <w:tcW w:w="0" w:type="dxa"/>
            <w:vAlign w:val="bottom"/>
          </w:tcPr>
          <w:p>
            <w:pPr>
              <w:spacing w:after="0"/>
              <w:rPr>
                <w:sz w:val="1"/>
                <w:szCs w:val="1"/>
                <w:color w:val="auto"/>
              </w:rPr>
            </w:pPr>
          </w:p>
        </w:tc>
      </w:tr>
      <w:tr>
        <w:trPr>
          <w:trHeight w:val="140"/>
        </w:trPr>
        <w:tc>
          <w:tcPr>
            <w:tcW w:w="3880" w:type="dxa"/>
            <w:vAlign w:val="bottom"/>
            <w:tcBorders>
              <w:left w:val="single" w:sz="8" w:color="auto"/>
            </w:tcBorders>
          </w:tcPr>
          <w:p>
            <w:pPr>
              <w:ind w:left="120"/>
              <w:spacing w:after="0" w:line="140" w:lineRule="exact"/>
              <w:rPr>
                <w:sz w:val="20"/>
                <w:szCs w:val="20"/>
                <w:color w:val="auto"/>
              </w:rPr>
            </w:pPr>
            <w:r>
              <w:rPr>
                <w:rFonts w:ascii="Times New Roman" w:cs="Times New Roman" w:eastAsia="Times New Roman" w:hAnsi="Times New Roman"/>
                <w:sz w:val="14"/>
                <w:szCs w:val="14"/>
                <w:color w:val="auto"/>
              </w:rPr>
              <w:t>Operating expenses</w:t>
            </w:r>
          </w:p>
        </w:tc>
        <w:tc>
          <w:tcPr>
            <w:tcW w:w="1320" w:type="dxa"/>
            <w:vAlign w:val="bottom"/>
            <w:tcBorders>
              <w:right w:val="single" w:sz="8" w:color="auto"/>
            </w:tcBorders>
          </w:tcPr>
          <w:p>
            <w:pPr>
              <w:spacing w:after="0"/>
              <w:rPr>
                <w:sz w:val="12"/>
                <w:szCs w:val="12"/>
                <w:color w:val="auto"/>
              </w:rPr>
            </w:pPr>
          </w:p>
        </w:tc>
        <w:tc>
          <w:tcPr>
            <w:tcW w:w="114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8"/>
              </w:rPr>
              <w:t>(105,415)</w:t>
            </w:r>
          </w:p>
        </w:tc>
        <w:tc>
          <w:tcPr>
            <w:tcW w:w="108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4"/>
              </w:rPr>
              <w:t>(176,482)</w:t>
            </w:r>
          </w:p>
        </w:tc>
        <w:tc>
          <w:tcPr>
            <w:tcW w:w="114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4"/>
              </w:rPr>
              <w:t>(146,656)</w:t>
            </w:r>
          </w:p>
        </w:tc>
        <w:tc>
          <w:tcPr>
            <w:tcW w:w="780" w:type="dxa"/>
            <w:vAlign w:val="bottom"/>
          </w:tcPr>
          <w:p>
            <w:pPr>
              <w:jc w:val="center"/>
              <w:ind w:left="233"/>
              <w:spacing w:after="0" w:line="140" w:lineRule="exact"/>
              <w:rPr>
                <w:sz w:val="20"/>
                <w:szCs w:val="20"/>
                <w:color w:val="auto"/>
              </w:rPr>
            </w:pPr>
            <w:r>
              <w:rPr>
                <w:rFonts w:ascii="Times New Roman" w:cs="Times New Roman" w:eastAsia="Times New Roman" w:hAnsi="Times New Roman"/>
                <w:sz w:val="14"/>
                <w:szCs w:val="14"/>
                <w:color w:val="auto"/>
                <w:w w:val="97"/>
              </w:rPr>
              <w:t>-16.9%</w:t>
            </w:r>
          </w:p>
        </w:tc>
        <w:tc>
          <w:tcPr>
            <w:tcW w:w="1460" w:type="dxa"/>
            <w:vAlign w:val="bottom"/>
            <w:tcBorders>
              <w:right w:val="single" w:sz="8" w:color="auto"/>
            </w:tcBorders>
          </w:tcPr>
          <w:p>
            <w:pPr>
              <w:jc w:val="center"/>
              <w:ind w:left="233"/>
              <w:spacing w:after="0" w:line="140" w:lineRule="exact"/>
              <w:rPr>
                <w:sz w:val="20"/>
                <w:szCs w:val="20"/>
                <w:color w:val="auto"/>
              </w:rPr>
            </w:pPr>
            <w:r>
              <w:rPr>
                <w:rFonts w:ascii="Times New Roman" w:cs="Times New Roman" w:eastAsia="Times New Roman" w:hAnsi="Times New Roman"/>
                <w:sz w:val="14"/>
                <w:szCs w:val="14"/>
                <w:color w:val="auto"/>
                <w:w w:val="99"/>
              </w:rPr>
              <w:t>39.1%</w:t>
            </w:r>
          </w:p>
        </w:tc>
        <w:tc>
          <w:tcPr>
            <w:tcW w:w="0" w:type="dxa"/>
            <w:vAlign w:val="bottom"/>
          </w:tcPr>
          <w:p>
            <w:pPr>
              <w:spacing w:after="0"/>
              <w:rPr>
                <w:sz w:val="1"/>
                <w:szCs w:val="1"/>
                <w:color w:val="auto"/>
              </w:rPr>
            </w:pPr>
          </w:p>
        </w:tc>
      </w:tr>
      <w:tr>
        <w:trPr>
          <w:trHeight w:val="136"/>
        </w:trPr>
        <w:tc>
          <w:tcPr>
            <w:tcW w:w="3880" w:type="dxa"/>
            <w:vAlign w:val="bottom"/>
            <w:tcBorders>
              <w:left w:val="single" w:sz="8" w:color="auto"/>
            </w:tcBorders>
          </w:tcPr>
          <w:p>
            <w:pPr>
              <w:ind w:left="120"/>
              <w:spacing w:after="0" w:line="136" w:lineRule="exact"/>
              <w:rPr>
                <w:sz w:val="20"/>
                <w:szCs w:val="20"/>
                <w:color w:val="auto"/>
              </w:rPr>
            </w:pPr>
            <w:r>
              <w:rPr>
                <w:rFonts w:ascii="Times New Roman" w:cs="Times New Roman" w:eastAsia="Times New Roman" w:hAnsi="Times New Roman"/>
                <w:sz w:val="14"/>
                <w:szCs w:val="14"/>
                <w:color w:val="auto"/>
              </w:rPr>
              <w:t>Other expenses</w:t>
            </w:r>
          </w:p>
        </w:tc>
        <w:tc>
          <w:tcPr>
            <w:tcW w:w="1320" w:type="dxa"/>
            <w:vAlign w:val="bottom"/>
            <w:tcBorders>
              <w:right w:val="single" w:sz="8" w:color="auto"/>
            </w:tcBorders>
          </w:tcPr>
          <w:p>
            <w:pPr>
              <w:spacing w:after="0"/>
              <w:rPr>
                <w:sz w:val="11"/>
                <w:szCs w:val="11"/>
                <w:color w:val="auto"/>
              </w:rPr>
            </w:pPr>
          </w:p>
        </w:tc>
        <w:tc>
          <w:tcPr>
            <w:tcW w:w="114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w w:val="97"/>
              </w:rPr>
              <w:t>(3,837)</w:t>
            </w:r>
          </w:p>
        </w:tc>
        <w:tc>
          <w:tcPr>
            <w:tcW w:w="108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w w:val="96"/>
              </w:rPr>
              <w:t>(42,273)</w:t>
            </w:r>
          </w:p>
        </w:tc>
        <w:tc>
          <w:tcPr>
            <w:tcW w:w="114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4"/>
                <w:szCs w:val="14"/>
                <w:color w:val="auto"/>
              </w:rPr>
              <w:t>(16,372)</w:t>
            </w:r>
          </w:p>
        </w:tc>
        <w:tc>
          <w:tcPr>
            <w:tcW w:w="780" w:type="dxa"/>
            <w:vAlign w:val="bottom"/>
          </w:tcPr>
          <w:p>
            <w:pPr>
              <w:jc w:val="center"/>
              <w:ind w:left="233"/>
              <w:spacing w:after="0" w:line="136" w:lineRule="exact"/>
              <w:rPr>
                <w:sz w:val="20"/>
                <w:szCs w:val="20"/>
                <w:color w:val="auto"/>
              </w:rPr>
            </w:pPr>
            <w:r>
              <w:rPr>
                <w:rFonts w:ascii="Times New Roman" w:cs="Times New Roman" w:eastAsia="Times New Roman" w:hAnsi="Times New Roman"/>
                <w:sz w:val="14"/>
                <w:szCs w:val="14"/>
                <w:color w:val="auto"/>
                <w:w w:val="97"/>
              </w:rPr>
              <w:t>-61.3%</w:t>
            </w:r>
          </w:p>
        </w:tc>
        <w:tc>
          <w:tcPr>
            <w:tcW w:w="1460" w:type="dxa"/>
            <w:vAlign w:val="bottom"/>
            <w:tcBorders>
              <w:right w:val="single" w:sz="8" w:color="auto"/>
            </w:tcBorders>
          </w:tcPr>
          <w:p>
            <w:pPr>
              <w:jc w:val="center"/>
              <w:ind w:left="233"/>
              <w:spacing w:after="0" w:line="136" w:lineRule="exact"/>
              <w:rPr>
                <w:sz w:val="20"/>
                <w:szCs w:val="20"/>
                <w:color w:val="auto"/>
              </w:rPr>
            </w:pPr>
            <w:r>
              <w:rPr>
                <w:rFonts w:ascii="Times New Roman" w:cs="Times New Roman" w:eastAsia="Times New Roman" w:hAnsi="Times New Roman"/>
                <w:sz w:val="14"/>
                <w:szCs w:val="14"/>
                <w:color w:val="auto"/>
                <w:w w:val="92"/>
              </w:rPr>
              <w:t>326.7%</w:t>
            </w:r>
          </w:p>
        </w:tc>
        <w:tc>
          <w:tcPr>
            <w:tcW w:w="0" w:type="dxa"/>
            <w:vAlign w:val="bottom"/>
          </w:tcPr>
          <w:p>
            <w:pPr>
              <w:spacing w:after="0"/>
              <w:rPr>
                <w:sz w:val="1"/>
                <w:szCs w:val="1"/>
                <w:color w:val="auto"/>
              </w:rPr>
            </w:pPr>
          </w:p>
        </w:tc>
      </w:tr>
      <w:tr>
        <w:trPr>
          <w:trHeight w:val="144"/>
        </w:trPr>
        <w:tc>
          <w:tcPr>
            <w:tcW w:w="3880" w:type="dxa"/>
            <w:vAlign w:val="bottom"/>
            <w:tcBorders>
              <w:left w:val="single" w:sz="8" w:color="auto"/>
            </w:tcBorders>
          </w:tcPr>
          <w:p>
            <w:pPr>
              <w:ind w:left="120"/>
              <w:spacing w:after="0" w:line="144" w:lineRule="exact"/>
              <w:rPr>
                <w:sz w:val="20"/>
                <w:szCs w:val="20"/>
                <w:color w:val="auto"/>
              </w:rPr>
            </w:pPr>
            <w:r>
              <w:rPr>
                <w:rFonts w:ascii="Times New Roman" w:cs="Times New Roman" w:eastAsia="Times New Roman" w:hAnsi="Times New Roman"/>
                <w:sz w:val="14"/>
                <w:szCs w:val="14"/>
                <w:b w:val="1"/>
                <w:bCs w:val="1"/>
                <w:color w:val="auto"/>
              </w:rPr>
              <w:t>Total Expenses</w:t>
            </w:r>
          </w:p>
        </w:tc>
        <w:tc>
          <w:tcPr>
            <w:tcW w:w="1320" w:type="dxa"/>
            <w:vAlign w:val="bottom"/>
            <w:tcBorders>
              <w:right w:val="single" w:sz="8" w:color="auto"/>
            </w:tcBorders>
          </w:tcPr>
          <w:p>
            <w:pPr>
              <w:spacing w:after="0"/>
              <w:rPr>
                <w:sz w:val="12"/>
                <w:szCs w:val="12"/>
                <w:color w:val="auto"/>
              </w:rPr>
            </w:pPr>
          </w:p>
        </w:tc>
        <w:tc>
          <w:tcPr>
            <w:tcW w:w="114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8"/>
              </w:rPr>
              <w:t>(109,252)</w:t>
            </w:r>
          </w:p>
        </w:tc>
        <w:tc>
          <w:tcPr>
            <w:tcW w:w="108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4"/>
              </w:rPr>
              <w:t>(218,755)</w:t>
            </w:r>
          </w:p>
        </w:tc>
        <w:tc>
          <w:tcPr>
            <w:tcW w:w="1140" w:type="dxa"/>
            <w:vAlign w:val="bottom"/>
            <w:tcBorders>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4"/>
              </w:rPr>
              <w:t>(163,028)</w:t>
            </w:r>
          </w:p>
        </w:tc>
        <w:tc>
          <w:tcPr>
            <w:tcW w:w="780" w:type="dxa"/>
            <w:vAlign w:val="bottom"/>
          </w:tcPr>
          <w:p>
            <w:pPr>
              <w:jc w:val="center"/>
              <w:ind w:left="253"/>
              <w:spacing w:after="0" w:line="144" w:lineRule="exact"/>
              <w:rPr>
                <w:sz w:val="20"/>
                <w:szCs w:val="20"/>
                <w:color w:val="auto"/>
              </w:rPr>
            </w:pPr>
            <w:r>
              <w:rPr>
                <w:rFonts w:ascii="Times New Roman" w:cs="Times New Roman" w:eastAsia="Times New Roman" w:hAnsi="Times New Roman"/>
                <w:sz w:val="14"/>
                <w:szCs w:val="14"/>
                <w:b w:val="1"/>
                <w:bCs w:val="1"/>
                <w:color w:val="auto"/>
                <w:w w:val="97"/>
              </w:rPr>
              <w:t>-25.5%</w:t>
            </w:r>
          </w:p>
        </w:tc>
        <w:tc>
          <w:tcPr>
            <w:tcW w:w="1460" w:type="dxa"/>
            <w:vAlign w:val="bottom"/>
            <w:tcBorders>
              <w:right w:val="single" w:sz="8" w:color="auto"/>
            </w:tcBorders>
          </w:tcPr>
          <w:p>
            <w:pPr>
              <w:jc w:val="center"/>
              <w:ind w:left="233"/>
              <w:spacing w:after="0" w:line="144" w:lineRule="exact"/>
              <w:rPr>
                <w:sz w:val="20"/>
                <w:szCs w:val="20"/>
                <w:color w:val="auto"/>
              </w:rPr>
            </w:pPr>
            <w:r>
              <w:rPr>
                <w:rFonts w:ascii="Times New Roman" w:cs="Times New Roman" w:eastAsia="Times New Roman" w:hAnsi="Times New Roman"/>
                <w:sz w:val="14"/>
                <w:szCs w:val="14"/>
                <w:b w:val="1"/>
                <w:bCs w:val="1"/>
                <w:color w:val="auto"/>
                <w:w w:val="93"/>
              </w:rPr>
              <w:t>49.2%</w:t>
            </w:r>
          </w:p>
        </w:tc>
        <w:tc>
          <w:tcPr>
            <w:tcW w:w="0" w:type="dxa"/>
            <w:vAlign w:val="bottom"/>
          </w:tcPr>
          <w:p>
            <w:pPr>
              <w:spacing w:after="0"/>
              <w:rPr>
                <w:sz w:val="1"/>
                <w:szCs w:val="1"/>
                <w:color w:val="auto"/>
              </w:rPr>
            </w:pPr>
          </w:p>
        </w:tc>
      </w:tr>
      <w:tr>
        <w:trPr>
          <w:trHeight w:val="136"/>
        </w:trPr>
        <w:tc>
          <w:tcPr>
            <w:tcW w:w="3880" w:type="dxa"/>
            <w:vAlign w:val="bottom"/>
            <w:tcBorders>
              <w:left w:val="single" w:sz="8" w:color="auto"/>
            </w:tcBorders>
          </w:tcPr>
          <w:p>
            <w:pPr>
              <w:ind w:left="120"/>
              <w:spacing w:after="0" w:line="136" w:lineRule="exact"/>
              <w:rPr>
                <w:sz w:val="20"/>
                <w:szCs w:val="20"/>
                <w:color w:val="auto"/>
              </w:rPr>
            </w:pPr>
            <w:r>
              <w:rPr>
                <w:rFonts w:ascii="Times New Roman" w:cs="Times New Roman" w:eastAsia="Times New Roman" w:hAnsi="Times New Roman"/>
                <w:sz w:val="14"/>
                <w:szCs w:val="14"/>
                <w:color w:val="auto"/>
              </w:rPr>
              <w:t>Income tax</w:t>
            </w:r>
          </w:p>
        </w:tc>
        <w:tc>
          <w:tcPr>
            <w:tcW w:w="1320" w:type="dxa"/>
            <w:vAlign w:val="bottom"/>
            <w:tcBorders>
              <w:right w:val="single" w:sz="8" w:color="auto"/>
            </w:tcBorders>
          </w:tcPr>
          <w:p>
            <w:pPr>
              <w:spacing w:after="0"/>
              <w:rPr>
                <w:sz w:val="11"/>
                <w:szCs w:val="11"/>
                <w:color w:val="auto"/>
              </w:rPr>
            </w:pPr>
          </w:p>
        </w:tc>
        <w:tc>
          <w:tcPr>
            <w:tcW w:w="114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w w:val="96"/>
              </w:rPr>
              <w:t>(16,052)</w:t>
            </w:r>
          </w:p>
        </w:tc>
        <w:tc>
          <w:tcPr>
            <w:tcW w:w="108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w w:val="96"/>
              </w:rPr>
              <w:t>(54,675)</w:t>
            </w:r>
          </w:p>
        </w:tc>
        <w:tc>
          <w:tcPr>
            <w:tcW w:w="114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4"/>
                <w:szCs w:val="14"/>
                <w:color w:val="auto"/>
              </w:rPr>
              <w:t>(27,856)</w:t>
            </w:r>
          </w:p>
        </w:tc>
        <w:tc>
          <w:tcPr>
            <w:tcW w:w="780" w:type="dxa"/>
            <w:vAlign w:val="bottom"/>
          </w:tcPr>
          <w:p>
            <w:pPr>
              <w:jc w:val="center"/>
              <w:ind w:left="233"/>
              <w:spacing w:after="0" w:line="136" w:lineRule="exact"/>
              <w:rPr>
                <w:sz w:val="20"/>
                <w:szCs w:val="20"/>
                <w:color w:val="auto"/>
              </w:rPr>
            </w:pPr>
            <w:r>
              <w:rPr>
                <w:rFonts w:ascii="Times New Roman" w:cs="Times New Roman" w:eastAsia="Times New Roman" w:hAnsi="Times New Roman"/>
                <w:sz w:val="14"/>
                <w:szCs w:val="14"/>
                <w:color w:val="auto"/>
                <w:w w:val="97"/>
              </w:rPr>
              <w:t>-49.1%</w:t>
            </w:r>
          </w:p>
        </w:tc>
        <w:tc>
          <w:tcPr>
            <w:tcW w:w="1460" w:type="dxa"/>
            <w:vAlign w:val="bottom"/>
            <w:tcBorders>
              <w:right w:val="single" w:sz="8" w:color="auto"/>
            </w:tcBorders>
          </w:tcPr>
          <w:p>
            <w:pPr>
              <w:jc w:val="center"/>
              <w:ind w:left="233"/>
              <w:spacing w:after="0" w:line="136" w:lineRule="exact"/>
              <w:rPr>
                <w:sz w:val="20"/>
                <w:szCs w:val="20"/>
                <w:color w:val="auto"/>
              </w:rPr>
            </w:pPr>
            <w:r>
              <w:rPr>
                <w:rFonts w:ascii="Times New Roman" w:cs="Times New Roman" w:eastAsia="Times New Roman" w:hAnsi="Times New Roman"/>
                <w:sz w:val="14"/>
                <w:szCs w:val="14"/>
                <w:color w:val="auto"/>
                <w:w w:val="99"/>
              </w:rPr>
              <w:t>73.5%</w:t>
            </w:r>
          </w:p>
        </w:tc>
        <w:tc>
          <w:tcPr>
            <w:tcW w:w="0" w:type="dxa"/>
            <w:vAlign w:val="bottom"/>
          </w:tcPr>
          <w:p>
            <w:pPr>
              <w:spacing w:after="0"/>
              <w:rPr>
                <w:sz w:val="1"/>
                <w:szCs w:val="1"/>
                <w:color w:val="auto"/>
              </w:rPr>
            </w:pPr>
          </w:p>
        </w:tc>
      </w:tr>
      <w:tr>
        <w:trPr>
          <w:trHeight w:val="164"/>
        </w:trPr>
        <w:tc>
          <w:tcPr>
            <w:tcW w:w="388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320" w:type="dxa"/>
            <w:vAlign w:val="bottom"/>
            <w:tcBorders>
              <w:bottom w:val="single" w:sz="8" w:color="auto"/>
              <w:right w:val="single" w:sz="8" w:color="auto"/>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182,521</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231,115</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217,972</w:t>
            </w:r>
          </w:p>
        </w:tc>
        <w:tc>
          <w:tcPr>
            <w:tcW w:w="780" w:type="dxa"/>
            <w:vAlign w:val="bottom"/>
            <w:tcBorders>
              <w:bottom w:val="single" w:sz="8" w:color="auto"/>
            </w:tcBorders>
          </w:tcPr>
          <w:p>
            <w:pPr>
              <w:jc w:val="center"/>
              <w:ind w:left="233"/>
              <w:spacing w:after="0"/>
              <w:rPr>
                <w:sz w:val="20"/>
                <w:szCs w:val="20"/>
                <w:color w:val="auto"/>
              </w:rPr>
            </w:pPr>
            <w:r>
              <w:rPr>
                <w:rFonts w:ascii="Times New Roman" w:cs="Times New Roman" w:eastAsia="Times New Roman" w:hAnsi="Times New Roman"/>
                <w:sz w:val="14"/>
                <w:szCs w:val="14"/>
                <w:b w:val="1"/>
                <w:bCs w:val="1"/>
                <w:color w:val="auto"/>
                <w:w w:val="99"/>
              </w:rPr>
              <w:t>-5.7%</w:t>
            </w:r>
          </w:p>
        </w:tc>
        <w:tc>
          <w:tcPr>
            <w:tcW w:w="1460" w:type="dxa"/>
            <w:vAlign w:val="bottom"/>
            <w:tcBorders>
              <w:bottom w:val="single" w:sz="8" w:color="auto"/>
              <w:right w:val="single" w:sz="8" w:color="auto"/>
            </w:tcBorders>
          </w:tcPr>
          <w:p>
            <w:pPr>
              <w:jc w:val="center"/>
              <w:ind w:left="233"/>
              <w:spacing w:after="0"/>
              <w:rPr>
                <w:sz w:val="20"/>
                <w:szCs w:val="20"/>
                <w:color w:val="auto"/>
              </w:rPr>
            </w:pPr>
            <w:r>
              <w:rPr>
                <w:rFonts w:ascii="Times New Roman" w:cs="Times New Roman" w:eastAsia="Times New Roman" w:hAnsi="Times New Roman"/>
                <w:sz w:val="14"/>
                <w:szCs w:val="14"/>
                <w:b w:val="1"/>
                <w:bCs w:val="1"/>
                <w:color w:val="auto"/>
                <w:w w:val="93"/>
              </w:rPr>
              <w:t>19.4%</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*Financial statements without consolidation adjustments.</w:t>
      </w:r>
    </w:p>
    <w:p>
      <w:pPr>
        <w:spacing w:after="0" w:line="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(1) Excluding investments in real estate.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Up to February 2025, Grupo Pacifico’s financial statements reflect the agreement with Banmedica (in equal parts) of the businesses of:</w:t>
      </w:r>
    </w:p>
    <w:p>
      <w:pPr>
        <w:spacing w:after="0" w:line="23" w:lineRule="exact"/>
        <w:rPr>
          <w:sz w:val="20"/>
          <w:szCs w:val="20"/>
          <w:color w:val="auto"/>
        </w:rPr>
      </w:pPr>
    </w:p>
    <w:p>
      <w:pPr>
        <w:ind w:left="740" w:hanging="294"/>
        <w:spacing w:after="0"/>
        <w:tabs>
          <w:tab w:leader="none" w:pos="74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private health insurance managed by Grupo Pacifico and included in its Financial Statements in each of the accounting lines;</w:t>
      </w:r>
    </w:p>
    <w:p>
      <w:pPr>
        <w:spacing w:after="0" w:line="7" w:lineRule="exact"/>
        <w:rPr>
          <w:rFonts w:ascii="Times New Roman" w:cs="Times New Roman" w:eastAsia="Times New Roman" w:hAnsi="Times New Roman"/>
          <w:sz w:val="17"/>
          <w:szCs w:val="17"/>
          <w:color w:val="auto"/>
        </w:rPr>
      </w:pPr>
    </w:p>
    <w:p>
      <w:pPr>
        <w:ind w:left="740" w:hanging="294"/>
        <w:spacing w:after="0"/>
        <w:tabs>
          <w:tab w:leader="none" w:pos="74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corporate health insurance (dependent workers); and</w:t>
      </w:r>
    </w:p>
    <w:p>
      <w:pPr>
        <w:spacing w:after="0" w:line="7" w:lineRule="exact"/>
        <w:rPr>
          <w:rFonts w:ascii="Times New Roman" w:cs="Times New Roman" w:eastAsia="Times New Roman" w:hAnsi="Times New Roman"/>
          <w:sz w:val="17"/>
          <w:szCs w:val="17"/>
          <w:color w:val="auto"/>
        </w:rPr>
      </w:pPr>
    </w:p>
    <w:p>
      <w:pPr>
        <w:ind w:left="740" w:hanging="294"/>
        <w:spacing w:after="0"/>
        <w:tabs>
          <w:tab w:leader="none" w:pos="74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medical services.</w:t>
      </w:r>
    </w:p>
    <w:p>
      <w:pPr>
        <w:spacing w:after="0" w:line="195" w:lineRule="exact"/>
        <w:rPr>
          <w:sz w:val="20"/>
          <w:szCs w:val="20"/>
          <w:color w:val="auto"/>
        </w:rPr>
      </w:pPr>
    </w:p>
    <w:p>
      <w:pPr>
        <w:ind w:right="500"/>
        <w:spacing w:after="0" w:line="277" w:lineRule="auto"/>
        <w:rPr>
          <w:sz w:val="20"/>
          <w:szCs w:val="20"/>
          <w:color w:val="auto"/>
        </w:rPr>
      </w:pPr>
      <w:r>
        <w:rPr>
          <w:rFonts w:ascii="Times New Roman" w:cs="Times New Roman" w:eastAsia="Times New Roman" w:hAnsi="Times New Roman"/>
          <w:sz w:val="17"/>
          <w:szCs w:val="17"/>
          <w:color w:val="auto"/>
        </w:rPr>
        <w:t>The businesses described in ii) and iii) are managed by Banmedica, therefore they do not consolidate in Grupo Pacifico’s financial statements. The 50% of net income generated by Banmedica is recorded in Grupo Pacifico’s Income Statement as a gain/loss on investments in subsidiaries.</w:t>
      </w:r>
    </w:p>
    <w:p>
      <w:pPr>
        <w:spacing w:after="0" w:line="158" w:lineRule="exact"/>
        <w:rPr>
          <w:sz w:val="20"/>
          <w:szCs w:val="20"/>
          <w:color w:val="auto"/>
        </w:rPr>
      </w:pPr>
    </w:p>
    <w:p>
      <w:pPr>
        <w:ind w:left="620" w:hanging="574"/>
        <w:spacing w:after="0" w:line="277" w:lineRule="auto"/>
        <w:rPr>
          <w:sz w:val="20"/>
          <w:szCs w:val="20"/>
          <w:color w:val="auto"/>
        </w:rPr>
      </w:pPr>
      <w:r>
        <w:rPr>
          <w:rFonts w:ascii="Times New Roman" w:cs="Times New Roman" w:eastAsia="Times New Roman" w:hAnsi="Times New Roman"/>
          <w:sz w:val="17"/>
          <w:szCs w:val="17"/>
          <w:color w:val="auto"/>
        </w:rPr>
        <w:t>As explained before, corporate health insurance and medical services businesses are consolidated by Banmedica. The following table reflects the consolidated results from which Grupo Pacifico receives the 50%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908685</wp:posOffset>
            </wp:positionV>
            <wp:extent cx="7140575" cy="1587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40575" cy="15875"/>
                    </a:xfrm>
                    <a:prstGeom prst="rect">
                      <a:avLst/>
                    </a:prstGeom>
                    <a:noFill/>
                  </pic:spPr>
                </pic:pic>
              </a:graphicData>
            </a:graphic>
          </wp:anchor>
        </w:drawing>
        <w:drawing>
          <wp:anchor simplePos="0" relativeHeight="251657728" behindDoc="1" locked="0" layoutInCell="0" allowOverlap="1">
            <wp:simplePos x="0" y="0"/>
            <wp:positionH relativeFrom="column">
              <wp:posOffset>331470</wp:posOffset>
            </wp:positionH>
            <wp:positionV relativeFrom="paragraph">
              <wp:posOffset>110490</wp:posOffset>
            </wp:positionV>
            <wp:extent cx="6447155" cy="53213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447155" cy="532130"/>
                    </a:xfrm>
                    <a:prstGeom prst="rect">
                      <a:avLst/>
                    </a:prstGeom>
                    <a:noFill/>
                  </pic:spPr>
                </pic:pic>
              </a:graphicData>
            </a:graphic>
          </wp:anchor>
        </w:drawing>
      </w:r>
    </w:p>
    <w:p>
      <w:pPr>
        <w:sectPr>
          <w:pgSz w:w="11900" w:h="16838" w:orient="portrait"/>
          <w:cols w:equalWidth="0" w:num="1">
            <w:col w:w="11220"/>
          </w:cols>
          <w:pgMar w:left="320" w:top="695" w:right="359" w:bottom="1440" w:gutter="0" w:footer="0" w:header="0"/>
        </w:sectPr>
      </w:pPr>
    </w:p>
    <w:bookmarkStart w:id="66" w:name="page67"/>
    <w:bookmarkEnd w:id="66"/>
    <w:p>
      <w:pPr>
        <w:jc w:val="both"/>
        <w:ind w:left="3160"/>
        <w:spacing w:after="0"/>
        <w:tabs>
          <w:tab w:leader="none" w:pos="3380" w:val="left"/>
          <w:tab w:leader="none" w:pos="9060" w:val="left"/>
        </w:tabs>
        <w:rPr>
          <w:sz w:val="20"/>
          <w:szCs w:val="20"/>
          <w:color w:val="auto"/>
        </w:rPr>
      </w:pPr>
      <w:r>
        <w:rPr>
          <w:rFonts w:ascii="Times New Roman" w:cs="Times New Roman" w:eastAsia="Times New Roman" w:hAnsi="Times New Roman"/>
          <w:sz w:val="17"/>
          <w:szCs w:val="17"/>
          <w:b w:val="1"/>
          <w:bCs w:val="1"/>
          <w:color w:val="A6A6A6"/>
        </w:rPr>
        <w:drawing>
          <wp:anchor simplePos="0" relativeHeight="251657728" behindDoc="1" locked="0" layoutInCell="0" allowOverlap="1">
            <wp:simplePos x="0" y="0"/>
            <wp:positionH relativeFrom="page">
              <wp:posOffset>204470</wp:posOffset>
            </wp:positionH>
            <wp:positionV relativeFrom="page">
              <wp:posOffset>217805</wp:posOffset>
            </wp:positionV>
            <wp:extent cx="7140575" cy="62865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40575" cy="628650"/>
                    </a:xfrm>
                    <a:prstGeom prst="rect">
                      <a:avLst/>
                    </a:prstGeom>
                    <a:noFill/>
                  </pic:spPr>
                </pic:pic>
              </a:graphicData>
            </a:graphic>
          </wp:anchor>
        </w:drawing>
        <w:t>|</w:t>
      </w:r>
      <w:r>
        <w:rPr>
          <w:sz w:val="20"/>
          <w:szCs w:val="20"/>
          <w:color w:val="auto"/>
        </w:rPr>
        <w:tab/>
      </w:r>
      <w:r>
        <w:rPr>
          <w:rFonts w:ascii="Times New Roman" w:cs="Times New Roman" w:eastAsia="Times New Roman" w:hAnsi="Times New Roman"/>
          <w:sz w:val="14"/>
          <w:szCs w:val="14"/>
          <w:color w:val="FFFFFF"/>
        </w:rPr>
        <w:t>Earnings Release 1Q / 2026</w:t>
      </w:r>
      <w:r>
        <w:rPr>
          <w:sz w:val="20"/>
          <w:szCs w:val="20"/>
          <w:color w:val="auto"/>
        </w:rPr>
        <w:tab/>
      </w:r>
      <w:r>
        <w:rPr>
          <w:rFonts w:ascii="Times New Roman" w:cs="Times New Roman" w:eastAsia="Times New Roman" w:hAnsi="Times New Roman"/>
          <w:sz w:val="12"/>
          <w:szCs w:val="12"/>
          <w:color w:val="FF00FF"/>
        </w:rPr>
        <w:t>Analysis of 1Q26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280670</wp:posOffset>
            </wp:positionV>
            <wp:extent cx="7140575" cy="25781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40575" cy="25781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FFFFFF"/>
        </w:rPr>
        <w:t>12. Appendix</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12.7.9. Investment Management &amp; Advisory </w:t>
      </w:r>
      <w:r>
        <w:rPr>
          <w:rFonts w:ascii="Times New Roman" w:cs="Times New Roman" w:eastAsia="Times New Roman" w:hAnsi="Times New Roman"/>
          <w:sz w:val="28"/>
          <w:szCs w:val="28"/>
          <w:b w:val="1"/>
          <w:bCs w:val="1"/>
          <w:color w:val="auto"/>
          <w:vertAlign w:val="superscript"/>
        </w:rPr>
        <w:t>*</w:t>
      </w:r>
    </w:p>
    <w:p>
      <w:pPr>
        <w:spacing w:after="0" w:line="94" w:lineRule="exact"/>
        <w:rPr>
          <w:sz w:val="20"/>
          <w:szCs w:val="20"/>
          <w:color w:val="auto"/>
        </w:rPr>
      </w:pPr>
    </w:p>
    <w:tbl>
      <w:tblPr>
        <w:tblLayout w:type="fixed"/>
        <w:tblInd w:w="230" w:type="dxa"/>
        <w:tblCellMar>
          <w:top w:w="0" w:type="dxa"/>
          <w:left w:w="0" w:type="dxa"/>
          <w:bottom w:w="0" w:type="dxa"/>
          <w:right w:w="0" w:type="dxa"/>
        </w:tblCellMar>
      </w:tblPr>
      <w:tr>
        <w:trPr>
          <w:trHeight w:val="203"/>
        </w:trPr>
        <w:tc>
          <w:tcPr>
            <w:tcW w:w="5200" w:type="dxa"/>
            <w:vAlign w:val="bottom"/>
            <w:tcBorders>
              <w:top w:val="single" w:sz="8" w:color="auto"/>
              <w:left w:val="single" w:sz="8" w:color="auto"/>
              <w:right w:val="single" w:sz="8" w:color="auto"/>
            </w:tcBorders>
            <w:shd w:val="clear" w:color="auto" w:fill="2AD2C9"/>
          </w:tcPr>
          <w:p>
            <w:pPr>
              <w:ind w:left="120"/>
              <w:spacing w:after="0"/>
              <w:rPr>
                <w:sz w:val="20"/>
                <w:szCs w:val="20"/>
                <w:color w:val="auto"/>
              </w:rPr>
            </w:pPr>
            <w:r>
              <w:rPr>
                <w:rFonts w:ascii="Times New Roman" w:cs="Times New Roman" w:eastAsia="Times New Roman" w:hAnsi="Times New Roman"/>
                <w:sz w:val="15"/>
                <w:szCs w:val="15"/>
                <w:b w:val="1"/>
                <w:bCs w:val="1"/>
                <w:color w:val="FFFFFF"/>
              </w:rPr>
              <w:t>Investment Management &amp; Advisory *</w:t>
            </w:r>
          </w:p>
        </w:tc>
        <w:tc>
          <w:tcPr>
            <w:tcW w:w="1120" w:type="dxa"/>
            <w:vAlign w:val="bottom"/>
            <w:tcBorders>
              <w:top w:val="single" w:sz="8" w:color="auto"/>
            </w:tcBorders>
            <w:shd w:val="clear" w:color="auto" w:fill="2AD2C9"/>
          </w:tcPr>
          <w:p>
            <w:pPr>
              <w:spacing w:after="0"/>
              <w:rPr>
                <w:sz w:val="17"/>
                <w:szCs w:val="17"/>
                <w:color w:val="auto"/>
              </w:rPr>
            </w:pPr>
          </w:p>
        </w:tc>
        <w:tc>
          <w:tcPr>
            <w:tcW w:w="1120" w:type="dxa"/>
            <w:vAlign w:val="bottom"/>
            <w:tcBorders>
              <w:top w:val="single" w:sz="8" w:color="auto"/>
            </w:tcBorders>
            <w:shd w:val="clear" w:color="auto" w:fill="2AD2C9"/>
          </w:tcPr>
          <w:p>
            <w:pPr>
              <w:ind w:left="280"/>
              <w:spacing w:after="0"/>
              <w:rPr>
                <w:sz w:val="20"/>
                <w:szCs w:val="20"/>
                <w:color w:val="auto"/>
              </w:rPr>
            </w:pPr>
            <w:r>
              <w:rPr>
                <w:rFonts w:ascii="Times New Roman" w:cs="Times New Roman" w:eastAsia="Times New Roman" w:hAnsi="Times New Roman"/>
                <w:sz w:val="15"/>
                <w:szCs w:val="15"/>
                <w:b w:val="1"/>
                <w:bCs w:val="1"/>
                <w:color w:val="FFFFFF"/>
              </w:rPr>
              <w:t>Quarter</w:t>
            </w:r>
          </w:p>
        </w:tc>
        <w:tc>
          <w:tcPr>
            <w:tcW w:w="1120" w:type="dxa"/>
            <w:vAlign w:val="bottom"/>
            <w:tcBorders>
              <w:top w:val="single" w:sz="8" w:color="auto"/>
              <w:right w:val="single" w:sz="8" w:color="auto"/>
            </w:tcBorders>
            <w:shd w:val="clear" w:color="auto" w:fill="2AD2C9"/>
          </w:tcPr>
          <w:p>
            <w:pPr>
              <w:spacing w:after="0"/>
              <w:rPr>
                <w:sz w:val="17"/>
                <w:szCs w:val="17"/>
                <w:color w:val="auto"/>
              </w:rPr>
            </w:pPr>
          </w:p>
        </w:tc>
        <w:tc>
          <w:tcPr>
            <w:tcW w:w="2240" w:type="dxa"/>
            <w:vAlign w:val="bottom"/>
            <w:tcBorders>
              <w:top w:val="single" w:sz="8" w:color="auto"/>
              <w:right w:val="single" w:sz="8" w:color="auto"/>
            </w:tcBorders>
            <w:gridSpan w:val="2"/>
            <w:shd w:val="clear" w:color="auto" w:fill="2AD2C9"/>
          </w:tcPr>
          <w:p>
            <w:pPr>
              <w:ind w:left="780"/>
              <w:spacing w:after="0"/>
              <w:rPr>
                <w:sz w:val="20"/>
                <w:szCs w:val="20"/>
                <w:color w:val="auto"/>
              </w:rPr>
            </w:pPr>
            <w:r>
              <w:rPr>
                <w:rFonts w:ascii="Times New Roman" w:cs="Times New Roman" w:eastAsia="Times New Roman" w:hAnsi="Times New Roman"/>
                <w:sz w:val="15"/>
                <w:szCs w:val="15"/>
                <w:b w:val="1"/>
                <w:bCs w:val="1"/>
                <w:color w:val="FFFFFF"/>
              </w:rPr>
              <w:t>% change</w:t>
            </w:r>
          </w:p>
        </w:tc>
      </w:tr>
      <w:tr>
        <w:trPr>
          <w:trHeight w:val="190"/>
        </w:trPr>
        <w:tc>
          <w:tcPr>
            <w:tcW w:w="5200" w:type="dxa"/>
            <w:vAlign w:val="bottom"/>
            <w:tcBorders>
              <w:left w:val="single" w:sz="8" w:color="auto"/>
              <w:bottom w:val="single" w:sz="8" w:color="auto"/>
              <w:right w:val="single" w:sz="8" w:color="auto"/>
            </w:tcBorders>
            <w:shd w:val="clear" w:color="auto" w:fill="2AD2C9"/>
          </w:tcPr>
          <w:p>
            <w:pPr>
              <w:ind w:left="120"/>
              <w:spacing w:after="0"/>
              <w:rPr>
                <w:sz w:val="20"/>
                <w:szCs w:val="20"/>
                <w:color w:val="auto"/>
              </w:rPr>
            </w:pPr>
            <w:r>
              <w:rPr>
                <w:rFonts w:ascii="Times New Roman" w:cs="Times New Roman" w:eastAsia="Times New Roman" w:hAnsi="Times New Roman"/>
                <w:sz w:val="15"/>
                <w:szCs w:val="15"/>
                <w:b w:val="1"/>
                <w:bCs w:val="1"/>
                <w:color w:val="FFFFFF"/>
              </w:rPr>
              <w:t>S/ 000</w:t>
            </w:r>
          </w:p>
        </w:tc>
        <w:tc>
          <w:tcPr>
            <w:tcW w:w="1120" w:type="dxa"/>
            <w:vAlign w:val="bottom"/>
            <w:tcBorders>
              <w:bottom w:val="single" w:sz="8" w:color="auto"/>
            </w:tcBorders>
            <w:shd w:val="clear" w:color="auto" w:fill="2AD2C9"/>
          </w:tcPr>
          <w:p>
            <w:pPr>
              <w:jc w:val="center"/>
              <w:spacing w:after="0"/>
              <w:rPr>
                <w:sz w:val="20"/>
                <w:szCs w:val="20"/>
                <w:color w:val="auto"/>
              </w:rPr>
            </w:pPr>
            <w:r>
              <w:rPr>
                <w:rFonts w:ascii="Times New Roman" w:cs="Times New Roman" w:eastAsia="Times New Roman" w:hAnsi="Times New Roman"/>
                <w:sz w:val="15"/>
                <w:szCs w:val="15"/>
                <w:b w:val="1"/>
                <w:bCs w:val="1"/>
                <w:color w:val="FFFFFF"/>
                <w:w w:val="99"/>
              </w:rPr>
              <w:t>1Q25</w:t>
            </w:r>
          </w:p>
        </w:tc>
        <w:tc>
          <w:tcPr>
            <w:tcW w:w="1120" w:type="dxa"/>
            <w:vAlign w:val="bottom"/>
            <w:tcBorders>
              <w:bottom w:val="single" w:sz="8" w:color="auto"/>
            </w:tcBorders>
            <w:shd w:val="clear" w:color="auto" w:fill="2AD2C9"/>
          </w:tcPr>
          <w:p>
            <w:pPr>
              <w:jc w:val="center"/>
              <w:spacing w:after="0"/>
              <w:rPr>
                <w:sz w:val="20"/>
                <w:szCs w:val="20"/>
                <w:color w:val="auto"/>
              </w:rPr>
            </w:pPr>
            <w:r>
              <w:rPr>
                <w:rFonts w:ascii="Times New Roman" w:cs="Times New Roman" w:eastAsia="Times New Roman" w:hAnsi="Times New Roman"/>
                <w:sz w:val="15"/>
                <w:szCs w:val="15"/>
                <w:b w:val="1"/>
                <w:bCs w:val="1"/>
                <w:color w:val="FFFFFF"/>
                <w:w w:val="99"/>
              </w:rPr>
              <w:t>4Q25</w:t>
            </w:r>
          </w:p>
        </w:tc>
        <w:tc>
          <w:tcPr>
            <w:tcW w:w="112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Times New Roman" w:cs="Times New Roman" w:eastAsia="Times New Roman" w:hAnsi="Times New Roman"/>
                <w:sz w:val="15"/>
                <w:szCs w:val="15"/>
                <w:b w:val="1"/>
                <w:bCs w:val="1"/>
                <w:color w:val="FFFFFF"/>
              </w:rPr>
              <w:t>1Q26</w:t>
            </w:r>
          </w:p>
        </w:tc>
        <w:tc>
          <w:tcPr>
            <w:tcW w:w="1100" w:type="dxa"/>
            <w:vAlign w:val="bottom"/>
            <w:tcBorders>
              <w:bottom w:val="single" w:sz="8" w:color="auto"/>
            </w:tcBorders>
            <w:shd w:val="clear" w:color="auto" w:fill="2AD2C9"/>
          </w:tcPr>
          <w:p>
            <w:pPr>
              <w:ind w:left="380"/>
              <w:spacing w:after="0"/>
              <w:rPr>
                <w:sz w:val="20"/>
                <w:szCs w:val="20"/>
                <w:color w:val="auto"/>
              </w:rPr>
            </w:pPr>
            <w:r>
              <w:rPr>
                <w:rFonts w:ascii="Times New Roman" w:cs="Times New Roman" w:eastAsia="Times New Roman" w:hAnsi="Times New Roman"/>
                <w:sz w:val="15"/>
                <w:szCs w:val="15"/>
                <w:b w:val="1"/>
                <w:bCs w:val="1"/>
                <w:color w:val="FFFFFF"/>
              </w:rPr>
              <w:t>QoQ</w:t>
            </w:r>
          </w:p>
        </w:tc>
        <w:tc>
          <w:tcPr>
            <w:tcW w:w="1140" w:type="dxa"/>
            <w:vAlign w:val="bottom"/>
            <w:tcBorders>
              <w:bottom w:val="single" w:sz="8" w:color="auto"/>
              <w:right w:val="single" w:sz="8" w:color="auto"/>
            </w:tcBorders>
            <w:shd w:val="clear" w:color="auto" w:fill="2AD2C9"/>
          </w:tcPr>
          <w:p>
            <w:pPr>
              <w:ind w:left="420"/>
              <w:spacing w:after="0"/>
              <w:rPr>
                <w:sz w:val="20"/>
                <w:szCs w:val="20"/>
                <w:color w:val="auto"/>
              </w:rPr>
            </w:pPr>
            <w:r>
              <w:rPr>
                <w:rFonts w:ascii="Times New Roman" w:cs="Times New Roman" w:eastAsia="Times New Roman" w:hAnsi="Times New Roman"/>
                <w:sz w:val="15"/>
                <w:szCs w:val="15"/>
                <w:b w:val="1"/>
                <w:bCs w:val="1"/>
                <w:color w:val="FFFFFF"/>
              </w:rPr>
              <w:t>YoY</w:t>
            </w:r>
          </w:p>
        </w:tc>
      </w:tr>
      <w:tr>
        <w:trPr>
          <w:trHeight w:val="171"/>
        </w:trPr>
        <w:tc>
          <w:tcPr>
            <w:tcW w:w="5200" w:type="dxa"/>
            <w:vAlign w:val="bottom"/>
            <w:tcBorders>
              <w:left w:val="single" w:sz="8" w:color="auto"/>
              <w:right w:val="single" w:sz="8" w:color="auto"/>
            </w:tcBorders>
          </w:tcPr>
          <w:p>
            <w:pPr>
              <w:ind w:left="120"/>
              <w:spacing w:after="0" w:line="171" w:lineRule="exact"/>
              <w:rPr>
                <w:sz w:val="20"/>
                <w:szCs w:val="20"/>
                <w:color w:val="auto"/>
              </w:rPr>
            </w:pPr>
            <w:r>
              <w:rPr>
                <w:rFonts w:ascii="Times New Roman" w:cs="Times New Roman" w:eastAsia="Times New Roman" w:hAnsi="Times New Roman"/>
                <w:sz w:val="15"/>
                <w:szCs w:val="15"/>
                <w:color w:val="auto"/>
              </w:rPr>
              <w:t>Net interest income</w:t>
            </w:r>
          </w:p>
        </w:tc>
        <w:tc>
          <w:tcPr>
            <w:tcW w:w="1120" w:type="dxa"/>
            <w:vAlign w:val="bottom"/>
          </w:tcPr>
          <w:p>
            <w:pPr>
              <w:jc w:val="center"/>
              <w:spacing w:after="0" w:line="171" w:lineRule="exact"/>
              <w:rPr>
                <w:sz w:val="20"/>
                <w:szCs w:val="20"/>
                <w:color w:val="auto"/>
              </w:rPr>
            </w:pPr>
            <w:r>
              <w:rPr>
                <w:rFonts w:ascii="Times New Roman" w:cs="Times New Roman" w:eastAsia="Times New Roman" w:hAnsi="Times New Roman"/>
                <w:sz w:val="15"/>
                <w:szCs w:val="15"/>
                <w:color w:val="auto"/>
              </w:rPr>
              <w:t>10,441</w:t>
            </w:r>
          </w:p>
        </w:tc>
        <w:tc>
          <w:tcPr>
            <w:tcW w:w="1120" w:type="dxa"/>
            <w:vAlign w:val="bottom"/>
          </w:tcPr>
          <w:p>
            <w:pPr>
              <w:jc w:val="center"/>
              <w:spacing w:after="0" w:line="171" w:lineRule="exact"/>
              <w:rPr>
                <w:sz w:val="20"/>
                <w:szCs w:val="20"/>
                <w:color w:val="auto"/>
              </w:rPr>
            </w:pPr>
            <w:r>
              <w:rPr>
                <w:rFonts w:ascii="Times New Roman" w:cs="Times New Roman" w:eastAsia="Times New Roman" w:hAnsi="Times New Roman"/>
                <w:sz w:val="15"/>
                <w:szCs w:val="15"/>
                <w:color w:val="auto"/>
              </w:rPr>
              <w:t>16,878</w:t>
            </w:r>
          </w:p>
        </w:tc>
        <w:tc>
          <w:tcPr>
            <w:tcW w:w="1120" w:type="dxa"/>
            <w:vAlign w:val="bottom"/>
            <w:tcBorders>
              <w:right w:val="single" w:sz="8" w:color="auto"/>
            </w:tcBorders>
          </w:tcPr>
          <w:p>
            <w:pPr>
              <w:jc w:val="center"/>
              <w:spacing w:after="0" w:line="171" w:lineRule="exact"/>
              <w:rPr>
                <w:sz w:val="20"/>
                <w:szCs w:val="20"/>
                <w:color w:val="auto"/>
              </w:rPr>
            </w:pPr>
            <w:r>
              <w:rPr>
                <w:rFonts w:ascii="Times New Roman" w:cs="Times New Roman" w:eastAsia="Times New Roman" w:hAnsi="Times New Roman"/>
                <w:sz w:val="15"/>
                <w:szCs w:val="15"/>
                <w:color w:val="auto"/>
              </w:rPr>
              <w:t>4,207</w:t>
            </w:r>
          </w:p>
        </w:tc>
        <w:tc>
          <w:tcPr>
            <w:tcW w:w="1100" w:type="dxa"/>
            <w:vAlign w:val="bottom"/>
          </w:tcPr>
          <w:p>
            <w:pPr>
              <w:jc w:val="center"/>
              <w:spacing w:after="0" w:line="171" w:lineRule="exact"/>
              <w:rPr>
                <w:sz w:val="20"/>
                <w:szCs w:val="20"/>
                <w:color w:val="auto"/>
              </w:rPr>
            </w:pPr>
            <w:r>
              <w:rPr>
                <w:rFonts w:ascii="Times New Roman" w:cs="Times New Roman" w:eastAsia="Times New Roman" w:hAnsi="Times New Roman"/>
                <w:sz w:val="15"/>
                <w:szCs w:val="15"/>
                <w:color w:val="auto"/>
              </w:rPr>
              <w:t>-75.1%</w:t>
            </w:r>
          </w:p>
        </w:tc>
        <w:tc>
          <w:tcPr>
            <w:tcW w:w="1140" w:type="dxa"/>
            <w:vAlign w:val="bottom"/>
            <w:tcBorders>
              <w:right w:val="single" w:sz="8" w:color="auto"/>
            </w:tcBorders>
          </w:tcPr>
          <w:p>
            <w:pPr>
              <w:jc w:val="center"/>
              <w:spacing w:after="0" w:line="171" w:lineRule="exact"/>
              <w:rPr>
                <w:sz w:val="20"/>
                <w:szCs w:val="20"/>
                <w:color w:val="auto"/>
              </w:rPr>
            </w:pPr>
            <w:r>
              <w:rPr>
                <w:rFonts w:ascii="Times New Roman" w:cs="Times New Roman" w:eastAsia="Times New Roman" w:hAnsi="Times New Roman"/>
                <w:sz w:val="15"/>
                <w:szCs w:val="15"/>
                <w:color w:val="auto"/>
              </w:rPr>
              <w:t>-59.7%</w:t>
            </w:r>
          </w:p>
        </w:tc>
      </w:tr>
      <w:tr>
        <w:trPr>
          <w:trHeight w:val="190"/>
        </w:trPr>
        <w:tc>
          <w:tcPr>
            <w:tcW w:w="52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5"/>
                <w:szCs w:val="15"/>
                <w:color w:val="auto"/>
              </w:rPr>
              <w:t>Other income</w:t>
            </w: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264,926</w:t>
            </w: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252,100</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294,109</w:t>
            </w:r>
          </w:p>
        </w:tc>
        <w:tc>
          <w:tcPr>
            <w:tcW w:w="11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16.7%</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11.0%</w:t>
            </w:r>
          </w:p>
        </w:tc>
      </w:tr>
      <w:tr>
        <w:trPr>
          <w:trHeight w:val="190"/>
        </w:trPr>
        <w:tc>
          <w:tcPr>
            <w:tcW w:w="5200" w:type="dxa"/>
            <w:vAlign w:val="bottom"/>
            <w:tcBorders>
              <w:left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5"/>
                <w:szCs w:val="15"/>
                <w:color w:val="auto"/>
              </w:rPr>
              <w:t>Fee income</w:t>
            </w: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150,272</w:t>
            </w: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168,396</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174,595</w:t>
            </w:r>
          </w:p>
        </w:tc>
        <w:tc>
          <w:tcPr>
            <w:tcW w:w="11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3.7%</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16.2%</w:t>
            </w:r>
          </w:p>
        </w:tc>
      </w:tr>
      <w:tr>
        <w:trPr>
          <w:trHeight w:val="190"/>
        </w:trPr>
        <w:tc>
          <w:tcPr>
            <w:tcW w:w="5200" w:type="dxa"/>
            <w:vAlign w:val="bottom"/>
            <w:tcBorders>
              <w:left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5"/>
                <w:szCs w:val="15"/>
                <w:color w:val="auto"/>
              </w:rPr>
              <w:t>Net gain on foreign exchange transactions</w:t>
            </w: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15,069</w:t>
            </w: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31,462</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30,048</w:t>
            </w:r>
          </w:p>
        </w:tc>
        <w:tc>
          <w:tcPr>
            <w:tcW w:w="11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-4.5%</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99.4%</w:t>
            </w:r>
          </w:p>
        </w:tc>
      </w:tr>
      <w:tr>
        <w:trPr>
          <w:trHeight w:val="190"/>
        </w:trPr>
        <w:tc>
          <w:tcPr>
            <w:tcW w:w="5200" w:type="dxa"/>
            <w:vAlign w:val="bottom"/>
            <w:tcBorders>
              <w:left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5"/>
                <w:szCs w:val="15"/>
                <w:color w:val="auto"/>
              </w:rPr>
              <w:t>Net gain on sales of securities</w:t>
            </w: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41,192</w:t>
            </w: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44,433</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47,422</w:t>
            </w:r>
          </w:p>
        </w:tc>
        <w:tc>
          <w:tcPr>
            <w:tcW w:w="11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6.7%</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15.1%</w:t>
            </w:r>
          </w:p>
        </w:tc>
      </w:tr>
      <w:tr>
        <w:trPr>
          <w:trHeight w:val="190"/>
        </w:trPr>
        <w:tc>
          <w:tcPr>
            <w:tcW w:w="5200" w:type="dxa"/>
            <w:vAlign w:val="bottom"/>
            <w:tcBorders>
              <w:left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5"/>
                <w:szCs w:val="15"/>
                <w:color w:val="auto"/>
              </w:rPr>
              <w:t>Derivative Result</w:t>
            </w: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3,864</w:t>
            </w: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(1,392)</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6,191</w:t>
            </w:r>
          </w:p>
        </w:tc>
        <w:tc>
          <w:tcPr>
            <w:tcW w:w="11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-544.8%</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60.2%</w:t>
            </w:r>
          </w:p>
        </w:tc>
      </w:tr>
      <w:tr>
        <w:trPr>
          <w:trHeight w:val="190"/>
        </w:trPr>
        <w:tc>
          <w:tcPr>
            <w:tcW w:w="5200" w:type="dxa"/>
            <w:vAlign w:val="bottom"/>
            <w:tcBorders>
              <w:left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5"/>
                <w:szCs w:val="15"/>
                <w:color w:val="auto"/>
              </w:rPr>
              <w:t>Result from exposure to the exchange rate</w:t>
            </w: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12,599</w:t>
            </w: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8,391</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(286)</w:t>
            </w:r>
          </w:p>
        </w:tc>
        <w:tc>
          <w:tcPr>
            <w:tcW w:w="11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-103.4%</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-102.3%</w:t>
            </w:r>
          </w:p>
        </w:tc>
      </w:tr>
      <w:tr>
        <w:trPr>
          <w:trHeight w:val="177"/>
        </w:trPr>
        <w:tc>
          <w:tcPr>
            <w:tcW w:w="5200" w:type="dxa"/>
            <w:vAlign w:val="bottom"/>
            <w:tcBorders>
              <w:left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5"/>
                <w:szCs w:val="15"/>
                <w:color w:val="auto"/>
              </w:rPr>
              <w:t>Other income</w:t>
            </w: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41,930</w:t>
            </w: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810</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36,139</w:t>
            </w:r>
          </w:p>
        </w:tc>
        <w:tc>
          <w:tcPr>
            <w:tcW w:w="11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4361.6%</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-13.8%</w:t>
            </w:r>
          </w:p>
        </w:tc>
      </w:tr>
      <w:tr>
        <w:trPr>
          <w:trHeight w:val="216"/>
        </w:trPr>
        <w:tc>
          <w:tcPr>
            <w:tcW w:w="5200" w:type="dxa"/>
            <w:vAlign w:val="bottom"/>
            <w:tcBorders>
              <w:left w:val="single" w:sz="8" w:color="auto"/>
              <w:bottom w:val="single" w:sz="8" w:color="auto"/>
              <w:right w:val="single" w:sz="8" w:color="auto"/>
            </w:tcBorders>
          </w:tcPr>
          <w:p>
            <w:pPr>
              <w:ind w:left="120"/>
              <w:spacing w:after="0" w:line="216" w:lineRule="exact"/>
              <w:rPr>
                <w:sz w:val="20"/>
                <w:szCs w:val="20"/>
                <w:color w:val="auto"/>
              </w:rPr>
            </w:pPr>
            <w:r>
              <w:rPr>
                <w:rFonts w:ascii="Times New Roman" w:cs="Times New Roman" w:eastAsia="Times New Roman" w:hAnsi="Times New Roman"/>
                <w:sz w:val="15"/>
                <w:szCs w:val="15"/>
                <w:color w:val="auto"/>
              </w:rPr>
              <w:t xml:space="preserve">Operating expenses </w:t>
            </w:r>
            <w:r>
              <w:rPr>
                <w:rFonts w:ascii="Times New Roman" w:cs="Times New Roman" w:eastAsia="Times New Roman" w:hAnsi="Times New Roman"/>
                <w:sz w:val="25"/>
                <w:szCs w:val="25"/>
                <w:color w:val="auto"/>
                <w:vertAlign w:val="superscript"/>
              </w:rPr>
              <w:t>(1)</w:t>
            </w:r>
          </w:p>
        </w:tc>
        <w:tc>
          <w:tcPr>
            <w:tcW w:w="112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5"/>
                <w:szCs w:val="15"/>
                <w:color w:val="auto"/>
              </w:rPr>
              <w:t>(202,074)</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(207,372)</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(243,650)</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17.5%</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20.6%</w:t>
            </w:r>
          </w:p>
        </w:tc>
      </w:tr>
      <w:tr>
        <w:trPr>
          <w:trHeight w:val="18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5"/>
                <w:szCs w:val="15"/>
                <w:b w:val="1"/>
                <w:bCs w:val="1"/>
                <w:color w:val="auto"/>
              </w:rPr>
              <w:t>Operating income</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73,293</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61,606</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54,666</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-11.3%</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-25.4%</w:t>
            </w:r>
          </w:p>
        </w:tc>
      </w:tr>
      <w:tr>
        <w:trPr>
          <w:trHeight w:val="171"/>
        </w:trPr>
        <w:tc>
          <w:tcPr>
            <w:tcW w:w="5200" w:type="dxa"/>
            <w:vAlign w:val="bottom"/>
            <w:tcBorders>
              <w:left w:val="single" w:sz="8" w:color="auto"/>
              <w:right w:val="single" w:sz="8" w:color="auto"/>
            </w:tcBorders>
          </w:tcPr>
          <w:p>
            <w:pPr>
              <w:ind w:left="120"/>
              <w:spacing w:after="0" w:line="171" w:lineRule="exact"/>
              <w:rPr>
                <w:sz w:val="20"/>
                <w:szCs w:val="20"/>
                <w:color w:val="auto"/>
              </w:rPr>
            </w:pPr>
            <w:r>
              <w:rPr>
                <w:rFonts w:ascii="Times New Roman" w:cs="Times New Roman" w:eastAsia="Times New Roman" w:hAnsi="Times New Roman"/>
                <w:sz w:val="15"/>
                <w:szCs w:val="15"/>
                <w:color w:val="auto"/>
              </w:rPr>
              <w:t>Income taxes</w:t>
            </w:r>
          </w:p>
        </w:tc>
        <w:tc>
          <w:tcPr>
            <w:tcW w:w="1120" w:type="dxa"/>
            <w:vAlign w:val="bottom"/>
          </w:tcPr>
          <w:p>
            <w:pPr>
              <w:jc w:val="right"/>
              <w:ind w:right="224"/>
              <w:spacing w:after="0" w:line="171" w:lineRule="exact"/>
              <w:rPr>
                <w:sz w:val="20"/>
                <w:szCs w:val="20"/>
                <w:color w:val="auto"/>
              </w:rPr>
            </w:pPr>
            <w:r>
              <w:rPr>
                <w:rFonts w:ascii="Times New Roman" w:cs="Times New Roman" w:eastAsia="Times New Roman" w:hAnsi="Times New Roman"/>
                <w:sz w:val="15"/>
                <w:szCs w:val="15"/>
                <w:color w:val="auto"/>
              </w:rPr>
              <w:t>(11,098)</w:t>
            </w:r>
          </w:p>
        </w:tc>
        <w:tc>
          <w:tcPr>
            <w:tcW w:w="1120" w:type="dxa"/>
            <w:vAlign w:val="bottom"/>
          </w:tcPr>
          <w:p>
            <w:pPr>
              <w:jc w:val="center"/>
              <w:spacing w:after="0" w:line="171" w:lineRule="exact"/>
              <w:rPr>
                <w:sz w:val="20"/>
                <w:szCs w:val="20"/>
                <w:color w:val="auto"/>
              </w:rPr>
            </w:pPr>
            <w:r>
              <w:rPr>
                <w:rFonts w:ascii="Times New Roman" w:cs="Times New Roman" w:eastAsia="Times New Roman" w:hAnsi="Times New Roman"/>
                <w:sz w:val="15"/>
                <w:szCs w:val="15"/>
                <w:color w:val="auto"/>
              </w:rPr>
              <w:t>(10,592)</w:t>
            </w:r>
          </w:p>
        </w:tc>
        <w:tc>
          <w:tcPr>
            <w:tcW w:w="1120" w:type="dxa"/>
            <w:vAlign w:val="bottom"/>
            <w:tcBorders>
              <w:right w:val="single" w:sz="8" w:color="auto"/>
            </w:tcBorders>
          </w:tcPr>
          <w:p>
            <w:pPr>
              <w:jc w:val="center"/>
              <w:spacing w:after="0" w:line="171" w:lineRule="exact"/>
              <w:rPr>
                <w:sz w:val="20"/>
                <w:szCs w:val="20"/>
                <w:color w:val="auto"/>
              </w:rPr>
            </w:pPr>
            <w:r>
              <w:rPr>
                <w:rFonts w:ascii="Times New Roman" w:cs="Times New Roman" w:eastAsia="Times New Roman" w:hAnsi="Times New Roman"/>
                <w:sz w:val="15"/>
                <w:szCs w:val="15"/>
                <w:color w:val="auto"/>
              </w:rPr>
              <w:t>(11,751)</w:t>
            </w:r>
          </w:p>
        </w:tc>
        <w:tc>
          <w:tcPr>
            <w:tcW w:w="1100" w:type="dxa"/>
            <w:vAlign w:val="bottom"/>
          </w:tcPr>
          <w:p>
            <w:pPr>
              <w:jc w:val="center"/>
              <w:spacing w:after="0" w:line="171" w:lineRule="exact"/>
              <w:rPr>
                <w:sz w:val="20"/>
                <w:szCs w:val="20"/>
                <w:color w:val="auto"/>
              </w:rPr>
            </w:pPr>
            <w:r>
              <w:rPr>
                <w:rFonts w:ascii="Times New Roman" w:cs="Times New Roman" w:eastAsia="Times New Roman" w:hAnsi="Times New Roman"/>
                <w:sz w:val="15"/>
                <w:szCs w:val="15"/>
                <w:color w:val="auto"/>
              </w:rPr>
              <w:t>10.9%</w:t>
            </w:r>
          </w:p>
        </w:tc>
        <w:tc>
          <w:tcPr>
            <w:tcW w:w="1140" w:type="dxa"/>
            <w:vAlign w:val="bottom"/>
            <w:tcBorders>
              <w:right w:val="single" w:sz="8" w:color="auto"/>
            </w:tcBorders>
          </w:tcPr>
          <w:p>
            <w:pPr>
              <w:jc w:val="center"/>
              <w:spacing w:after="0" w:line="171" w:lineRule="exact"/>
              <w:rPr>
                <w:sz w:val="20"/>
                <w:szCs w:val="20"/>
                <w:color w:val="auto"/>
              </w:rPr>
            </w:pPr>
            <w:r>
              <w:rPr>
                <w:rFonts w:ascii="Times New Roman" w:cs="Times New Roman" w:eastAsia="Times New Roman" w:hAnsi="Times New Roman"/>
                <w:sz w:val="15"/>
                <w:szCs w:val="15"/>
                <w:color w:val="auto"/>
              </w:rPr>
              <w:t>5.9%</w:t>
            </w:r>
          </w:p>
        </w:tc>
      </w:tr>
      <w:tr>
        <w:trPr>
          <w:trHeight w:val="200"/>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5"/>
                <w:szCs w:val="15"/>
                <w:color w:val="auto"/>
              </w:rPr>
              <w:t>Non-controlling interest</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152</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(27)</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139</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-614.8%</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-8.6%</w:t>
            </w:r>
          </w:p>
        </w:tc>
      </w:tr>
      <w:tr>
        <w:trPr>
          <w:trHeight w:val="185"/>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5"/>
                <w:szCs w:val="15"/>
                <w:b w:val="1"/>
                <w:bCs w:val="1"/>
                <w:color w:val="auto"/>
              </w:rPr>
              <w:t>Net income</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62,043</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51,041</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42,776</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-16.2%</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-31.1%</w:t>
            </w:r>
          </w:p>
        </w:tc>
      </w:tr>
    </w:tbl>
    <w:p>
      <w:pPr>
        <w:spacing w:after="0" w:line="18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 Includes ASB and Credicorp Capital. Does not include Wealth Management at BCP.</w:t>
      </w:r>
    </w:p>
    <w:p>
      <w:pPr>
        <w:spacing w:after="0" w:line="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(1)Includes: Salaries and employee’s benefits + Administrative expenses + Assigned expenses + Depreciation and amortization + Tax and contributions + Other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922020</wp:posOffset>
            </wp:positionV>
            <wp:extent cx="7140575" cy="1587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40575" cy="15875"/>
                    </a:xfrm>
                    <a:prstGeom prst="rect">
                      <a:avLst/>
                    </a:prstGeom>
                    <a:noFill/>
                  </pic:spPr>
                </pic:pic>
              </a:graphicData>
            </a:graphic>
          </wp:anchor>
        </w:drawing>
        <w:drawing>
          <wp:anchor simplePos="0" relativeHeight="251657728" behindDoc="1" locked="0" layoutInCell="0" allowOverlap="1">
            <wp:simplePos x="0" y="0"/>
            <wp:positionH relativeFrom="column">
              <wp:posOffset>331470</wp:posOffset>
            </wp:positionH>
            <wp:positionV relativeFrom="paragraph">
              <wp:posOffset>124460</wp:posOffset>
            </wp:positionV>
            <wp:extent cx="6447155" cy="53213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447155" cy="532130"/>
                    </a:xfrm>
                    <a:prstGeom prst="rect">
                      <a:avLst/>
                    </a:prstGeom>
                    <a:noFill/>
                  </pic:spPr>
                </pic:pic>
              </a:graphicData>
            </a:graphic>
          </wp:anchor>
        </w:drawing>
      </w:r>
    </w:p>
    <w:p>
      <w:pPr>
        <w:sectPr>
          <w:pgSz w:w="11900" w:h="16838" w:orient="portrait"/>
          <w:cols w:equalWidth="0" w:num="1">
            <w:col w:w="11220"/>
          </w:cols>
          <w:pgMar w:left="320" w:top="695" w:right="359" w:bottom="1440" w:gutter="0" w:footer="0" w:header="0"/>
        </w:sectPr>
      </w:pPr>
    </w:p>
    <w:bookmarkStart w:id="67" w:name="page68"/>
    <w:bookmarkEnd w:id="67"/>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217805</wp:posOffset>
            </wp:positionV>
            <wp:extent cx="7140575" cy="62865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40575" cy="628650"/>
                    </a:xfrm>
                    <a:prstGeom prst="rect">
                      <a:avLst/>
                    </a:prstGeom>
                    <a:noFill/>
                  </pic:spPr>
                </pic:pic>
              </a:graphicData>
            </a:graphic>
          </wp:anchor>
        </w:drawing>
      </w:r>
    </w:p>
    <w:p>
      <w:pPr>
        <w:jc w:val="both"/>
        <w:ind w:left="3160"/>
        <w:spacing w:after="0"/>
        <w:tabs>
          <w:tab w:leader="none" w:pos="3380" w:val="left"/>
          <w:tab w:leader="none" w:pos="9060" w:val="left"/>
        </w:tabs>
        <w:rPr>
          <w:sz w:val="20"/>
          <w:szCs w:val="20"/>
          <w:color w:val="auto"/>
        </w:rPr>
      </w:pPr>
      <w:r>
        <w:rPr>
          <w:rFonts w:ascii="Times New Roman" w:cs="Times New Roman" w:eastAsia="Times New Roman" w:hAnsi="Times New Roman"/>
          <w:sz w:val="17"/>
          <w:szCs w:val="17"/>
          <w:b w:val="1"/>
          <w:bCs w:val="1"/>
          <w:color w:val="A6A6A6"/>
        </w:rPr>
        <w:t>|</w:t>
      </w:r>
      <w:r>
        <w:rPr>
          <w:sz w:val="20"/>
          <w:szCs w:val="20"/>
          <w:color w:val="auto"/>
        </w:rPr>
        <w:tab/>
      </w:r>
      <w:r>
        <w:rPr>
          <w:rFonts w:ascii="Times New Roman" w:cs="Times New Roman" w:eastAsia="Times New Roman" w:hAnsi="Times New Roman"/>
          <w:sz w:val="14"/>
          <w:szCs w:val="14"/>
          <w:color w:val="FFFFFF"/>
        </w:rPr>
        <w:t>Earnings Release 1Q / 2026</w:t>
      </w:r>
      <w:r>
        <w:rPr>
          <w:sz w:val="20"/>
          <w:szCs w:val="20"/>
          <w:color w:val="auto"/>
        </w:rPr>
        <w:tab/>
      </w:r>
      <w:r>
        <w:rPr>
          <w:rFonts w:ascii="Times New Roman" w:cs="Times New Roman" w:eastAsia="Times New Roman" w:hAnsi="Times New Roman"/>
          <w:sz w:val="12"/>
          <w:szCs w:val="12"/>
          <w:color w:val="FF00FF"/>
        </w:rPr>
        <w:t>Analysis of 1Q26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280670</wp:posOffset>
            </wp:positionV>
            <wp:extent cx="7140575" cy="25781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40575" cy="25781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FFFFFF"/>
        </w:rPr>
        <w:t>12. Appendix</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12.8.Table of calculations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146685</wp:posOffset>
            </wp:positionV>
            <wp:extent cx="6850380" cy="911352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0380" cy="9113520"/>
                    </a:xfrm>
                    <a:prstGeom prst="rect">
                      <a:avLst/>
                    </a:prstGeom>
                    <a:noFill/>
                  </pic:spPr>
                </pic:pic>
              </a:graphicData>
            </a:graphic>
          </wp:anchor>
        </w:drawing>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FFFFFF"/>
        </w:rPr>
        <w:t xml:space="preserve">Table of calculations </w:t>
      </w:r>
      <w:r>
        <w:rPr>
          <w:rFonts w:ascii="Times New Roman" w:cs="Times New Roman" w:eastAsia="Times New Roman" w:hAnsi="Times New Roman"/>
          <w:sz w:val="22"/>
          <w:szCs w:val="22"/>
          <w:color w:val="FFFFFF"/>
          <w:vertAlign w:val="superscript"/>
        </w:rPr>
        <w:t>(1)</w:t>
      </w:r>
    </w:p>
    <w:tbl>
      <w:tblPr>
        <w:tblLayout w:type="fixed"/>
        <w:tblInd w:w="220" w:type="dxa"/>
        <w:tblCellMar>
          <w:top w:w="0" w:type="dxa"/>
          <w:left w:w="0" w:type="dxa"/>
          <w:bottom w:w="0" w:type="dxa"/>
          <w:right w:w="0" w:type="dxa"/>
        </w:tblCellMar>
      </w:tblPr>
      <w:tr>
        <w:trPr>
          <w:trHeight w:val="188"/>
        </w:trPr>
        <w:tc>
          <w:tcPr>
            <w:tcW w:w="1140" w:type="dxa"/>
            <w:vAlign w:val="bottom"/>
            <w:tcBorders>
              <w:top w:val="single" w:sz="8" w:color="auto"/>
              <w:right w:val="single" w:sz="8" w:color="auto"/>
            </w:tcBorders>
          </w:tcPr>
          <w:p>
            <w:pPr>
              <w:spacing w:after="0"/>
              <w:rPr>
                <w:sz w:val="16"/>
                <w:szCs w:val="16"/>
                <w:color w:val="auto"/>
              </w:rPr>
            </w:pPr>
          </w:p>
        </w:tc>
        <w:tc>
          <w:tcPr>
            <w:tcW w:w="2220" w:type="dxa"/>
            <w:vAlign w:val="bottom"/>
            <w:tcBorders>
              <w:top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earning assets</w:t>
            </w:r>
          </w:p>
        </w:tc>
        <w:tc>
          <w:tcPr>
            <w:tcW w:w="6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100" w:type="dxa"/>
            <w:vAlign w:val="bottom"/>
            <w:tcBorders>
              <w:top w:val="single" w:sz="8" w:color="auto"/>
            </w:tcBorders>
            <w:gridSpan w:val="13"/>
          </w:tcPr>
          <w:p>
            <w:pPr>
              <w:jc w:val="center"/>
              <w:ind w:right="2380"/>
              <w:spacing w:after="0"/>
              <w:rPr>
                <w:sz w:val="20"/>
                <w:szCs w:val="20"/>
                <w:color w:val="auto"/>
              </w:rPr>
            </w:pPr>
            <w:r>
              <w:rPr>
                <w:rFonts w:ascii="Times New Roman" w:cs="Times New Roman" w:eastAsia="Times New Roman" w:hAnsi="Times New Roman"/>
                <w:sz w:val="14"/>
                <w:szCs w:val="14"/>
                <w:color w:val="auto"/>
                <w:w w:val="96"/>
              </w:rPr>
              <w:t>Cash and due from banks + Total investments</w:t>
            </w:r>
          </w:p>
        </w:tc>
        <w:tc>
          <w:tcPr>
            <w:tcW w:w="0" w:type="dxa"/>
            <w:vAlign w:val="bottom"/>
          </w:tcPr>
          <w:p>
            <w:pPr>
              <w:spacing w:after="0"/>
              <w:rPr>
                <w:sz w:val="1"/>
                <w:szCs w:val="1"/>
                <w:color w:val="auto"/>
              </w:rPr>
            </w:pPr>
          </w:p>
        </w:tc>
      </w:tr>
      <w:tr>
        <w:trPr>
          <w:trHeight w:val="98"/>
        </w:trPr>
        <w:tc>
          <w:tcPr>
            <w:tcW w:w="1140" w:type="dxa"/>
            <w:vAlign w:val="bottom"/>
            <w:tcBorders>
              <w:right w:val="single" w:sz="8" w:color="auto"/>
            </w:tcBorders>
          </w:tcPr>
          <w:p>
            <w:pPr>
              <w:spacing w:after="0"/>
              <w:rPr>
                <w:sz w:val="8"/>
                <w:szCs w:val="8"/>
                <w:color w:val="auto"/>
              </w:rPr>
            </w:pPr>
          </w:p>
        </w:tc>
        <w:tc>
          <w:tcPr>
            <w:tcW w:w="2220" w:type="dxa"/>
            <w:vAlign w:val="bottom"/>
            <w:tcBorders>
              <w:right w:val="single" w:sz="8" w:color="auto"/>
            </w:tcBorders>
            <w:vMerge w:val="continue"/>
          </w:tcPr>
          <w:p>
            <w:pPr>
              <w:spacing w:after="0"/>
              <w:rPr>
                <w:sz w:val="8"/>
                <w:szCs w:val="8"/>
                <w:color w:val="auto"/>
              </w:rPr>
            </w:pPr>
          </w:p>
        </w:tc>
        <w:tc>
          <w:tcPr>
            <w:tcW w:w="680" w:type="dxa"/>
            <w:vAlign w:val="bottom"/>
          </w:tcPr>
          <w:p>
            <w:pPr>
              <w:spacing w:after="0"/>
              <w:rPr>
                <w:sz w:val="8"/>
                <w:szCs w:val="8"/>
                <w:color w:val="auto"/>
              </w:rPr>
            </w:pPr>
          </w:p>
        </w:tc>
        <w:tc>
          <w:tcPr>
            <w:tcW w:w="6760" w:type="dxa"/>
            <w:vAlign w:val="bottom"/>
            <w:gridSpan w:val="18"/>
            <w:vMerge w:val="restart"/>
          </w:tcPr>
          <w:p>
            <w:pPr>
              <w:jc w:val="center"/>
              <w:ind w:right="700"/>
              <w:spacing w:after="0"/>
              <w:rPr>
                <w:sz w:val="20"/>
                <w:szCs w:val="20"/>
                <w:color w:val="auto"/>
              </w:rPr>
            </w:pPr>
            <w:r>
              <w:rPr>
                <w:rFonts w:ascii="Times New Roman" w:cs="Times New Roman" w:eastAsia="Times New Roman" w:hAnsi="Times New Roman"/>
                <w:sz w:val="14"/>
                <w:szCs w:val="14"/>
                <w:color w:val="auto"/>
                <w:w w:val="96"/>
              </w:rPr>
              <w:t>+ Cash collateral, reverse repurchase agreements and securities borrowing + Loans</w:t>
            </w:r>
          </w:p>
        </w:tc>
        <w:tc>
          <w:tcPr>
            <w:tcW w:w="0" w:type="dxa"/>
            <w:vAlign w:val="bottom"/>
          </w:tcPr>
          <w:p>
            <w:pPr>
              <w:spacing w:after="0"/>
              <w:rPr>
                <w:sz w:val="1"/>
                <w:szCs w:val="1"/>
                <w:color w:val="auto"/>
              </w:rPr>
            </w:pPr>
          </w:p>
        </w:tc>
      </w:tr>
      <w:tr>
        <w:trPr>
          <w:trHeight w:val="76"/>
        </w:trPr>
        <w:tc>
          <w:tcPr>
            <w:tcW w:w="1140" w:type="dxa"/>
            <w:vAlign w:val="bottom"/>
            <w:tcBorders>
              <w:right w:val="single" w:sz="8" w:color="auto"/>
            </w:tcBorders>
          </w:tcPr>
          <w:p>
            <w:pPr>
              <w:spacing w:after="0"/>
              <w:rPr>
                <w:sz w:val="6"/>
                <w:szCs w:val="6"/>
                <w:color w:val="auto"/>
              </w:rPr>
            </w:pPr>
          </w:p>
        </w:tc>
        <w:tc>
          <w:tcPr>
            <w:tcW w:w="2220" w:type="dxa"/>
            <w:vAlign w:val="bottom"/>
            <w:tcBorders>
              <w:right w:val="single" w:sz="8" w:color="auto"/>
            </w:tcBorders>
          </w:tcPr>
          <w:p>
            <w:pPr>
              <w:spacing w:after="0"/>
              <w:rPr>
                <w:sz w:val="6"/>
                <w:szCs w:val="6"/>
                <w:color w:val="auto"/>
              </w:rPr>
            </w:pPr>
          </w:p>
        </w:tc>
        <w:tc>
          <w:tcPr>
            <w:tcW w:w="680" w:type="dxa"/>
            <w:vAlign w:val="bottom"/>
          </w:tcPr>
          <w:p>
            <w:pPr>
              <w:spacing w:after="0"/>
              <w:rPr>
                <w:sz w:val="6"/>
                <w:szCs w:val="6"/>
                <w:color w:val="auto"/>
              </w:rPr>
            </w:pPr>
          </w:p>
        </w:tc>
        <w:tc>
          <w:tcPr>
            <w:tcW w:w="6760" w:type="dxa"/>
            <w:vAlign w:val="bottom"/>
            <w:gridSpan w:val="1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1140" w:type="dxa"/>
            <w:vAlign w:val="bottom"/>
            <w:tcBorders>
              <w:right w:val="single" w:sz="8" w:color="auto"/>
            </w:tcBorders>
          </w:tcPr>
          <w:p>
            <w:pPr>
              <w:spacing w:after="0"/>
              <w:rPr>
                <w:sz w:val="5"/>
                <w:szCs w:val="5"/>
                <w:color w:val="auto"/>
              </w:rPr>
            </w:pPr>
          </w:p>
        </w:tc>
        <w:tc>
          <w:tcPr>
            <w:tcW w:w="2220" w:type="dxa"/>
            <w:vAlign w:val="bottom"/>
            <w:tcBorders>
              <w:bottom w:val="single" w:sz="8" w:color="auto"/>
              <w:right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1140" w:type="dxa"/>
            <w:vAlign w:val="bottom"/>
            <w:tcBorders>
              <w:right w:val="single" w:sz="8" w:color="auto"/>
            </w:tcBorders>
          </w:tcPr>
          <w:p>
            <w:pPr>
              <w:spacing w:after="0"/>
              <w:rPr>
                <w:sz w:val="16"/>
                <w:szCs w:val="16"/>
                <w:color w:val="auto"/>
              </w:rPr>
            </w:pPr>
          </w:p>
        </w:tc>
        <w:tc>
          <w:tcPr>
            <w:tcW w:w="22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Funding</w:t>
            </w:r>
          </w:p>
        </w:tc>
        <w:tc>
          <w:tcPr>
            <w:tcW w:w="680" w:type="dxa"/>
            <w:vAlign w:val="bottom"/>
          </w:tcPr>
          <w:p>
            <w:pPr>
              <w:spacing w:after="0"/>
              <w:rPr>
                <w:sz w:val="16"/>
                <w:szCs w:val="16"/>
                <w:color w:val="auto"/>
              </w:rPr>
            </w:pPr>
          </w:p>
        </w:tc>
        <w:tc>
          <w:tcPr>
            <w:tcW w:w="6760" w:type="dxa"/>
            <w:vAlign w:val="bottom"/>
            <w:gridSpan w:val="18"/>
          </w:tcPr>
          <w:p>
            <w:pPr>
              <w:jc w:val="center"/>
              <w:ind w:right="720"/>
              <w:spacing w:after="0"/>
              <w:rPr>
                <w:sz w:val="20"/>
                <w:szCs w:val="20"/>
                <w:color w:val="auto"/>
              </w:rPr>
            </w:pPr>
            <w:r>
              <w:rPr>
                <w:rFonts w:ascii="Times New Roman" w:cs="Times New Roman" w:eastAsia="Times New Roman" w:hAnsi="Times New Roman"/>
                <w:sz w:val="14"/>
                <w:szCs w:val="14"/>
                <w:color w:val="auto"/>
                <w:w w:val="96"/>
              </w:rPr>
              <w:t>Deposits and obligations + Due to banks and correspondents + BCRP instruments</w:t>
            </w:r>
          </w:p>
        </w:tc>
        <w:tc>
          <w:tcPr>
            <w:tcW w:w="0" w:type="dxa"/>
            <w:vAlign w:val="bottom"/>
          </w:tcPr>
          <w:p>
            <w:pPr>
              <w:spacing w:after="0"/>
              <w:rPr>
                <w:sz w:val="1"/>
                <w:szCs w:val="1"/>
                <w:color w:val="auto"/>
              </w:rPr>
            </w:pPr>
          </w:p>
        </w:tc>
      </w:tr>
      <w:tr>
        <w:trPr>
          <w:trHeight w:val="98"/>
        </w:trPr>
        <w:tc>
          <w:tcPr>
            <w:tcW w:w="1140" w:type="dxa"/>
            <w:vAlign w:val="bottom"/>
            <w:tcBorders>
              <w:right w:val="single" w:sz="8" w:color="auto"/>
            </w:tcBorders>
          </w:tcPr>
          <w:p>
            <w:pPr>
              <w:spacing w:after="0"/>
              <w:rPr>
                <w:sz w:val="8"/>
                <w:szCs w:val="8"/>
                <w:color w:val="auto"/>
              </w:rPr>
            </w:pPr>
          </w:p>
        </w:tc>
        <w:tc>
          <w:tcPr>
            <w:tcW w:w="2220" w:type="dxa"/>
            <w:vAlign w:val="bottom"/>
            <w:tcBorders>
              <w:right w:val="single" w:sz="8" w:color="auto"/>
            </w:tcBorders>
            <w:vMerge w:val="continue"/>
          </w:tcPr>
          <w:p>
            <w:pPr>
              <w:spacing w:after="0"/>
              <w:rPr>
                <w:sz w:val="8"/>
                <w:szCs w:val="8"/>
                <w:color w:val="auto"/>
              </w:rPr>
            </w:pPr>
          </w:p>
        </w:tc>
        <w:tc>
          <w:tcPr>
            <w:tcW w:w="680" w:type="dxa"/>
            <w:vAlign w:val="bottom"/>
          </w:tcPr>
          <w:p>
            <w:pPr>
              <w:spacing w:after="0"/>
              <w:rPr>
                <w:sz w:val="8"/>
                <w:szCs w:val="8"/>
                <w:color w:val="auto"/>
              </w:rPr>
            </w:pPr>
          </w:p>
        </w:tc>
        <w:tc>
          <w:tcPr>
            <w:tcW w:w="6760" w:type="dxa"/>
            <w:vAlign w:val="bottom"/>
            <w:gridSpan w:val="18"/>
            <w:vMerge w:val="restart"/>
          </w:tcPr>
          <w:p>
            <w:pPr>
              <w:jc w:val="center"/>
              <w:ind w:right="700"/>
              <w:spacing w:after="0"/>
              <w:rPr>
                <w:sz w:val="20"/>
                <w:szCs w:val="20"/>
                <w:color w:val="auto"/>
              </w:rPr>
            </w:pPr>
            <w:r>
              <w:rPr>
                <w:rFonts w:ascii="Times New Roman" w:cs="Times New Roman" w:eastAsia="Times New Roman" w:hAnsi="Times New Roman"/>
                <w:sz w:val="14"/>
                <w:szCs w:val="14"/>
                <w:color w:val="auto"/>
                <w:w w:val="96"/>
              </w:rPr>
              <w:t>+ Repurchase agreements with clients and third parties + Bonds and notes issued</w:t>
            </w:r>
          </w:p>
        </w:tc>
        <w:tc>
          <w:tcPr>
            <w:tcW w:w="0" w:type="dxa"/>
            <w:vAlign w:val="bottom"/>
          </w:tcPr>
          <w:p>
            <w:pPr>
              <w:spacing w:after="0"/>
              <w:rPr>
                <w:sz w:val="1"/>
                <w:szCs w:val="1"/>
                <w:color w:val="auto"/>
              </w:rPr>
            </w:pPr>
          </w:p>
        </w:tc>
      </w:tr>
      <w:tr>
        <w:trPr>
          <w:trHeight w:val="76"/>
        </w:trPr>
        <w:tc>
          <w:tcPr>
            <w:tcW w:w="1140" w:type="dxa"/>
            <w:vAlign w:val="bottom"/>
            <w:tcBorders>
              <w:right w:val="single" w:sz="8" w:color="auto"/>
            </w:tcBorders>
          </w:tcPr>
          <w:p>
            <w:pPr>
              <w:spacing w:after="0"/>
              <w:rPr>
                <w:sz w:val="6"/>
                <w:szCs w:val="6"/>
                <w:color w:val="auto"/>
              </w:rPr>
            </w:pPr>
          </w:p>
        </w:tc>
        <w:tc>
          <w:tcPr>
            <w:tcW w:w="2220" w:type="dxa"/>
            <w:vAlign w:val="bottom"/>
            <w:tcBorders>
              <w:right w:val="single" w:sz="8" w:color="auto"/>
            </w:tcBorders>
          </w:tcPr>
          <w:p>
            <w:pPr>
              <w:spacing w:after="0"/>
              <w:rPr>
                <w:sz w:val="6"/>
                <w:szCs w:val="6"/>
                <w:color w:val="auto"/>
              </w:rPr>
            </w:pPr>
          </w:p>
        </w:tc>
        <w:tc>
          <w:tcPr>
            <w:tcW w:w="680" w:type="dxa"/>
            <w:vAlign w:val="bottom"/>
          </w:tcPr>
          <w:p>
            <w:pPr>
              <w:spacing w:after="0"/>
              <w:rPr>
                <w:sz w:val="6"/>
                <w:szCs w:val="6"/>
                <w:color w:val="auto"/>
              </w:rPr>
            </w:pPr>
          </w:p>
        </w:tc>
        <w:tc>
          <w:tcPr>
            <w:tcW w:w="6760" w:type="dxa"/>
            <w:vAlign w:val="bottom"/>
            <w:gridSpan w:val="1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1140" w:type="dxa"/>
            <w:vAlign w:val="bottom"/>
            <w:tcBorders>
              <w:right w:val="single" w:sz="8" w:color="auto"/>
            </w:tcBorders>
          </w:tcPr>
          <w:p>
            <w:pPr>
              <w:spacing w:after="0"/>
              <w:rPr>
                <w:sz w:val="5"/>
                <w:szCs w:val="5"/>
                <w:color w:val="auto"/>
              </w:rPr>
            </w:pPr>
          </w:p>
        </w:tc>
        <w:tc>
          <w:tcPr>
            <w:tcW w:w="2220" w:type="dxa"/>
            <w:vAlign w:val="bottom"/>
            <w:tcBorders>
              <w:bottom w:val="single" w:sz="8" w:color="auto"/>
              <w:right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22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Net Interest Margin (NIM)</w:t>
            </w: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0" w:type="dxa"/>
            <w:vAlign w:val="bottom"/>
            <w:tcBorders>
              <w:bottom w:val="single" w:sz="8" w:color="auto"/>
            </w:tcBorders>
            <w:gridSpan w:val="11"/>
          </w:tcPr>
          <w:p>
            <w:pPr>
              <w:jc w:val="center"/>
              <w:spacing w:after="0"/>
              <w:rPr>
                <w:sz w:val="20"/>
                <w:szCs w:val="20"/>
                <w:color w:val="auto"/>
              </w:rPr>
            </w:pPr>
            <w:r>
              <w:rPr>
                <w:rFonts w:ascii="Times New Roman" w:cs="Times New Roman" w:eastAsia="Times New Roman" w:hAnsi="Times New Roman"/>
                <w:sz w:val="14"/>
                <w:szCs w:val="14"/>
                <w:color w:val="auto"/>
                <w:w w:val="96"/>
              </w:rPr>
              <w:t>Net Interest Income (excluding Net Insurance Financial Expenses)</w:t>
            </w:r>
          </w:p>
        </w:tc>
        <w:tc>
          <w:tcPr>
            <w:tcW w:w="19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71"/>
        </w:trPr>
        <w:tc>
          <w:tcPr>
            <w:tcW w:w="1140" w:type="dxa"/>
            <w:vAlign w:val="bottom"/>
            <w:tcBorders>
              <w:right w:val="single" w:sz="8" w:color="auto"/>
            </w:tcBorders>
          </w:tcPr>
          <w:p>
            <w:pPr>
              <w:spacing w:after="0"/>
              <w:rPr>
                <w:sz w:val="6"/>
                <w:szCs w:val="6"/>
                <w:color w:val="auto"/>
              </w:rPr>
            </w:pPr>
          </w:p>
        </w:tc>
        <w:tc>
          <w:tcPr>
            <w:tcW w:w="2220" w:type="dxa"/>
            <w:vAlign w:val="bottom"/>
            <w:tcBorders>
              <w:right w:val="single" w:sz="8" w:color="auto"/>
            </w:tcBorders>
            <w:vMerge w:val="continue"/>
          </w:tcPr>
          <w:p>
            <w:pPr>
              <w:spacing w:after="0"/>
              <w:rPr>
                <w:sz w:val="6"/>
                <w:szCs w:val="6"/>
                <w:color w:val="auto"/>
              </w:rPr>
            </w:pPr>
          </w:p>
        </w:tc>
        <w:tc>
          <w:tcPr>
            <w:tcW w:w="6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40" w:type="dxa"/>
            <w:vAlign w:val="bottom"/>
            <w:gridSpan w:val="12"/>
            <w:vMerge w:val="restart"/>
          </w:tcPr>
          <w:p>
            <w:pPr>
              <w:jc w:val="center"/>
              <w:ind w:right="2780"/>
              <w:spacing w:after="0"/>
              <w:rPr>
                <w:sz w:val="20"/>
                <w:szCs w:val="20"/>
                <w:color w:val="auto"/>
              </w:rPr>
            </w:pPr>
            <w:r>
              <w:rPr>
                <w:rFonts w:ascii="Times New Roman" w:cs="Times New Roman" w:eastAsia="Times New Roman" w:hAnsi="Times New Roman"/>
                <w:sz w:val="14"/>
                <w:szCs w:val="14"/>
                <w:color w:val="auto"/>
                <w:w w:val="96"/>
              </w:rPr>
              <w:t>Average Interest Earning Assets</w:t>
            </w:r>
          </w:p>
        </w:tc>
        <w:tc>
          <w:tcPr>
            <w:tcW w:w="0" w:type="dxa"/>
            <w:vAlign w:val="bottom"/>
          </w:tcPr>
          <w:p>
            <w:pPr>
              <w:spacing w:after="0"/>
              <w:rPr>
                <w:sz w:val="1"/>
                <w:szCs w:val="1"/>
                <w:color w:val="auto"/>
              </w:rPr>
            </w:pPr>
          </w:p>
        </w:tc>
      </w:tr>
      <w:tr>
        <w:trPr>
          <w:trHeight w:val="96"/>
        </w:trPr>
        <w:tc>
          <w:tcPr>
            <w:tcW w:w="1140" w:type="dxa"/>
            <w:vAlign w:val="bottom"/>
            <w:tcBorders>
              <w:right w:val="single" w:sz="8" w:color="auto"/>
            </w:tcBorders>
          </w:tcPr>
          <w:p>
            <w:pPr>
              <w:spacing w:after="0"/>
              <w:rPr>
                <w:sz w:val="8"/>
                <w:szCs w:val="8"/>
                <w:color w:val="auto"/>
              </w:rPr>
            </w:pPr>
          </w:p>
        </w:tc>
        <w:tc>
          <w:tcPr>
            <w:tcW w:w="2220" w:type="dxa"/>
            <w:vAlign w:val="bottom"/>
            <w:tcBorders>
              <w:right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40" w:type="dxa"/>
            <w:vAlign w:val="bottom"/>
            <w:gridSpan w:val="1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1"/>
        </w:trPr>
        <w:tc>
          <w:tcPr>
            <w:tcW w:w="1140" w:type="dxa"/>
            <w:vAlign w:val="bottom"/>
            <w:tcBorders>
              <w:right w:val="single" w:sz="8" w:color="auto"/>
            </w:tcBorders>
          </w:tcPr>
          <w:p>
            <w:pPr>
              <w:spacing w:after="0"/>
              <w:rPr>
                <w:sz w:val="3"/>
                <w:szCs w:val="3"/>
                <w:color w:val="auto"/>
              </w:rPr>
            </w:pPr>
          </w:p>
        </w:tc>
        <w:tc>
          <w:tcPr>
            <w:tcW w:w="2220" w:type="dxa"/>
            <w:vAlign w:val="bottom"/>
            <w:tcBorders>
              <w:bottom w:val="single" w:sz="8" w:color="auto"/>
              <w:right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971"/>
        </w:trPr>
        <w:tc>
          <w:tcPr>
            <w:tcW w:w="1140" w:type="dxa"/>
            <w:vAlign w:val="bottom"/>
            <w:tcBorders>
              <w:right w:val="single" w:sz="8" w:color="auto"/>
            </w:tcBorders>
          </w:tcPr>
          <w:p>
            <w:pPr>
              <w:spacing w:after="0"/>
              <w:rPr>
                <w:sz w:val="24"/>
                <w:szCs w:val="24"/>
                <w:color w:val="auto"/>
              </w:rPr>
            </w:pPr>
          </w:p>
        </w:tc>
        <w:tc>
          <w:tcPr>
            <w:tcW w:w="2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Risk-adjusted Net Interest Margin</w:t>
            </w: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1140" w:type="dxa"/>
            <w:vAlign w:val="bottom"/>
            <w:tcBorders>
              <w:right w:val="single" w:sz="8" w:color="auto"/>
            </w:tcBorders>
          </w:tcPr>
          <w:p>
            <w:pPr>
              <w:spacing w:after="0"/>
              <w:rPr>
                <w:sz w:val="15"/>
                <w:szCs w:val="15"/>
                <w:color w:val="auto"/>
              </w:rPr>
            </w:pPr>
          </w:p>
        </w:tc>
        <w:tc>
          <w:tcPr>
            <w:tcW w:w="2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(Risk-adjusted NIM)</w:t>
            </w:r>
          </w:p>
        </w:tc>
        <w:tc>
          <w:tcPr>
            <w:tcW w:w="6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140" w:type="dxa"/>
            <w:vAlign w:val="bottom"/>
            <w:tcBorders>
              <w:right w:val="single" w:sz="8" w:color="auto"/>
            </w:tcBorders>
          </w:tcPr>
          <w:p>
            <w:pPr>
              <w:spacing w:after="0"/>
              <w:rPr>
                <w:sz w:val="24"/>
                <w:szCs w:val="24"/>
                <w:color w:val="auto"/>
              </w:rPr>
            </w:pPr>
          </w:p>
        </w:tc>
        <w:tc>
          <w:tcPr>
            <w:tcW w:w="2220" w:type="dxa"/>
            <w:vAlign w:val="bottom"/>
            <w:tcBorders>
              <w:right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5700" w:type="dxa"/>
            <w:vAlign w:val="bottom"/>
            <w:tcBorders>
              <w:bottom w:val="single" w:sz="8" w:color="auto"/>
            </w:tcBorders>
            <w:gridSpan w:val="17"/>
          </w:tcPr>
          <w:p>
            <w:pPr>
              <w:jc w:val="center"/>
              <w:spacing w:after="0"/>
              <w:rPr>
                <w:sz w:val="20"/>
                <w:szCs w:val="20"/>
                <w:color w:val="auto"/>
              </w:rPr>
            </w:pPr>
            <w:r>
              <w:rPr>
                <w:rFonts w:ascii="Times New Roman" w:cs="Times New Roman" w:eastAsia="Times New Roman" w:hAnsi="Times New Roman"/>
                <w:sz w:val="14"/>
                <w:szCs w:val="14"/>
                <w:color w:val="auto"/>
                <w:w w:val="96"/>
              </w:rPr>
              <w:t>Annualized Net Interest Income (excluding Net Insurance Financial Expenses) — Annualized Provisions</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7"/>
        </w:trPr>
        <w:tc>
          <w:tcPr>
            <w:tcW w:w="1140" w:type="dxa"/>
            <w:vAlign w:val="bottom"/>
            <w:tcBorders>
              <w:right w:val="single" w:sz="8" w:color="auto"/>
            </w:tcBorders>
          </w:tcPr>
          <w:p>
            <w:pPr>
              <w:spacing w:after="0"/>
              <w:rPr>
                <w:sz w:val="24"/>
                <w:szCs w:val="24"/>
                <w:color w:val="auto"/>
              </w:rPr>
            </w:pPr>
          </w:p>
        </w:tc>
        <w:tc>
          <w:tcPr>
            <w:tcW w:w="2220" w:type="dxa"/>
            <w:vAlign w:val="bottom"/>
            <w:tcBorders>
              <w:right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520" w:type="dxa"/>
            <w:vAlign w:val="bottom"/>
            <w:gridSpan w:val="15"/>
          </w:tcPr>
          <w:p>
            <w:pPr>
              <w:jc w:val="center"/>
              <w:ind w:right="1940"/>
              <w:spacing w:after="0"/>
              <w:rPr>
                <w:sz w:val="20"/>
                <w:szCs w:val="20"/>
                <w:color w:val="auto"/>
              </w:rPr>
            </w:pPr>
            <w:r>
              <w:rPr>
                <w:rFonts w:ascii="Times New Roman" w:cs="Times New Roman" w:eastAsia="Times New Roman" w:hAnsi="Times New Roman"/>
                <w:sz w:val="14"/>
                <w:szCs w:val="14"/>
                <w:color w:val="auto"/>
                <w:w w:val="96"/>
              </w:rPr>
              <w:t>Average period end and period beginning interest earning assets</w:t>
            </w:r>
          </w:p>
        </w:tc>
        <w:tc>
          <w:tcPr>
            <w:tcW w:w="0" w:type="dxa"/>
            <w:vAlign w:val="bottom"/>
          </w:tcPr>
          <w:p>
            <w:pPr>
              <w:spacing w:after="0"/>
              <w:rPr>
                <w:sz w:val="1"/>
                <w:szCs w:val="1"/>
                <w:color w:val="auto"/>
              </w:rPr>
            </w:pPr>
          </w:p>
        </w:tc>
      </w:tr>
      <w:tr>
        <w:trPr>
          <w:trHeight w:val="62"/>
        </w:trPr>
        <w:tc>
          <w:tcPr>
            <w:tcW w:w="1140" w:type="dxa"/>
            <w:vAlign w:val="bottom"/>
            <w:tcBorders>
              <w:right w:val="single" w:sz="8" w:color="auto"/>
            </w:tcBorders>
          </w:tcPr>
          <w:p>
            <w:pPr>
              <w:spacing w:after="0"/>
              <w:rPr>
                <w:sz w:val="5"/>
                <w:szCs w:val="5"/>
                <w:color w:val="auto"/>
              </w:rPr>
            </w:pPr>
          </w:p>
        </w:tc>
        <w:tc>
          <w:tcPr>
            <w:tcW w:w="2220" w:type="dxa"/>
            <w:vAlign w:val="bottom"/>
            <w:tcBorders>
              <w:bottom w:val="single" w:sz="8" w:color="auto"/>
              <w:right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22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Funding cost</w:t>
            </w: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40" w:type="dxa"/>
            <w:vAlign w:val="bottom"/>
            <w:gridSpan w:val="16"/>
          </w:tcPr>
          <w:p>
            <w:pPr>
              <w:jc w:val="center"/>
              <w:ind w:right="1820"/>
              <w:spacing w:after="0"/>
              <w:rPr>
                <w:sz w:val="20"/>
                <w:szCs w:val="20"/>
                <w:color w:val="auto"/>
              </w:rPr>
            </w:pPr>
            <w:r>
              <w:rPr>
                <w:rFonts w:ascii="Times New Roman" w:cs="Times New Roman" w:eastAsia="Times New Roman" w:hAnsi="Times New Roman"/>
                <w:sz w:val="14"/>
                <w:szCs w:val="14"/>
                <w:color w:val="auto"/>
                <w:w w:val="96"/>
              </w:rPr>
              <w:t>Interest Expense (Does not Include Net Insurance Financial Expenses)</w:t>
            </w:r>
          </w:p>
        </w:tc>
        <w:tc>
          <w:tcPr>
            <w:tcW w:w="0" w:type="dxa"/>
            <w:vAlign w:val="bottom"/>
          </w:tcPr>
          <w:p>
            <w:pPr>
              <w:spacing w:after="0"/>
              <w:rPr>
                <w:sz w:val="1"/>
                <w:szCs w:val="1"/>
                <w:color w:val="auto"/>
              </w:rPr>
            </w:pPr>
          </w:p>
        </w:tc>
      </w:tr>
      <w:tr>
        <w:trPr>
          <w:trHeight w:val="71"/>
        </w:trPr>
        <w:tc>
          <w:tcPr>
            <w:tcW w:w="1140" w:type="dxa"/>
            <w:vAlign w:val="bottom"/>
            <w:tcBorders>
              <w:right w:val="single" w:sz="8" w:color="auto"/>
            </w:tcBorders>
          </w:tcPr>
          <w:p>
            <w:pPr>
              <w:spacing w:after="0"/>
              <w:rPr>
                <w:sz w:val="6"/>
                <w:szCs w:val="6"/>
                <w:color w:val="auto"/>
              </w:rPr>
            </w:pPr>
          </w:p>
        </w:tc>
        <w:tc>
          <w:tcPr>
            <w:tcW w:w="2220" w:type="dxa"/>
            <w:vAlign w:val="bottom"/>
            <w:tcBorders>
              <w:right w:val="single" w:sz="8" w:color="auto"/>
            </w:tcBorders>
            <w:vMerge w:val="continue"/>
          </w:tcPr>
          <w:p>
            <w:pPr>
              <w:spacing w:after="0"/>
              <w:rPr>
                <w:sz w:val="6"/>
                <w:szCs w:val="6"/>
                <w:color w:val="auto"/>
              </w:rPr>
            </w:pPr>
          </w:p>
        </w:tc>
        <w:tc>
          <w:tcPr>
            <w:tcW w:w="6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2520" w:type="dxa"/>
            <w:vAlign w:val="bottom"/>
            <w:tcBorders>
              <w:top w:val="single" w:sz="8" w:color="auto"/>
            </w:tcBorders>
            <w:gridSpan w:val="7"/>
            <w:vMerge w:val="restart"/>
          </w:tcPr>
          <w:p>
            <w:pPr>
              <w:jc w:val="center"/>
              <w:ind w:right="1260"/>
              <w:spacing w:after="0"/>
              <w:rPr>
                <w:sz w:val="20"/>
                <w:szCs w:val="20"/>
                <w:color w:val="auto"/>
              </w:rPr>
            </w:pPr>
            <w:r>
              <w:rPr>
                <w:rFonts w:ascii="Times New Roman" w:cs="Times New Roman" w:eastAsia="Times New Roman" w:hAnsi="Times New Roman"/>
                <w:sz w:val="14"/>
                <w:szCs w:val="14"/>
                <w:color w:val="auto"/>
                <w:w w:val="96"/>
              </w:rPr>
              <w:t>Average Funding</w:t>
            </w:r>
          </w:p>
        </w:tc>
        <w:tc>
          <w:tcPr>
            <w:tcW w:w="1820" w:type="dxa"/>
            <w:vAlign w:val="bottom"/>
            <w:gridSpan w:val="3"/>
            <w:vMerge w:val="restart"/>
          </w:tcPr>
          <w:p>
            <w:pPr>
              <w:spacing w:after="0"/>
              <w:rPr>
                <w:sz w:val="6"/>
                <w:szCs w:val="6"/>
                <w:color w:val="auto"/>
              </w:rPr>
            </w:pPr>
          </w:p>
        </w:tc>
        <w:tc>
          <w:tcPr>
            <w:tcW w:w="0" w:type="dxa"/>
            <w:vAlign w:val="bottom"/>
          </w:tcPr>
          <w:p>
            <w:pPr>
              <w:spacing w:after="0"/>
              <w:rPr>
                <w:sz w:val="1"/>
                <w:szCs w:val="1"/>
                <w:color w:val="auto"/>
              </w:rPr>
            </w:pPr>
          </w:p>
        </w:tc>
      </w:tr>
      <w:tr>
        <w:trPr>
          <w:trHeight w:val="96"/>
        </w:trPr>
        <w:tc>
          <w:tcPr>
            <w:tcW w:w="1140" w:type="dxa"/>
            <w:vAlign w:val="bottom"/>
            <w:tcBorders>
              <w:right w:val="single" w:sz="8" w:color="auto"/>
            </w:tcBorders>
          </w:tcPr>
          <w:p>
            <w:pPr>
              <w:spacing w:after="0"/>
              <w:rPr>
                <w:sz w:val="8"/>
                <w:szCs w:val="8"/>
                <w:color w:val="auto"/>
              </w:rPr>
            </w:pPr>
          </w:p>
        </w:tc>
        <w:tc>
          <w:tcPr>
            <w:tcW w:w="2220" w:type="dxa"/>
            <w:vAlign w:val="bottom"/>
            <w:tcBorders>
              <w:right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520" w:type="dxa"/>
            <w:vAlign w:val="bottom"/>
            <w:gridSpan w:val="7"/>
            <w:vMerge w:val="continue"/>
          </w:tcPr>
          <w:p>
            <w:pPr>
              <w:spacing w:after="0"/>
              <w:rPr>
                <w:sz w:val="8"/>
                <w:szCs w:val="8"/>
                <w:color w:val="auto"/>
              </w:rPr>
            </w:pPr>
          </w:p>
        </w:tc>
        <w:tc>
          <w:tcPr>
            <w:tcW w:w="1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1"/>
        </w:trPr>
        <w:tc>
          <w:tcPr>
            <w:tcW w:w="1140" w:type="dxa"/>
            <w:vAlign w:val="bottom"/>
            <w:tcBorders>
              <w:right w:val="single" w:sz="8" w:color="auto"/>
            </w:tcBorders>
          </w:tcPr>
          <w:p>
            <w:pPr>
              <w:spacing w:after="0"/>
              <w:rPr>
                <w:sz w:val="3"/>
                <w:szCs w:val="3"/>
                <w:color w:val="auto"/>
              </w:rPr>
            </w:pPr>
          </w:p>
        </w:tc>
        <w:tc>
          <w:tcPr>
            <w:tcW w:w="2220" w:type="dxa"/>
            <w:vAlign w:val="bottom"/>
            <w:tcBorders>
              <w:bottom w:val="single" w:sz="8" w:color="auto"/>
              <w:right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1140" w:type="dxa"/>
            <w:vAlign w:val="bottom"/>
            <w:tcBorders>
              <w:right w:val="single" w:sz="8" w:color="auto"/>
            </w:tcBorders>
          </w:tcPr>
          <w:p>
            <w:pPr>
              <w:spacing w:after="0"/>
              <w:rPr>
                <w:sz w:val="19"/>
                <w:szCs w:val="19"/>
                <w:color w:val="auto"/>
              </w:rPr>
            </w:pPr>
          </w:p>
        </w:tc>
        <w:tc>
          <w:tcPr>
            <w:tcW w:w="2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Core income</w:t>
            </w:r>
          </w:p>
        </w:tc>
        <w:tc>
          <w:tcPr>
            <w:tcW w:w="680" w:type="dxa"/>
            <w:vAlign w:val="bottom"/>
          </w:tcPr>
          <w:p>
            <w:pPr>
              <w:spacing w:after="0"/>
              <w:rPr>
                <w:sz w:val="19"/>
                <w:szCs w:val="19"/>
                <w:color w:val="auto"/>
              </w:rPr>
            </w:pPr>
          </w:p>
        </w:tc>
        <w:tc>
          <w:tcPr>
            <w:tcW w:w="6760" w:type="dxa"/>
            <w:vAlign w:val="bottom"/>
            <w:gridSpan w:val="18"/>
          </w:tcPr>
          <w:p>
            <w:pPr>
              <w:jc w:val="center"/>
              <w:ind w:right="700"/>
              <w:spacing w:after="0"/>
              <w:rPr>
                <w:sz w:val="20"/>
                <w:szCs w:val="20"/>
                <w:color w:val="auto"/>
              </w:rPr>
            </w:pPr>
            <w:r>
              <w:rPr>
                <w:rFonts w:ascii="Times New Roman" w:cs="Times New Roman" w:eastAsia="Times New Roman" w:hAnsi="Times New Roman"/>
                <w:sz w:val="14"/>
                <w:szCs w:val="14"/>
                <w:color w:val="auto"/>
                <w:w w:val="96"/>
              </w:rPr>
              <w:t>Net Interest Income + Fee Income + Net Gain on Foreign exchange transactions</w:t>
            </w:r>
          </w:p>
        </w:tc>
        <w:tc>
          <w:tcPr>
            <w:tcW w:w="0" w:type="dxa"/>
            <w:vAlign w:val="bottom"/>
          </w:tcPr>
          <w:p>
            <w:pPr>
              <w:spacing w:after="0"/>
              <w:rPr>
                <w:sz w:val="1"/>
                <w:szCs w:val="1"/>
                <w:color w:val="auto"/>
              </w:rPr>
            </w:pPr>
          </w:p>
        </w:tc>
      </w:tr>
      <w:tr>
        <w:trPr>
          <w:trHeight w:val="62"/>
        </w:trPr>
        <w:tc>
          <w:tcPr>
            <w:tcW w:w="1140" w:type="dxa"/>
            <w:vAlign w:val="bottom"/>
            <w:tcBorders>
              <w:right w:val="single" w:sz="8" w:color="auto"/>
            </w:tcBorders>
          </w:tcPr>
          <w:p>
            <w:pPr>
              <w:spacing w:after="0"/>
              <w:rPr>
                <w:sz w:val="5"/>
                <w:szCs w:val="5"/>
                <w:color w:val="auto"/>
              </w:rPr>
            </w:pPr>
          </w:p>
        </w:tc>
        <w:tc>
          <w:tcPr>
            <w:tcW w:w="2220" w:type="dxa"/>
            <w:vAlign w:val="bottom"/>
            <w:tcBorders>
              <w:bottom w:val="single" w:sz="8" w:color="auto"/>
              <w:right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140" w:type="dxa"/>
            <w:vAlign w:val="bottom"/>
            <w:tcBorders>
              <w:right w:val="single" w:sz="8" w:color="auto"/>
            </w:tcBorders>
          </w:tcPr>
          <w:p>
            <w:pPr>
              <w:spacing w:after="0"/>
              <w:rPr>
                <w:sz w:val="19"/>
                <w:szCs w:val="19"/>
                <w:color w:val="auto"/>
              </w:rPr>
            </w:pPr>
          </w:p>
        </w:tc>
        <w:tc>
          <w:tcPr>
            <w:tcW w:w="2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Other core income</w:t>
            </w:r>
          </w:p>
        </w:tc>
        <w:tc>
          <w:tcPr>
            <w:tcW w:w="6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520" w:type="dxa"/>
            <w:vAlign w:val="bottom"/>
            <w:gridSpan w:val="15"/>
          </w:tcPr>
          <w:p>
            <w:pPr>
              <w:jc w:val="center"/>
              <w:ind w:right="1920"/>
              <w:spacing w:after="0"/>
              <w:rPr>
                <w:sz w:val="20"/>
                <w:szCs w:val="20"/>
                <w:color w:val="auto"/>
              </w:rPr>
            </w:pPr>
            <w:r>
              <w:rPr>
                <w:rFonts w:ascii="Times New Roman" w:cs="Times New Roman" w:eastAsia="Times New Roman" w:hAnsi="Times New Roman"/>
                <w:sz w:val="14"/>
                <w:szCs w:val="14"/>
                <w:color w:val="auto"/>
                <w:w w:val="96"/>
              </w:rPr>
              <w:t>Fee Income + Net Gain on Foreign exchange transactions</w:t>
            </w:r>
          </w:p>
        </w:tc>
        <w:tc>
          <w:tcPr>
            <w:tcW w:w="0" w:type="dxa"/>
            <w:vAlign w:val="bottom"/>
          </w:tcPr>
          <w:p>
            <w:pPr>
              <w:spacing w:after="0"/>
              <w:rPr>
                <w:sz w:val="1"/>
                <w:szCs w:val="1"/>
                <w:color w:val="auto"/>
              </w:rPr>
            </w:pPr>
          </w:p>
        </w:tc>
      </w:tr>
      <w:tr>
        <w:trPr>
          <w:trHeight w:val="62"/>
        </w:trPr>
        <w:tc>
          <w:tcPr>
            <w:tcW w:w="1140" w:type="dxa"/>
            <w:vAlign w:val="bottom"/>
            <w:tcBorders>
              <w:right w:val="single" w:sz="8" w:color="auto"/>
            </w:tcBorders>
          </w:tcPr>
          <w:p>
            <w:pPr>
              <w:spacing w:after="0"/>
              <w:rPr>
                <w:sz w:val="5"/>
                <w:szCs w:val="5"/>
                <w:color w:val="auto"/>
              </w:rPr>
            </w:pPr>
          </w:p>
        </w:tc>
        <w:tc>
          <w:tcPr>
            <w:tcW w:w="2220" w:type="dxa"/>
            <w:vAlign w:val="bottom"/>
            <w:tcBorders>
              <w:bottom w:val="single" w:sz="8" w:color="auto"/>
              <w:right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1140" w:type="dxa"/>
            <w:vAlign w:val="bottom"/>
            <w:tcBorders>
              <w:right w:val="single" w:sz="8" w:color="auto"/>
            </w:tcBorders>
          </w:tcPr>
          <w:p>
            <w:pPr>
              <w:spacing w:after="0"/>
              <w:rPr>
                <w:sz w:val="16"/>
                <w:szCs w:val="16"/>
                <w:color w:val="auto"/>
              </w:rPr>
            </w:pPr>
          </w:p>
        </w:tc>
        <w:tc>
          <w:tcPr>
            <w:tcW w:w="22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Other non-core income</w:t>
            </w:r>
          </w:p>
        </w:tc>
        <w:tc>
          <w:tcPr>
            <w:tcW w:w="680" w:type="dxa"/>
            <w:vAlign w:val="bottom"/>
          </w:tcPr>
          <w:p>
            <w:pPr>
              <w:spacing w:after="0"/>
              <w:rPr>
                <w:sz w:val="16"/>
                <w:szCs w:val="16"/>
                <w:color w:val="auto"/>
              </w:rPr>
            </w:pPr>
          </w:p>
        </w:tc>
        <w:tc>
          <w:tcPr>
            <w:tcW w:w="6760" w:type="dxa"/>
            <w:vAlign w:val="bottom"/>
            <w:gridSpan w:val="18"/>
          </w:tcPr>
          <w:p>
            <w:pPr>
              <w:jc w:val="center"/>
              <w:ind w:right="720"/>
              <w:spacing w:after="0"/>
              <w:rPr>
                <w:sz w:val="20"/>
                <w:szCs w:val="20"/>
                <w:color w:val="auto"/>
              </w:rPr>
            </w:pPr>
            <w:r>
              <w:rPr>
                <w:rFonts w:ascii="Times New Roman" w:cs="Times New Roman" w:eastAsia="Times New Roman" w:hAnsi="Times New Roman"/>
                <w:sz w:val="14"/>
                <w:szCs w:val="14"/>
                <w:color w:val="auto"/>
                <w:w w:val="96"/>
              </w:rPr>
              <w:t>Net Gain Securities + Net Gain from associates + Net Gain of derivatives held for trading</w:t>
            </w:r>
          </w:p>
        </w:tc>
        <w:tc>
          <w:tcPr>
            <w:tcW w:w="0" w:type="dxa"/>
            <w:vAlign w:val="bottom"/>
          </w:tcPr>
          <w:p>
            <w:pPr>
              <w:spacing w:after="0"/>
              <w:rPr>
                <w:sz w:val="1"/>
                <w:szCs w:val="1"/>
                <w:color w:val="auto"/>
              </w:rPr>
            </w:pPr>
          </w:p>
        </w:tc>
      </w:tr>
      <w:tr>
        <w:trPr>
          <w:trHeight w:val="98"/>
        </w:trPr>
        <w:tc>
          <w:tcPr>
            <w:tcW w:w="1140" w:type="dxa"/>
            <w:vAlign w:val="bottom"/>
            <w:tcBorders>
              <w:right w:val="single" w:sz="8" w:color="auto"/>
            </w:tcBorders>
          </w:tcPr>
          <w:p>
            <w:pPr>
              <w:spacing w:after="0"/>
              <w:rPr>
                <w:sz w:val="8"/>
                <w:szCs w:val="8"/>
                <w:color w:val="auto"/>
              </w:rPr>
            </w:pPr>
          </w:p>
        </w:tc>
        <w:tc>
          <w:tcPr>
            <w:tcW w:w="2220" w:type="dxa"/>
            <w:vAlign w:val="bottom"/>
            <w:tcBorders>
              <w:right w:val="single" w:sz="8" w:color="auto"/>
            </w:tcBorders>
            <w:vMerge w:val="continue"/>
          </w:tcPr>
          <w:p>
            <w:pPr>
              <w:spacing w:after="0"/>
              <w:rPr>
                <w:sz w:val="8"/>
                <w:szCs w:val="8"/>
                <w:color w:val="auto"/>
              </w:rPr>
            </w:pPr>
          </w:p>
        </w:tc>
        <w:tc>
          <w:tcPr>
            <w:tcW w:w="6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40" w:type="dxa"/>
            <w:vAlign w:val="bottom"/>
            <w:gridSpan w:val="16"/>
            <w:vMerge w:val="restart"/>
          </w:tcPr>
          <w:p>
            <w:pPr>
              <w:jc w:val="center"/>
              <w:ind w:right="1820"/>
              <w:spacing w:after="0"/>
              <w:rPr>
                <w:sz w:val="20"/>
                <w:szCs w:val="20"/>
                <w:color w:val="auto"/>
              </w:rPr>
            </w:pPr>
            <w:r>
              <w:rPr>
                <w:rFonts w:ascii="Times New Roman" w:cs="Times New Roman" w:eastAsia="Times New Roman" w:hAnsi="Times New Roman"/>
                <w:sz w:val="14"/>
                <w:szCs w:val="14"/>
                <w:color w:val="auto"/>
                <w:w w:val="96"/>
              </w:rPr>
              <w:t>+ Net Gain from exchange differences + Other non operative income</w:t>
            </w:r>
          </w:p>
        </w:tc>
        <w:tc>
          <w:tcPr>
            <w:tcW w:w="0" w:type="dxa"/>
            <w:vAlign w:val="bottom"/>
          </w:tcPr>
          <w:p>
            <w:pPr>
              <w:spacing w:after="0"/>
              <w:rPr>
                <w:sz w:val="1"/>
                <w:szCs w:val="1"/>
                <w:color w:val="auto"/>
              </w:rPr>
            </w:pPr>
          </w:p>
        </w:tc>
      </w:tr>
      <w:tr>
        <w:trPr>
          <w:trHeight w:val="76"/>
        </w:trPr>
        <w:tc>
          <w:tcPr>
            <w:tcW w:w="1140" w:type="dxa"/>
            <w:vAlign w:val="bottom"/>
            <w:tcBorders>
              <w:right w:val="single" w:sz="8" w:color="auto"/>
            </w:tcBorders>
          </w:tcPr>
          <w:p>
            <w:pPr>
              <w:spacing w:after="0"/>
              <w:rPr>
                <w:sz w:val="6"/>
                <w:szCs w:val="6"/>
                <w:color w:val="auto"/>
              </w:rPr>
            </w:pPr>
          </w:p>
        </w:tc>
        <w:tc>
          <w:tcPr>
            <w:tcW w:w="2220" w:type="dxa"/>
            <w:vAlign w:val="bottom"/>
            <w:tcBorders>
              <w:right w:val="single" w:sz="8" w:color="auto"/>
            </w:tcBorders>
          </w:tcPr>
          <w:p>
            <w:pPr>
              <w:spacing w:after="0"/>
              <w:rPr>
                <w:sz w:val="6"/>
                <w:szCs w:val="6"/>
                <w:color w:val="auto"/>
              </w:rPr>
            </w:pPr>
          </w:p>
        </w:tc>
        <w:tc>
          <w:tcPr>
            <w:tcW w:w="6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40" w:type="dxa"/>
            <w:vAlign w:val="bottom"/>
            <w:gridSpan w:val="1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1140" w:type="dxa"/>
            <w:vAlign w:val="bottom"/>
            <w:tcBorders>
              <w:right w:val="single" w:sz="8" w:color="auto"/>
            </w:tcBorders>
          </w:tcPr>
          <w:p>
            <w:pPr>
              <w:spacing w:after="0"/>
              <w:rPr>
                <w:sz w:val="5"/>
                <w:szCs w:val="5"/>
                <w:color w:val="auto"/>
              </w:rPr>
            </w:pPr>
          </w:p>
        </w:tc>
        <w:tc>
          <w:tcPr>
            <w:tcW w:w="2220" w:type="dxa"/>
            <w:vAlign w:val="bottom"/>
            <w:tcBorders>
              <w:bottom w:val="single" w:sz="8" w:color="auto"/>
              <w:right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073"/>
        </w:trPr>
        <w:tc>
          <w:tcPr>
            <w:tcW w:w="1140" w:type="dxa"/>
            <w:vAlign w:val="bottom"/>
            <w:tcBorders>
              <w:right w:val="single" w:sz="8" w:color="auto"/>
            </w:tcBorders>
          </w:tcPr>
          <w:p>
            <w:pPr>
              <w:spacing w:after="0"/>
              <w:rPr>
                <w:sz w:val="24"/>
                <w:szCs w:val="24"/>
                <w:color w:val="auto"/>
              </w:rPr>
            </w:pPr>
          </w:p>
        </w:tc>
        <w:tc>
          <w:tcPr>
            <w:tcW w:w="2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Return on average assets (ROA)</w:t>
            </w: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1140" w:type="dxa"/>
            <w:vAlign w:val="bottom"/>
            <w:tcBorders>
              <w:right w:val="single" w:sz="8" w:color="auto"/>
            </w:tcBorders>
          </w:tcPr>
          <w:p>
            <w:pPr>
              <w:spacing w:after="0"/>
              <w:rPr>
                <w:sz w:val="24"/>
                <w:szCs w:val="24"/>
                <w:color w:val="auto"/>
              </w:rPr>
            </w:pPr>
          </w:p>
        </w:tc>
        <w:tc>
          <w:tcPr>
            <w:tcW w:w="2220" w:type="dxa"/>
            <w:vAlign w:val="bottom"/>
            <w:tcBorders>
              <w:right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520" w:type="dxa"/>
            <w:vAlign w:val="bottom"/>
            <w:gridSpan w:val="15"/>
          </w:tcPr>
          <w:p>
            <w:pPr>
              <w:jc w:val="center"/>
              <w:ind w:right="2300"/>
              <w:spacing w:after="0"/>
              <w:rPr>
                <w:sz w:val="20"/>
                <w:szCs w:val="20"/>
                <w:color w:val="auto"/>
              </w:rPr>
            </w:pPr>
            <w:r>
              <w:rPr>
                <w:rFonts w:ascii="Times New Roman" w:cs="Times New Roman" w:eastAsia="Times New Roman" w:hAnsi="Times New Roman"/>
                <w:sz w:val="14"/>
                <w:szCs w:val="14"/>
                <w:color w:val="auto"/>
                <w:w w:val="96"/>
              </w:rPr>
              <w:t>Annualized Net Income attributable to Credicorp</w:t>
            </w:r>
          </w:p>
        </w:tc>
        <w:tc>
          <w:tcPr>
            <w:tcW w:w="0" w:type="dxa"/>
            <w:vAlign w:val="bottom"/>
          </w:tcPr>
          <w:p>
            <w:pPr>
              <w:spacing w:after="0"/>
              <w:rPr>
                <w:sz w:val="1"/>
                <w:szCs w:val="1"/>
                <w:color w:val="auto"/>
              </w:rPr>
            </w:pPr>
          </w:p>
        </w:tc>
      </w:tr>
      <w:tr>
        <w:trPr>
          <w:trHeight w:val="477"/>
        </w:trPr>
        <w:tc>
          <w:tcPr>
            <w:tcW w:w="1140" w:type="dxa"/>
            <w:vAlign w:val="bottom"/>
            <w:tcBorders>
              <w:right w:val="single" w:sz="8" w:color="auto"/>
            </w:tcBorders>
          </w:tcPr>
          <w:p>
            <w:pPr>
              <w:spacing w:after="0"/>
              <w:rPr>
                <w:sz w:val="24"/>
                <w:szCs w:val="24"/>
                <w:color w:val="auto"/>
              </w:rPr>
            </w:pPr>
          </w:p>
        </w:tc>
        <w:tc>
          <w:tcPr>
            <w:tcW w:w="2220" w:type="dxa"/>
            <w:vAlign w:val="bottom"/>
            <w:tcBorders>
              <w:right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760" w:type="dxa"/>
            <w:vAlign w:val="bottom"/>
            <w:tcBorders>
              <w:top w:val="single" w:sz="8" w:color="auto"/>
            </w:tcBorders>
            <w:gridSpan w:val="5"/>
          </w:tcPr>
          <w:p>
            <w:pPr>
              <w:jc w:val="center"/>
              <w:ind w:right="520"/>
              <w:spacing w:after="0"/>
              <w:rPr>
                <w:sz w:val="20"/>
                <w:szCs w:val="20"/>
                <w:color w:val="auto"/>
              </w:rPr>
            </w:pPr>
            <w:r>
              <w:rPr>
                <w:rFonts w:ascii="Times New Roman" w:cs="Times New Roman" w:eastAsia="Times New Roman" w:hAnsi="Times New Roman"/>
                <w:sz w:val="14"/>
                <w:szCs w:val="14"/>
                <w:color w:val="auto"/>
                <w:w w:val="95"/>
              </w:rPr>
              <w:t>Average Assets</w:t>
            </w:r>
          </w:p>
        </w:tc>
        <w:tc>
          <w:tcPr>
            <w:tcW w:w="25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62"/>
        </w:trPr>
        <w:tc>
          <w:tcPr>
            <w:tcW w:w="1140" w:type="dxa"/>
            <w:vAlign w:val="bottom"/>
            <w:tcBorders>
              <w:right w:val="single" w:sz="8" w:color="auto"/>
            </w:tcBorders>
          </w:tcPr>
          <w:p>
            <w:pPr>
              <w:spacing w:after="0"/>
              <w:rPr>
                <w:sz w:val="5"/>
                <w:szCs w:val="5"/>
                <w:color w:val="auto"/>
              </w:rPr>
            </w:pPr>
          </w:p>
        </w:tc>
        <w:tc>
          <w:tcPr>
            <w:tcW w:w="2220" w:type="dxa"/>
            <w:vAlign w:val="bottom"/>
            <w:tcBorders>
              <w:bottom w:val="single" w:sz="8" w:color="auto"/>
              <w:right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073"/>
        </w:trPr>
        <w:tc>
          <w:tcPr>
            <w:tcW w:w="1140" w:type="dxa"/>
            <w:vAlign w:val="bottom"/>
            <w:tcBorders>
              <w:right w:val="single" w:sz="8" w:color="auto"/>
            </w:tcBorders>
          </w:tcPr>
          <w:p>
            <w:pPr>
              <w:spacing w:after="0"/>
              <w:rPr>
                <w:sz w:val="24"/>
                <w:szCs w:val="24"/>
                <w:color w:val="auto"/>
              </w:rPr>
            </w:pPr>
          </w:p>
        </w:tc>
        <w:tc>
          <w:tcPr>
            <w:tcW w:w="2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Return on average equity (ROE)</w:t>
            </w: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1140" w:type="dxa"/>
            <w:vAlign w:val="bottom"/>
            <w:tcBorders>
              <w:right w:val="single" w:sz="8" w:color="auto"/>
            </w:tcBorders>
          </w:tcPr>
          <w:p>
            <w:pPr>
              <w:spacing w:after="0"/>
              <w:rPr>
                <w:sz w:val="24"/>
                <w:szCs w:val="24"/>
                <w:color w:val="auto"/>
              </w:rPr>
            </w:pPr>
          </w:p>
        </w:tc>
        <w:tc>
          <w:tcPr>
            <w:tcW w:w="2220" w:type="dxa"/>
            <w:vAlign w:val="bottom"/>
            <w:tcBorders>
              <w:right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520" w:type="dxa"/>
            <w:vAlign w:val="bottom"/>
            <w:gridSpan w:val="15"/>
          </w:tcPr>
          <w:p>
            <w:pPr>
              <w:jc w:val="center"/>
              <w:ind w:right="2300"/>
              <w:spacing w:after="0"/>
              <w:rPr>
                <w:sz w:val="20"/>
                <w:szCs w:val="20"/>
                <w:color w:val="auto"/>
              </w:rPr>
            </w:pPr>
            <w:r>
              <w:rPr>
                <w:rFonts w:ascii="Times New Roman" w:cs="Times New Roman" w:eastAsia="Times New Roman" w:hAnsi="Times New Roman"/>
                <w:sz w:val="14"/>
                <w:szCs w:val="14"/>
                <w:color w:val="auto"/>
                <w:w w:val="96"/>
              </w:rPr>
              <w:t>Annualized Net Income attributable to Credicorp</w:t>
            </w:r>
          </w:p>
        </w:tc>
        <w:tc>
          <w:tcPr>
            <w:tcW w:w="0" w:type="dxa"/>
            <w:vAlign w:val="bottom"/>
          </w:tcPr>
          <w:p>
            <w:pPr>
              <w:spacing w:after="0"/>
              <w:rPr>
                <w:sz w:val="1"/>
                <w:szCs w:val="1"/>
                <w:color w:val="auto"/>
              </w:rPr>
            </w:pPr>
          </w:p>
        </w:tc>
      </w:tr>
      <w:tr>
        <w:trPr>
          <w:trHeight w:val="477"/>
        </w:trPr>
        <w:tc>
          <w:tcPr>
            <w:tcW w:w="1140" w:type="dxa"/>
            <w:vAlign w:val="bottom"/>
            <w:tcBorders>
              <w:right w:val="single" w:sz="8" w:color="auto"/>
            </w:tcBorders>
          </w:tcPr>
          <w:p>
            <w:pPr>
              <w:spacing w:after="0"/>
              <w:rPr>
                <w:sz w:val="24"/>
                <w:szCs w:val="24"/>
                <w:color w:val="auto"/>
              </w:rPr>
            </w:pPr>
          </w:p>
        </w:tc>
        <w:tc>
          <w:tcPr>
            <w:tcW w:w="2220" w:type="dxa"/>
            <w:vAlign w:val="bottom"/>
            <w:tcBorders>
              <w:right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760" w:type="dxa"/>
            <w:vAlign w:val="bottom"/>
            <w:tcBorders>
              <w:top w:val="single" w:sz="8" w:color="auto"/>
            </w:tcBorders>
            <w:gridSpan w:val="5"/>
          </w:tcPr>
          <w:p>
            <w:pPr>
              <w:jc w:val="center"/>
              <w:ind w:right="540"/>
              <w:spacing w:after="0"/>
              <w:rPr>
                <w:sz w:val="20"/>
                <w:szCs w:val="20"/>
                <w:color w:val="auto"/>
              </w:rPr>
            </w:pPr>
            <w:r>
              <w:rPr>
                <w:rFonts w:ascii="Times New Roman" w:cs="Times New Roman" w:eastAsia="Times New Roman" w:hAnsi="Times New Roman"/>
                <w:sz w:val="14"/>
                <w:szCs w:val="14"/>
                <w:color w:val="auto"/>
                <w:w w:val="94"/>
              </w:rPr>
              <w:t>Average Net Equity</w:t>
            </w:r>
          </w:p>
        </w:tc>
        <w:tc>
          <w:tcPr>
            <w:tcW w:w="25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62"/>
        </w:trPr>
        <w:tc>
          <w:tcPr>
            <w:tcW w:w="1140" w:type="dxa"/>
            <w:vAlign w:val="bottom"/>
            <w:tcBorders>
              <w:bottom w:val="single" w:sz="8" w:color="auto"/>
              <w:right w:val="single" w:sz="8" w:color="auto"/>
            </w:tcBorders>
          </w:tcPr>
          <w:p>
            <w:pPr>
              <w:spacing w:after="0"/>
              <w:rPr>
                <w:sz w:val="5"/>
                <w:szCs w:val="5"/>
                <w:color w:val="auto"/>
              </w:rPr>
            </w:pPr>
          </w:p>
        </w:tc>
        <w:tc>
          <w:tcPr>
            <w:tcW w:w="2220" w:type="dxa"/>
            <w:vAlign w:val="bottom"/>
            <w:tcBorders>
              <w:bottom w:val="single" w:sz="8" w:color="auto"/>
              <w:right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22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Internal overdue ratio</w:t>
            </w: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w w:val="97"/>
              </w:rPr>
              <w:t>Internal overdue loans</w:t>
            </w:r>
          </w:p>
        </w:tc>
        <w:tc>
          <w:tcPr>
            <w:tcW w:w="31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71"/>
        </w:trPr>
        <w:tc>
          <w:tcPr>
            <w:tcW w:w="1140" w:type="dxa"/>
            <w:vAlign w:val="bottom"/>
            <w:tcBorders>
              <w:right w:val="single" w:sz="8" w:color="auto"/>
            </w:tcBorders>
          </w:tcPr>
          <w:p>
            <w:pPr>
              <w:spacing w:after="0"/>
              <w:rPr>
                <w:sz w:val="6"/>
                <w:szCs w:val="6"/>
                <w:color w:val="auto"/>
              </w:rPr>
            </w:pPr>
          </w:p>
        </w:tc>
        <w:tc>
          <w:tcPr>
            <w:tcW w:w="2220" w:type="dxa"/>
            <w:vAlign w:val="bottom"/>
            <w:tcBorders>
              <w:right w:val="single" w:sz="8" w:color="auto"/>
            </w:tcBorders>
            <w:vMerge w:val="continue"/>
          </w:tcPr>
          <w:p>
            <w:pPr>
              <w:spacing w:after="0"/>
              <w:rPr>
                <w:sz w:val="6"/>
                <w:szCs w:val="6"/>
                <w:color w:val="auto"/>
              </w:rPr>
            </w:pPr>
          </w:p>
        </w:tc>
        <w:tc>
          <w:tcPr>
            <w:tcW w:w="6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340" w:type="dxa"/>
            <w:vAlign w:val="bottom"/>
            <w:gridSpan w:val="10"/>
            <w:vMerge w:val="restart"/>
          </w:tcPr>
          <w:p>
            <w:pPr>
              <w:jc w:val="center"/>
              <w:ind w:right="3100"/>
              <w:spacing w:after="0"/>
              <w:rPr>
                <w:sz w:val="20"/>
                <w:szCs w:val="20"/>
                <w:color w:val="auto"/>
              </w:rPr>
            </w:pPr>
            <w:r>
              <w:rPr>
                <w:rFonts w:ascii="Times New Roman" w:cs="Times New Roman" w:eastAsia="Times New Roman" w:hAnsi="Times New Roman"/>
                <w:sz w:val="14"/>
                <w:szCs w:val="14"/>
                <w:color w:val="auto"/>
                <w:w w:val="95"/>
              </w:rPr>
              <w:t>Total Loans</w:t>
            </w:r>
          </w:p>
        </w:tc>
        <w:tc>
          <w:tcPr>
            <w:tcW w:w="0" w:type="dxa"/>
            <w:vAlign w:val="bottom"/>
          </w:tcPr>
          <w:p>
            <w:pPr>
              <w:spacing w:after="0"/>
              <w:rPr>
                <w:sz w:val="1"/>
                <w:szCs w:val="1"/>
                <w:color w:val="auto"/>
              </w:rPr>
            </w:pPr>
          </w:p>
        </w:tc>
      </w:tr>
      <w:tr>
        <w:trPr>
          <w:trHeight w:val="96"/>
        </w:trPr>
        <w:tc>
          <w:tcPr>
            <w:tcW w:w="1140" w:type="dxa"/>
            <w:vAlign w:val="bottom"/>
            <w:tcBorders>
              <w:right w:val="single" w:sz="8" w:color="auto"/>
            </w:tcBorders>
          </w:tcPr>
          <w:p>
            <w:pPr>
              <w:spacing w:after="0"/>
              <w:rPr>
                <w:sz w:val="8"/>
                <w:szCs w:val="8"/>
                <w:color w:val="auto"/>
              </w:rPr>
            </w:pPr>
          </w:p>
        </w:tc>
        <w:tc>
          <w:tcPr>
            <w:tcW w:w="2220" w:type="dxa"/>
            <w:vAlign w:val="bottom"/>
            <w:tcBorders>
              <w:right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3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1"/>
        </w:trPr>
        <w:tc>
          <w:tcPr>
            <w:tcW w:w="1140" w:type="dxa"/>
            <w:vAlign w:val="bottom"/>
            <w:tcBorders>
              <w:right w:val="single" w:sz="8" w:color="auto"/>
            </w:tcBorders>
          </w:tcPr>
          <w:p>
            <w:pPr>
              <w:spacing w:after="0"/>
              <w:rPr>
                <w:sz w:val="3"/>
                <w:szCs w:val="3"/>
                <w:color w:val="auto"/>
              </w:rPr>
            </w:pPr>
          </w:p>
        </w:tc>
        <w:tc>
          <w:tcPr>
            <w:tcW w:w="2220" w:type="dxa"/>
            <w:vAlign w:val="bottom"/>
            <w:tcBorders>
              <w:bottom w:val="single" w:sz="8" w:color="auto"/>
              <w:right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971"/>
        </w:trPr>
        <w:tc>
          <w:tcPr>
            <w:tcW w:w="1140" w:type="dxa"/>
            <w:vAlign w:val="bottom"/>
            <w:tcBorders>
              <w:right w:val="single" w:sz="8" w:color="auto"/>
            </w:tcBorders>
          </w:tcPr>
          <w:p>
            <w:pPr>
              <w:spacing w:after="0"/>
              <w:rPr>
                <w:sz w:val="24"/>
                <w:szCs w:val="24"/>
                <w:color w:val="auto"/>
              </w:rPr>
            </w:pPr>
          </w:p>
        </w:tc>
        <w:tc>
          <w:tcPr>
            <w:tcW w:w="2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Non - performing loans ratio (NPL</w:t>
            </w: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1140" w:type="dxa"/>
            <w:vAlign w:val="bottom"/>
            <w:tcBorders>
              <w:right w:val="single" w:sz="8" w:color="auto"/>
            </w:tcBorders>
          </w:tcPr>
          <w:p>
            <w:pPr>
              <w:spacing w:after="0"/>
              <w:rPr>
                <w:sz w:val="15"/>
                <w:szCs w:val="15"/>
                <w:color w:val="auto"/>
              </w:rPr>
            </w:pPr>
          </w:p>
        </w:tc>
        <w:tc>
          <w:tcPr>
            <w:tcW w:w="2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ratio)</w:t>
            </w:r>
          </w:p>
        </w:tc>
        <w:tc>
          <w:tcPr>
            <w:tcW w:w="6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140" w:type="dxa"/>
            <w:vAlign w:val="bottom"/>
            <w:tcBorders>
              <w:right w:val="single" w:sz="8" w:color="auto"/>
            </w:tcBorders>
          </w:tcPr>
          <w:p>
            <w:pPr>
              <w:spacing w:after="0"/>
              <w:rPr>
                <w:sz w:val="24"/>
                <w:szCs w:val="24"/>
                <w:color w:val="auto"/>
              </w:rPr>
            </w:pPr>
          </w:p>
        </w:tc>
        <w:tc>
          <w:tcPr>
            <w:tcW w:w="2220" w:type="dxa"/>
            <w:vAlign w:val="bottom"/>
            <w:tcBorders>
              <w:right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40" w:type="dxa"/>
            <w:vAlign w:val="bottom"/>
            <w:gridSpan w:val="14"/>
          </w:tcPr>
          <w:p>
            <w:pPr>
              <w:jc w:val="center"/>
              <w:ind w:right="2580"/>
              <w:spacing w:after="0"/>
              <w:rPr>
                <w:sz w:val="20"/>
                <w:szCs w:val="20"/>
                <w:color w:val="auto"/>
              </w:rPr>
            </w:pPr>
            <w:r>
              <w:rPr>
                <w:rFonts w:ascii="Times New Roman" w:cs="Times New Roman" w:eastAsia="Times New Roman" w:hAnsi="Times New Roman"/>
                <w:sz w:val="14"/>
                <w:szCs w:val="14"/>
                <w:color w:val="auto"/>
                <w:w w:val="96"/>
              </w:rPr>
              <w:t>(Internal overdue loans + Refinanced loans)</w:t>
            </w:r>
          </w:p>
        </w:tc>
        <w:tc>
          <w:tcPr>
            <w:tcW w:w="0" w:type="dxa"/>
            <w:vAlign w:val="bottom"/>
          </w:tcPr>
          <w:p>
            <w:pPr>
              <w:spacing w:after="0"/>
              <w:rPr>
                <w:sz w:val="1"/>
                <w:szCs w:val="1"/>
                <w:color w:val="auto"/>
              </w:rPr>
            </w:pPr>
          </w:p>
        </w:tc>
      </w:tr>
      <w:tr>
        <w:trPr>
          <w:trHeight w:val="477"/>
        </w:trPr>
        <w:tc>
          <w:tcPr>
            <w:tcW w:w="1140" w:type="dxa"/>
            <w:vAlign w:val="bottom"/>
            <w:tcBorders>
              <w:right w:val="single" w:sz="8" w:color="auto"/>
            </w:tcBorders>
          </w:tcPr>
          <w:p>
            <w:pPr>
              <w:spacing w:after="0"/>
              <w:rPr>
                <w:sz w:val="24"/>
                <w:szCs w:val="24"/>
                <w:color w:val="auto"/>
              </w:rPr>
            </w:pPr>
          </w:p>
        </w:tc>
        <w:tc>
          <w:tcPr>
            <w:tcW w:w="2220" w:type="dxa"/>
            <w:vAlign w:val="bottom"/>
            <w:tcBorders>
              <w:right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gridSpan w:val="4"/>
          </w:tcPr>
          <w:p>
            <w:pPr>
              <w:jc w:val="center"/>
              <w:ind w:right="380"/>
              <w:spacing w:after="0"/>
              <w:rPr>
                <w:sz w:val="20"/>
                <w:szCs w:val="20"/>
                <w:color w:val="auto"/>
              </w:rPr>
            </w:pPr>
            <w:r>
              <w:rPr>
                <w:rFonts w:ascii="Times New Roman" w:cs="Times New Roman" w:eastAsia="Times New Roman" w:hAnsi="Times New Roman"/>
                <w:sz w:val="14"/>
                <w:szCs w:val="14"/>
                <w:color w:val="auto"/>
                <w:w w:val="95"/>
              </w:rPr>
              <w:t>Total Loans</w:t>
            </w:r>
          </w:p>
        </w:tc>
        <w:tc>
          <w:tcPr>
            <w:tcW w:w="27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62"/>
        </w:trPr>
        <w:tc>
          <w:tcPr>
            <w:tcW w:w="1140" w:type="dxa"/>
            <w:vAlign w:val="bottom"/>
            <w:tcBorders>
              <w:right w:val="single" w:sz="8" w:color="auto"/>
            </w:tcBorders>
          </w:tcPr>
          <w:p>
            <w:pPr>
              <w:spacing w:after="0"/>
              <w:rPr>
                <w:sz w:val="5"/>
                <w:szCs w:val="5"/>
                <w:color w:val="auto"/>
              </w:rPr>
            </w:pPr>
          </w:p>
        </w:tc>
        <w:tc>
          <w:tcPr>
            <w:tcW w:w="2220" w:type="dxa"/>
            <w:vAlign w:val="bottom"/>
            <w:tcBorders>
              <w:bottom w:val="single" w:sz="8" w:color="auto"/>
              <w:right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2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Coverage ratio of internal overdue</w:t>
            </w: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60" w:type="dxa"/>
            <w:vAlign w:val="bottom"/>
            <w:gridSpan w:val="11"/>
          </w:tcPr>
          <w:p>
            <w:pPr>
              <w:jc w:val="center"/>
              <w:ind w:right="3000"/>
              <w:spacing w:after="0"/>
              <w:rPr>
                <w:sz w:val="20"/>
                <w:szCs w:val="20"/>
                <w:color w:val="auto"/>
              </w:rPr>
            </w:pPr>
            <w:r>
              <w:rPr>
                <w:rFonts w:ascii="Times New Roman" w:cs="Times New Roman" w:eastAsia="Times New Roman" w:hAnsi="Times New Roman"/>
                <w:sz w:val="14"/>
                <w:szCs w:val="14"/>
                <w:color w:val="auto"/>
                <w:w w:val="96"/>
              </w:rPr>
              <w:t>Allowance for loans losses</w:t>
            </w:r>
          </w:p>
        </w:tc>
        <w:tc>
          <w:tcPr>
            <w:tcW w:w="0" w:type="dxa"/>
            <w:vAlign w:val="bottom"/>
          </w:tcPr>
          <w:p>
            <w:pPr>
              <w:spacing w:after="0"/>
              <w:rPr>
                <w:sz w:val="1"/>
                <w:szCs w:val="1"/>
                <w:color w:val="auto"/>
              </w:rPr>
            </w:pPr>
          </w:p>
        </w:tc>
      </w:tr>
      <w:tr>
        <w:trPr>
          <w:trHeight w:val="167"/>
        </w:trPr>
        <w:tc>
          <w:tcPr>
            <w:tcW w:w="1140" w:type="dxa"/>
            <w:vAlign w:val="bottom"/>
            <w:tcBorders>
              <w:right w:val="single" w:sz="8" w:color="auto"/>
            </w:tcBorders>
          </w:tcPr>
          <w:p>
            <w:pPr>
              <w:spacing w:after="0"/>
              <w:rPr>
                <w:sz w:val="14"/>
                <w:szCs w:val="14"/>
                <w:color w:val="auto"/>
              </w:rPr>
            </w:pPr>
          </w:p>
        </w:tc>
        <w:tc>
          <w:tcPr>
            <w:tcW w:w="2220" w:type="dxa"/>
            <w:vAlign w:val="bottom"/>
            <w:tcBorders>
              <w:right w:val="single" w:sz="8" w:color="auto"/>
            </w:tcBorders>
          </w:tcPr>
          <w:p>
            <w:pPr>
              <w:ind w:left="20"/>
              <w:spacing w:after="0" w:line="159" w:lineRule="exact"/>
              <w:rPr>
                <w:sz w:val="20"/>
                <w:szCs w:val="20"/>
                <w:color w:val="auto"/>
              </w:rPr>
            </w:pPr>
            <w:r>
              <w:rPr>
                <w:rFonts w:ascii="Times New Roman" w:cs="Times New Roman" w:eastAsia="Times New Roman" w:hAnsi="Times New Roman"/>
                <w:sz w:val="14"/>
                <w:szCs w:val="14"/>
                <w:b w:val="1"/>
                <w:bCs w:val="1"/>
                <w:color w:val="auto"/>
              </w:rPr>
              <w:t>loans</w:t>
            </w:r>
          </w:p>
        </w:tc>
        <w:tc>
          <w:tcPr>
            <w:tcW w:w="6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4"/>
                <w:szCs w:val="14"/>
                <w:color w:val="auto"/>
                <w:w w:val="97"/>
              </w:rPr>
              <w:t>Internal overdue loans</w:t>
            </w:r>
          </w:p>
        </w:tc>
        <w:tc>
          <w:tcPr>
            <w:tcW w:w="1280" w:type="dxa"/>
            <w:vAlign w:val="bottom"/>
            <w:gridSpan w:val="5"/>
          </w:tcPr>
          <w:p>
            <w:pPr>
              <w:spacing w:after="0"/>
              <w:rPr>
                <w:sz w:val="14"/>
                <w:szCs w:val="14"/>
                <w:color w:val="auto"/>
              </w:rPr>
            </w:pPr>
          </w:p>
        </w:tc>
        <w:tc>
          <w:tcPr>
            <w:tcW w:w="17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140" w:type="dxa"/>
            <w:vAlign w:val="bottom"/>
            <w:tcBorders>
              <w:right w:val="single" w:sz="8" w:color="auto"/>
            </w:tcBorders>
          </w:tcPr>
          <w:p>
            <w:pPr>
              <w:spacing w:after="0"/>
              <w:rPr>
                <w:sz w:val="3"/>
                <w:szCs w:val="3"/>
                <w:color w:val="auto"/>
              </w:rPr>
            </w:pPr>
          </w:p>
        </w:tc>
        <w:tc>
          <w:tcPr>
            <w:tcW w:w="2220" w:type="dxa"/>
            <w:vAlign w:val="bottom"/>
            <w:tcBorders>
              <w:bottom w:val="single" w:sz="8" w:color="auto"/>
              <w:right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971"/>
        </w:trPr>
        <w:tc>
          <w:tcPr>
            <w:tcW w:w="1140" w:type="dxa"/>
            <w:vAlign w:val="bottom"/>
            <w:tcBorders>
              <w:right w:val="single" w:sz="8" w:color="auto"/>
            </w:tcBorders>
          </w:tcPr>
          <w:p>
            <w:pPr>
              <w:spacing w:after="0"/>
              <w:rPr>
                <w:sz w:val="24"/>
                <w:szCs w:val="24"/>
                <w:color w:val="auto"/>
              </w:rPr>
            </w:pPr>
          </w:p>
        </w:tc>
        <w:tc>
          <w:tcPr>
            <w:tcW w:w="2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Coverage ratio of non - performing</w:t>
            </w: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1140" w:type="dxa"/>
            <w:vAlign w:val="bottom"/>
            <w:tcBorders>
              <w:right w:val="single" w:sz="8" w:color="auto"/>
            </w:tcBorders>
          </w:tcPr>
          <w:p>
            <w:pPr>
              <w:spacing w:after="0"/>
              <w:rPr>
                <w:sz w:val="15"/>
                <w:szCs w:val="15"/>
                <w:color w:val="auto"/>
              </w:rPr>
            </w:pPr>
          </w:p>
        </w:tc>
        <w:tc>
          <w:tcPr>
            <w:tcW w:w="2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6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140" w:type="dxa"/>
            <w:vAlign w:val="bottom"/>
            <w:tcBorders>
              <w:right w:val="single" w:sz="8" w:color="auto"/>
            </w:tcBorders>
          </w:tcPr>
          <w:p>
            <w:pPr>
              <w:spacing w:after="0"/>
              <w:rPr>
                <w:sz w:val="24"/>
                <w:szCs w:val="24"/>
                <w:color w:val="auto"/>
              </w:rPr>
            </w:pPr>
          </w:p>
        </w:tc>
        <w:tc>
          <w:tcPr>
            <w:tcW w:w="2220" w:type="dxa"/>
            <w:vAlign w:val="bottom"/>
            <w:tcBorders>
              <w:right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w w:val="96"/>
              </w:rPr>
              <w:t>Allowance for loans losses</w:t>
            </w:r>
          </w:p>
        </w:tc>
        <w:tc>
          <w:tcPr>
            <w:tcW w:w="318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477"/>
        </w:trPr>
        <w:tc>
          <w:tcPr>
            <w:tcW w:w="1140" w:type="dxa"/>
            <w:vAlign w:val="bottom"/>
            <w:tcBorders>
              <w:right w:val="single" w:sz="8" w:color="auto"/>
            </w:tcBorders>
          </w:tcPr>
          <w:p>
            <w:pPr>
              <w:spacing w:after="0"/>
              <w:rPr>
                <w:sz w:val="24"/>
                <w:szCs w:val="24"/>
                <w:color w:val="auto"/>
              </w:rPr>
            </w:pPr>
          </w:p>
        </w:tc>
        <w:tc>
          <w:tcPr>
            <w:tcW w:w="2220" w:type="dxa"/>
            <w:vAlign w:val="bottom"/>
            <w:tcBorders>
              <w:right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60" w:type="dxa"/>
            <w:vAlign w:val="bottom"/>
            <w:gridSpan w:val="11"/>
          </w:tcPr>
          <w:p>
            <w:pPr>
              <w:jc w:val="center"/>
              <w:ind w:right="2980"/>
              <w:spacing w:after="0"/>
              <w:rPr>
                <w:sz w:val="20"/>
                <w:szCs w:val="20"/>
                <w:color w:val="auto"/>
              </w:rPr>
            </w:pPr>
            <w:r>
              <w:rPr>
                <w:rFonts w:ascii="Times New Roman" w:cs="Times New Roman" w:eastAsia="Times New Roman" w:hAnsi="Times New Roman"/>
                <w:sz w:val="14"/>
                <w:szCs w:val="14"/>
                <w:color w:val="auto"/>
                <w:w w:val="96"/>
              </w:rPr>
              <w:t>Non — performing loans</w:t>
            </w:r>
          </w:p>
        </w:tc>
        <w:tc>
          <w:tcPr>
            <w:tcW w:w="0" w:type="dxa"/>
            <w:vAlign w:val="bottom"/>
          </w:tcPr>
          <w:p>
            <w:pPr>
              <w:spacing w:after="0"/>
              <w:rPr>
                <w:sz w:val="1"/>
                <w:szCs w:val="1"/>
                <w:color w:val="auto"/>
              </w:rPr>
            </w:pPr>
          </w:p>
        </w:tc>
      </w:tr>
      <w:tr>
        <w:trPr>
          <w:trHeight w:val="62"/>
        </w:trPr>
        <w:tc>
          <w:tcPr>
            <w:tcW w:w="1140" w:type="dxa"/>
            <w:vAlign w:val="bottom"/>
            <w:tcBorders>
              <w:right w:val="single" w:sz="8" w:color="auto"/>
            </w:tcBorders>
          </w:tcPr>
          <w:p>
            <w:pPr>
              <w:spacing w:after="0"/>
              <w:rPr>
                <w:sz w:val="5"/>
                <w:szCs w:val="5"/>
                <w:color w:val="auto"/>
              </w:rPr>
            </w:pPr>
          </w:p>
        </w:tc>
        <w:tc>
          <w:tcPr>
            <w:tcW w:w="2220" w:type="dxa"/>
            <w:vAlign w:val="bottom"/>
            <w:tcBorders>
              <w:bottom w:val="single" w:sz="8" w:color="auto"/>
              <w:right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2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Cost of risk</w:t>
            </w: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740" w:type="dxa"/>
            <w:vAlign w:val="bottom"/>
            <w:gridSpan w:val="17"/>
          </w:tcPr>
          <w:p>
            <w:pPr>
              <w:jc w:val="center"/>
              <w:ind w:right="1720"/>
              <w:spacing w:after="0"/>
              <w:rPr>
                <w:sz w:val="20"/>
                <w:szCs w:val="20"/>
                <w:color w:val="auto"/>
              </w:rPr>
            </w:pPr>
            <w:r>
              <w:rPr>
                <w:rFonts w:ascii="Times New Roman" w:cs="Times New Roman" w:eastAsia="Times New Roman" w:hAnsi="Times New Roman"/>
                <w:sz w:val="14"/>
                <w:szCs w:val="14"/>
                <w:color w:val="auto"/>
                <w:w w:val="96"/>
              </w:rPr>
              <w:t>Annualized provision for credit losses on loans portfolio, net of recoveries</w:t>
            </w:r>
          </w:p>
        </w:tc>
        <w:tc>
          <w:tcPr>
            <w:tcW w:w="0" w:type="dxa"/>
            <w:vAlign w:val="bottom"/>
          </w:tcPr>
          <w:p>
            <w:pPr>
              <w:spacing w:after="0"/>
              <w:rPr>
                <w:sz w:val="1"/>
                <w:szCs w:val="1"/>
                <w:color w:val="auto"/>
              </w:rPr>
            </w:pPr>
          </w:p>
        </w:tc>
      </w:tr>
      <w:tr>
        <w:trPr>
          <w:trHeight w:val="104"/>
        </w:trPr>
        <w:tc>
          <w:tcPr>
            <w:tcW w:w="1140" w:type="dxa"/>
            <w:vAlign w:val="bottom"/>
            <w:tcBorders>
              <w:right w:val="single" w:sz="8" w:color="auto"/>
            </w:tcBorders>
          </w:tcPr>
          <w:p>
            <w:pPr>
              <w:spacing w:after="0"/>
              <w:rPr>
                <w:sz w:val="9"/>
                <w:szCs w:val="9"/>
                <w:color w:val="auto"/>
              </w:rPr>
            </w:pPr>
          </w:p>
        </w:tc>
        <w:tc>
          <w:tcPr>
            <w:tcW w:w="2220" w:type="dxa"/>
            <w:vAlign w:val="bottom"/>
            <w:tcBorders>
              <w:right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16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900" w:orient="portrait"/>
          <w:cols w:equalWidth="0" w:num="1">
            <w:col w:w="11220"/>
          </w:cols>
          <w:pgMar w:left="320" w:top="695" w:right="359" w:bottom="0" w:gutter="0" w:footer="0" w:header="0"/>
        </w:sectPr>
      </w:pPr>
    </w:p>
    <w:bookmarkStart w:id="68" w:name="page69"/>
    <w:bookmarkEnd w:id="68"/>
    <w:p>
      <w:pPr>
        <w:spacing w:after="0" w:line="1" w:lineRule="exact"/>
        <w:rPr>
          <w:sz w:val="20"/>
          <w:szCs w:val="20"/>
          <w:color w:val="auto"/>
        </w:rPr>
      </w:pPr>
    </w:p>
    <w:tbl>
      <w:tblPr>
        <w:tblLayout w:type="fixed"/>
        <w:tblInd w:w="228" w:type="dxa"/>
        <w:tblCellMar>
          <w:top w:w="0" w:type="dxa"/>
          <w:left w:w="0" w:type="dxa"/>
          <w:bottom w:w="0" w:type="dxa"/>
          <w:right w:w="0" w:type="dxa"/>
        </w:tblCellMar>
      </w:tblPr>
      <w:tr>
        <w:trPr>
          <w:trHeight w:val="208"/>
        </w:trPr>
        <w:tc>
          <w:tcPr>
            <w:tcW w:w="1140" w:type="dxa"/>
            <w:vAlign w:val="bottom"/>
            <w:tcBorders>
              <w:left w:val="single" w:sz="8" w:color="auto"/>
              <w:bottom w:val="single" w:sz="8" w:color="auto"/>
              <w:right w:val="single" w:sz="8" w:color="auto"/>
            </w:tcBorders>
          </w:tcPr>
          <w:p>
            <w:pPr>
              <w:spacing w:after="0"/>
              <w:rPr>
                <w:sz w:val="18"/>
                <w:szCs w:val="18"/>
                <w:color w:val="auto"/>
              </w:rPr>
            </w:pPr>
          </w:p>
        </w:tc>
        <w:tc>
          <w:tcPr>
            <w:tcW w:w="222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400" w:type="dxa"/>
            <w:vAlign w:val="bottom"/>
            <w:tcBorders>
              <w:bottom w:val="single" w:sz="8" w:color="auto"/>
              <w:right w:val="single" w:sz="8" w:color="auto"/>
            </w:tcBorders>
            <w:gridSpan w:val="8"/>
          </w:tcPr>
          <w:p>
            <w:pPr>
              <w:jc w:val="center"/>
              <w:ind w:right="2040"/>
              <w:spacing w:after="0"/>
              <w:rPr>
                <w:sz w:val="20"/>
                <w:szCs w:val="20"/>
                <w:color w:val="auto"/>
              </w:rPr>
            </w:pPr>
            <w:r>
              <w:rPr>
                <w:rFonts w:ascii="Times New Roman" w:cs="Times New Roman" w:eastAsia="Times New Roman" w:hAnsi="Times New Roman"/>
                <w:sz w:val="14"/>
                <w:szCs w:val="14"/>
                <w:color w:val="auto"/>
                <w:w w:val="94"/>
              </w:rPr>
              <w:t>Average Total Loans</w:t>
            </w:r>
          </w:p>
        </w:tc>
        <w:tc>
          <w:tcPr>
            <w:tcW w:w="0" w:type="dxa"/>
            <w:vAlign w:val="bottom"/>
          </w:tcPr>
          <w:p>
            <w:pPr>
              <w:spacing w:after="0"/>
              <w:rPr>
                <w:sz w:val="1"/>
                <w:szCs w:val="1"/>
                <w:color w:val="auto"/>
              </w:rPr>
            </w:pPr>
          </w:p>
        </w:tc>
      </w:tr>
      <w:tr>
        <w:trPr>
          <w:trHeight w:val="195"/>
        </w:trPr>
        <w:tc>
          <w:tcPr>
            <w:tcW w:w="1140" w:type="dxa"/>
            <w:vAlign w:val="bottom"/>
            <w:tcBorders>
              <w:left w:val="single" w:sz="8" w:color="auto"/>
              <w:right w:val="single" w:sz="8" w:color="auto"/>
            </w:tcBorders>
          </w:tcPr>
          <w:p>
            <w:pPr>
              <w:spacing w:after="0"/>
              <w:rPr>
                <w:sz w:val="16"/>
                <w:szCs w:val="16"/>
                <w:color w:val="auto"/>
              </w:rPr>
            </w:pPr>
          </w:p>
        </w:tc>
        <w:tc>
          <w:tcPr>
            <w:tcW w:w="22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840" w:type="dxa"/>
            <w:vAlign w:val="bottom"/>
          </w:tcPr>
          <w:p>
            <w:pPr>
              <w:spacing w:after="0"/>
              <w:rPr>
                <w:sz w:val="16"/>
                <w:szCs w:val="16"/>
                <w:color w:val="auto"/>
              </w:rPr>
            </w:pPr>
          </w:p>
        </w:tc>
        <w:tc>
          <w:tcPr>
            <w:tcW w:w="6600" w:type="dxa"/>
            <w:vAlign w:val="bottom"/>
            <w:tcBorders>
              <w:right w:val="single" w:sz="8" w:color="auto"/>
            </w:tcBorders>
            <w:gridSpan w:val="10"/>
          </w:tcPr>
          <w:p>
            <w:pPr>
              <w:jc w:val="center"/>
              <w:ind w:right="860"/>
              <w:spacing w:after="0"/>
              <w:rPr>
                <w:sz w:val="20"/>
                <w:szCs w:val="20"/>
                <w:color w:val="auto"/>
              </w:rPr>
            </w:pPr>
            <w:r>
              <w:rPr>
                <w:rFonts w:ascii="Times New Roman" w:cs="Times New Roman" w:eastAsia="Times New Roman" w:hAnsi="Times New Roman"/>
                <w:sz w:val="14"/>
                <w:szCs w:val="14"/>
                <w:color w:val="auto"/>
                <w:w w:val="96"/>
              </w:rPr>
              <w:t>Salaries and employees benefits + Administrtive expenses + Depreciation and amortization</w:t>
            </w:r>
          </w:p>
        </w:tc>
        <w:tc>
          <w:tcPr>
            <w:tcW w:w="0" w:type="dxa"/>
            <w:vAlign w:val="bottom"/>
          </w:tcPr>
          <w:p>
            <w:pPr>
              <w:spacing w:after="0"/>
              <w:rPr>
                <w:sz w:val="1"/>
                <w:szCs w:val="1"/>
                <w:color w:val="auto"/>
              </w:rPr>
            </w:pPr>
          </w:p>
        </w:tc>
      </w:tr>
      <w:tr>
        <w:trPr>
          <w:trHeight w:val="98"/>
        </w:trPr>
        <w:tc>
          <w:tcPr>
            <w:tcW w:w="1140" w:type="dxa"/>
            <w:vAlign w:val="bottom"/>
            <w:tcBorders>
              <w:left w:val="single" w:sz="8" w:color="auto"/>
              <w:right w:val="single" w:sz="8" w:color="auto"/>
            </w:tcBorders>
          </w:tcPr>
          <w:p>
            <w:pPr>
              <w:spacing w:after="0"/>
              <w:rPr>
                <w:sz w:val="8"/>
                <w:szCs w:val="8"/>
                <w:color w:val="auto"/>
              </w:rPr>
            </w:pPr>
          </w:p>
        </w:tc>
        <w:tc>
          <w:tcPr>
            <w:tcW w:w="2220" w:type="dxa"/>
            <w:vAlign w:val="bottom"/>
            <w:tcBorders>
              <w:right w:val="single" w:sz="8" w:color="auto"/>
            </w:tcBorders>
            <w:vMerge w:val="continue"/>
          </w:tcPr>
          <w:p>
            <w:pPr>
              <w:spacing w:after="0"/>
              <w:rPr>
                <w:sz w:val="8"/>
                <w:szCs w:val="8"/>
                <w:color w:val="auto"/>
              </w:rPr>
            </w:pPr>
          </w:p>
        </w:tc>
        <w:tc>
          <w:tcPr>
            <w:tcW w:w="8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0" w:type="dxa"/>
            <w:vAlign w:val="bottom"/>
            <w:tcBorders>
              <w:right w:val="single" w:sz="8" w:color="auto"/>
            </w:tcBorders>
            <w:gridSpan w:val="8"/>
            <w:vMerge w:val="restart"/>
          </w:tcPr>
          <w:p>
            <w:pPr>
              <w:jc w:val="center"/>
              <w:ind w:right="2060"/>
              <w:spacing w:after="0"/>
              <w:rPr>
                <w:sz w:val="20"/>
                <w:szCs w:val="20"/>
                <w:color w:val="auto"/>
              </w:rPr>
            </w:pPr>
            <w:r>
              <w:rPr>
                <w:rFonts w:ascii="Times New Roman" w:cs="Times New Roman" w:eastAsia="Times New Roman" w:hAnsi="Times New Roman"/>
                <w:sz w:val="14"/>
                <w:szCs w:val="14"/>
                <w:color w:val="auto"/>
                <w:w w:val="96"/>
              </w:rPr>
              <w:t>+ Association in participation + Acquisition cost</w:t>
            </w:r>
          </w:p>
        </w:tc>
        <w:tc>
          <w:tcPr>
            <w:tcW w:w="0" w:type="dxa"/>
            <w:vAlign w:val="bottom"/>
          </w:tcPr>
          <w:p>
            <w:pPr>
              <w:spacing w:after="0"/>
              <w:rPr>
                <w:sz w:val="1"/>
                <w:szCs w:val="1"/>
                <w:color w:val="auto"/>
              </w:rPr>
            </w:pPr>
          </w:p>
        </w:tc>
      </w:tr>
      <w:tr>
        <w:trPr>
          <w:trHeight w:val="76"/>
        </w:trPr>
        <w:tc>
          <w:tcPr>
            <w:tcW w:w="1140" w:type="dxa"/>
            <w:vAlign w:val="bottom"/>
            <w:tcBorders>
              <w:left w:val="single" w:sz="8" w:color="auto"/>
              <w:right w:val="single" w:sz="8" w:color="auto"/>
            </w:tcBorders>
          </w:tcPr>
          <w:p>
            <w:pPr>
              <w:spacing w:after="0"/>
              <w:rPr>
                <w:sz w:val="6"/>
                <w:szCs w:val="6"/>
                <w:color w:val="auto"/>
              </w:rPr>
            </w:pPr>
          </w:p>
        </w:tc>
        <w:tc>
          <w:tcPr>
            <w:tcW w:w="2220" w:type="dxa"/>
            <w:vAlign w:val="bottom"/>
            <w:tcBorders>
              <w:right w:val="single" w:sz="8" w:color="auto"/>
            </w:tcBorders>
          </w:tcPr>
          <w:p>
            <w:pPr>
              <w:spacing w:after="0"/>
              <w:rPr>
                <w:sz w:val="6"/>
                <w:szCs w:val="6"/>
                <w:color w:val="auto"/>
              </w:rPr>
            </w:pPr>
          </w:p>
        </w:tc>
        <w:tc>
          <w:tcPr>
            <w:tcW w:w="8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00" w:type="dxa"/>
            <w:vAlign w:val="bottom"/>
          </w:tcPr>
          <w:p>
            <w:pPr>
              <w:spacing w:after="0"/>
              <w:rPr>
                <w:sz w:val="6"/>
                <w:szCs w:val="6"/>
                <w:color w:val="auto"/>
              </w:rPr>
            </w:pPr>
          </w:p>
        </w:tc>
        <w:tc>
          <w:tcPr>
            <w:tcW w:w="5400" w:type="dxa"/>
            <w:vAlign w:val="bottom"/>
            <w:tcBorders>
              <w:right w:val="single" w:sz="8" w:color="auto"/>
            </w:tcBorders>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1140" w:type="dxa"/>
            <w:vAlign w:val="bottom"/>
            <w:tcBorders>
              <w:left w:val="single" w:sz="8" w:color="auto"/>
              <w:right w:val="single" w:sz="8" w:color="auto"/>
            </w:tcBorders>
          </w:tcPr>
          <w:p>
            <w:pPr>
              <w:spacing w:after="0"/>
              <w:rPr>
                <w:sz w:val="5"/>
                <w:szCs w:val="5"/>
                <w:color w:val="auto"/>
              </w:rPr>
            </w:pPr>
          </w:p>
        </w:tc>
        <w:tc>
          <w:tcPr>
            <w:tcW w:w="222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220" w:type="dxa"/>
            <w:vAlign w:val="bottom"/>
            <w:tcBorders>
              <w:bottom w:val="single" w:sz="8" w:color="auto"/>
            </w:tcBorders>
            <w:gridSpan w:val="3"/>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000" w:type="dxa"/>
            <w:vAlign w:val="bottom"/>
            <w:tcBorders>
              <w:bottom w:val="single" w:sz="8" w:color="auto"/>
            </w:tcBorders>
            <w:gridSpan w:val="3"/>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1140" w:type="dxa"/>
            <w:vAlign w:val="bottom"/>
            <w:tcBorders>
              <w:left w:val="single" w:sz="8" w:color="auto"/>
              <w:right w:val="single" w:sz="8" w:color="auto"/>
            </w:tcBorders>
          </w:tcPr>
          <w:p>
            <w:pPr>
              <w:spacing w:after="0"/>
              <w:rPr>
                <w:sz w:val="16"/>
                <w:szCs w:val="16"/>
                <w:color w:val="auto"/>
              </w:rPr>
            </w:pPr>
          </w:p>
        </w:tc>
        <w:tc>
          <w:tcPr>
            <w:tcW w:w="22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Income</w:t>
            </w:r>
          </w:p>
        </w:tc>
        <w:tc>
          <w:tcPr>
            <w:tcW w:w="840" w:type="dxa"/>
            <w:vAlign w:val="bottom"/>
          </w:tcPr>
          <w:p>
            <w:pPr>
              <w:spacing w:after="0"/>
              <w:rPr>
                <w:sz w:val="16"/>
                <w:szCs w:val="16"/>
                <w:color w:val="auto"/>
              </w:rPr>
            </w:pPr>
          </w:p>
        </w:tc>
        <w:tc>
          <w:tcPr>
            <w:tcW w:w="6600" w:type="dxa"/>
            <w:vAlign w:val="bottom"/>
            <w:tcBorders>
              <w:right w:val="single" w:sz="8" w:color="auto"/>
            </w:tcBorders>
            <w:gridSpan w:val="10"/>
          </w:tcPr>
          <w:p>
            <w:pPr>
              <w:ind w:left="120"/>
              <w:spacing w:after="0"/>
              <w:rPr>
                <w:sz w:val="20"/>
                <w:szCs w:val="20"/>
                <w:color w:val="auto"/>
              </w:rPr>
            </w:pPr>
            <w:r>
              <w:rPr>
                <w:rFonts w:ascii="Times New Roman" w:cs="Times New Roman" w:eastAsia="Times New Roman" w:hAnsi="Times New Roman"/>
                <w:sz w:val="14"/>
                <w:szCs w:val="14"/>
                <w:color w:val="auto"/>
              </w:rPr>
              <w:t>Net interest, similar income, and expenses + Fee income + Net gain on foreign exchange transactions</w:t>
            </w:r>
          </w:p>
        </w:tc>
        <w:tc>
          <w:tcPr>
            <w:tcW w:w="0" w:type="dxa"/>
            <w:vAlign w:val="bottom"/>
          </w:tcPr>
          <w:p>
            <w:pPr>
              <w:spacing w:after="0"/>
              <w:rPr>
                <w:sz w:val="1"/>
                <w:szCs w:val="1"/>
                <w:color w:val="auto"/>
              </w:rPr>
            </w:pPr>
          </w:p>
        </w:tc>
      </w:tr>
      <w:tr>
        <w:trPr>
          <w:trHeight w:val="98"/>
        </w:trPr>
        <w:tc>
          <w:tcPr>
            <w:tcW w:w="1140" w:type="dxa"/>
            <w:vAlign w:val="bottom"/>
            <w:tcBorders>
              <w:left w:val="single" w:sz="8" w:color="auto"/>
              <w:right w:val="single" w:sz="8" w:color="auto"/>
            </w:tcBorders>
          </w:tcPr>
          <w:p>
            <w:pPr>
              <w:spacing w:after="0"/>
              <w:rPr>
                <w:sz w:val="8"/>
                <w:szCs w:val="8"/>
                <w:color w:val="auto"/>
              </w:rPr>
            </w:pPr>
          </w:p>
        </w:tc>
        <w:tc>
          <w:tcPr>
            <w:tcW w:w="2220" w:type="dxa"/>
            <w:vAlign w:val="bottom"/>
            <w:tcBorders>
              <w:right w:val="single" w:sz="8" w:color="auto"/>
            </w:tcBorders>
            <w:vMerge w:val="continue"/>
          </w:tcPr>
          <w:p>
            <w:pPr>
              <w:spacing w:after="0"/>
              <w:rPr>
                <w:sz w:val="8"/>
                <w:szCs w:val="8"/>
                <w:color w:val="auto"/>
              </w:rPr>
            </w:pPr>
          </w:p>
        </w:tc>
        <w:tc>
          <w:tcPr>
            <w:tcW w:w="840" w:type="dxa"/>
            <w:vAlign w:val="bottom"/>
          </w:tcPr>
          <w:p>
            <w:pPr>
              <w:spacing w:after="0"/>
              <w:rPr>
                <w:sz w:val="8"/>
                <w:szCs w:val="8"/>
                <w:color w:val="auto"/>
              </w:rPr>
            </w:pPr>
          </w:p>
        </w:tc>
        <w:tc>
          <w:tcPr>
            <w:tcW w:w="6600" w:type="dxa"/>
            <w:vAlign w:val="bottom"/>
            <w:tcBorders>
              <w:right w:val="single" w:sz="8" w:color="auto"/>
            </w:tcBorders>
            <w:gridSpan w:val="10"/>
            <w:vMerge w:val="restart"/>
          </w:tcPr>
          <w:p>
            <w:pPr>
              <w:jc w:val="center"/>
              <w:ind w:right="860"/>
              <w:spacing w:after="0"/>
              <w:rPr>
                <w:sz w:val="20"/>
                <w:szCs w:val="20"/>
                <w:color w:val="auto"/>
              </w:rPr>
            </w:pPr>
            <w:r>
              <w:rPr>
                <w:rFonts w:ascii="Times New Roman" w:cs="Times New Roman" w:eastAsia="Times New Roman" w:hAnsi="Times New Roman"/>
                <w:sz w:val="14"/>
                <w:szCs w:val="14"/>
                <w:color w:val="auto"/>
                <w:w w:val="96"/>
              </w:rPr>
              <w:t>+ Net gain from associates + Net gain on derivatives held for trading + Net gain from echange differences</w:t>
            </w:r>
          </w:p>
        </w:tc>
        <w:tc>
          <w:tcPr>
            <w:tcW w:w="0" w:type="dxa"/>
            <w:vAlign w:val="bottom"/>
          </w:tcPr>
          <w:p>
            <w:pPr>
              <w:spacing w:after="0"/>
              <w:rPr>
                <w:sz w:val="1"/>
                <w:szCs w:val="1"/>
                <w:color w:val="auto"/>
              </w:rPr>
            </w:pPr>
          </w:p>
        </w:tc>
      </w:tr>
      <w:tr>
        <w:trPr>
          <w:trHeight w:val="76"/>
        </w:trPr>
        <w:tc>
          <w:tcPr>
            <w:tcW w:w="1140" w:type="dxa"/>
            <w:vAlign w:val="bottom"/>
            <w:tcBorders>
              <w:left w:val="single" w:sz="8" w:color="auto"/>
              <w:right w:val="single" w:sz="8" w:color="auto"/>
            </w:tcBorders>
          </w:tcPr>
          <w:p>
            <w:pPr>
              <w:spacing w:after="0"/>
              <w:rPr>
                <w:sz w:val="6"/>
                <w:szCs w:val="6"/>
                <w:color w:val="auto"/>
              </w:rPr>
            </w:pPr>
          </w:p>
        </w:tc>
        <w:tc>
          <w:tcPr>
            <w:tcW w:w="2220" w:type="dxa"/>
            <w:vAlign w:val="bottom"/>
            <w:tcBorders>
              <w:right w:val="single" w:sz="8" w:color="auto"/>
            </w:tcBorders>
          </w:tcPr>
          <w:p>
            <w:pPr>
              <w:spacing w:after="0"/>
              <w:rPr>
                <w:sz w:val="6"/>
                <w:szCs w:val="6"/>
                <w:color w:val="auto"/>
              </w:rPr>
            </w:pPr>
          </w:p>
        </w:tc>
        <w:tc>
          <w:tcPr>
            <w:tcW w:w="840" w:type="dxa"/>
            <w:vAlign w:val="bottom"/>
          </w:tcPr>
          <w:p>
            <w:pPr>
              <w:spacing w:after="0"/>
              <w:rPr>
                <w:sz w:val="6"/>
                <w:szCs w:val="6"/>
                <w:color w:val="auto"/>
              </w:rPr>
            </w:pPr>
          </w:p>
        </w:tc>
        <w:tc>
          <w:tcPr>
            <w:tcW w:w="6600" w:type="dxa"/>
            <w:vAlign w:val="bottom"/>
            <w:tcBorders>
              <w:right w:val="single" w:sz="8" w:color="auto"/>
            </w:tcBorders>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1140" w:type="dxa"/>
            <w:vAlign w:val="bottom"/>
            <w:tcBorders>
              <w:left w:val="single" w:sz="8" w:color="auto"/>
              <w:right w:val="single" w:sz="8" w:color="auto"/>
            </w:tcBorders>
          </w:tcPr>
          <w:p>
            <w:pPr>
              <w:spacing w:after="0"/>
              <w:rPr>
                <w:sz w:val="5"/>
                <w:szCs w:val="5"/>
                <w:color w:val="auto"/>
              </w:rPr>
            </w:pPr>
          </w:p>
        </w:tc>
        <w:tc>
          <w:tcPr>
            <w:tcW w:w="222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220" w:type="dxa"/>
            <w:vAlign w:val="bottom"/>
            <w:tcBorders>
              <w:bottom w:val="single" w:sz="8" w:color="auto"/>
            </w:tcBorders>
            <w:gridSpan w:val="3"/>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000" w:type="dxa"/>
            <w:vAlign w:val="bottom"/>
            <w:tcBorders>
              <w:bottom w:val="single" w:sz="8" w:color="auto"/>
            </w:tcBorders>
            <w:gridSpan w:val="3"/>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1140" w:type="dxa"/>
            <w:vAlign w:val="bottom"/>
            <w:tcBorders>
              <w:left w:val="single" w:sz="8" w:color="auto"/>
              <w:right w:val="single" w:sz="8" w:color="auto"/>
            </w:tcBorders>
          </w:tcPr>
          <w:p>
            <w:pPr>
              <w:spacing w:after="0"/>
              <w:rPr>
                <w:sz w:val="15"/>
                <w:szCs w:val="15"/>
                <w:color w:val="auto"/>
              </w:rPr>
            </w:pPr>
          </w:p>
        </w:tc>
        <w:tc>
          <w:tcPr>
            <w:tcW w:w="2220" w:type="dxa"/>
            <w:vAlign w:val="bottom"/>
            <w:tcBorders>
              <w:righ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6600" w:type="dxa"/>
            <w:vAlign w:val="bottom"/>
            <w:tcBorders>
              <w:right w:val="single" w:sz="8" w:color="auto"/>
            </w:tcBorders>
            <w:gridSpan w:val="10"/>
          </w:tcPr>
          <w:p>
            <w:pPr>
              <w:jc w:val="center"/>
              <w:ind w:right="880"/>
              <w:spacing w:after="0"/>
              <w:rPr>
                <w:sz w:val="20"/>
                <w:szCs w:val="20"/>
                <w:color w:val="auto"/>
              </w:rPr>
            </w:pPr>
            <w:r>
              <w:rPr>
                <w:rFonts w:ascii="Times New Roman" w:cs="Times New Roman" w:eastAsia="Times New Roman" w:hAnsi="Times New Roman"/>
                <w:sz w:val="12"/>
                <w:szCs w:val="12"/>
                <w:color w:val="auto"/>
                <w:w w:val="98"/>
              </w:rPr>
              <w:t>Salaries and employee benefits + Administrative expenses + Depreciation and amortization</w:t>
            </w:r>
          </w:p>
        </w:tc>
        <w:tc>
          <w:tcPr>
            <w:tcW w:w="0" w:type="dxa"/>
            <w:vAlign w:val="bottom"/>
          </w:tcPr>
          <w:p>
            <w:pPr>
              <w:spacing w:after="0"/>
              <w:rPr>
                <w:sz w:val="1"/>
                <w:szCs w:val="1"/>
                <w:color w:val="auto"/>
              </w:rPr>
            </w:pPr>
          </w:p>
        </w:tc>
      </w:tr>
      <w:tr>
        <w:trPr>
          <w:trHeight w:val="154"/>
        </w:trPr>
        <w:tc>
          <w:tcPr>
            <w:tcW w:w="1140" w:type="dxa"/>
            <w:vAlign w:val="bottom"/>
            <w:tcBorders>
              <w:left w:val="single" w:sz="8" w:color="auto"/>
              <w:right w:val="single" w:sz="8" w:color="auto"/>
            </w:tcBorders>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400" w:type="dxa"/>
            <w:vAlign w:val="bottom"/>
            <w:tcBorders>
              <w:right w:val="single" w:sz="8" w:color="auto"/>
            </w:tcBorders>
            <w:gridSpan w:val="8"/>
          </w:tcPr>
          <w:p>
            <w:pPr>
              <w:jc w:val="center"/>
              <w:ind w:right="2040"/>
              <w:spacing w:after="0"/>
              <w:rPr>
                <w:sz w:val="20"/>
                <w:szCs w:val="20"/>
                <w:color w:val="auto"/>
              </w:rPr>
            </w:pPr>
            <w:r>
              <w:rPr>
                <w:rFonts w:ascii="Times New Roman" w:cs="Times New Roman" w:eastAsia="Times New Roman" w:hAnsi="Times New Roman"/>
                <w:sz w:val="12"/>
                <w:szCs w:val="12"/>
                <w:color w:val="auto"/>
                <w:w w:val="98"/>
              </w:rPr>
              <w:t>+ Association in participation</w:t>
            </w:r>
          </w:p>
        </w:tc>
        <w:tc>
          <w:tcPr>
            <w:tcW w:w="0" w:type="dxa"/>
            <w:vAlign w:val="bottom"/>
          </w:tcPr>
          <w:p>
            <w:pPr>
              <w:spacing w:after="0"/>
              <w:rPr>
                <w:sz w:val="1"/>
                <w:szCs w:val="1"/>
                <w:color w:val="auto"/>
              </w:rPr>
            </w:pPr>
          </w:p>
        </w:tc>
      </w:tr>
      <w:tr>
        <w:trPr>
          <w:trHeight w:val="40"/>
        </w:trPr>
        <w:tc>
          <w:tcPr>
            <w:tcW w:w="1140" w:type="dxa"/>
            <w:vAlign w:val="bottom"/>
            <w:tcBorders>
              <w:left w:val="single" w:sz="8" w:color="auto"/>
              <w:right w:val="single" w:sz="8" w:color="auto"/>
            </w:tcBorders>
          </w:tcPr>
          <w:p>
            <w:pPr>
              <w:spacing w:after="0"/>
              <w:rPr>
                <w:sz w:val="3"/>
                <w:szCs w:val="3"/>
                <w:color w:val="auto"/>
              </w:rPr>
            </w:pPr>
          </w:p>
        </w:tc>
        <w:tc>
          <w:tcPr>
            <w:tcW w:w="22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Efficiency ratio</w:t>
            </w:r>
          </w:p>
        </w:tc>
        <w:tc>
          <w:tcPr>
            <w:tcW w:w="8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1140" w:type="dxa"/>
            <w:vAlign w:val="bottom"/>
            <w:tcBorders>
              <w:left w:val="single" w:sz="8" w:color="auto"/>
              <w:right w:val="single" w:sz="8" w:color="auto"/>
            </w:tcBorders>
          </w:tcPr>
          <w:p>
            <w:pPr>
              <w:spacing w:after="0"/>
              <w:rPr>
                <w:sz w:val="17"/>
                <w:szCs w:val="17"/>
                <w:color w:val="auto"/>
              </w:rPr>
            </w:pPr>
          </w:p>
        </w:tc>
        <w:tc>
          <w:tcPr>
            <w:tcW w:w="2220" w:type="dxa"/>
            <w:vAlign w:val="bottom"/>
            <w:tcBorders>
              <w:right w:val="single" w:sz="8" w:color="auto"/>
            </w:tcBorders>
            <w:vMerge w:val="continue"/>
          </w:tcPr>
          <w:p>
            <w:pPr>
              <w:spacing w:after="0"/>
              <w:rPr>
                <w:sz w:val="17"/>
                <w:szCs w:val="17"/>
                <w:color w:val="auto"/>
              </w:rPr>
            </w:pPr>
          </w:p>
        </w:tc>
        <w:tc>
          <w:tcPr>
            <w:tcW w:w="8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900" w:type="dxa"/>
            <w:vAlign w:val="bottom"/>
            <w:tcBorders>
              <w:right w:val="single" w:sz="8" w:color="auto"/>
            </w:tcBorders>
            <w:gridSpan w:val="9"/>
            <w:vMerge w:val="restart"/>
          </w:tcPr>
          <w:p>
            <w:pPr>
              <w:jc w:val="center"/>
              <w:ind w:right="1580"/>
              <w:spacing w:after="0"/>
              <w:rPr>
                <w:sz w:val="20"/>
                <w:szCs w:val="20"/>
                <w:color w:val="auto"/>
              </w:rPr>
            </w:pPr>
            <w:r>
              <w:rPr>
                <w:rFonts w:ascii="Times New Roman" w:cs="Times New Roman" w:eastAsia="Times New Roman" w:hAnsi="Times New Roman"/>
                <w:sz w:val="12"/>
                <w:szCs w:val="12"/>
                <w:color w:val="auto"/>
                <w:w w:val="99"/>
              </w:rPr>
              <w:t>Net interest, similar income and expenses + Fee Income + Net gain on foreign</w:t>
            </w:r>
          </w:p>
        </w:tc>
        <w:tc>
          <w:tcPr>
            <w:tcW w:w="0" w:type="dxa"/>
            <w:vAlign w:val="bottom"/>
          </w:tcPr>
          <w:p>
            <w:pPr>
              <w:spacing w:after="0"/>
              <w:rPr>
                <w:sz w:val="1"/>
                <w:szCs w:val="1"/>
                <w:color w:val="auto"/>
              </w:rPr>
            </w:pPr>
          </w:p>
        </w:tc>
      </w:tr>
      <w:tr>
        <w:trPr>
          <w:trHeight w:val="84"/>
        </w:trPr>
        <w:tc>
          <w:tcPr>
            <w:tcW w:w="1140" w:type="dxa"/>
            <w:vAlign w:val="bottom"/>
            <w:tcBorders>
              <w:left w:val="single" w:sz="8" w:color="auto"/>
              <w:right w:val="single" w:sz="8" w:color="auto"/>
            </w:tcBorders>
          </w:tcPr>
          <w:p>
            <w:pPr>
              <w:spacing w:after="0"/>
              <w:rPr>
                <w:sz w:val="7"/>
                <w:szCs w:val="7"/>
                <w:color w:val="auto"/>
              </w:rPr>
            </w:pPr>
          </w:p>
        </w:tc>
        <w:tc>
          <w:tcPr>
            <w:tcW w:w="2220" w:type="dxa"/>
            <w:vAlign w:val="bottom"/>
            <w:tcBorders>
              <w:right w:val="single" w:sz="8" w:color="auto"/>
            </w:tcBorders>
          </w:tcPr>
          <w:p>
            <w:pPr>
              <w:spacing w:after="0"/>
              <w:rPr>
                <w:sz w:val="7"/>
                <w:szCs w:val="7"/>
                <w:color w:val="auto"/>
              </w:rPr>
            </w:pPr>
          </w:p>
        </w:tc>
        <w:tc>
          <w:tcPr>
            <w:tcW w:w="8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900" w:type="dxa"/>
            <w:vAlign w:val="bottom"/>
            <w:tcBorders>
              <w:right w:val="single" w:sz="8" w:color="auto"/>
            </w:tcBorders>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1140" w:type="dxa"/>
            <w:vAlign w:val="bottom"/>
            <w:tcBorders>
              <w:left w:val="single" w:sz="8" w:color="auto"/>
              <w:right w:val="single" w:sz="8" w:color="auto"/>
            </w:tcBorders>
          </w:tcPr>
          <w:p>
            <w:pPr>
              <w:spacing w:after="0"/>
              <w:rPr>
                <w:sz w:val="11"/>
                <w:szCs w:val="11"/>
                <w:color w:val="auto"/>
              </w:rPr>
            </w:pPr>
          </w:p>
        </w:tc>
        <w:tc>
          <w:tcPr>
            <w:tcW w:w="2220" w:type="dxa"/>
            <w:vAlign w:val="bottom"/>
            <w:tcBorders>
              <w:right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900" w:type="dxa"/>
            <w:vAlign w:val="bottom"/>
            <w:tcBorders>
              <w:right w:val="single" w:sz="8" w:color="auto"/>
            </w:tcBorders>
            <w:gridSpan w:val="9"/>
          </w:tcPr>
          <w:p>
            <w:pPr>
              <w:jc w:val="center"/>
              <w:ind w:right="1580"/>
              <w:spacing w:after="0" w:line="127" w:lineRule="exact"/>
              <w:rPr>
                <w:sz w:val="20"/>
                <w:szCs w:val="20"/>
                <w:color w:val="auto"/>
              </w:rPr>
            </w:pPr>
            <w:r>
              <w:rPr>
                <w:rFonts w:ascii="Times New Roman" w:cs="Times New Roman" w:eastAsia="Times New Roman" w:hAnsi="Times New Roman"/>
                <w:sz w:val="12"/>
                <w:szCs w:val="12"/>
                <w:color w:val="auto"/>
                <w:w w:val="98"/>
              </w:rPr>
              <w:t>exchange transactions + Net gain from associates+Net gain on derivatives held for trading</w:t>
            </w:r>
          </w:p>
        </w:tc>
        <w:tc>
          <w:tcPr>
            <w:tcW w:w="0" w:type="dxa"/>
            <w:vAlign w:val="bottom"/>
          </w:tcPr>
          <w:p>
            <w:pPr>
              <w:spacing w:after="0"/>
              <w:rPr>
                <w:sz w:val="1"/>
                <w:szCs w:val="1"/>
                <w:color w:val="auto"/>
              </w:rPr>
            </w:pPr>
          </w:p>
        </w:tc>
      </w:tr>
      <w:tr>
        <w:trPr>
          <w:trHeight w:val="154"/>
        </w:trPr>
        <w:tc>
          <w:tcPr>
            <w:tcW w:w="1140" w:type="dxa"/>
            <w:vAlign w:val="bottom"/>
            <w:tcBorders>
              <w:left w:val="single" w:sz="8" w:color="auto"/>
              <w:right w:val="single" w:sz="8" w:color="auto"/>
            </w:tcBorders>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400" w:type="dxa"/>
            <w:vAlign w:val="bottom"/>
            <w:tcBorders>
              <w:right w:val="single" w:sz="8" w:color="auto"/>
            </w:tcBorders>
            <w:gridSpan w:val="8"/>
          </w:tcPr>
          <w:p>
            <w:pPr>
              <w:jc w:val="center"/>
              <w:ind w:right="2060"/>
              <w:spacing w:after="0"/>
              <w:rPr>
                <w:sz w:val="20"/>
                <w:szCs w:val="20"/>
                <w:color w:val="auto"/>
              </w:rPr>
            </w:pPr>
            <w:r>
              <w:rPr>
                <w:rFonts w:ascii="Times New Roman" w:cs="Times New Roman" w:eastAsia="Times New Roman" w:hAnsi="Times New Roman"/>
                <w:sz w:val="12"/>
                <w:szCs w:val="12"/>
                <w:color w:val="auto"/>
                <w:w w:val="98"/>
              </w:rPr>
              <w:t>+ Result on exchange differences+Insurance Underwriting Result</w:t>
            </w:r>
          </w:p>
        </w:tc>
        <w:tc>
          <w:tcPr>
            <w:tcW w:w="0" w:type="dxa"/>
            <w:vAlign w:val="bottom"/>
          </w:tcPr>
          <w:p>
            <w:pPr>
              <w:spacing w:after="0"/>
              <w:rPr>
                <w:sz w:val="1"/>
                <w:szCs w:val="1"/>
                <w:color w:val="auto"/>
              </w:rPr>
            </w:pPr>
          </w:p>
        </w:tc>
      </w:tr>
      <w:tr>
        <w:trPr>
          <w:trHeight w:val="66"/>
        </w:trPr>
        <w:tc>
          <w:tcPr>
            <w:tcW w:w="1140" w:type="dxa"/>
            <w:vAlign w:val="bottom"/>
            <w:tcBorders>
              <w:left w:val="single" w:sz="8" w:color="auto"/>
              <w:bottom w:val="single" w:sz="8" w:color="auto"/>
              <w:right w:val="single" w:sz="8" w:color="auto"/>
            </w:tcBorders>
          </w:tcPr>
          <w:p>
            <w:pPr>
              <w:spacing w:after="0"/>
              <w:rPr>
                <w:sz w:val="5"/>
                <w:szCs w:val="5"/>
                <w:color w:val="auto"/>
              </w:rPr>
            </w:pPr>
          </w:p>
        </w:tc>
        <w:tc>
          <w:tcPr>
            <w:tcW w:w="222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220" w:type="dxa"/>
            <w:vAlign w:val="bottom"/>
            <w:tcBorders>
              <w:bottom w:val="single" w:sz="8" w:color="auto"/>
            </w:tcBorders>
            <w:gridSpan w:val="3"/>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000" w:type="dxa"/>
            <w:vAlign w:val="bottom"/>
            <w:tcBorders>
              <w:bottom w:val="single" w:sz="8" w:color="auto"/>
            </w:tcBorders>
            <w:gridSpan w:val="3"/>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1140" w:type="dxa"/>
            <w:vAlign w:val="bottom"/>
            <w:tcBorders>
              <w:left w:val="single" w:sz="8" w:color="auto"/>
              <w:right w:val="single" w:sz="8" w:color="auto"/>
            </w:tcBorders>
          </w:tcPr>
          <w:p>
            <w:pPr>
              <w:spacing w:after="0"/>
              <w:rPr>
                <w:sz w:val="15"/>
                <w:szCs w:val="15"/>
                <w:color w:val="auto"/>
              </w:rPr>
            </w:pPr>
          </w:p>
        </w:tc>
        <w:tc>
          <w:tcPr>
            <w:tcW w:w="22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Liquidity Coverage ratio</w:t>
            </w:r>
          </w:p>
        </w:tc>
        <w:tc>
          <w:tcPr>
            <w:tcW w:w="8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36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2"/>
                <w:szCs w:val="12"/>
                <w:color w:val="auto"/>
                <w:w w:val="99"/>
              </w:rPr>
              <w:t xml:space="preserve">Total High Quality Liquid Assets + Min( Total Inflow </w:t>
            </w:r>
            <w:r>
              <w:rPr>
                <w:rFonts w:ascii="Times New Roman" w:cs="Times New Roman" w:eastAsia="Times New Roman" w:hAnsi="Times New Roman"/>
                <w:sz w:val="9"/>
                <w:szCs w:val="9"/>
                <w:color w:val="auto"/>
                <w:w w:val="99"/>
              </w:rPr>
              <w:t>30 days</w:t>
            </w:r>
            <w:r>
              <w:rPr>
                <w:rFonts w:ascii="Times New Roman" w:cs="Times New Roman" w:eastAsia="Times New Roman" w:hAnsi="Times New Roman"/>
                <w:sz w:val="12"/>
                <w:szCs w:val="12"/>
                <w:color w:val="auto"/>
                <w:w w:val="99"/>
              </w:rPr>
              <w:t xml:space="preserve"> ; 75% * Total Outflow </w:t>
            </w:r>
            <w:r>
              <w:rPr>
                <w:rFonts w:ascii="Times New Roman" w:cs="Times New Roman" w:eastAsia="Times New Roman" w:hAnsi="Times New Roman"/>
                <w:sz w:val="9"/>
                <w:szCs w:val="9"/>
                <w:color w:val="auto"/>
                <w:w w:val="99"/>
              </w:rPr>
              <w:t>30 days</w:t>
            </w:r>
            <w:r>
              <w:rPr>
                <w:rFonts w:ascii="Times New Roman" w:cs="Times New Roman" w:eastAsia="Times New Roman" w:hAnsi="Times New Roman"/>
                <w:sz w:val="12"/>
                <w:szCs w:val="12"/>
                <w:color w:val="auto"/>
                <w:w w:val="99"/>
              </w:rPr>
              <w:t>)</w:t>
            </w:r>
          </w:p>
        </w:tc>
        <w:tc>
          <w:tcPr>
            <w:tcW w:w="1540" w:type="dxa"/>
            <w:vAlign w:val="bottom"/>
            <w:tcBorders>
              <w:right w:val="single" w:sz="8" w:color="auto"/>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71"/>
        </w:trPr>
        <w:tc>
          <w:tcPr>
            <w:tcW w:w="1140" w:type="dxa"/>
            <w:vAlign w:val="bottom"/>
            <w:tcBorders>
              <w:left w:val="single" w:sz="8" w:color="auto"/>
              <w:right w:val="single" w:sz="8" w:color="auto"/>
            </w:tcBorders>
          </w:tcPr>
          <w:p>
            <w:pPr>
              <w:spacing w:after="0"/>
              <w:rPr>
                <w:sz w:val="6"/>
                <w:szCs w:val="6"/>
                <w:color w:val="auto"/>
              </w:rPr>
            </w:pPr>
          </w:p>
        </w:tc>
        <w:tc>
          <w:tcPr>
            <w:tcW w:w="2220" w:type="dxa"/>
            <w:vAlign w:val="bottom"/>
            <w:tcBorders>
              <w:right w:val="single" w:sz="8" w:color="auto"/>
            </w:tcBorders>
            <w:vMerge w:val="continue"/>
          </w:tcPr>
          <w:p>
            <w:pPr>
              <w:spacing w:after="0"/>
              <w:rPr>
                <w:sz w:val="6"/>
                <w:szCs w:val="6"/>
                <w:color w:val="auto"/>
              </w:rPr>
            </w:pPr>
          </w:p>
        </w:tc>
        <w:tc>
          <w:tcPr>
            <w:tcW w:w="8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80" w:type="dxa"/>
            <w:vAlign w:val="bottom"/>
            <w:tcBorders>
              <w:right w:val="single" w:sz="8" w:color="auto"/>
            </w:tcBorders>
            <w:gridSpan w:val="7"/>
            <w:vMerge w:val="restart"/>
          </w:tcPr>
          <w:p>
            <w:pPr>
              <w:jc w:val="center"/>
              <w:ind w:right="3160"/>
              <w:spacing w:after="0"/>
              <w:rPr>
                <w:sz w:val="20"/>
                <w:szCs w:val="20"/>
                <w:color w:val="auto"/>
              </w:rPr>
            </w:pPr>
            <w:r>
              <w:rPr>
                <w:rFonts w:ascii="Times New Roman" w:cs="Times New Roman" w:eastAsia="Times New Roman" w:hAnsi="Times New Roman"/>
                <w:sz w:val="12"/>
                <w:szCs w:val="12"/>
                <w:color w:val="auto"/>
              </w:rPr>
              <w:t xml:space="preserve">Total Outflow </w:t>
            </w:r>
            <w:r>
              <w:rPr>
                <w:rFonts w:ascii="Times New Roman" w:cs="Times New Roman" w:eastAsia="Times New Roman" w:hAnsi="Times New Roman"/>
                <w:sz w:val="9"/>
                <w:szCs w:val="9"/>
                <w:color w:val="auto"/>
              </w:rPr>
              <w:t>30 days</w:t>
            </w:r>
          </w:p>
        </w:tc>
        <w:tc>
          <w:tcPr>
            <w:tcW w:w="0" w:type="dxa"/>
            <w:vAlign w:val="bottom"/>
          </w:tcPr>
          <w:p>
            <w:pPr>
              <w:spacing w:after="0"/>
              <w:rPr>
                <w:sz w:val="1"/>
                <w:szCs w:val="1"/>
                <w:color w:val="auto"/>
              </w:rPr>
            </w:pPr>
          </w:p>
        </w:tc>
      </w:tr>
      <w:tr>
        <w:trPr>
          <w:trHeight w:val="75"/>
        </w:trPr>
        <w:tc>
          <w:tcPr>
            <w:tcW w:w="1140" w:type="dxa"/>
            <w:vAlign w:val="bottom"/>
            <w:tcBorders>
              <w:left w:val="single" w:sz="8" w:color="auto"/>
              <w:right w:val="single" w:sz="8" w:color="auto"/>
            </w:tcBorders>
          </w:tcPr>
          <w:p>
            <w:pPr>
              <w:spacing w:after="0"/>
              <w:rPr>
                <w:sz w:val="6"/>
                <w:szCs w:val="6"/>
                <w:color w:val="auto"/>
              </w:rPr>
            </w:pPr>
          </w:p>
        </w:tc>
        <w:tc>
          <w:tcPr>
            <w:tcW w:w="2220" w:type="dxa"/>
            <w:vAlign w:val="bottom"/>
            <w:tcBorders>
              <w:right w:val="single" w:sz="8" w:color="auto"/>
            </w:tcBorders>
          </w:tcPr>
          <w:p>
            <w:pPr>
              <w:spacing w:after="0"/>
              <w:rPr>
                <w:sz w:val="6"/>
                <w:szCs w:val="6"/>
                <w:color w:val="auto"/>
              </w:rPr>
            </w:pPr>
          </w:p>
        </w:tc>
        <w:tc>
          <w:tcPr>
            <w:tcW w:w="8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80" w:type="dxa"/>
            <w:vAlign w:val="bottom"/>
            <w:tcBorders>
              <w:right w:val="single" w:sz="8" w:color="auto"/>
            </w:tcBorders>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0"/>
        </w:trPr>
        <w:tc>
          <w:tcPr>
            <w:tcW w:w="1140" w:type="dxa"/>
            <w:vAlign w:val="bottom"/>
            <w:tcBorders>
              <w:left w:val="single" w:sz="8" w:color="auto"/>
              <w:right w:val="single" w:sz="8" w:color="auto"/>
            </w:tcBorders>
          </w:tcPr>
          <w:p>
            <w:pPr>
              <w:spacing w:after="0"/>
              <w:rPr>
                <w:sz w:val="4"/>
                <w:szCs w:val="4"/>
                <w:color w:val="auto"/>
              </w:rPr>
            </w:pPr>
          </w:p>
        </w:tc>
        <w:tc>
          <w:tcPr>
            <w:tcW w:w="2220" w:type="dxa"/>
            <w:vAlign w:val="bottom"/>
            <w:tcBorders>
              <w:bottom w:val="single" w:sz="8" w:color="auto"/>
              <w:right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00" w:type="dxa"/>
            <w:vAlign w:val="bottom"/>
            <w:tcBorders>
              <w:bottom w:val="single" w:sz="8" w:color="auto"/>
            </w:tcBorders>
            <w:gridSpan w:val="3"/>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1140" w:type="dxa"/>
            <w:vAlign w:val="bottom"/>
            <w:tcBorders>
              <w:left w:val="single" w:sz="8" w:color="auto"/>
              <w:right w:val="single" w:sz="8" w:color="auto"/>
            </w:tcBorders>
          </w:tcPr>
          <w:p>
            <w:pPr>
              <w:spacing w:after="0"/>
              <w:rPr>
                <w:sz w:val="17"/>
                <w:szCs w:val="17"/>
                <w:color w:val="auto"/>
              </w:rPr>
            </w:pPr>
          </w:p>
        </w:tc>
        <w:tc>
          <w:tcPr>
            <w:tcW w:w="2220" w:type="dxa"/>
            <w:vAlign w:val="bottom"/>
            <w:tcBorders>
              <w:right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280" w:type="dxa"/>
            <w:vAlign w:val="bottom"/>
            <w:tcBorders>
              <w:right w:val="single" w:sz="8" w:color="auto"/>
            </w:tcBorders>
            <w:gridSpan w:val="7"/>
          </w:tcPr>
          <w:p>
            <w:pPr>
              <w:jc w:val="center"/>
              <w:ind w:right="3180"/>
              <w:spacing w:after="0"/>
              <w:rPr>
                <w:sz w:val="20"/>
                <w:szCs w:val="20"/>
                <w:color w:val="auto"/>
              </w:rPr>
            </w:pPr>
            <w:r>
              <w:rPr>
                <w:rFonts w:ascii="Times New Roman" w:cs="Times New Roman" w:eastAsia="Times New Roman" w:hAnsi="Times New Roman"/>
                <w:sz w:val="12"/>
                <w:szCs w:val="12"/>
                <w:color w:val="auto"/>
                <w:w w:val="98"/>
              </w:rPr>
              <w:t>Regulatory Capital</w:t>
            </w:r>
          </w:p>
        </w:tc>
        <w:tc>
          <w:tcPr>
            <w:tcW w:w="0" w:type="dxa"/>
            <w:vAlign w:val="bottom"/>
          </w:tcPr>
          <w:p>
            <w:pPr>
              <w:spacing w:after="0"/>
              <w:rPr>
                <w:sz w:val="1"/>
                <w:szCs w:val="1"/>
                <w:color w:val="auto"/>
              </w:rPr>
            </w:pPr>
          </w:p>
        </w:tc>
      </w:tr>
      <w:tr>
        <w:trPr>
          <w:trHeight w:val="40"/>
        </w:trPr>
        <w:tc>
          <w:tcPr>
            <w:tcW w:w="1140" w:type="dxa"/>
            <w:vAlign w:val="bottom"/>
            <w:tcBorders>
              <w:left w:val="single" w:sz="8" w:color="auto"/>
              <w:right w:val="single" w:sz="8" w:color="auto"/>
            </w:tcBorders>
          </w:tcPr>
          <w:p>
            <w:pPr>
              <w:spacing w:after="0"/>
              <w:rPr>
                <w:sz w:val="3"/>
                <w:szCs w:val="3"/>
                <w:color w:val="auto"/>
              </w:rPr>
            </w:pPr>
          </w:p>
        </w:tc>
        <w:tc>
          <w:tcPr>
            <w:tcW w:w="22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Regulatory Capital ratio</w:t>
            </w:r>
          </w:p>
        </w:tc>
        <w:tc>
          <w:tcPr>
            <w:tcW w:w="8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4"/>
        </w:trPr>
        <w:tc>
          <w:tcPr>
            <w:tcW w:w="1140" w:type="dxa"/>
            <w:vAlign w:val="bottom"/>
            <w:tcBorders>
              <w:left w:val="single" w:sz="8" w:color="auto"/>
              <w:right w:val="single" w:sz="8" w:color="auto"/>
            </w:tcBorders>
          </w:tcPr>
          <w:p>
            <w:pPr>
              <w:spacing w:after="0"/>
              <w:rPr>
                <w:sz w:val="11"/>
                <w:szCs w:val="11"/>
                <w:color w:val="auto"/>
              </w:rPr>
            </w:pPr>
          </w:p>
        </w:tc>
        <w:tc>
          <w:tcPr>
            <w:tcW w:w="2220" w:type="dxa"/>
            <w:vAlign w:val="bottom"/>
            <w:tcBorders>
              <w:right w:val="single" w:sz="8" w:color="auto"/>
            </w:tcBorders>
            <w:vMerge w:val="continue"/>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0" w:type="dxa"/>
            <w:vAlign w:val="bottom"/>
            <w:tcBorders>
              <w:right w:val="single" w:sz="8" w:color="auto"/>
            </w:tcBorders>
            <w:gridSpan w:val="8"/>
            <w:vMerge w:val="restart"/>
          </w:tcPr>
          <w:p>
            <w:pPr>
              <w:jc w:val="center"/>
              <w:ind w:right="2060"/>
              <w:spacing w:after="0"/>
              <w:rPr>
                <w:sz w:val="20"/>
                <w:szCs w:val="20"/>
                <w:color w:val="auto"/>
              </w:rPr>
            </w:pPr>
            <w:r>
              <w:rPr>
                <w:rFonts w:ascii="Times New Roman" w:cs="Times New Roman" w:eastAsia="Times New Roman" w:hAnsi="Times New Roman"/>
                <w:sz w:val="12"/>
                <w:szCs w:val="12"/>
                <w:color w:val="auto"/>
                <w:w w:val="99"/>
              </w:rPr>
              <w:t>Risk — weighted assets</w:t>
            </w:r>
          </w:p>
        </w:tc>
        <w:tc>
          <w:tcPr>
            <w:tcW w:w="0" w:type="dxa"/>
            <w:vAlign w:val="bottom"/>
          </w:tcPr>
          <w:p>
            <w:pPr>
              <w:spacing w:after="0"/>
              <w:rPr>
                <w:sz w:val="1"/>
                <w:szCs w:val="1"/>
                <w:color w:val="auto"/>
              </w:rPr>
            </w:pPr>
          </w:p>
        </w:tc>
      </w:tr>
      <w:tr>
        <w:trPr>
          <w:trHeight w:val="174"/>
        </w:trPr>
        <w:tc>
          <w:tcPr>
            <w:tcW w:w="1140" w:type="dxa"/>
            <w:vAlign w:val="bottom"/>
            <w:tcBorders>
              <w:left w:val="single" w:sz="8" w:color="auto"/>
              <w:right w:val="single" w:sz="8" w:color="auto"/>
            </w:tcBorders>
          </w:tcPr>
          <w:p>
            <w:pPr>
              <w:spacing w:after="0"/>
              <w:rPr>
                <w:sz w:val="15"/>
                <w:szCs w:val="15"/>
                <w:color w:val="auto"/>
              </w:rPr>
            </w:pPr>
          </w:p>
        </w:tc>
        <w:tc>
          <w:tcPr>
            <w:tcW w:w="2220" w:type="dxa"/>
            <w:vAlign w:val="bottom"/>
            <w:tcBorders>
              <w:righ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0" w:type="dxa"/>
            <w:vAlign w:val="bottom"/>
            <w:tcBorders>
              <w:right w:val="single" w:sz="8" w:color="auto"/>
            </w:tcBorders>
            <w:gridSpan w:val="8"/>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6"/>
        </w:trPr>
        <w:tc>
          <w:tcPr>
            <w:tcW w:w="1140" w:type="dxa"/>
            <w:vAlign w:val="bottom"/>
            <w:tcBorders>
              <w:left w:val="single" w:sz="8" w:color="auto"/>
              <w:right w:val="single" w:sz="8" w:color="auto"/>
            </w:tcBorders>
          </w:tcPr>
          <w:p>
            <w:pPr>
              <w:spacing w:after="0"/>
              <w:rPr>
                <w:sz w:val="5"/>
                <w:szCs w:val="5"/>
                <w:color w:val="auto"/>
              </w:rPr>
            </w:pPr>
          </w:p>
        </w:tc>
        <w:tc>
          <w:tcPr>
            <w:tcW w:w="222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000" w:type="dxa"/>
            <w:vAlign w:val="bottom"/>
            <w:tcBorders>
              <w:bottom w:val="single" w:sz="8" w:color="auto"/>
            </w:tcBorders>
            <w:gridSpan w:val="3"/>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1140" w:type="dxa"/>
            <w:vAlign w:val="bottom"/>
            <w:tcBorders>
              <w:left w:val="single" w:sz="8" w:color="auto"/>
              <w:right w:val="single" w:sz="8" w:color="auto"/>
            </w:tcBorders>
          </w:tcPr>
          <w:p>
            <w:pPr>
              <w:spacing w:after="0"/>
              <w:rPr>
                <w:sz w:val="19"/>
                <w:szCs w:val="19"/>
                <w:color w:val="auto"/>
              </w:rPr>
            </w:pPr>
          </w:p>
        </w:tc>
        <w:tc>
          <w:tcPr>
            <w:tcW w:w="2220" w:type="dxa"/>
            <w:vAlign w:val="bottom"/>
            <w:tcBorders>
              <w:right w:val="single" w:sz="8" w:color="auto"/>
            </w:tcBorders>
          </w:tcPr>
          <w:p>
            <w:pPr>
              <w:spacing w:after="0"/>
              <w:rPr>
                <w:sz w:val="19"/>
                <w:szCs w:val="19"/>
                <w:color w:val="auto"/>
              </w:rPr>
            </w:pPr>
          </w:p>
        </w:tc>
        <w:tc>
          <w:tcPr>
            <w:tcW w:w="8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80" w:type="dxa"/>
            <w:vAlign w:val="bottom"/>
            <w:tcBorders>
              <w:right w:val="single" w:sz="8" w:color="auto"/>
            </w:tcBorders>
            <w:gridSpan w:val="7"/>
          </w:tcPr>
          <w:p>
            <w:pPr>
              <w:jc w:val="center"/>
              <w:ind w:right="3160"/>
              <w:spacing w:after="0"/>
              <w:rPr>
                <w:sz w:val="20"/>
                <w:szCs w:val="20"/>
                <w:color w:val="auto"/>
              </w:rPr>
            </w:pPr>
            <w:r>
              <w:rPr>
                <w:rFonts w:ascii="Times New Roman" w:cs="Times New Roman" w:eastAsia="Times New Roman" w:hAnsi="Times New Roman"/>
                <w:sz w:val="12"/>
                <w:szCs w:val="12"/>
                <w:color w:val="auto"/>
                <w:w w:val="91"/>
              </w:rPr>
              <w:t>Tier 1</w:t>
            </w:r>
            <w:r>
              <w:rPr>
                <w:rFonts w:ascii="Times New Roman" w:cs="Times New Roman" w:eastAsia="Times New Roman" w:hAnsi="Times New Roman"/>
                <w:sz w:val="19"/>
                <w:szCs w:val="19"/>
                <w:color w:val="auto"/>
                <w:w w:val="91"/>
                <w:vertAlign w:val="superscript"/>
              </w:rPr>
              <w:t>(2)</w:t>
            </w:r>
          </w:p>
        </w:tc>
        <w:tc>
          <w:tcPr>
            <w:tcW w:w="0" w:type="dxa"/>
            <w:vAlign w:val="bottom"/>
          </w:tcPr>
          <w:p>
            <w:pPr>
              <w:spacing w:after="0"/>
              <w:rPr>
                <w:sz w:val="1"/>
                <w:szCs w:val="1"/>
                <w:color w:val="auto"/>
              </w:rPr>
            </w:pPr>
          </w:p>
        </w:tc>
      </w:tr>
      <w:tr>
        <w:trPr>
          <w:trHeight w:val="24"/>
        </w:trPr>
        <w:tc>
          <w:tcPr>
            <w:tcW w:w="1140" w:type="dxa"/>
            <w:vAlign w:val="bottom"/>
            <w:tcBorders>
              <w:left w:val="single" w:sz="8" w:color="auto"/>
              <w:right w:val="single" w:sz="8" w:color="auto"/>
            </w:tcBorders>
          </w:tcPr>
          <w:p>
            <w:pPr>
              <w:spacing w:after="0"/>
              <w:rPr>
                <w:sz w:val="2"/>
                <w:szCs w:val="2"/>
                <w:color w:val="auto"/>
              </w:rPr>
            </w:pPr>
          </w:p>
        </w:tc>
        <w:tc>
          <w:tcPr>
            <w:tcW w:w="22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Tier 1 ratio</w:t>
            </w:r>
          </w:p>
        </w:tc>
        <w:tc>
          <w:tcPr>
            <w:tcW w:w="8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4"/>
        </w:trPr>
        <w:tc>
          <w:tcPr>
            <w:tcW w:w="1140" w:type="dxa"/>
            <w:vAlign w:val="bottom"/>
            <w:tcBorders>
              <w:left w:val="single" w:sz="8" w:color="auto"/>
              <w:right w:val="single" w:sz="8" w:color="auto"/>
            </w:tcBorders>
          </w:tcPr>
          <w:p>
            <w:pPr>
              <w:spacing w:after="0"/>
              <w:rPr>
                <w:sz w:val="11"/>
                <w:szCs w:val="11"/>
                <w:color w:val="auto"/>
              </w:rPr>
            </w:pPr>
          </w:p>
        </w:tc>
        <w:tc>
          <w:tcPr>
            <w:tcW w:w="2220" w:type="dxa"/>
            <w:vAlign w:val="bottom"/>
            <w:tcBorders>
              <w:right w:val="single" w:sz="8" w:color="auto"/>
            </w:tcBorders>
            <w:vMerge w:val="continue"/>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0" w:type="dxa"/>
            <w:vAlign w:val="bottom"/>
            <w:tcBorders>
              <w:right w:val="single" w:sz="8" w:color="auto"/>
            </w:tcBorders>
            <w:gridSpan w:val="8"/>
            <w:vMerge w:val="restart"/>
          </w:tcPr>
          <w:p>
            <w:pPr>
              <w:jc w:val="center"/>
              <w:ind w:right="2060"/>
              <w:spacing w:after="0"/>
              <w:rPr>
                <w:sz w:val="20"/>
                <w:szCs w:val="20"/>
                <w:color w:val="auto"/>
              </w:rPr>
            </w:pPr>
            <w:r>
              <w:rPr>
                <w:rFonts w:ascii="Times New Roman" w:cs="Times New Roman" w:eastAsia="Times New Roman" w:hAnsi="Times New Roman"/>
                <w:sz w:val="12"/>
                <w:szCs w:val="12"/>
                <w:color w:val="auto"/>
                <w:w w:val="99"/>
              </w:rPr>
              <w:t>Risk — weighted assets</w:t>
            </w:r>
          </w:p>
        </w:tc>
        <w:tc>
          <w:tcPr>
            <w:tcW w:w="0" w:type="dxa"/>
            <w:vAlign w:val="bottom"/>
          </w:tcPr>
          <w:p>
            <w:pPr>
              <w:spacing w:after="0"/>
              <w:rPr>
                <w:sz w:val="1"/>
                <w:szCs w:val="1"/>
                <w:color w:val="auto"/>
              </w:rPr>
            </w:pPr>
          </w:p>
        </w:tc>
      </w:tr>
      <w:tr>
        <w:trPr>
          <w:trHeight w:val="174"/>
        </w:trPr>
        <w:tc>
          <w:tcPr>
            <w:tcW w:w="1140" w:type="dxa"/>
            <w:vAlign w:val="bottom"/>
            <w:tcBorders>
              <w:left w:val="single" w:sz="8" w:color="auto"/>
              <w:right w:val="single" w:sz="8" w:color="auto"/>
            </w:tcBorders>
          </w:tcPr>
          <w:p>
            <w:pPr>
              <w:spacing w:after="0"/>
              <w:rPr>
                <w:sz w:val="15"/>
                <w:szCs w:val="15"/>
                <w:color w:val="auto"/>
              </w:rPr>
            </w:pPr>
          </w:p>
        </w:tc>
        <w:tc>
          <w:tcPr>
            <w:tcW w:w="2220" w:type="dxa"/>
            <w:vAlign w:val="bottom"/>
            <w:tcBorders>
              <w:righ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0" w:type="dxa"/>
            <w:vAlign w:val="bottom"/>
            <w:tcBorders>
              <w:right w:val="single" w:sz="8" w:color="auto"/>
            </w:tcBorders>
            <w:gridSpan w:val="8"/>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6"/>
        </w:trPr>
        <w:tc>
          <w:tcPr>
            <w:tcW w:w="1140" w:type="dxa"/>
            <w:vAlign w:val="bottom"/>
            <w:tcBorders>
              <w:left w:val="single" w:sz="8" w:color="auto"/>
              <w:right w:val="single" w:sz="8" w:color="auto"/>
            </w:tcBorders>
          </w:tcPr>
          <w:p>
            <w:pPr>
              <w:spacing w:after="0"/>
              <w:rPr>
                <w:sz w:val="5"/>
                <w:szCs w:val="5"/>
                <w:color w:val="auto"/>
              </w:rPr>
            </w:pPr>
          </w:p>
        </w:tc>
        <w:tc>
          <w:tcPr>
            <w:tcW w:w="222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220" w:type="dxa"/>
            <w:vAlign w:val="bottom"/>
            <w:tcBorders>
              <w:bottom w:val="single" w:sz="8" w:color="auto"/>
            </w:tcBorders>
            <w:gridSpan w:val="3"/>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000" w:type="dxa"/>
            <w:vAlign w:val="bottom"/>
            <w:tcBorders>
              <w:bottom w:val="single" w:sz="8" w:color="auto"/>
            </w:tcBorders>
            <w:gridSpan w:val="3"/>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1140" w:type="dxa"/>
            <w:vAlign w:val="bottom"/>
            <w:tcBorders>
              <w:left w:val="single" w:sz="8" w:color="auto"/>
              <w:right w:val="single" w:sz="8" w:color="auto"/>
            </w:tcBorders>
          </w:tcPr>
          <w:p>
            <w:pPr>
              <w:spacing w:after="0"/>
              <w:rPr>
                <w:sz w:val="14"/>
                <w:szCs w:val="14"/>
                <w:color w:val="auto"/>
              </w:rPr>
            </w:pPr>
          </w:p>
        </w:tc>
        <w:tc>
          <w:tcPr>
            <w:tcW w:w="22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Common Equity Tier 1 ratio </w:t>
            </w:r>
            <w:r>
              <w:rPr>
                <w:rFonts w:ascii="Times New Roman" w:cs="Times New Roman" w:eastAsia="Times New Roman" w:hAnsi="Times New Roman"/>
                <w:sz w:val="22"/>
                <w:szCs w:val="22"/>
                <w:b w:val="1"/>
                <w:bCs w:val="1"/>
                <w:color w:val="auto"/>
                <w:vertAlign w:val="superscript"/>
              </w:rPr>
              <w:t>(3)</w:t>
            </w:r>
          </w:p>
        </w:tc>
        <w:tc>
          <w:tcPr>
            <w:tcW w:w="840" w:type="dxa"/>
            <w:vAlign w:val="bottom"/>
          </w:tcPr>
          <w:p>
            <w:pPr>
              <w:spacing w:after="0"/>
              <w:rPr>
                <w:sz w:val="14"/>
                <w:szCs w:val="14"/>
                <w:color w:val="auto"/>
              </w:rPr>
            </w:pPr>
          </w:p>
        </w:tc>
        <w:tc>
          <w:tcPr>
            <w:tcW w:w="2920" w:type="dxa"/>
            <w:vAlign w:val="bottom"/>
            <w:gridSpan w:val="4"/>
          </w:tcPr>
          <w:p>
            <w:pPr>
              <w:spacing w:after="0"/>
              <w:rPr>
                <w:sz w:val="20"/>
                <w:szCs w:val="20"/>
                <w:color w:val="auto"/>
              </w:rPr>
            </w:pPr>
            <w:r>
              <w:rPr>
                <w:rFonts w:ascii="Times New Roman" w:cs="Times New Roman" w:eastAsia="Times New Roman" w:hAnsi="Times New Roman"/>
                <w:sz w:val="14"/>
                <w:szCs w:val="14"/>
                <w:color w:val="auto"/>
                <w:w w:val="96"/>
              </w:rPr>
              <w:t>Capital + Reserves — 100% of applicable deductions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93"/>
              </w:rPr>
              <w:t>(4)</w:t>
            </w:r>
          </w:p>
        </w:tc>
        <w:tc>
          <w:tcPr>
            <w:tcW w:w="354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color w:val="auto"/>
              </w:rPr>
              <w:t>+ Retained Earnings + Unrealized gains or losses</w:t>
            </w:r>
          </w:p>
        </w:tc>
        <w:tc>
          <w:tcPr>
            <w:tcW w:w="0" w:type="dxa"/>
            <w:vAlign w:val="bottom"/>
          </w:tcPr>
          <w:p>
            <w:pPr>
              <w:spacing w:after="0"/>
              <w:rPr>
                <w:sz w:val="1"/>
                <w:szCs w:val="1"/>
                <w:color w:val="auto"/>
              </w:rPr>
            </w:pPr>
          </w:p>
        </w:tc>
      </w:tr>
      <w:tr>
        <w:trPr>
          <w:trHeight w:val="20"/>
        </w:trPr>
        <w:tc>
          <w:tcPr>
            <w:tcW w:w="1140" w:type="dxa"/>
            <w:vAlign w:val="bottom"/>
            <w:tcBorders>
              <w:left w:val="single" w:sz="8" w:color="auto"/>
              <w:right w:val="single" w:sz="8" w:color="auto"/>
            </w:tcBorders>
          </w:tcPr>
          <w:p>
            <w:pPr>
              <w:spacing w:after="0" w:line="20" w:lineRule="exact"/>
              <w:rPr>
                <w:sz w:val="1"/>
                <w:szCs w:val="1"/>
                <w:color w:val="auto"/>
              </w:rPr>
            </w:pPr>
          </w:p>
        </w:tc>
        <w:tc>
          <w:tcPr>
            <w:tcW w:w="2220" w:type="dxa"/>
            <w:vAlign w:val="bottom"/>
            <w:tcBorders>
              <w:right w:val="single" w:sz="8" w:color="auto"/>
            </w:tcBorders>
            <w:vMerge w:val="continu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1140" w:type="dxa"/>
            <w:vAlign w:val="bottom"/>
            <w:tcBorders>
              <w:left w:val="single" w:sz="8" w:color="auto"/>
              <w:right w:val="single" w:sz="8" w:color="auto"/>
            </w:tcBorders>
          </w:tcPr>
          <w:p>
            <w:pPr>
              <w:spacing w:after="0"/>
              <w:rPr>
                <w:sz w:val="8"/>
                <w:szCs w:val="8"/>
                <w:color w:val="auto"/>
              </w:rPr>
            </w:pPr>
          </w:p>
        </w:tc>
        <w:tc>
          <w:tcPr>
            <w:tcW w:w="2220" w:type="dxa"/>
            <w:vAlign w:val="bottom"/>
            <w:tcBorders>
              <w:right w:val="single" w:sz="8" w:color="auto"/>
            </w:tcBorders>
            <w:vMerge w:val="continue"/>
          </w:tcPr>
          <w:p>
            <w:pPr>
              <w:spacing w:after="0"/>
              <w:rPr>
                <w:sz w:val="8"/>
                <w:szCs w:val="8"/>
                <w:color w:val="auto"/>
              </w:rPr>
            </w:pPr>
          </w:p>
        </w:tc>
        <w:tc>
          <w:tcPr>
            <w:tcW w:w="8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0" w:type="dxa"/>
            <w:vAlign w:val="bottom"/>
            <w:tcBorders>
              <w:right w:val="single" w:sz="8" w:color="auto"/>
            </w:tcBorders>
            <w:gridSpan w:val="8"/>
            <w:vMerge w:val="restart"/>
          </w:tcPr>
          <w:p>
            <w:pPr>
              <w:jc w:val="center"/>
              <w:ind w:right="2060"/>
              <w:spacing w:after="0" w:line="153" w:lineRule="exact"/>
              <w:rPr>
                <w:sz w:val="20"/>
                <w:szCs w:val="20"/>
                <w:color w:val="auto"/>
              </w:rPr>
            </w:pPr>
            <w:r>
              <w:rPr>
                <w:rFonts w:ascii="Times New Roman" w:cs="Times New Roman" w:eastAsia="Times New Roman" w:hAnsi="Times New Roman"/>
                <w:sz w:val="14"/>
                <w:szCs w:val="14"/>
                <w:color w:val="auto"/>
                <w:w w:val="96"/>
              </w:rPr>
              <w:t>Risk — weighted assets</w:t>
            </w:r>
          </w:p>
        </w:tc>
        <w:tc>
          <w:tcPr>
            <w:tcW w:w="0" w:type="dxa"/>
            <w:vAlign w:val="bottom"/>
          </w:tcPr>
          <w:p>
            <w:pPr>
              <w:spacing w:after="0"/>
              <w:rPr>
                <w:sz w:val="1"/>
                <w:szCs w:val="1"/>
                <w:color w:val="auto"/>
              </w:rPr>
            </w:pPr>
          </w:p>
        </w:tc>
      </w:tr>
      <w:tr>
        <w:trPr>
          <w:trHeight w:val="60"/>
        </w:trPr>
        <w:tc>
          <w:tcPr>
            <w:tcW w:w="1140" w:type="dxa"/>
            <w:vAlign w:val="bottom"/>
            <w:tcBorders>
              <w:left w:val="single" w:sz="8" w:color="auto"/>
              <w:right w:val="single" w:sz="8" w:color="auto"/>
            </w:tcBorders>
          </w:tcPr>
          <w:p>
            <w:pPr>
              <w:spacing w:after="0"/>
              <w:rPr>
                <w:sz w:val="5"/>
                <w:szCs w:val="5"/>
                <w:color w:val="auto"/>
              </w:rPr>
            </w:pPr>
          </w:p>
        </w:tc>
        <w:tc>
          <w:tcPr>
            <w:tcW w:w="2220" w:type="dxa"/>
            <w:vAlign w:val="bottom"/>
            <w:tcBorders>
              <w:right w:val="single" w:sz="8" w:color="auto"/>
            </w:tcBorders>
          </w:tcPr>
          <w:p>
            <w:pPr>
              <w:spacing w:after="0"/>
              <w:rPr>
                <w:sz w:val="5"/>
                <w:szCs w:val="5"/>
                <w:color w:val="auto"/>
              </w:rPr>
            </w:pPr>
          </w:p>
        </w:tc>
        <w:tc>
          <w:tcPr>
            <w:tcW w:w="8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00" w:type="dxa"/>
            <w:vAlign w:val="bottom"/>
          </w:tcPr>
          <w:p>
            <w:pPr>
              <w:spacing w:after="0"/>
              <w:rPr>
                <w:sz w:val="5"/>
                <w:szCs w:val="5"/>
                <w:color w:val="auto"/>
              </w:rPr>
            </w:pPr>
          </w:p>
        </w:tc>
        <w:tc>
          <w:tcPr>
            <w:tcW w:w="5400" w:type="dxa"/>
            <w:vAlign w:val="bottom"/>
            <w:tcBorders>
              <w:right w:val="single" w:sz="8" w:color="auto"/>
            </w:tcBorders>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1140" w:type="dxa"/>
            <w:vAlign w:val="bottom"/>
            <w:tcBorders>
              <w:left w:val="single" w:sz="8" w:color="auto"/>
              <w:bottom w:val="single" w:sz="8" w:color="auto"/>
              <w:right w:val="single" w:sz="8" w:color="auto"/>
            </w:tcBorders>
          </w:tcPr>
          <w:p>
            <w:pPr>
              <w:spacing w:after="0"/>
              <w:rPr>
                <w:sz w:val="3"/>
                <w:szCs w:val="3"/>
                <w:color w:val="auto"/>
              </w:rPr>
            </w:pPr>
          </w:p>
        </w:tc>
        <w:tc>
          <w:tcPr>
            <w:tcW w:w="222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-2449195</wp:posOffset>
            </wp:positionV>
            <wp:extent cx="96520" cy="89471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96520" cy="894715"/>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-1143635</wp:posOffset>
            </wp:positionV>
            <wp:extent cx="96520" cy="89471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96520" cy="894715"/>
                    </a:xfrm>
                    <a:prstGeom prst="rect">
                      <a:avLst/>
                    </a:prstGeom>
                    <a:noFill/>
                  </pic:spPr>
                </pic:pic>
              </a:graphicData>
            </a:graphic>
          </wp:anchor>
        </w:drawing>
      </w:r>
    </w:p>
    <w:p>
      <w:pPr>
        <w:spacing w:after="0" w:line="167" w:lineRule="exact"/>
        <w:rPr>
          <w:sz w:val="20"/>
          <w:szCs w:val="20"/>
          <w:color w:val="auto"/>
        </w:rPr>
      </w:pPr>
    </w:p>
    <w:p>
      <w:pPr>
        <w:ind w:left="258" w:hanging="258"/>
        <w:spacing w:after="0"/>
        <w:tabs>
          <w:tab w:leader="none" w:pos="258"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Averages are determined as the average of period-beginning and period-ending balances.</w:t>
      </w:r>
    </w:p>
    <w:p>
      <w:pPr>
        <w:ind w:left="258" w:hanging="258"/>
        <w:spacing w:after="0" w:line="220" w:lineRule="auto"/>
        <w:tabs>
          <w:tab w:leader="none" w:pos="258"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investment in subsidiaries, goodwill, intangibles, and deferred tax that rely on future profitability.</w:t>
      </w:r>
    </w:p>
    <w:p>
      <w:pPr>
        <w:ind w:left="258" w:hanging="258"/>
        <w:spacing w:after="0"/>
        <w:tabs>
          <w:tab w:leader="none" w:pos="258" w:val="left"/>
        </w:tabs>
        <w:numPr>
          <w:ilvl w:val="0"/>
          <w:numId w:val="5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Common Equity Tier 1 = Capital Stock + Reserves + Accumulated earnings – Unrealized profits or losses - 100% deductions (investment in subsidiaries, goodwill, intangible assets, and deferred tax assets based on future returns).</w:t>
      </w:r>
    </w:p>
    <w:p>
      <w:pPr>
        <w:ind w:left="258" w:hanging="258"/>
        <w:spacing w:after="0"/>
        <w:tabs>
          <w:tab w:leader="none" w:pos="258"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investment in subsidiaries, goodwill, intangible assets, and deferred taxes based on future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922020</wp:posOffset>
            </wp:positionV>
            <wp:extent cx="7140575" cy="1587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40575" cy="15875"/>
                    </a:xfrm>
                    <a:prstGeom prst="rect">
                      <a:avLst/>
                    </a:prstGeom>
                    <a:noFill/>
                  </pic:spPr>
                </pic:pic>
              </a:graphicData>
            </a:graphic>
          </wp:anchor>
        </w:drawing>
        <w:drawing>
          <wp:anchor simplePos="0" relativeHeight="251657728" behindDoc="1" locked="0" layoutInCell="0" allowOverlap="1">
            <wp:simplePos x="0" y="0"/>
            <wp:positionH relativeFrom="column">
              <wp:posOffset>330200</wp:posOffset>
            </wp:positionH>
            <wp:positionV relativeFrom="paragraph">
              <wp:posOffset>124460</wp:posOffset>
            </wp:positionV>
            <wp:extent cx="6447155" cy="53213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447155" cy="532130"/>
                    </a:xfrm>
                    <a:prstGeom prst="rect">
                      <a:avLst/>
                    </a:prstGeom>
                    <a:noFill/>
                  </pic:spPr>
                </pic:pic>
              </a:graphicData>
            </a:graphic>
          </wp:anchor>
        </w:drawing>
      </w:r>
    </w:p>
    <w:p>
      <w:pPr>
        <w:sectPr>
          <w:pgSz w:w="11900" w:h="16838" w:orient="portrait"/>
          <w:cols w:equalWidth="0" w:num="1">
            <w:col w:w="11138"/>
          </w:cols>
          <w:pgMar w:left="322" w:top="140" w:right="439" w:bottom="1440" w:gutter="0" w:footer="0" w:header="0"/>
        </w:sectPr>
      </w:pPr>
    </w:p>
    <w:bookmarkStart w:id="69" w:name="page70"/>
    <w:bookmarkEnd w:id="69"/>
    <w:p>
      <w:pPr>
        <w:ind w:left="3160"/>
        <w:spacing w:after="0"/>
        <w:tabs>
          <w:tab w:leader="none" w:pos="3380" w:val="left"/>
          <w:tab w:leader="none" w:pos="9060" w:val="left"/>
        </w:tabs>
        <w:rPr>
          <w:sz w:val="20"/>
          <w:szCs w:val="20"/>
          <w:color w:val="auto"/>
        </w:rPr>
      </w:pPr>
      <w:r>
        <w:rPr>
          <w:rFonts w:ascii="Times New Roman" w:cs="Times New Roman" w:eastAsia="Times New Roman" w:hAnsi="Times New Roman"/>
          <w:sz w:val="17"/>
          <w:szCs w:val="17"/>
          <w:b w:val="1"/>
          <w:bCs w:val="1"/>
          <w:color w:val="A6A6A6"/>
        </w:rPr>
        <w:drawing>
          <wp:anchor simplePos="0" relativeHeight="251657728" behindDoc="1" locked="0" layoutInCell="0" allowOverlap="1">
            <wp:simplePos x="0" y="0"/>
            <wp:positionH relativeFrom="page">
              <wp:posOffset>204470</wp:posOffset>
            </wp:positionH>
            <wp:positionV relativeFrom="page">
              <wp:posOffset>217805</wp:posOffset>
            </wp:positionV>
            <wp:extent cx="7140575" cy="62865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40575" cy="628650"/>
                    </a:xfrm>
                    <a:prstGeom prst="rect">
                      <a:avLst/>
                    </a:prstGeom>
                    <a:noFill/>
                  </pic:spPr>
                </pic:pic>
              </a:graphicData>
            </a:graphic>
          </wp:anchor>
        </w:drawing>
        <w:t>|</w:t>
      </w:r>
      <w:r>
        <w:rPr>
          <w:sz w:val="20"/>
          <w:szCs w:val="20"/>
          <w:color w:val="auto"/>
        </w:rPr>
        <w:tab/>
      </w:r>
      <w:r>
        <w:rPr>
          <w:rFonts w:ascii="Times New Roman" w:cs="Times New Roman" w:eastAsia="Times New Roman" w:hAnsi="Times New Roman"/>
          <w:sz w:val="14"/>
          <w:szCs w:val="14"/>
          <w:color w:val="FFFFFF"/>
        </w:rPr>
        <w:t>Earnings Release 1Q / 2026</w:t>
      </w:r>
      <w:r>
        <w:rPr>
          <w:sz w:val="20"/>
          <w:szCs w:val="20"/>
          <w:color w:val="auto"/>
        </w:rPr>
        <w:tab/>
      </w:r>
      <w:r>
        <w:rPr>
          <w:rFonts w:ascii="Times New Roman" w:cs="Times New Roman" w:eastAsia="Times New Roman" w:hAnsi="Times New Roman"/>
          <w:sz w:val="12"/>
          <w:szCs w:val="12"/>
          <w:color w:val="FF00FF"/>
        </w:rPr>
        <w:t>Analysis of 1Q26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280670</wp:posOffset>
            </wp:positionV>
            <wp:extent cx="7140575" cy="25781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40575" cy="25781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FFFFFF"/>
        </w:rPr>
        <w:t>12. Appendix</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12.9. Glossary of terms</w:t>
      </w:r>
    </w:p>
    <w:p>
      <w:pPr>
        <w:spacing w:after="0" w:line="211" w:lineRule="exact"/>
        <w:rPr>
          <w:sz w:val="20"/>
          <w:szCs w:val="20"/>
          <w:color w:val="auto"/>
        </w:rPr>
      </w:pPr>
    </w:p>
    <w:tbl>
      <w:tblPr>
        <w:tblLayout w:type="fixed"/>
        <w:tblInd w:w="10" w:type="dxa"/>
        <w:tblCellMar>
          <w:top w:w="0" w:type="dxa"/>
          <w:left w:w="0" w:type="dxa"/>
          <w:bottom w:w="0" w:type="dxa"/>
          <w:right w:w="0" w:type="dxa"/>
        </w:tblCellMar>
      </w:tblPr>
      <w:tr>
        <w:trPr>
          <w:trHeight w:val="152"/>
        </w:trPr>
        <w:tc>
          <w:tcPr>
            <w:tcW w:w="4080" w:type="dxa"/>
            <w:vAlign w:val="bottom"/>
            <w:tcBorders>
              <w:top w:val="single" w:sz="8" w:color="auto"/>
              <w:left w:val="single" w:sz="8" w:color="auto"/>
              <w:bottom w:val="single" w:sz="8" w:color="auto"/>
              <w:right w:val="single" w:sz="8" w:color="auto"/>
            </w:tcBorders>
            <w:shd w:val="clear" w:color="auto" w:fill="2AD2C9"/>
          </w:tcPr>
          <w:p>
            <w:pPr>
              <w:ind w:left="1880"/>
              <w:spacing w:after="0" w:line="153" w:lineRule="exact"/>
              <w:rPr>
                <w:sz w:val="20"/>
                <w:szCs w:val="20"/>
                <w:color w:val="auto"/>
              </w:rPr>
            </w:pPr>
            <w:r>
              <w:rPr>
                <w:rFonts w:ascii="Times New Roman" w:cs="Times New Roman" w:eastAsia="Times New Roman" w:hAnsi="Times New Roman"/>
                <w:sz w:val="14"/>
                <w:szCs w:val="14"/>
                <w:b w:val="1"/>
                <w:bCs w:val="1"/>
                <w:color w:val="FFFFFF"/>
              </w:rPr>
              <w:t>Term</w:t>
            </w:r>
          </w:p>
        </w:tc>
        <w:tc>
          <w:tcPr>
            <w:tcW w:w="7180" w:type="dxa"/>
            <w:vAlign w:val="bottom"/>
            <w:tcBorders>
              <w:top w:val="single" w:sz="8" w:color="auto"/>
              <w:bottom w:val="single" w:sz="8" w:color="auto"/>
              <w:right w:val="single" w:sz="8" w:color="auto"/>
            </w:tcBorders>
            <w:shd w:val="clear" w:color="auto" w:fill="2AD2C9"/>
          </w:tcPr>
          <w:p>
            <w:pPr>
              <w:ind w:left="3280"/>
              <w:spacing w:after="0" w:line="153" w:lineRule="exact"/>
              <w:rPr>
                <w:sz w:val="20"/>
                <w:szCs w:val="20"/>
                <w:color w:val="auto"/>
              </w:rPr>
            </w:pPr>
            <w:r>
              <w:rPr>
                <w:rFonts w:ascii="Times New Roman" w:cs="Times New Roman" w:eastAsia="Times New Roman" w:hAnsi="Times New Roman"/>
                <w:sz w:val="14"/>
                <w:szCs w:val="14"/>
                <w:b w:val="1"/>
                <w:bCs w:val="1"/>
                <w:color w:val="FFFFFF"/>
              </w:rPr>
              <w:t>Definition</w:t>
            </w:r>
          </w:p>
        </w:tc>
        <w:tc>
          <w:tcPr>
            <w:tcW w:w="0" w:type="dxa"/>
            <w:vAlign w:val="bottom"/>
          </w:tcPr>
          <w:p>
            <w:pPr>
              <w:spacing w:after="0"/>
              <w:rPr>
                <w:sz w:val="1"/>
                <w:szCs w:val="1"/>
                <w:color w:val="auto"/>
              </w:rPr>
            </w:pPr>
          </w:p>
        </w:tc>
      </w:tr>
      <w:tr>
        <w:trPr>
          <w:trHeight w:val="132"/>
        </w:trPr>
        <w:tc>
          <w:tcPr>
            <w:tcW w:w="4080" w:type="dxa"/>
            <w:vAlign w:val="bottom"/>
            <w:tcBorders>
              <w:left w:val="single" w:sz="8" w:color="auto"/>
              <w:bottom w:val="single" w:sz="8" w:color="auto"/>
              <w:right w:val="single" w:sz="8" w:color="auto"/>
            </w:tcBorders>
          </w:tcPr>
          <w:p>
            <w:pPr>
              <w:ind w:left="60"/>
              <w:spacing w:after="0" w:line="133" w:lineRule="exact"/>
              <w:rPr>
                <w:sz w:val="20"/>
                <w:szCs w:val="20"/>
                <w:color w:val="auto"/>
              </w:rPr>
            </w:pPr>
            <w:r>
              <w:rPr>
                <w:rFonts w:ascii="Times New Roman" w:cs="Times New Roman" w:eastAsia="Times New Roman" w:hAnsi="Times New Roman"/>
                <w:sz w:val="14"/>
                <w:szCs w:val="14"/>
                <w:b w:val="1"/>
                <w:bCs w:val="1"/>
                <w:color w:val="auto"/>
              </w:rPr>
              <w:t>AFP</w:t>
            </w:r>
          </w:p>
        </w:tc>
        <w:tc>
          <w:tcPr>
            <w:tcW w:w="7180" w:type="dxa"/>
            <w:vAlign w:val="bottom"/>
            <w:tcBorders>
              <w:bottom w:val="single" w:sz="8" w:color="auto"/>
              <w:right w:val="single" w:sz="8" w:color="auto"/>
            </w:tcBorders>
          </w:tcPr>
          <w:p>
            <w:pPr>
              <w:ind w:left="40"/>
              <w:spacing w:after="0" w:line="133" w:lineRule="exact"/>
              <w:rPr>
                <w:sz w:val="20"/>
                <w:szCs w:val="20"/>
                <w:color w:val="auto"/>
              </w:rPr>
            </w:pPr>
            <w:r>
              <w:rPr>
                <w:rFonts w:ascii="Times New Roman" w:cs="Times New Roman" w:eastAsia="Times New Roman" w:hAnsi="Times New Roman"/>
                <w:sz w:val="14"/>
                <w:szCs w:val="14"/>
                <w:color w:val="auto"/>
              </w:rPr>
              <w:t>Administradora de Fondo de Pensiones or Private Pension Funds Administrators</w:t>
            </w:r>
          </w:p>
        </w:tc>
        <w:tc>
          <w:tcPr>
            <w:tcW w:w="0" w:type="dxa"/>
            <w:vAlign w:val="bottom"/>
          </w:tcPr>
          <w:p>
            <w:pPr>
              <w:spacing w:after="0"/>
              <w:rPr>
                <w:sz w:val="1"/>
                <w:szCs w:val="1"/>
                <w:color w:val="auto"/>
              </w:rPr>
            </w:pPr>
          </w:p>
        </w:tc>
      </w:tr>
      <w:tr>
        <w:trPr>
          <w:trHeight w:val="132"/>
        </w:trPr>
        <w:tc>
          <w:tcPr>
            <w:tcW w:w="4080" w:type="dxa"/>
            <w:vAlign w:val="bottom"/>
            <w:tcBorders>
              <w:left w:val="single" w:sz="8" w:color="auto"/>
              <w:bottom w:val="single" w:sz="8" w:color="auto"/>
              <w:right w:val="single" w:sz="8" w:color="auto"/>
            </w:tcBorders>
          </w:tcPr>
          <w:p>
            <w:pPr>
              <w:ind w:left="60"/>
              <w:spacing w:after="0" w:line="133" w:lineRule="exact"/>
              <w:rPr>
                <w:sz w:val="20"/>
                <w:szCs w:val="20"/>
                <w:color w:val="auto"/>
              </w:rPr>
            </w:pPr>
            <w:r>
              <w:rPr>
                <w:rFonts w:ascii="Times New Roman" w:cs="Times New Roman" w:eastAsia="Times New Roman" w:hAnsi="Times New Roman"/>
                <w:sz w:val="14"/>
                <w:szCs w:val="14"/>
                <w:b w:val="1"/>
                <w:bCs w:val="1"/>
                <w:color w:val="auto"/>
              </w:rPr>
              <w:t>BCRP</w:t>
            </w:r>
          </w:p>
        </w:tc>
        <w:tc>
          <w:tcPr>
            <w:tcW w:w="7180" w:type="dxa"/>
            <w:vAlign w:val="bottom"/>
            <w:tcBorders>
              <w:bottom w:val="single" w:sz="8" w:color="auto"/>
              <w:right w:val="single" w:sz="8" w:color="auto"/>
            </w:tcBorders>
          </w:tcPr>
          <w:p>
            <w:pPr>
              <w:ind w:left="40"/>
              <w:spacing w:after="0" w:line="133" w:lineRule="exact"/>
              <w:rPr>
                <w:sz w:val="20"/>
                <w:szCs w:val="20"/>
                <w:color w:val="auto"/>
              </w:rPr>
            </w:pPr>
            <w:r>
              <w:rPr>
                <w:rFonts w:ascii="Times New Roman" w:cs="Times New Roman" w:eastAsia="Times New Roman" w:hAnsi="Times New Roman"/>
                <w:sz w:val="14"/>
                <w:szCs w:val="14"/>
                <w:color w:val="auto"/>
              </w:rPr>
              <w:t>Banco Central de Reserva del Perú or Peruvian Central Bank</w:t>
            </w:r>
          </w:p>
        </w:tc>
        <w:tc>
          <w:tcPr>
            <w:tcW w:w="0" w:type="dxa"/>
            <w:vAlign w:val="bottom"/>
          </w:tcPr>
          <w:p>
            <w:pPr>
              <w:spacing w:after="0"/>
              <w:rPr>
                <w:sz w:val="1"/>
                <w:szCs w:val="1"/>
                <w:color w:val="auto"/>
              </w:rPr>
            </w:pPr>
          </w:p>
        </w:tc>
      </w:tr>
      <w:tr>
        <w:trPr>
          <w:trHeight w:val="132"/>
        </w:trPr>
        <w:tc>
          <w:tcPr>
            <w:tcW w:w="4080" w:type="dxa"/>
            <w:vAlign w:val="bottom"/>
            <w:tcBorders>
              <w:left w:val="single" w:sz="8" w:color="auto"/>
              <w:bottom w:val="single" w:sz="8" w:color="auto"/>
              <w:right w:val="single" w:sz="8" w:color="auto"/>
            </w:tcBorders>
          </w:tcPr>
          <w:p>
            <w:pPr>
              <w:ind w:left="60"/>
              <w:spacing w:after="0" w:line="133" w:lineRule="exact"/>
              <w:rPr>
                <w:sz w:val="20"/>
                <w:szCs w:val="20"/>
                <w:color w:val="auto"/>
              </w:rPr>
            </w:pPr>
            <w:r>
              <w:rPr>
                <w:rFonts w:ascii="Times New Roman" w:cs="Times New Roman" w:eastAsia="Times New Roman" w:hAnsi="Times New Roman"/>
                <w:sz w:val="14"/>
                <w:szCs w:val="14"/>
                <w:b w:val="1"/>
                <w:bCs w:val="1"/>
                <w:color w:val="auto"/>
              </w:rPr>
              <w:t>EAP</w:t>
            </w:r>
          </w:p>
        </w:tc>
        <w:tc>
          <w:tcPr>
            <w:tcW w:w="7180" w:type="dxa"/>
            <w:vAlign w:val="bottom"/>
            <w:tcBorders>
              <w:bottom w:val="single" w:sz="8" w:color="auto"/>
              <w:right w:val="single" w:sz="8" w:color="auto"/>
            </w:tcBorders>
          </w:tcPr>
          <w:p>
            <w:pPr>
              <w:ind w:left="40"/>
              <w:spacing w:after="0" w:line="133" w:lineRule="exact"/>
              <w:rPr>
                <w:sz w:val="20"/>
                <w:szCs w:val="20"/>
                <w:color w:val="auto"/>
              </w:rPr>
            </w:pPr>
            <w:r>
              <w:rPr>
                <w:rFonts w:ascii="Times New Roman" w:cs="Times New Roman" w:eastAsia="Times New Roman" w:hAnsi="Times New Roman"/>
                <w:sz w:val="14"/>
                <w:szCs w:val="14"/>
                <w:color w:val="auto"/>
              </w:rPr>
              <w:t>Economically active population</w:t>
            </w:r>
          </w:p>
        </w:tc>
        <w:tc>
          <w:tcPr>
            <w:tcW w:w="0" w:type="dxa"/>
            <w:vAlign w:val="bottom"/>
          </w:tcPr>
          <w:p>
            <w:pPr>
              <w:spacing w:after="0"/>
              <w:rPr>
                <w:sz w:val="1"/>
                <w:szCs w:val="1"/>
                <w:color w:val="auto"/>
              </w:rPr>
            </w:pPr>
          </w:p>
        </w:tc>
      </w:tr>
      <w:tr>
        <w:trPr>
          <w:trHeight w:val="112"/>
        </w:trPr>
        <w:tc>
          <w:tcPr>
            <w:tcW w:w="4080" w:type="dxa"/>
            <w:vAlign w:val="bottom"/>
            <w:tcBorders>
              <w:left w:val="single" w:sz="8" w:color="auto"/>
              <w:right w:val="single" w:sz="8" w:color="auto"/>
            </w:tcBorders>
          </w:tcPr>
          <w:p>
            <w:pPr>
              <w:spacing w:after="0"/>
              <w:rPr>
                <w:sz w:val="9"/>
                <w:szCs w:val="9"/>
                <w:color w:val="auto"/>
              </w:rPr>
            </w:pPr>
          </w:p>
        </w:tc>
        <w:tc>
          <w:tcPr>
            <w:tcW w:w="7180" w:type="dxa"/>
            <w:vAlign w:val="bottom"/>
            <w:tcBorders>
              <w:right w:val="single" w:sz="8" w:color="auto"/>
            </w:tcBorders>
          </w:tcPr>
          <w:p>
            <w:pPr>
              <w:ind w:left="40"/>
              <w:spacing w:after="0" w:line="112" w:lineRule="exact"/>
              <w:rPr>
                <w:sz w:val="20"/>
                <w:szCs w:val="20"/>
                <w:color w:val="auto"/>
              </w:rPr>
            </w:pPr>
            <w:r>
              <w:rPr>
                <w:rFonts w:ascii="Times New Roman" w:cs="Times New Roman" w:eastAsia="Times New Roman" w:hAnsi="Times New Roman"/>
                <w:sz w:val="12"/>
                <w:szCs w:val="12"/>
                <w:color w:val="auto"/>
              </w:rPr>
              <w:t>Stock of financially included clients through BCP since 2020. New clients with BCP</w:t>
            </w:r>
          </w:p>
        </w:tc>
        <w:tc>
          <w:tcPr>
            <w:tcW w:w="0" w:type="dxa"/>
            <w:vAlign w:val="bottom"/>
          </w:tcPr>
          <w:p>
            <w:pPr>
              <w:spacing w:after="0"/>
              <w:rPr>
                <w:sz w:val="1"/>
                <w:szCs w:val="1"/>
                <w:color w:val="auto"/>
              </w:rPr>
            </w:pPr>
          </w:p>
        </w:tc>
      </w:tr>
      <w:tr>
        <w:trPr>
          <w:trHeight w:val="140"/>
        </w:trPr>
        <w:tc>
          <w:tcPr>
            <w:tcW w:w="4080" w:type="dxa"/>
            <w:vAlign w:val="bottom"/>
            <w:tcBorders>
              <w:left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Financially Included</w:t>
            </w:r>
          </w:p>
        </w:tc>
        <w:tc>
          <w:tcPr>
            <w:tcW w:w="7180" w:type="dxa"/>
            <w:vAlign w:val="bottom"/>
            <w:tcBorders>
              <w:right w:val="single" w:sz="8" w:color="auto"/>
            </w:tcBorders>
          </w:tcPr>
          <w:p>
            <w:pPr>
              <w:ind w:left="40"/>
              <w:spacing w:after="0" w:line="140" w:lineRule="exact"/>
              <w:rPr>
                <w:sz w:val="20"/>
                <w:szCs w:val="20"/>
                <w:color w:val="auto"/>
              </w:rPr>
            </w:pPr>
            <w:r>
              <w:rPr>
                <w:rFonts w:ascii="Times New Roman" w:cs="Times New Roman" w:eastAsia="Times New Roman" w:hAnsi="Times New Roman"/>
                <w:sz w:val="14"/>
                <w:szCs w:val="14"/>
                <w:color w:val="auto"/>
                <w:w w:val="97"/>
              </w:rPr>
              <w:t>savings accounts or new Yape affiliates that: (i) Do not have debt in the financial system nor other BCP products in the 12 months</w:t>
            </w:r>
          </w:p>
        </w:tc>
        <w:tc>
          <w:tcPr>
            <w:tcW w:w="0" w:type="dxa"/>
            <w:vAlign w:val="bottom"/>
          </w:tcPr>
          <w:p>
            <w:pPr>
              <w:spacing w:after="0"/>
              <w:rPr>
                <w:sz w:val="1"/>
                <w:szCs w:val="1"/>
                <w:color w:val="auto"/>
              </w:rPr>
            </w:pPr>
          </w:p>
        </w:tc>
      </w:tr>
      <w:tr>
        <w:trPr>
          <w:trHeight w:val="98"/>
        </w:trPr>
        <w:tc>
          <w:tcPr>
            <w:tcW w:w="4080" w:type="dxa"/>
            <w:vAlign w:val="bottom"/>
            <w:tcBorders>
              <w:left w:val="single" w:sz="8" w:color="auto"/>
              <w:right w:val="single" w:sz="8" w:color="auto"/>
            </w:tcBorders>
            <w:vMerge w:val="continue"/>
          </w:tcPr>
          <w:p>
            <w:pPr>
              <w:spacing w:after="0"/>
              <w:rPr>
                <w:sz w:val="8"/>
                <w:szCs w:val="8"/>
                <w:color w:val="auto"/>
              </w:rPr>
            </w:pPr>
          </w:p>
        </w:tc>
        <w:tc>
          <w:tcPr>
            <w:tcW w:w="7180" w:type="dxa"/>
            <w:vAlign w:val="bottom"/>
            <w:tcBorders>
              <w:right w:val="single" w:sz="8" w:color="auto"/>
            </w:tcBorders>
            <w:vMerge w:val="restart"/>
          </w:tcPr>
          <w:p>
            <w:pPr>
              <w:ind w:left="40"/>
              <w:spacing w:after="0" w:line="140" w:lineRule="exact"/>
              <w:rPr>
                <w:sz w:val="20"/>
                <w:szCs w:val="20"/>
                <w:color w:val="auto"/>
              </w:rPr>
            </w:pPr>
            <w:r>
              <w:rPr>
                <w:rFonts w:ascii="Times New Roman" w:cs="Times New Roman" w:eastAsia="Times New Roman" w:hAnsi="Times New Roman"/>
                <w:sz w:val="14"/>
                <w:szCs w:val="14"/>
                <w:color w:val="auto"/>
              </w:rPr>
              <w:t>prior to their inclusion,</w:t>
            </w:r>
          </w:p>
        </w:tc>
        <w:tc>
          <w:tcPr>
            <w:tcW w:w="0" w:type="dxa"/>
            <w:vAlign w:val="bottom"/>
          </w:tcPr>
          <w:p>
            <w:pPr>
              <w:spacing w:after="0"/>
              <w:rPr>
                <w:sz w:val="1"/>
                <w:szCs w:val="1"/>
                <w:color w:val="auto"/>
              </w:rPr>
            </w:pPr>
          </w:p>
        </w:tc>
      </w:tr>
      <w:tr>
        <w:trPr>
          <w:trHeight w:val="41"/>
        </w:trPr>
        <w:tc>
          <w:tcPr>
            <w:tcW w:w="4080" w:type="dxa"/>
            <w:vAlign w:val="bottom"/>
            <w:tcBorders>
              <w:left w:val="single" w:sz="8" w:color="auto"/>
              <w:right w:val="single" w:sz="8" w:color="auto"/>
            </w:tcBorders>
          </w:tcPr>
          <w:p>
            <w:pPr>
              <w:spacing w:after="0"/>
              <w:rPr>
                <w:sz w:val="3"/>
                <w:szCs w:val="3"/>
                <w:color w:val="auto"/>
              </w:rPr>
            </w:pPr>
          </w:p>
        </w:tc>
        <w:tc>
          <w:tcPr>
            <w:tcW w:w="7180" w:type="dxa"/>
            <w:vAlign w:val="bottom"/>
            <w:tcBorders>
              <w:right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4080" w:type="dxa"/>
            <w:vAlign w:val="bottom"/>
            <w:tcBorders>
              <w:left w:val="single" w:sz="8" w:color="auto"/>
              <w:bottom w:val="single" w:sz="8" w:color="auto"/>
              <w:right w:val="single" w:sz="8" w:color="auto"/>
            </w:tcBorders>
          </w:tcPr>
          <w:p>
            <w:pPr>
              <w:spacing w:after="0"/>
              <w:rPr>
                <w:sz w:val="13"/>
                <w:szCs w:val="13"/>
                <w:color w:val="auto"/>
              </w:rPr>
            </w:pPr>
          </w:p>
        </w:tc>
        <w:tc>
          <w:tcPr>
            <w:tcW w:w="7180" w:type="dxa"/>
            <w:vAlign w:val="bottom"/>
            <w:tcBorders>
              <w:bottom w:val="single" w:sz="8" w:color="auto"/>
              <w:right w:val="single" w:sz="8" w:color="auto"/>
            </w:tcBorders>
          </w:tcPr>
          <w:p>
            <w:pPr>
              <w:ind w:left="40"/>
              <w:spacing w:after="0" w:line="160" w:lineRule="exact"/>
              <w:rPr>
                <w:sz w:val="20"/>
                <w:szCs w:val="20"/>
                <w:color w:val="auto"/>
              </w:rPr>
            </w:pPr>
            <w:r>
              <w:rPr>
                <w:rFonts w:ascii="Times New Roman" w:cs="Times New Roman" w:eastAsia="Times New Roman" w:hAnsi="Times New Roman"/>
                <w:sz w:val="14"/>
                <w:szCs w:val="14"/>
                <w:color w:val="auto"/>
              </w:rPr>
              <w:t>and (ii) Have performed at least 3 monthly transactions on average through any BCP channel in the last 3 months</w:t>
            </w:r>
          </w:p>
        </w:tc>
        <w:tc>
          <w:tcPr>
            <w:tcW w:w="0" w:type="dxa"/>
            <w:vAlign w:val="bottom"/>
          </w:tcPr>
          <w:p>
            <w:pPr>
              <w:spacing w:after="0"/>
              <w:rPr>
                <w:sz w:val="1"/>
                <w:szCs w:val="1"/>
                <w:color w:val="auto"/>
              </w:rPr>
            </w:pPr>
          </w:p>
        </w:tc>
      </w:tr>
      <w:tr>
        <w:trPr>
          <w:trHeight w:val="132"/>
        </w:trPr>
        <w:tc>
          <w:tcPr>
            <w:tcW w:w="4080" w:type="dxa"/>
            <w:vAlign w:val="bottom"/>
            <w:tcBorders>
              <w:left w:val="single" w:sz="8" w:color="auto"/>
              <w:bottom w:val="single" w:sz="8" w:color="auto"/>
              <w:right w:val="single" w:sz="8" w:color="auto"/>
            </w:tcBorders>
          </w:tcPr>
          <w:p>
            <w:pPr>
              <w:ind w:left="60"/>
              <w:spacing w:after="0" w:line="133" w:lineRule="exact"/>
              <w:rPr>
                <w:sz w:val="20"/>
                <w:szCs w:val="20"/>
                <w:color w:val="auto"/>
              </w:rPr>
            </w:pPr>
            <w:r>
              <w:rPr>
                <w:rFonts w:ascii="Times New Roman" w:cs="Times New Roman" w:eastAsia="Times New Roman" w:hAnsi="Times New Roman"/>
                <w:sz w:val="14"/>
                <w:szCs w:val="14"/>
                <w:b w:val="1"/>
                <w:bCs w:val="1"/>
                <w:color w:val="auto"/>
              </w:rPr>
              <w:t>GMV</w:t>
            </w:r>
          </w:p>
        </w:tc>
        <w:tc>
          <w:tcPr>
            <w:tcW w:w="7180" w:type="dxa"/>
            <w:vAlign w:val="bottom"/>
            <w:tcBorders>
              <w:bottom w:val="single" w:sz="8" w:color="auto"/>
              <w:right w:val="single" w:sz="8" w:color="auto"/>
            </w:tcBorders>
          </w:tcPr>
          <w:p>
            <w:pPr>
              <w:ind w:left="40"/>
              <w:spacing w:after="0" w:line="133" w:lineRule="exact"/>
              <w:rPr>
                <w:sz w:val="20"/>
                <w:szCs w:val="20"/>
                <w:color w:val="auto"/>
              </w:rPr>
            </w:pPr>
            <w:r>
              <w:rPr>
                <w:rFonts w:ascii="Times New Roman" w:cs="Times New Roman" w:eastAsia="Times New Roman" w:hAnsi="Times New Roman"/>
                <w:sz w:val="14"/>
                <w:szCs w:val="14"/>
                <w:color w:val="auto"/>
              </w:rPr>
              <w:t>Gross Merchant Volume</w:t>
            </w:r>
          </w:p>
        </w:tc>
        <w:tc>
          <w:tcPr>
            <w:tcW w:w="0" w:type="dxa"/>
            <w:vAlign w:val="bottom"/>
          </w:tcPr>
          <w:p>
            <w:pPr>
              <w:spacing w:after="0"/>
              <w:rPr>
                <w:sz w:val="1"/>
                <w:szCs w:val="1"/>
                <w:color w:val="auto"/>
              </w:rPr>
            </w:pPr>
          </w:p>
        </w:tc>
      </w:tr>
      <w:tr>
        <w:trPr>
          <w:trHeight w:val="112"/>
        </w:trPr>
        <w:tc>
          <w:tcPr>
            <w:tcW w:w="4080" w:type="dxa"/>
            <w:vAlign w:val="bottom"/>
            <w:tcBorders>
              <w:left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Government Program Loans (“GP” or “GP Loans”)</w:t>
            </w:r>
          </w:p>
        </w:tc>
        <w:tc>
          <w:tcPr>
            <w:tcW w:w="7180" w:type="dxa"/>
            <w:vAlign w:val="bottom"/>
            <w:tcBorders>
              <w:right w:val="single" w:sz="8" w:color="auto"/>
            </w:tcBorders>
          </w:tcPr>
          <w:p>
            <w:pPr>
              <w:ind w:left="40"/>
              <w:spacing w:after="0" w:line="112" w:lineRule="exact"/>
              <w:rPr>
                <w:sz w:val="20"/>
                <w:szCs w:val="20"/>
                <w:color w:val="auto"/>
              </w:rPr>
            </w:pPr>
            <w:r>
              <w:rPr>
                <w:rFonts w:ascii="Times New Roman" w:cs="Times New Roman" w:eastAsia="Times New Roman" w:hAnsi="Times New Roman"/>
                <w:sz w:val="12"/>
                <w:szCs w:val="12"/>
                <w:color w:val="auto"/>
              </w:rPr>
              <w:t>Loan Portfolio related to Reactiva Peru, FAE-Mype and Impulso Myperu programs to respond quickly and effectively to liquidity</w:t>
            </w:r>
          </w:p>
        </w:tc>
        <w:tc>
          <w:tcPr>
            <w:tcW w:w="0" w:type="dxa"/>
            <w:vAlign w:val="bottom"/>
          </w:tcPr>
          <w:p>
            <w:pPr>
              <w:spacing w:after="0"/>
              <w:rPr>
                <w:sz w:val="1"/>
                <w:szCs w:val="1"/>
                <w:color w:val="auto"/>
              </w:rPr>
            </w:pPr>
          </w:p>
        </w:tc>
      </w:tr>
      <w:tr>
        <w:trPr>
          <w:trHeight w:val="98"/>
        </w:trPr>
        <w:tc>
          <w:tcPr>
            <w:tcW w:w="4080" w:type="dxa"/>
            <w:vAlign w:val="bottom"/>
            <w:tcBorders>
              <w:left w:val="single" w:sz="8" w:color="auto"/>
              <w:right w:val="single" w:sz="8" w:color="auto"/>
            </w:tcBorders>
            <w:vMerge w:val="continue"/>
          </w:tcPr>
          <w:p>
            <w:pPr>
              <w:spacing w:after="0"/>
              <w:rPr>
                <w:sz w:val="8"/>
                <w:szCs w:val="8"/>
                <w:color w:val="auto"/>
              </w:rPr>
            </w:pPr>
          </w:p>
        </w:tc>
        <w:tc>
          <w:tcPr>
            <w:tcW w:w="7180" w:type="dxa"/>
            <w:vAlign w:val="bottom"/>
            <w:tcBorders>
              <w:right w:val="single" w:sz="8" w:color="auto"/>
            </w:tcBorders>
            <w:vMerge w:val="restart"/>
          </w:tcPr>
          <w:p>
            <w:pPr>
              <w:ind w:left="40"/>
              <w:spacing w:after="0" w:line="160" w:lineRule="exact"/>
              <w:rPr>
                <w:sz w:val="20"/>
                <w:szCs w:val="20"/>
                <w:color w:val="auto"/>
              </w:rPr>
            </w:pPr>
            <w:r>
              <w:rPr>
                <w:rFonts w:ascii="Times New Roman" w:cs="Times New Roman" w:eastAsia="Times New Roman" w:hAnsi="Times New Roman"/>
                <w:sz w:val="14"/>
                <w:szCs w:val="14"/>
                <w:color w:val="auto"/>
              </w:rPr>
              <w:t>needs and maintain the payment chain</w:t>
            </w:r>
          </w:p>
        </w:tc>
        <w:tc>
          <w:tcPr>
            <w:tcW w:w="0" w:type="dxa"/>
            <w:vAlign w:val="bottom"/>
          </w:tcPr>
          <w:p>
            <w:pPr>
              <w:spacing w:after="0"/>
              <w:rPr>
                <w:sz w:val="1"/>
                <w:szCs w:val="1"/>
                <w:color w:val="auto"/>
              </w:rPr>
            </w:pPr>
          </w:p>
        </w:tc>
      </w:tr>
      <w:tr>
        <w:trPr>
          <w:trHeight w:val="62"/>
        </w:trPr>
        <w:tc>
          <w:tcPr>
            <w:tcW w:w="4080" w:type="dxa"/>
            <w:vAlign w:val="bottom"/>
            <w:tcBorders>
              <w:left w:val="single" w:sz="8" w:color="auto"/>
              <w:bottom w:val="single" w:sz="8" w:color="auto"/>
              <w:right w:val="single" w:sz="8" w:color="auto"/>
            </w:tcBorders>
          </w:tcPr>
          <w:p>
            <w:pPr>
              <w:spacing w:after="0"/>
              <w:rPr>
                <w:sz w:val="5"/>
                <w:szCs w:val="5"/>
                <w:color w:val="auto"/>
              </w:rPr>
            </w:pPr>
          </w:p>
        </w:tc>
        <w:tc>
          <w:tcPr>
            <w:tcW w:w="718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2"/>
        </w:trPr>
        <w:tc>
          <w:tcPr>
            <w:tcW w:w="4080" w:type="dxa"/>
            <w:vAlign w:val="bottom"/>
            <w:tcBorders>
              <w:left w:val="single" w:sz="8" w:color="auto"/>
              <w:bottom w:val="single" w:sz="8" w:color="auto"/>
              <w:right w:val="single" w:sz="8" w:color="auto"/>
            </w:tcBorders>
          </w:tcPr>
          <w:p>
            <w:pPr>
              <w:ind w:left="60"/>
              <w:spacing w:after="0" w:line="133" w:lineRule="exact"/>
              <w:rPr>
                <w:sz w:val="20"/>
                <w:szCs w:val="20"/>
                <w:color w:val="auto"/>
              </w:rPr>
            </w:pPr>
            <w:r>
              <w:rPr>
                <w:rFonts w:ascii="Times New Roman" w:cs="Times New Roman" w:eastAsia="Times New Roman" w:hAnsi="Times New Roman"/>
                <w:sz w:val="14"/>
                <w:szCs w:val="14"/>
                <w:b w:val="1"/>
                <w:bCs w:val="1"/>
                <w:color w:val="auto"/>
              </w:rPr>
              <w:t>MAU</w:t>
            </w:r>
          </w:p>
        </w:tc>
        <w:tc>
          <w:tcPr>
            <w:tcW w:w="7180" w:type="dxa"/>
            <w:vAlign w:val="bottom"/>
            <w:tcBorders>
              <w:bottom w:val="single" w:sz="8" w:color="auto"/>
              <w:right w:val="single" w:sz="8" w:color="auto"/>
            </w:tcBorders>
          </w:tcPr>
          <w:p>
            <w:pPr>
              <w:ind w:left="40"/>
              <w:spacing w:after="0" w:line="133" w:lineRule="exact"/>
              <w:rPr>
                <w:sz w:val="20"/>
                <w:szCs w:val="20"/>
                <w:color w:val="auto"/>
              </w:rPr>
            </w:pPr>
            <w:r>
              <w:rPr>
                <w:rFonts w:ascii="Times New Roman" w:cs="Times New Roman" w:eastAsia="Times New Roman" w:hAnsi="Times New Roman"/>
                <w:sz w:val="14"/>
                <w:szCs w:val="14"/>
                <w:color w:val="auto"/>
              </w:rPr>
              <w:t>Monthly Active Users</w:t>
            </w:r>
          </w:p>
        </w:tc>
        <w:tc>
          <w:tcPr>
            <w:tcW w:w="0" w:type="dxa"/>
            <w:vAlign w:val="bottom"/>
          </w:tcPr>
          <w:p>
            <w:pPr>
              <w:spacing w:after="0"/>
              <w:rPr>
                <w:sz w:val="1"/>
                <w:szCs w:val="1"/>
                <w:color w:val="auto"/>
              </w:rPr>
            </w:pPr>
          </w:p>
        </w:tc>
      </w:tr>
      <w:tr>
        <w:trPr>
          <w:trHeight w:val="132"/>
        </w:trPr>
        <w:tc>
          <w:tcPr>
            <w:tcW w:w="4080" w:type="dxa"/>
            <w:vAlign w:val="bottom"/>
            <w:tcBorders>
              <w:left w:val="single" w:sz="8" w:color="auto"/>
              <w:bottom w:val="single" w:sz="8" w:color="auto"/>
              <w:right w:val="single" w:sz="8" w:color="auto"/>
            </w:tcBorders>
          </w:tcPr>
          <w:p>
            <w:pPr>
              <w:ind w:left="60"/>
              <w:spacing w:after="0" w:line="133" w:lineRule="exact"/>
              <w:rPr>
                <w:sz w:val="20"/>
                <w:szCs w:val="20"/>
                <w:color w:val="auto"/>
              </w:rPr>
            </w:pPr>
            <w:r>
              <w:rPr>
                <w:rFonts w:ascii="Times New Roman" w:cs="Times New Roman" w:eastAsia="Times New Roman" w:hAnsi="Times New Roman"/>
                <w:sz w:val="14"/>
                <w:szCs w:val="14"/>
                <w:b w:val="1"/>
                <w:bCs w:val="1"/>
                <w:color w:val="auto"/>
              </w:rPr>
              <w:t>MEF</w:t>
            </w:r>
          </w:p>
        </w:tc>
        <w:tc>
          <w:tcPr>
            <w:tcW w:w="7180" w:type="dxa"/>
            <w:vAlign w:val="bottom"/>
            <w:tcBorders>
              <w:bottom w:val="single" w:sz="8" w:color="auto"/>
              <w:right w:val="single" w:sz="8" w:color="auto"/>
            </w:tcBorders>
          </w:tcPr>
          <w:p>
            <w:pPr>
              <w:ind w:left="40"/>
              <w:spacing w:after="0" w:line="133" w:lineRule="exact"/>
              <w:rPr>
                <w:sz w:val="20"/>
                <w:szCs w:val="20"/>
                <w:color w:val="auto"/>
              </w:rPr>
            </w:pPr>
            <w:r>
              <w:rPr>
                <w:rFonts w:ascii="Times New Roman" w:cs="Times New Roman" w:eastAsia="Times New Roman" w:hAnsi="Times New Roman"/>
                <w:sz w:val="14"/>
                <w:szCs w:val="14"/>
                <w:color w:val="auto"/>
              </w:rPr>
              <w:t>Ministry of Economy and Finance of Peru</w:t>
            </w:r>
          </w:p>
        </w:tc>
        <w:tc>
          <w:tcPr>
            <w:tcW w:w="0" w:type="dxa"/>
            <w:vAlign w:val="bottom"/>
          </w:tcPr>
          <w:p>
            <w:pPr>
              <w:spacing w:after="0"/>
              <w:rPr>
                <w:sz w:val="1"/>
                <w:szCs w:val="1"/>
                <w:color w:val="auto"/>
              </w:rPr>
            </w:pPr>
          </w:p>
        </w:tc>
      </w:tr>
      <w:tr>
        <w:trPr>
          <w:trHeight w:val="132"/>
        </w:trPr>
        <w:tc>
          <w:tcPr>
            <w:tcW w:w="4080" w:type="dxa"/>
            <w:vAlign w:val="bottom"/>
            <w:tcBorders>
              <w:left w:val="single" w:sz="8" w:color="auto"/>
              <w:bottom w:val="single" w:sz="8" w:color="auto"/>
              <w:right w:val="single" w:sz="8" w:color="auto"/>
            </w:tcBorders>
          </w:tcPr>
          <w:p>
            <w:pPr>
              <w:ind w:left="60"/>
              <w:spacing w:after="0" w:line="133" w:lineRule="exact"/>
              <w:rPr>
                <w:sz w:val="20"/>
                <w:szCs w:val="20"/>
                <w:color w:val="auto"/>
              </w:rPr>
            </w:pPr>
            <w:r>
              <w:rPr>
                <w:rFonts w:ascii="Times New Roman" w:cs="Times New Roman" w:eastAsia="Times New Roman" w:hAnsi="Times New Roman"/>
                <w:sz w:val="14"/>
                <w:szCs w:val="14"/>
                <w:b w:val="1"/>
                <w:bCs w:val="1"/>
                <w:color w:val="auto"/>
              </w:rPr>
              <w:t>TPV</w:t>
            </w:r>
          </w:p>
        </w:tc>
        <w:tc>
          <w:tcPr>
            <w:tcW w:w="7180" w:type="dxa"/>
            <w:vAlign w:val="bottom"/>
            <w:tcBorders>
              <w:bottom w:val="single" w:sz="8" w:color="auto"/>
              <w:right w:val="single" w:sz="8" w:color="auto"/>
            </w:tcBorders>
          </w:tcPr>
          <w:p>
            <w:pPr>
              <w:ind w:left="40"/>
              <w:spacing w:after="0" w:line="133" w:lineRule="exact"/>
              <w:rPr>
                <w:sz w:val="20"/>
                <w:szCs w:val="20"/>
                <w:color w:val="auto"/>
              </w:rPr>
            </w:pPr>
            <w:r>
              <w:rPr>
                <w:rFonts w:ascii="Times New Roman" w:cs="Times New Roman" w:eastAsia="Times New Roman" w:hAnsi="Times New Roman"/>
                <w:sz w:val="14"/>
                <w:szCs w:val="14"/>
                <w:color w:val="auto"/>
              </w:rPr>
              <w:t>Total Payment Volume</w:t>
            </w:r>
          </w:p>
        </w:tc>
        <w:tc>
          <w:tcPr>
            <w:tcW w:w="0" w:type="dxa"/>
            <w:vAlign w:val="bottom"/>
          </w:tcPr>
          <w:p>
            <w:pPr>
              <w:spacing w:after="0"/>
              <w:rPr>
                <w:sz w:val="1"/>
                <w:szCs w:val="1"/>
                <w:color w:val="auto"/>
              </w:rPr>
            </w:pPr>
          </w:p>
        </w:tc>
      </w:tr>
      <w:tr>
        <w:trPr>
          <w:trHeight w:val="1407"/>
        </w:trPr>
        <w:tc>
          <w:tcPr>
            <w:tcW w:w="4080" w:type="dxa"/>
            <w:vAlign w:val="bottom"/>
            <w:tcBorders>
              <w:bottom w:val="single" w:sz="8" w:color="auto"/>
            </w:tcBorders>
          </w:tcPr>
          <w:p>
            <w:pPr>
              <w:spacing w:after="0"/>
              <w:rPr>
                <w:sz w:val="24"/>
                <w:szCs w:val="24"/>
                <w:color w:val="auto"/>
              </w:rPr>
            </w:pPr>
          </w:p>
        </w:tc>
        <w:tc>
          <w:tcPr>
            <w:tcW w:w="7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-781050</wp:posOffset>
            </wp:positionV>
            <wp:extent cx="6447155" cy="53213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447155" cy="532130"/>
                    </a:xfrm>
                    <a:prstGeom prst="rect">
                      <a:avLst/>
                    </a:prstGeom>
                    <a:noFill/>
                  </pic:spPr>
                </pic:pic>
              </a:graphicData>
            </a:graphic>
          </wp:anchor>
        </w:drawing>
      </w:r>
    </w:p>
    <w:sectPr>
      <w:pgSz w:w="11900" w:h="16838" w:orient="portrait"/>
      <w:cols w:equalWidth="0" w:num="1">
        <w:col w:w="11240"/>
      </w:cols>
      <w:pgMar w:left="320" w:top="6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1)"/>
      <w:numFmt w:val="decimal"/>
      <w:start w:val="1"/>
    </w:lvl>
  </w:abstractNum>
  <w:abstractNum w:abstractNumId="3">
    <w:nsid w:val="836C40E"/>
    <w:multiLevelType w:val="hybridMultilevel"/>
    <w:lvl w:ilvl="0">
      <w:lvlJc w:val="left"/>
      <w:lvlText w:val="(%1)"/>
      <w:numFmt w:val="decimal"/>
      <w:start w:val="1"/>
    </w:lvl>
  </w:abstractNum>
  <w:abstractNum w:abstractNumId="4">
    <w:nsid w:val="2901D82"/>
    <w:multiLevelType w:val="hybridMultilevel"/>
    <w:lvl w:ilvl="0">
      <w:lvlJc w:val="left"/>
      <w:lvlText w:val="%1."/>
      <w:numFmt w:val="decimal"/>
      <w:start w:val="1"/>
    </w:lvl>
  </w:abstractNum>
  <w:abstractNum w:abstractNumId="5">
    <w:nsid w:val="3A95F874"/>
    <w:multiLevelType w:val="hybridMultilevel"/>
    <w:lvl w:ilvl="0">
      <w:lvlJc w:val="left"/>
      <w:lvlText w:val="%1."/>
      <w:numFmt w:val="decimal"/>
      <w:start w:val="2"/>
    </w:lvl>
  </w:abstractNum>
  <w:abstractNum w:abstractNumId="6">
    <w:nsid w:val="8138641"/>
    <w:multiLevelType w:val="hybridMultilevel"/>
    <w:lvl w:ilvl="0">
      <w:lvlJc w:val="left"/>
      <w:lvlText w:val="%1."/>
      <w:numFmt w:val="decimal"/>
      <w:start w:val="3"/>
    </w:lvl>
  </w:abstractNum>
  <w:abstractNum w:abstractNumId="7">
    <w:nsid w:val="1E7FF521"/>
    <w:multiLevelType w:val="hybridMultilevel"/>
    <w:lvl w:ilvl="0">
      <w:lvlJc w:val="left"/>
      <w:lvlText w:val="%1."/>
      <w:numFmt w:val="decimal"/>
      <w:start w:val="4"/>
    </w:lvl>
  </w:abstractNum>
  <w:abstractNum w:abstractNumId="8">
    <w:nsid w:val="7C3DBD3D"/>
    <w:multiLevelType w:val="hybridMultilevel"/>
    <w:lvl w:ilvl="0">
      <w:lvlJc w:val="left"/>
      <w:lvlText w:val="(%1)"/>
      <w:numFmt w:val="decimal"/>
      <w:start w:val="1"/>
    </w:lvl>
  </w:abstractNum>
  <w:abstractNum w:abstractNumId="9">
    <w:nsid w:val="737B8DDC"/>
    <w:multiLevelType w:val="hybridMultilevel"/>
    <w:lvl w:ilvl="0">
      <w:lvlJc w:val="left"/>
      <w:lvlText w:val="(%1)"/>
      <w:numFmt w:val="decimal"/>
      <w:start w:val="1"/>
    </w:lvl>
  </w:abstractNum>
  <w:abstractNum w:abstractNumId="10">
    <w:nsid w:val="6CEAF087"/>
    <w:multiLevelType w:val="hybridMultilevel"/>
    <w:lvl w:ilvl="0">
      <w:lvlJc w:val="left"/>
      <w:lvlText w:val="(%1)"/>
      <w:numFmt w:val="decimal"/>
      <w:start w:val="1"/>
    </w:lvl>
  </w:abstractNum>
  <w:abstractNum w:abstractNumId="11">
    <w:nsid w:val="22221A70"/>
    <w:multiLevelType w:val="hybridMultilevel"/>
    <w:lvl w:ilvl="0">
      <w:lvlJc w:val="left"/>
      <w:lvlText w:val="%1."/>
      <w:numFmt w:val="decimal"/>
      <w:start w:val="1"/>
    </w:lvl>
  </w:abstractNum>
  <w:abstractNum w:abstractNumId="12">
    <w:nsid w:val="4516DDE9"/>
    <w:multiLevelType w:val="hybridMultilevel"/>
    <w:lvl w:ilvl="0">
      <w:lvlJc w:val="left"/>
      <w:lvlText w:val="%1."/>
      <w:numFmt w:val="decimal"/>
      <w:start w:val="2"/>
    </w:lvl>
  </w:abstractNum>
  <w:abstractNum w:abstractNumId="13">
    <w:nsid w:val="3006C83E"/>
    <w:multiLevelType w:val="hybridMultilevel"/>
    <w:lvl w:ilvl="0">
      <w:lvlJc w:val="left"/>
      <w:lvlText w:val="%1."/>
      <w:numFmt w:val="decimal"/>
      <w:start w:val="3"/>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1"/>
      <w:numFmt w:val="bullet"/>
      <w:start w:val="1"/>
    </w:lvl>
  </w:abstractNum>
  <w:abstractNum w:abstractNumId="16">
    <w:nsid w:val="5577F8E1"/>
    <w:multiLevelType w:val="hybridMultilevel"/>
    <w:lvl w:ilvl="0">
      <w:lvlJc w:val="left"/>
      <w:lvlText w:val="●"/>
      <w:numFmt w:val="bullet"/>
      <w:start w:val="1"/>
    </w:lvl>
  </w:abstractNum>
  <w:abstractNum w:abstractNumId="17">
    <w:nsid w:val="440BADFC"/>
    <w:multiLevelType w:val="hybridMultilevel"/>
    <w:lvl w:ilvl="0">
      <w:lvlJc w:val="left"/>
      <w:lvlText w:val="(%1)"/>
      <w:numFmt w:val="decimal"/>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
      <w:numFmt w:val="bullet"/>
      <w:start w:val="1"/>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1"/>
      <w:numFmt w:val="bullet"/>
      <w:start w:val="1"/>
    </w:lvl>
  </w:abstractNum>
  <w:abstractNum w:abstractNumId="22">
    <w:nsid w:val="5C482A97"/>
    <w:multiLevelType w:val="hybridMultilevel"/>
    <w:lvl w:ilvl="0">
      <w:lvlJc w:val="left"/>
      <w:lvlText w:val="1"/>
      <w:numFmt w:val="bullet"/>
      <w:start w:val="1"/>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
      <w:numFmt w:val="bullet"/>
      <w:start w:val="1"/>
    </w:lvl>
  </w:abstractNum>
  <w:abstractNum w:abstractNumId="25">
    <w:nsid w:val="51EAD36B"/>
    <w:multiLevelType w:val="hybridMultilevel"/>
    <w:lvl w:ilvl="0">
      <w:lvlJc w:val="left"/>
      <w:lvlText w:val="(%1)"/>
      <w:numFmt w:val="decimal"/>
      <w:start w:val="1"/>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
      <w:numFmt w:val="bullet"/>
      <w:start w:val="1"/>
    </w:lvl>
  </w:abstractNum>
  <w:abstractNum w:abstractNumId="28">
    <w:nsid w:val="153EA438"/>
    <w:multiLevelType w:val="hybridMultilevel"/>
    <w:lvl w:ilvl="0">
      <w:lvlJc w:val="left"/>
      <w:lvlText w:val="(%1)"/>
      <w:numFmt w:val="decimal"/>
      <w:start w:val="1"/>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
      <w:numFmt w:val="bullet"/>
      <w:start w:val="1"/>
    </w:lvl>
  </w:abstractNum>
  <w:abstractNum w:abstractNumId="31">
    <w:nsid w:val="6A2342EC"/>
    <w:multiLevelType w:val="hybridMultilevel"/>
    <w:lvl w:ilvl="0">
      <w:lvlJc w:val="left"/>
      <w:lvlText w:val="●"/>
      <w:numFmt w:val="bullet"/>
      <w:start w:val="1"/>
    </w:lvl>
  </w:abstractNum>
  <w:abstractNum w:abstractNumId="32">
    <w:nsid w:val="2A487CB0"/>
    <w:multiLevelType w:val="hybridMultilevel"/>
    <w:lvl w:ilvl="0">
      <w:lvlJc w:val="left"/>
      <w:lvlText w:val="●"/>
      <w:numFmt w:val="bullet"/>
      <w:start w:val="1"/>
    </w:lvl>
  </w:abstractNum>
  <w:abstractNum w:abstractNumId="33">
    <w:nsid w:val="1D4ED43B"/>
    <w:multiLevelType w:val="hybridMultilevel"/>
    <w:lvl w:ilvl="0">
      <w:lvlJc w:val="left"/>
      <w:lvlText w:val="●"/>
      <w:numFmt w:val="bullet"/>
      <w:start w:val="1"/>
    </w:lvl>
  </w:abstractNum>
  <w:abstractNum w:abstractNumId="34">
    <w:nsid w:val="725A06FB"/>
    <w:multiLevelType w:val="hybridMultilevel"/>
    <w:lvl w:ilvl="0">
      <w:lvlJc w:val="left"/>
      <w:lvlText w:val="●"/>
      <w:numFmt w:val="bullet"/>
      <w:start w:val="1"/>
    </w:lvl>
  </w:abstractNum>
  <w:abstractNum w:abstractNumId="35">
    <w:nsid w:val="2CD89A32"/>
    <w:multiLevelType w:val="hybridMultilevel"/>
    <w:lvl w:ilvl="0">
      <w:lvlJc w:val="left"/>
      <w:lvlText w:val="●"/>
      <w:numFmt w:val="bullet"/>
      <w:start w:val="1"/>
    </w:lvl>
  </w:abstractNum>
  <w:abstractNum w:abstractNumId="36">
    <w:nsid w:val="57E4CCAF"/>
    <w:multiLevelType w:val="hybridMultilevel"/>
    <w:lvl w:ilvl="0">
      <w:lvlJc w:val="left"/>
      <w:lvlText w:val="●"/>
      <w:numFmt w:val="bullet"/>
      <w:start w:val="1"/>
    </w:lvl>
  </w:abstractNum>
  <w:abstractNum w:abstractNumId="37">
    <w:nsid w:val="7A6D8D3C"/>
    <w:multiLevelType w:val="hybridMultilevel"/>
    <w:lvl w:ilvl="0">
      <w:lvlJc w:val="left"/>
      <w:lvlText w:val="●"/>
      <w:numFmt w:val="bullet"/>
      <w:start w:val="1"/>
    </w:lvl>
    <w:lvl w:ilvl="1">
      <w:lvlJc w:val="left"/>
      <w:lvlText w:val="●"/>
      <w:numFmt w:val="bullet"/>
      <w:start w:val="1"/>
    </w:lvl>
  </w:abstractNum>
  <w:abstractNum w:abstractNumId="38">
    <w:nsid w:val="4B588F54"/>
    <w:multiLevelType w:val="hybridMultilevel"/>
    <w:lvl w:ilvl="0">
      <w:lvlJc w:val="left"/>
      <w:lvlText w:val="(%1)"/>
      <w:numFmt w:val="decimal"/>
      <w:start w:val="1"/>
    </w:lvl>
  </w:abstractNum>
  <w:abstractNum w:abstractNumId="39">
    <w:nsid w:val="542289EC"/>
    <w:multiLevelType w:val="hybridMultilevel"/>
    <w:lvl w:ilvl="0">
      <w:lvlJc w:val="left"/>
      <w:lvlText w:val="(%1)"/>
      <w:numFmt w:val="decimal"/>
      <w:start w:val="1"/>
    </w:lvl>
  </w:abstractNum>
  <w:abstractNum w:abstractNumId="40">
    <w:nsid w:val="6DE91B18"/>
    <w:multiLevelType w:val="hybridMultilevel"/>
    <w:lvl w:ilvl="0">
      <w:lvlJc w:val="left"/>
      <w:lvlText w:val="●"/>
      <w:numFmt w:val="bullet"/>
      <w:start w:val="1"/>
    </w:lvl>
  </w:abstractNum>
  <w:abstractNum w:abstractNumId="41">
    <w:nsid w:val="38437FDB"/>
    <w:multiLevelType w:val="hybridMultilevel"/>
    <w:lvl w:ilvl="0">
      <w:lvlJc w:val="left"/>
      <w:lvlText w:val="(%1)"/>
      <w:numFmt w:val="decimal"/>
      <w:start w:val="1"/>
    </w:lvl>
  </w:abstractNum>
  <w:abstractNum w:abstractNumId="42">
    <w:nsid w:val="7644A45C"/>
    <w:multiLevelType w:val="hybridMultilevel"/>
    <w:lvl w:ilvl="0">
      <w:lvlJc w:val="left"/>
      <w:lvlText w:val="(%1)"/>
      <w:numFmt w:val="decimal"/>
      <w:start w:val="1"/>
    </w:lvl>
  </w:abstractNum>
  <w:abstractNum w:abstractNumId="43">
    <w:nsid w:val="32FFF902"/>
    <w:multiLevelType w:val="hybridMultilevel"/>
    <w:lvl w:ilvl="0">
      <w:lvlJc w:val="left"/>
      <w:lvlText w:val="[%1]"/>
      <w:numFmt w:val="decimal"/>
      <w:start w:val="1"/>
    </w:lvl>
  </w:abstractNum>
  <w:abstractNum w:abstractNumId="44">
    <w:nsid w:val="684A481A"/>
    <w:multiLevelType w:val="hybridMultilevel"/>
    <w:lvl w:ilvl="0">
      <w:lvlJc w:val="left"/>
      <w:lvlText w:val="[%1]"/>
      <w:numFmt w:val="decimal"/>
      <w:start w:val="1"/>
    </w:lvl>
  </w:abstractNum>
  <w:abstractNum w:abstractNumId="45">
    <w:nsid w:val="579478FE"/>
    <w:multiLevelType w:val="hybridMultilevel"/>
    <w:lvl w:ilvl="0">
      <w:lvlJc w:val="left"/>
      <w:lvlText w:val="(%1)"/>
      <w:numFmt w:val="decimal"/>
      <w:start w:val="1"/>
    </w:lvl>
  </w:abstractNum>
  <w:abstractNum w:abstractNumId="46">
    <w:nsid w:val="749ABB43"/>
    <w:multiLevelType w:val="hybridMultilevel"/>
    <w:lvl w:ilvl="0">
      <w:lvlJc w:val="left"/>
      <w:lvlText w:val="(%1)"/>
      <w:numFmt w:val="decimal"/>
      <w:start w:val="1"/>
    </w:lvl>
  </w:abstractNum>
  <w:abstractNum w:abstractNumId="47">
    <w:nsid w:val="3DC240FB"/>
    <w:multiLevelType w:val="hybridMultilevel"/>
    <w:lvl w:ilvl="0">
      <w:lvlJc w:val="left"/>
      <w:lvlText w:val="(%1)"/>
      <w:numFmt w:val="decimal"/>
      <w:start w:val="1"/>
    </w:lvl>
  </w:abstractNum>
  <w:abstractNum w:abstractNumId="48">
    <w:nsid w:val="1BA026FA"/>
    <w:multiLevelType w:val="hybridMultilevel"/>
    <w:lvl w:ilvl="0">
      <w:lvlJc w:val="left"/>
      <w:lvlText w:val="(%1)"/>
      <w:numFmt w:val="decimal"/>
      <w:start w:val="1"/>
    </w:lvl>
  </w:abstractNum>
  <w:abstractNum w:abstractNumId="49">
    <w:nsid w:val="79A1DEAA"/>
    <w:multiLevelType w:val="hybridMultilevel"/>
    <w:lvl w:ilvl="0">
      <w:lvlJc w:val="left"/>
      <w:lvlText w:val="(%1)"/>
      <w:numFmt w:val="decimal"/>
      <w:start w:val="1"/>
    </w:lvl>
  </w:abstractNum>
  <w:abstractNum w:abstractNumId="50">
    <w:nsid w:val="75C6C33A"/>
    <w:multiLevelType w:val="hybridMultilevel"/>
    <w:lvl w:ilvl="0">
      <w:lvlJc w:val="left"/>
      <w:lvlText w:val="(%1)"/>
      <w:numFmt w:val="decimal"/>
      <w:start w:val="1"/>
    </w:lvl>
  </w:abstractNum>
  <w:abstractNum w:abstractNumId="51">
    <w:nsid w:val="12E685FB"/>
    <w:multiLevelType w:val="hybridMultilevel"/>
    <w:lvl w:ilvl="0">
      <w:lvlJc w:val="left"/>
      <w:lvlText w:val="(%1)"/>
      <w:numFmt w:val="lowerRoman"/>
      <w:start w:val="1"/>
    </w:lvl>
  </w:abstractNum>
  <w:abstractNum w:abstractNumId="52">
    <w:nsid w:val="70C6A5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jpe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jpe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jpe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jpe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jpe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jpe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jpe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jpe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jpe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jpe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jpe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jpe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jpe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jpe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jpe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jpe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jpe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jpeg"/><Relationship Id="rId330" Type="http://schemas.openxmlformats.org/officeDocument/2006/relationships/image" Target="media/image323.jpeg"/><Relationship Id="rId331" Type="http://schemas.openxmlformats.org/officeDocument/2006/relationships/image" Target="media/image324.png"/><Relationship Id="rId332" Type="http://schemas.openxmlformats.org/officeDocument/2006/relationships/image" Target="media/image325.jpe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2026-05-18T10:52:57Z</dcterms:created>
  <dcterms:modified xsi:type="dcterms:W3CDTF">2026-05-18T10:52:57Z</dcterms:modified>
</cp:coreProperties>
</file>