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September,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FOR IMMEDIATE RELEASE: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please contact: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Jose Hung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Banco de Credito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(511) 313-2123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jhung@bcp.com.pe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Web site: http://www.credicorpnet.com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Alfredo Montero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General Manager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Banco de Credito, Miami Agency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Phone: (305) 448-0971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(305) 448-0981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amontero@bcpmiami.com</w:t>
      </w:r>
    </w:p>
    <w:p>
      <w:pPr>
        <w:spacing w:after="0" w:line="200" w:lineRule="exact"/>
        <w:rPr>
          <w:sz w:val="20"/>
          <w:szCs w:val="20"/>
          <w:color w:val="auto"/>
        </w:rPr>
      </w:pPr>
    </w:p>
    <w:p>
      <w:pPr>
        <w:sectPr>
          <w:pgSz w:w="11900" w:h="16838" w:orient="portrait"/>
          <w:cols w:equalWidth="0" w:num="2">
            <w:col w:w="6140" w:space="720"/>
            <w:col w:w="4560"/>
          </w:cols>
          <w:pgMar w:left="240" w:top="347" w:right="239" w:bottom="1440" w:gutter="0" w:footer="0" w:header="0"/>
        </w:sectPr>
      </w:pPr>
    </w:p>
    <w:p>
      <w:pPr>
        <w:spacing w:after="0" w:line="4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CREDICORP LTD. ANNOUNCES FINANCIAL RESULTS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JUNE 30, 2003</w:t>
      </w:r>
    </w:p>
    <w:p>
      <w:pPr>
        <w:sectPr>
          <w:pgSz w:w="11900" w:h="16838" w:orient="portrait"/>
          <w:cols w:equalWidth="0" w:num="1">
            <w:col w:w="11420"/>
          </w:cols>
          <w:pgMar w:left="240" w:top="347" w:right="239" w:bottom="1440" w:gutter="0" w:footer="0" w:header="0"/>
          <w:type w:val="continuous"/>
        </w:sectPr>
      </w:pPr>
    </w:p>
    <w:p>
      <w:pPr>
        <w:spacing w:after="0" w:line="21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(Lima, Peru, August 14, 2003) — Credicorp Ltd. (“Credicorp”) (NYSE:BAP; LSE:BAPC1) today announced its financial results for the quarter ended June 30, 2003.</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 reported a consolidated net income of US$30.8 million for the six month period ended June 30, 2003, 19.5% above net income of US$25.8 million in the first half of 2002, resulting in US$0.39 and US$0.32 per share, respectively. Net income in the second quarter 2003 was US$28.3 million, or US$0.35 per share, compared with US$11.0 million in the same year-ago period, or US$0.14 per share.</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Results in the first half and in the second quarter of 2003 improve with respect to net income in the same periods in 2002, mainly due to: higher fee revenue from banking services; a US$3.0 million gain from the sale of long term investments by PPS, net of income taxes and minority interests; and, lower loan loss provisions (specially in the second quarter). Increases in income could offset expense growth, which include costs due to the merger of Banco Santander Central Hispano-Peru (“BSCH-Peru”), most of which were incurred through March 2003. Merger expenses mostly explain the low net income in the first quarter 2003, which was US$2.5 million (US$0.03 per share).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 CREDICORP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RESULTS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U.S.$ millions, except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6"/>
              </w:rPr>
              <w:t>Three months ended</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50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30.06.02</w:t>
            </w: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31.03.03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w w:val="91"/>
              </w:rPr>
              <w:t>30.06.03</w:t>
            </w:r>
          </w:p>
        </w:tc>
        <w:tc>
          <w:tcPr>
            <w:tcW w:w="12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30.06.02</w:t>
            </w:r>
          </w:p>
        </w:tc>
        <w:tc>
          <w:tcPr>
            <w:tcW w:w="1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30.06.03</w:t>
            </w:r>
          </w:p>
        </w:tc>
      </w:tr>
      <w:tr>
        <w:trPr>
          <w:trHeight w:val="110"/>
        </w:trPr>
        <w:tc>
          <w:tcPr>
            <w:tcW w:w="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r>
      <w:tr>
        <w:trPr>
          <w:trHeight w:val="309"/>
        </w:trPr>
        <w:tc>
          <w:tcPr>
            <w:tcW w:w="4360" w:type="dxa"/>
            <w:vAlign w:val="bottom"/>
            <w:gridSpan w:val="4"/>
          </w:tcPr>
          <w:p>
            <w:pPr>
              <w:spacing w:after="0"/>
              <w:rPr>
                <w:sz w:val="20"/>
                <w:szCs w:val="20"/>
                <w:color w:val="auto"/>
              </w:rPr>
            </w:pPr>
            <w:r>
              <w:rPr>
                <w:rFonts w:ascii="Arial" w:cs="Arial" w:eastAsia="Arial" w:hAnsi="Arial"/>
                <w:sz w:val="18"/>
                <w:szCs w:val="18"/>
                <w:color w:val="auto"/>
              </w:rPr>
              <w:t>Net interest income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86,1</w:t>
            </w:r>
          </w:p>
        </w:tc>
        <w:tc>
          <w:tcPr>
            <w:tcW w:w="14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4"/>
                <w:szCs w:val="24"/>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170,3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177,9</w:t>
            </w:r>
          </w:p>
        </w:tc>
      </w:tr>
      <w:tr>
        <w:trPr>
          <w:trHeight w:val="216"/>
        </w:trPr>
        <w:tc>
          <w:tcPr>
            <w:tcW w:w="4360" w:type="dxa"/>
            <w:vAlign w:val="bottom"/>
            <w:gridSpan w:val="4"/>
          </w:tcPr>
          <w:p>
            <w:pPr>
              <w:spacing w:after="0"/>
              <w:rPr>
                <w:sz w:val="20"/>
                <w:szCs w:val="20"/>
                <w:color w:val="auto"/>
              </w:rPr>
            </w:pPr>
            <w:r>
              <w:rPr>
                <w:rFonts w:ascii="Arial" w:cs="Arial" w:eastAsia="Arial" w:hAnsi="Arial"/>
                <w:sz w:val="18"/>
                <w:szCs w:val="18"/>
                <w:color w:val="auto"/>
              </w:rPr>
              <w:t>Provisions for possible loan losses, net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55,7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53,9</w:t>
            </w:r>
          </w:p>
        </w:tc>
      </w:tr>
      <w:tr>
        <w:trPr>
          <w:trHeight w:val="216"/>
        </w:trPr>
        <w:tc>
          <w:tcPr>
            <w:tcW w:w="4360" w:type="dxa"/>
            <w:vAlign w:val="bottom"/>
            <w:gridSpan w:val="4"/>
          </w:tcPr>
          <w:p>
            <w:pPr>
              <w:spacing w:after="0"/>
              <w:rPr>
                <w:sz w:val="20"/>
                <w:szCs w:val="20"/>
                <w:color w:val="auto"/>
              </w:rPr>
            </w:pPr>
            <w:r>
              <w:rPr>
                <w:rFonts w:ascii="Arial" w:cs="Arial" w:eastAsia="Arial" w:hAnsi="Arial"/>
                <w:sz w:val="18"/>
                <w:szCs w:val="18"/>
                <w:color w:val="auto"/>
              </w:rPr>
              <w:t>Other income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93,8</w:t>
            </w:r>
          </w:p>
        </w:tc>
        <w:tc>
          <w:tcPr>
            <w:tcW w:w="1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112,5</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185,3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222,1</w:t>
            </w:r>
          </w:p>
        </w:tc>
      </w:tr>
      <w:tr>
        <w:trPr>
          <w:trHeight w:val="216"/>
        </w:trPr>
        <w:tc>
          <w:tcPr>
            <w:tcW w:w="4360" w:type="dxa"/>
            <w:vAlign w:val="bottom"/>
            <w:gridSpan w:val="4"/>
          </w:tcPr>
          <w:p>
            <w:pPr>
              <w:spacing w:after="0"/>
              <w:rPr>
                <w:sz w:val="20"/>
                <w:szCs w:val="20"/>
                <w:color w:val="auto"/>
              </w:rPr>
            </w:pPr>
            <w:r>
              <w:rPr>
                <w:rFonts w:ascii="Arial" w:cs="Arial" w:eastAsia="Arial" w:hAnsi="Arial"/>
                <w:sz w:val="18"/>
                <w:szCs w:val="18"/>
                <w:color w:val="auto"/>
              </w:rPr>
              <w:t>Claims on insurance activities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47,9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51,6</w:t>
            </w:r>
          </w:p>
        </w:tc>
      </w:tr>
      <w:tr>
        <w:trPr>
          <w:trHeight w:val="216"/>
        </w:trPr>
        <w:tc>
          <w:tcPr>
            <w:tcW w:w="4360" w:type="dxa"/>
            <w:vAlign w:val="bottom"/>
            <w:gridSpan w:val="4"/>
          </w:tcPr>
          <w:p>
            <w:pPr>
              <w:spacing w:after="0"/>
              <w:rPr>
                <w:sz w:val="20"/>
                <w:szCs w:val="20"/>
                <w:color w:val="auto"/>
              </w:rPr>
            </w:pPr>
            <w:r>
              <w:rPr>
                <w:rFonts w:ascii="Arial" w:cs="Arial" w:eastAsia="Arial" w:hAnsi="Arial"/>
                <w:sz w:val="18"/>
                <w:szCs w:val="18"/>
                <w:color w:val="auto"/>
              </w:rPr>
              <w:t>Other expenses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109,1</w:t>
            </w:r>
          </w:p>
        </w:tc>
        <w:tc>
          <w:tcPr>
            <w:tcW w:w="2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112,4</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201,0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221,5</w:t>
            </w:r>
          </w:p>
        </w:tc>
      </w:tr>
      <w:tr>
        <w:trPr>
          <w:trHeight w:val="216"/>
        </w:trPr>
        <w:tc>
          <w:tcPr>
            <w:tcW w:w="4360" w:type="dxa"/>
            <w:vAlign w:val="bottom"/>
            <w:gridSpan w:val="4"/>
          </w:tcPr>
          <w:p>
            <w:pPr>
              <w:spacing w:after="0"/>
              <w:rPr>
                <w:sz w:val="20"/>
                <w:szCs w:val="20"/>
                <w:color w:val="auto"/>
              </w:rPr>
            </w:pPr>
            <w:r>
              <w:rPr>
                <w:rFonts w:ascii="Arial" w:cs="Arial" w:eastAsia="Arial" w:hAnsi="Arial"/>
                <w:sz w:val="18"/>
                <w:szCs w:val="18"/>
                <w:color w:val="auto"/>
              </w:rPr>
              <w:t>Merger costs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4360" w:type="dxa"/>
            <w:vAlign w:val="bottom"/>
            <w:gridSpan w:val="4"/>
          </w:tcPr>
          <w:p>
            <w:pPr>
              <w:spacing w:after="0"/>
              <w:rPr>
                <w:sz w:val="20"/>
                <w:szCs w:val="20"/>
                <w:color w:val="auto"/>
              </w:rPr>
            </w:pPr>
            <w:r>
              <w:rPr>
                <w:rFonts w:ascii="Arial" w:cs="Arial" w:eastAsia="Arial" w:hAnsi="Arial"/>
                <w:sz w:val="18"/>
                <w:szCs w:val="18"/>
                <w:color w:val="auto"/>
              </w:rPr>
              <w:t>Translation result</w:t>
            </w:r>
          </w:p>
        </w:tc>
        <w:tc>
          <w:tcPr>
            <w:tcW w:w="2640" w:type="dxa"/>
            <w:vAlign w:val="bottom"/>
            <w:gridSpan w:val="3"/>
          </w:tcPr>
          <w:p>
            <w:pPr>
              <w:jc w:val="right"/>
              <w:ind w:right="140"/>
              <w:spacing w:after="0"/>
              <w:rPr>
                <w:sz w:val="20"/>
                <w:szCs w:val="20"/>
                <w:color w:val="auto"/>
              </w:rPr>
            </w:pPr>
            <w:r>
              <w:rPr>
                <w:rFonts w:ascii="Arial" w:cs="Arial" w:eastAsia="Arial" w:hAnsi="Arial"/>
                <w:sz w:val="18"/>
                <w:szCs w:val="18"/>
                <w:color w:val="auto"/>
              </w:rPr>
              <w:t>(0,1)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184"/>
        </w:trPr>
        <w:tc>
          <w:tcPr>
            <w:tcW w:w="4360" w:type="dxa"/>
            <w:vAlign w:val="bottom"/>
            <w:gridSpan w:val="4"/>
          </w:tcPr>
          <w:p>
            <w:pPr>
              <w:spacing w:after="0" w:line="184" w:lineRule="exact"/>
              <w:rPr>
                <w:sz w:val="20"/>
                <w:szCs w:val="20"/>
                <w:color w:val="auto"/>
              </w:rPr>
            </w:pPr>
            <w:r>
              <w:rPr>
                <w:rFonts w:ascii="Arial" w:cs="Arial" w:eastAsia="Arial" w:hAnsi="Arial"/>
                <w:sz w:val="18"/>
                <w:szCs w:val="18"/>
                <w:color w:val="auto"/>
              </w:rPr>
              <w:t>Income before income tax and</w:t>
            </w:r>
          </w:p>
        </w:tc>
        <w:tc>
          <w:tcPr>
            <w:tcW w:w="2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96"/>
        </w:trPr>
        <w:tc>
          <w:tcPr>
            <w:tcW w:w="11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minority interest</w:t>
            </w:r>
          </w:p>
        </w:tc>
        <w:tc>
          <w:tcPr>
            <w:tcW w:w="960" w:type="dxa"/>
            <w:vAlign w:val="bottom"/>
            <w:tcBorders>
              <w:top w:val="single" w:sz="8" w:color="auto"/>
            </w:tcBorders>
          </w:tcPr>
          <w:p>
            <w:pPr>
              <w:spacing w:after="0"/>
              <w:rPr>
                <w:sz w:val="17"/>
                <w:szCs w:val="17"/>
                <w:color w:val="auto"/>
              </w:rPr>
            </w:pPr>
          </w:p>
        </w:tc>
        <w:tc>
          <w:tcPr>
            <w:tcW w:w="2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74"/>
              </w:rPr>
              <w:t>22,2</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5"/>
              </w:rPr>
              <w:t>10,6</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85"/>
              </w:rPr>
              <w:t>40,7</w:t>
            </w:r>
          </w:p>
        </w:tc>
        <w:tc>
          <w:tcPr>
            <w:tcW w:w="120" w:type="dxa"/>
            <w:vAlign w:val="bottom"/>
          </w:tcPr>
          <w:p>
            <w:pPr>
              <w:spacing w:after="0"/>
              <w:rPr>
                <w:sz w:val="17"/>
                <w:szCs w:val="17"/>
                <w:color w:val="auto"/>
              </w:rPr>
            </w:pPr>
          </w:p>
        </w:tc>
        <w:tc>
          <w:tcPr>
            <w:tcW w:w="1140" w:type="dxa"/>
            <w:vAlign w:val="bottom"/>
            <w:gridSpan w:val="3"/>
          </w:tcPr>
          <w:p>
            <w:pPr>
              <w:jc w:val="right"/>
              <w:ind w:right="140"/>
              <w:spacing w:after="0" w:line="196" w:lineRule="exact"/>
              <w:rPr>
                <w:sz w:val="20"/>
                <w:szCs w:val="20"/>
                <w:color w:val="auto"/>
              </w:rPr>
            </w:pPr>
            <w:r>
              <w:rPr>
                <w:rFonts w:ascii="Arial" w:cs="Arial" w:eastAsia="Arial" w:hAnsi="Arial"/>
                <w:sz w:val="18"/>
                <w:szCs w:val="18"/>
                <w:color w:val="auto"/>
              </w:rPr>
              <w:t>49,0</w:t>
            </w: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51,4</w:t>
            </w:r>
          </w:p>
        </w:tc>
      </w:tr>
      <w:tr>
        <w:trPr>
          <w:trHeight w:val="20"/>
        </w:trPr>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22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28"/>
        </w:trPr>
        <w:tc>
          <w:tcPr>
            <w:tcW w:w="118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3180" w:type="dxa"/>
            <w:vAlign w:val="bottom"/>
            <w:gridSpan w:val="2"/>
          </w:tcPr>
          <w:p>
            <w:pPr>
              <w:spacing w:after="0"/>
              <w:rPr>
                <w:sz w:val="19"/>
                <w:szCs w:val="19"/>
                <w:color w:val="auto"/>
              </w:rPr>
            </w:pPr>
          </w:p>
        </w:tc>
        <w:tc>
          <w:tcPr>
            <w:tcW w:w="2640" w:type="dxa"/>
            <w:vAlign w:val="bottom"/>
            <w:gridSpan w:val="3"/>
          </w:tcPr>
          <w:p>
            <w:pPr>
              <w:jc w:val="right"/>
              <w:ind w:right="140"/>
              <w:spacing w:after="0"/>
              <w:rPr>
                <w:sz w:val="20"/>
                <w:szCs w:val="20"/>
                <w:color w:val="auto"/>
              </w:rPr>
            </w:pPr>
            <w:r>
              <w:rPr>
                <w:rFonts w:ascii="Arial" w:cs="Arial" w:eastAsia="Arial" w:hAnsi="Arial"/>
                <w:sz w:val="18"/>
                <w:szCs w:val="18"/>
                <w:color w:val="auto"/>
              </w:rPr>
              <w:t>(9,1)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(9,8)</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(17,8)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(16,6)</w:t>
            </w:r>
          </w:p>
        </w:tc>
      </w:tr>
      <w:tr>
        <w:trPr>
          <w:trHeight w:val="210"/>
        </w:trPr>
        <w:tc>
          <w:tcPr>
            <w:tcW w:w="4360" w:type="dxa"/>
            <w:vAlign w:val="bottom"/>
            <w:gridSpan w:val="4"/>
          </w:tcPr>
          <w:p>
            <w:pPr>
              <w:spacing w:after="0"/>
              <w:rPr>
                <w:sz w:val="20"/>
                <w:szCs w:val="20"/>
                <w:color w:val="auto"/>
              </w:rPr>
            </w:pPr>
            <w:r>
              <w:rPr>
                <w:rFonts w:ascii="Arial" w:cs="Arial" w:eastAsia="Arial" w:hAnsi="Arial"/>
                <w:sz w:val="18"/>
                <w:szCs w:val="18"/>
                <w:color w:val="auto"/>
              </w:rPr>
              <w:t>Minority Interest</w:t>
            </w:r>
          </w:p>
        </w:tc>
        <w:tc>
          <w:tcPr>
            <w:tcW w:w="2640" w:type="dxa"/>
            <w:vAlign w:val="bottom"/>
            <w:gridSpan w:val="3"/>
          </w:tcPr>
          <w:p>
            <w:pPr>
              <w:jc w:val="right"/>
              <w:ind w:right="140"/>
              <w:spacing w:after="0"/>
              <w:rPr>
                <w:sz w:val="20"/>
                <w:szCs w:val="20"/>
                <w:color w:val="auto"/>
              </w:rPr>
            </w:pPr>
            <w:r>
              <w:rPr>
                <w:rFonts w:ascii="Arial" w:cs="Arial" w:eastAsia="Arial" w:hAnsi="Arial"/>
                <w:sz w:val="18"/>
                <w:szCs w:val="18"/>
                <w:color w:val="auto"/>
              </w:rPr>
              <w:t>(2,1)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(2,6)</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(5,4)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190"/>
        </w:trPr>
        <w:tc>
          <w:tcPr>
            <w:tcW w:w="880" w:type="dxa"/>
            <w:vAlign w:val="bottom"/>
          </w:tcPr>
          <w:p>
            <w:pPr>
              <w:spacing w:after="0" w:line="190" w:lineRule="exact"/>
              <w:rPr>
                <w:sz w:val="20"/>
                <w:szCs w:val="20"/>
                <w:color w:val="auto"/>
              </w:rPr>
            </w:pPr>
            <w:r>
              <w:rPr>
                <w:rFonts w:ascii="Arial" w:cs="Arial" w:eastAsia="Arial" w:hAnsi="Arial"/>
                <w:sz w:val="18"/>
                <w:szCs w:val="18"/>
                <w:b w:val="1"/>
                <w:bCs w:val="1"/>
                <w:color w:val="auto"/>
                <w:w w:val="88"/>
              </w:rPr>
              <w:t>Net Income</w:t>
            </w:r>
          </w:p>
        </w:tc>
        <w:tc>
          <w:tcPr>
            <w:tcW w:w="3480" w:type="dxa"/>
            <w:vAlign w:val="bottom"/>
            <w:gridSpan w:val="3"/>
          </w:tcPr>
          <w:p>
            <w:pPr>
              <w:spacing w:after="0"/>
              <w:rPr>
                <w:sz w:val="16"/>
                <w:szCs w:val="16"/>
                <w:color w:val="auto"/>
              </w:rPr>
            </w:pPr>
          </w:p>
        </w:tc>
        <w:tc>
          <w:tcPr>
            <w:tcW w:w="2640" w:type="dxa"/>
            <w:vAlign w:val="bottom"/>
            <w:gridSpan w:val="3"/>
          </w:tcPr>
          <w:p>
            <w:pPr>
              <w:jc w:val="right"/>
              <w:ind w:right="140"/>
              <w:spacing w:after="0" w:line="190" w:lineRule="exact"/>
              <w:rPr>
                <w:sz w:val="20"/>
                <w:szCs w:val="20"/>
                <w:color w:val="auto"/>
              </w:rPr>
            </w:pPr>
            <w:r>
              <w:rPr>
                <w:rFonts w:ascii="Arial" w:cs="Arial" w:eastAsia="Arial" w:hAnsi="Arial"/>
                <w:sz w:val="18"/>
                <w:szCs w:val="18"/>
                <w:b w:val="1"/>
                <w:bCs w:val="1"/>
                <w:color w:val="auto"/>
              </w:rPr>
              <w:t>11,0</w:t>
            </w:r>
          </w:p>
        </w:tc>
        <w:tc>
          <w:tcPr>
            <w:tcW w:w="1020" w:type="dxa"/>
            <w:vAlign w:val="bottom"/>
            <w:gridSpan w:val="3"/>
          </w:tcPr>
          <w:p>
            <w:pPr>
              <w:jc w:val="right"/>
              <w:spacing w:after="0" w:line="190" w:lineRule="exact"/>
              <w:rPr>
                <w:sz w:val="20"/>
                <w:szCs w:val="20"/>
                <w:color w:val="auto"/>
              </w:rPr>
            </w:pPr>
            <w:r>
              <w:rPr>
                <w:rFonts w:ascii="Arial" w:cs="Arial" w:eastAsia="Arial" w:hAnsi="Arial"/>
                <w:sz w:val="18"/>
                <w:szCs w:val="18"/>
                <w:b w:val="1"/>
                <w:bCs w:val="1"/>
                <w:color w:val="auto"/>
              </w:rPr>
              <w:t>2,5</w:t>
            </w:r>
          </w:p>
        </w:tc>
        <w:tc>
          <w:tcPr>
            <w:tcW w:w="220" w:type="dxa"/>
            <w:vAlign w:val="bottom"/>
          </w:tcPr>
          <w:p>
            <w:pPr>
              <w:spacing w:after="0"/>
              <w:rPr>
                <w:sz w:val="16"/>
                <w:szCs w:val="16"/>
                <w:color w:val="auto"/>
              </w:rPr>
            </w:pPr>
          </w:p>
        </w:tc>
        <w:tc>
          <w:tcPr>
            <w:tcW w:w="92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rPr>
              <w:t>28,3</w:t>
            </w:r>
          </w:p>
        </w:tc>
        <w:tc>
          <w:tcPr>
            <w:tcW w:w="120" w:type="dxa"/>
            <w:vAlign w:val="bottom"/>
          </w:tcPr>
          <w:p>
            <w:pPr>
              <w:spacing w:after="0"/>
              <w:rPr>
                <w:sz w:val="16"/>
                <w:szCs w:val="16"/>
                <w:color w:val="auto"/>
              </w:rPr>
            </w:pPr>
          </w:p>
        </w:tc>
        <w:tc>
          <w:tcPr>
            <w:tcW w:w="1140" w:type="dxa"/>
            <w:vAlign w:val="bottom"/>
            <w:gridSpan w:val="3"/>
          </w:tcPr>
          <w:p>
            <w:pPr>
              <w:jc w:val="right"/>
              <w:ind w:right="140"/>
              <w:spacing w:after="0" w:line="190" w:lineRule="exact"/>
              <w:rPr>
                <w:sz w:val="20"/>
                <w:szCs w:val="20"/>
                <w:color w:val="auto"/>
              </w:rPr>
            </w:pPr>
            <w:r>
              <w:rPr>
                <w:rFonts w:ascii="Arial" w:cs="Arial" w:eastAsia="Arial" w:hAnsi="Arial"/>
                <w:sz w:val="18"/>
                <w:szCs w:val="18"/>
                <w:b w:val="1"/>
                <w:bCs w:val="1"/>
                <w:color w:val="auto"/>
              </w:rPr>
              <w:t>25,8</w:t>
            </w:r>
          </w:p>
        </w:tc>
        <w:tc>
          <w:tcPr>
            <w:tcW w:w="100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rPr>
              <w:t>30,8</w:t>
            </w:r>
          </w:p>
        </w:tc>
      </w:tr>
      <w:tr>
        <w:trPr>
          <w:trHeight w:val="20"/>
        </w:trPr>
        <w:tc>
          <w:tcPr>
            <w:tcW w:w="880" w:type="dxa"/>
            <w:vAlign w:val="bottom"/>
            <w:shd w:val="clear" w:color="auto" w:fill="000000"/>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35"/>
        </w:trPr>
        <w:tc>
          <w:tcPr>
            <w:tcW w:w="4360" w:type="dxa"/>
            <w:vAlign w:val="bottom"/>
            <w:gridSpan w:val="4"/>
          </w:tcPr>
          <w:p>
            <w:pPr>
              <w:spacing w:after="0"/>
              <w:rPr>
                <w:sz w:val="20"/>
                <w:szCs w:val="20"/>
                <w:color w:val="auto"/>
              </w:rPr>
            </w:pPr>
            <w:r>
              <w:rPr>
                <w:rFonts w:ascii="Arial" w:cs="Arial" w:eastAsia="Arial" w:hAnsi="Arial"/>
                <w:sz w:val="18"/>
                <w:szCs w:val="18"/>
                <w:color w:val="auto"/>
              </w:rPr>
              <w:t>Net Income per share (1)</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0"/>
                <w:szCs w:val="20"/>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0,32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0,39</w:t>
            </w:r>
          </w:p>
        </w:tc>
      </w:tr>
      <w:tr>
        <w:trPr>
          <w:trHeight w:val="110"/>
        </w:trPr>
        <w:tc>
          <w:tcPr>
            <w:tcW w:w="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Based on 79.8 million net outstanding shares in all periods</w:t>
      </w:r>
    </w:p>
    <w:p>
      <w:pPr>
        <w:spacing w:after="0" w:line="1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i w:val="1"/>
          <w:iCs w:val="1"/>
          <w:color w:val="auto"/>
        </w:rPr>
        <w:t>The total number of shares is 94.4 million, however, as 14.6 million are held by affiliates as treasury shares, the net consolidated outstanding shares are 79.8 million.</w:t>
      </w:r>
    </w:p>
    <w:p>
      <w:pPr>
        <w:sectPr>
          <w:pgSz w:w="11900" w:h="16838" w:orient="portrait"/>
          <w:cols w:equalWidth="0" w:num="1">
            <w:col w:w="11420"/>
          </w:cols>
          <w:pgMar w:left="240" w:top="347"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I.1 PERUVIAN ECONOMIC SITUATION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Economic Activity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Cumulative GDP growth through May 2003 was 4.3%, compared to the same year-ago period, lower than growth rates experinced since the second quarter 2002. In the month of March 2003 GDP grew 6.0%, due in part to the positive timing effect of the Easter holidays, that shifted to April 2003 from March in 2002, which had a compensating low 2.9% growth in April 2003. May 2003 GDP growth was 1.8% due to declines in fishing, in agriculture and commerce, noting that in this month severe labor strikes took place (agriculture, transportation and state teachers). Lower growth in the current quarter points to the expected economic slowdown which may result in less than a 4% growth for total year 2003, compared to 5.4% in 2002. It is still early to analyze the economic effect of higher taxes, that are currently being levied in order to meet fiscal deficit targets.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Cumulative through May 2003, various non-primary sectors grew over 4%, which nevertheless are rates lower than those reported in the second half of 2002, while metals mining continued a positive trend. Through May 2003, the metals mining sector grew 8.3%, services up by 4.8%, non-primary manufacturing grew 4.4%, and electricity and water by 4.2%.</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Data available through the first quarter 2003, show that all components of domestic demand evolved positively and drove GDP growth. In this quarter, domestic demand grew 5.1%, which is the lowest rate since the first quarter 2002. Nevertheless, private investment grew 6.9%, but from a very depressed level, managing to grow for the third consecutive quarter and at a rate not seen since 1998.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Public Finance</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Public sector deficit was 1% in the first quarter of 2003, below 1.1% in the same period of 2002. This positive result is due to increased Central Government current income that reached 14.7% of GDP, higher than 13.4% in the same prior year period, which offset higher non-financial expenditures, that went from 13.1% to 13.4% of GDP, and a lower result from state companies, mainly from the delay in the adjustment of gasoline and prices of other fuels.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Through May 2003, tax collection increased 14%, in real terms, compared to the same prior year period, partly due to the statistical effect of the comparison with a low 2002 base, in addition to new tax compliance measures. Worthy of note are the 37% increase of Income Tax revenue and the 12% in case of the value-added tax (IGV). The statistical effect will lessen in the second half of 2003 mainly because the new tax measures were put into effect in the second part of 2002. Non-financial expenses increased 7.4%, and additional increases are expected to carry out agreements with various unions. The Government expects to comply with the 1.9% deficit target for fiscal 2003, for which measures have been taken to reduce expenses and increase tax collection, and new taxes are being proposed, some of which require enactment of new legislation by Congress.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Prices and Devaluation</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the second quarter of 2003, the consumer price index in Peru decreased 0.6%, compared to the high 1.8% increase in the preceding first quarter, that was due to higher fuel prices. Price contraction in the current period is mainly due to declining prices of fuel for vehicles and for house consumption, and to lower food prices. Inflation for the last 12 months reached 2.2%, and 1.3% in the first half of 2003, which is below the range (1.5% to 3.5%) targetted by the Central Bank for total 2003. The wholesale price index decreased 0.7% in the current quarter, compared to a 1.1% increase in the preceding first quarter.</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average bank market Nuevos Soles exchange rate in Peru was S/.3.471 at June 30, 2003, remaining almost unchanged compared to S/.3.474 at the beginning of the second quarter, but declines 1.2% from S/.3.514 as of December 31, 2002. Nevertheless, during the quarter the foreign exchange market had some volatility, with the exchange rate increasing up to S/.3.50 during May, due to political instability and the discussion of new tax measures.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Reserves</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International reserves of the Central Bank decreased during the second quarter of 2003, from US$10,443 million at March 31, 2003 to US$9,997 million at June 30, 2003, but remain over US$9,598 million of December 31, 2002. The decrease was mainly due to foreign debt payments made by the public sector.</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Trade Balance had a US$58 million cumulative surplus through May 2003, compared to a US$179 million deficit in the same five month period of 2002. The improvement is due to the 22% increase in exports versus a 13% increase in imports. Exports, which reached US$3,407 million in the first five months of 2003, grow on increased volume and prices of the principal traditional exports, which grew 27%, while non-traditional exports grew 13%. Imports through May 2003 amounted to US$3,349 million, mainly due to higher imports of oil and capital goods.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Financial System</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second quarter 2003 loan volumes had a slightly positive trend, while deposits declined, within a continuing excess liquidity position. Deposits at June 30, 2003 in the fourteen commercial banks in the system reached S/.48.1 billion (US$13.9 billion), according to the Asociación de Bancos del Peru (ASBANC), a 0.7% decrease in nominal terms compared to March 31, 2003, but are 3.4% higher than deposits at June 30, 2002.</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2003, total loans in the banking system increased 1.0%, in nominal terms, to S/.36.4 billion (US$10.5 billion). Nevertheless, with respect to June 2002, total loans are lower by 1.6%. In the current period, local currency loans (21.9% of total loans) grew 1.8% to S/.7.9 billion (US$2.3 billion), while foreign currency loans grew 0.8% to US$8.2 billion.</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2003, the Peruvian bank’s past due ratio was 7.9%, remaining almost unchanged since the beginning of 2003, but improve over the 8.2% rate in June 30, 2002.</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Commercial banks’ past due loans grew 1.3% during the current quarter to S/.2.9 billion (US$823 million), but are lower by 5.4% compared to bad loans at June 2002 (in nominal terms). At June 30, 2003, loan loss provisions were S/.3.7 billion (US$1.1 billion), decreasing 2.1% during this quarter. The system-wide past due loan coverage ratio was 128.0% at June 30, 2003, higher than 124.9% coverage at June 2002, but decreases from 132.5% in the preceding first quarter.</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second quarter 2003 commercial banks’ interest rates continued their declining trend due to excess liquidity, but at a slower pace, and specially for local currency operations. Local currency average loan rates (TAMN) were 20.2% in second quarter 2003, remaining similar to rates in the first quarter of 2003, while deposits rates (TIPMN) decreased to 3.3% from 3.5%, respectively. In the fourth quarter 2002, TAMN was 21.1% and TIPMN was 3.7%. The average local currency interbank rates remained at 3.8% in the current quarter. Foreign currency loan rates (TAMEX) and deposit rates (TIPMEX) remained similar to the ones in the first quarter 2003, 10.1% and 1.2%, respectively.</w:t>
      </w:r>
    </w:p>
    <w:p>
      <w:pPr>
        <w:sectPr>
          <w:pgSz w:w="11900" w:h="16838" w:orient="portrait"/>
          <w:cols w:equalWidth="0" w:num="1">
            <w:col w:w="11420"/>
          </w:cols>
          <w:pgMar w:left="240" w:top="13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I.2 INTEREST INCOME AND OTHER INCOME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interest income in the second quarter of 2003 was US$89.0 million, 3.4% over income earned in the same period of 2002, mostly due to higher loan volumes partly offset by decreased interest margins. The net interest margin (net interest income over average interest earning assets), on an annualized basis, was 5.32% during the second quarter of 2003, lower than 6.00% in the year-ago quarter, but increases compared to 5.17% in the preceding first quarter of 2003. Increased net interest margin with respect to the preceding quarter is principally due to higher returns in Nuevos Soles investments, in spite of lower lending rates, noting the continuing overall excess of liquid funds.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volume of interest earning assets, as an average between quarterly ending balances, reached US$6,697 million in the period, increasing 16.6% compared to US$5,741 million in the second quarter of 2002 mostly due to volume from the merger of BSCH-Peru.</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Non-interest income was US$109.6 million in the second quarter of 2003, 16.9% higher than US$93.8 million in the same period of 2002, principally due to higher income from banking fees and from gains on securities, where US$5.7 million was obtained from the sale by PPS of long term investments. The Other income caption, US$16.5 million in the current quarter, decreases from US$28.2 million in the first quarter of 2003, which had higher recoveries of charged-off accounts and US$5.7 million of deferred earnings that did not have an effect in net income since offsetting loan loss provisions for the same amount were registered. Non-interest income components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59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780" w:type="dxa"/>
            <w:vAlign w:val="bottom"/>
          </w:tcPr>
          <w:p>
            <w:pPr>
              <w:jc w:val="right"/>
              <w:ind w:right="292"/>
              <w:spacing w:after="0"/>
              <w:rPr>
                <w:sz w:val="20"/>
                <w:szCs w:val="20"/>
                <w:color w:val="auto"/>
              </w:rPr>
            </w:pPr>
            <w:r>
              <w:rPr>
                <w:rFonts w:ascii="Arial" w:cs="Arial" w:eastAsia="Arial" w:hAnsi="Arial"/>
                <w:sz w:val="18"/>
                <w:szCs w:val="18"/>
                <w:b w:val="1"/>
                <w:bCs w:val="1"/>
                <w:color w:val="auto"/>
              </w:rPr>
              <w:t>2Q02</w:t>
            </w:r>
          </w:p>
        </w:tc>
        <w:tc>
          <w:tcPr>
            <w:tcW w:w="1140" w:type="dxa"/>
            <w:vAlign w:val="bottom"/>
          </w:tcPr>
          <w:p>
            <w:pPr>
              <w:jc w:val="right"/>
              <w:ind w:right="272"/>
              <w:spacing w:after="0"/>
              <w:rPr>
                <w:sz w:val="20"/>
                <w:szCs w:val="20"/>
                <w:color w:val="auto"/>
              </w:rPr>
            </w:pPr>
            <w:r>
              <w:rPr>
                <w:rFonts w:ascii="Arial" w:cs="Arial" w:eastAsia="Arial" w:hAnsi="Arial"/>
                <w:sz w:val="18"/>
                <w:szCs w:val="18"/>
                <w:b w:val="1"/>
                <w:bCs w:val="1"/>
                <w:color w:val="auto"/>
              </w:rPr>
              <w:t>1Q03</w:t>
            </w:r>
          </w:p>
        </w:tc>
        <w:tc>
          <w:tcPr>
            <w:tcW w:w="1020" w:type="dxa"/>
            <w:vAlign w:val="bottom"/>
          </w:tcPr>
          <w:p>
            <w:pPr>
              <w:jc w:val="right"/>
              <w:ind w:right="152"/>
              <w:spacing w:after="0"/>
              <w:rPr>
                <w:sz w:val="20"/>
                <w:szCs w:val="20"/>
                <w:color w:val="auto"/>
              </w:rPr>
            </w:pPr>
            <w:r>
              <w:rPr>
                <w:rFonts w:ascii="Arial" w:cs="Arial" w:eastAsia="Arial" w:hAnsi="Arial"/>
                <w:sz w:val="18"/>
                <w:szCs w:val="18"/>
                <w:b w:val="1"/>
                <w:bCs w:val="1"/>
                <w:color w:val="auto"/>
              </w:rPr>
              <w:t>2Q03</w:t>
            </w:r>
          </w:p>
        </w:tc>
        <w:tc>
          <w:tcPr>
            <w:tcW w:w="1140" w:type="dxa"/>
            <w:vAlign w:val="bottom"/>
          </w:tcPr>
          <w:p>
            <w:pPr>
              <w:jc w:val="right"/>
              <w:ind w:right="172"/>
              <w:spacing w:after="0"/>
              <w:rPr>
                <w:sz w:val="20"/>
                <w:szCs w:val="20"/>
                <w:color w:val="auto"/>
              </w:rPr>
            </w:pPr>
            <w:r>
              <w:rPr>
                <w:rFonts w:ascii="Arial" w:cs="Arial" w:eastAsia="Arial" w:hAnsi="Arial"/>
                <w:sz w:val="18"/>
                <w:szCs w:val="18"/>
                <w:b w:val="1"/>
                <w:bCs w:val="1"/>
                <w:color w:val="auto"/>
              </w:rPr>
              <w:t>2Q03 vs.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2Q03 vs.</w:t>
            </w:r>
          </w:p>
        </w:tc>
      </w:tr>
      <w:tr>
        <w:trPr>
          <w:trHeight w:val="228"/>
        </w:trPr>
        <w:tc>
          <w:tcPr>
            <w:tcW w:w="4460" w:type="dxa"/>
            <w:vAlign w:val="bottom"/>
          </w:tcPr>
          <w:p>
            <w:pPr>
              <w:spacing w:after="0"/>
              <w:rPr>
                <w:sz w:val="20"/>
                <w:szCs w:val="20"/>
                <w:color w:val="auto"/>
              </w:rPr>
            </w:pPr>
            <w:r>
              <w:rPr>
                <w:rFonts w:ascii="Arial" w:cs="Arial" w:eastAsia="Arial" w:hAnsi="Arial"/>
                <w:sz w:val="18"/>
                <w:szCs w:val="18"/>
                <w:i w:val="1"/>
                <w:iCs w:val="1"/>
                <w:color w:val="auto"/>
              </w:rPr>
              <w:t>(In US$Mn)</w:t>
            </w:r>
          </w:p>
        </w:tc>
        <w:tc>
          <w:tcPr>
            <w:tcW w:w="2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b w:val="1"/>
                <w:bCs w:val="1"/>
                <w:color w:val="auto"/>
              </w:rPr>
              <w:t>1Q03</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2Q02</w:t>
            </w:r>
          </w:p>
        </w:tc>
      </w:tr>
      <w:tr>
        <w:trPr>
          <w:trHeight w:val="110"/>
        </w:trPr>
        <w:tc>
          <w:tcPr>
            <w:tcW w:w="4460" w:type="dxa"/>
            <w:vAlign w:val="bottom"/>
            <w:tcBorders>
              <w:bottom w:val="single" w:sz="8" w:color="9A9A9A"/>
            </w:tcBorders>
          </w:tcPr>
          <w:p>
            <w:pPr>
              <w:spacing w:after="0"/>
              <w:rPr>
                <w:sz w:val="9"/>
                <w:szCs w:val="9"/>
                <w:color w:val="auto"/>
              </w:rPr>
            </w:pPr>
          </w:p>
        </w:tc>
        <w:tc>
          <w:tcPr>
            <w:tcW w:w="27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r>
        <w:trPr>
          <w:trHeight w:val="309"/>
        </w:trPr>
        <w:tc>
          <w:tcPr>
            <w:tcW w:w="4460" w:type="dxa"/>
            <w:vAlign w:val="bottom"/>
          </w:tcPr>
          <w:p>
            <w:pPr>
              <w:spacing w:after="0"/>
              <w:rPr>
                <w:sz w:val="20"/>
                <w:szCs w:val="20"/>
                <w:color w:val="auto"/>
              </w:rPr>
            </w:pPr>
            <w:r>
              <w:rPr>
                <w:rFonts w:ascii="Arial" w:cs="Arial" w:eastAsia="Arial" w:hAnsi="Arial"/>
                <w:sz w:val="18"/>
                <w:szCs w:val="18"/>
                <w:color w:val="auto"/>
              </w:rPr>
              <w:t>Commissions for banking services</w:t>
            </w:r>
          </w:p>
        </w:tc>
        <w:tc>
          <w:tcPr>
            <w:tcW w:w="2780" w:type="dxa"/>
            <w:vAlign w:val="bottom"/>
          </w:tcPr>
          <w:p>
            <w:pPr>
              <w:jc w:val="right"/>
              <w:ind w:right="292"/>
              <w:spacing w:after="0"/>
              <w:rPr>
                <w:sz w:val="20"/>
                <w:szCs w:val="20"/>
                <w:color w:val="auto"/>
              </w:rPr>
            </w:pPr>
            <w:r>
              <w:rPr>
                <w:rFonts w:ascii="Arial" w:cs="Arial" w:eastAsia="Arial" w:hAnsi="Arial"/>
                <w:sz w:val="18"/>
                <w:szCs w:val="18"/>
                <w:color w:val="auto"/>
              </w:rPr>
              <w:t>41.2</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46.2</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47.5</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2.9</w:t>
            </w: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premiums</w:t>
            </w:r>
          </w:p>
        </w:tc>
        <w:tc>
          <w:tcPr>
            <w:tcW w:w="2780" w:type="dxa"/>
            <w:vAlign w:val="bottom"/>
          </w:tcPr>
          <w:p>
            <w:pPr>
              <w:jc w:val="right"/>
              <w:ind w:right="292"/>
              <w:spacing w:after="0"/>
              <w:rPr>
                <w:sz w:val="20"/>
                <w:szCs w:val="20"/>
                <w:color w:val="auto"/>
              </w:rPr>
            </w:pPr>
            <w:r>
              <w:rPr>
                <w:rFonts w:ascii="Arial" w:cs="Arial" w:eastAsia="Arial" w:hAnsi="Arial"/>
                <w:sz w:val="18"/>
                <w:szCs w:val="18"/>
                <w:color w:val="auto"/>
              </w:rPr>
              <w:t>31.4</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31.9</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32.1</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0.6</w:t>
            </w: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Gains from sale of securities</w:t>
            </w:r>
          </w:p>
        </w:tc>
        <w:tc>
          <w:tcPr>
            <w:tcW w:w="2780" w:type="dxa"/>
            <w:vAlign w:val="bottom"/>
          </w:tcPr>
          <w:p>
            <w:pPr>
              <w:jc w:val="right"/>
              <w:ind w:right="292"/>
              <w:spacing w:after="0"/>
              <w:rPr>
                <w:sz w:val="20"/>
                <w:szCs w:val="20"/>
                <w:color w:val="auto"/>
              </w:rPr>
            </w:pPr>
            <w:r>
              <w:rPr>
                <w:rFonts w:ascii="Arial" w:cs="Arial" w:eastAsia="Arial" w:hAnsi="Arial"/>
                <w:sz w:val="18"/>
                <w:szCs w:val="18"/>
                <w:color w:val="auto"/>
              </w:rPr>
              <w:t>2.0</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-0.2</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7.6</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color w:val="auto"/>
              </w:rPr>
              <w:t>285.2%</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Gains from foreign exchange</w:t>
            </w:r>
          </w:p>
        </w:tc>
        <w:tc>
          <w:tcPr>
            <w:tcW w:w="2780" w:type="dxa"/>
            <w:vAlign w:val="bottom"/>
          </w:tcPr>
          <w:p>
            <w:pPr>
              <w:jc w:val="right"/>
              <w:ind w:right="292"/>
              <w:spacing w:after="0"/>
              <w:rPr>
                <w:sz w:val="20"/>
                <w:szCs w:val="20"/>
                <w:color w:val="auto"/>
              </w:rPr>
            </w:pPr>
            <w:r>
              <w:rPr>
                <w:rFonts w:ascii="Arial" w:cs="Arial" w:eastAsia="Arial" w:hAnsi="Arial"/>
                <w:sz w:val="18"/>
                <w:szCs w:val="18"/>
                <w:color w:val="auto"/>
              </w:rPr>
              <w:t>5.8</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6.4</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5.8</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-8.5%</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Other non-interest income</w:t>
            </w:r>
          </w:p>
        </w:tc>
        <w:tc>
          <w:tcPr>
            <w:tcW w:w="2780" w:type="dxa"/>
            <w:vAlign w:val="bottom"/>
          </w:tcPr>
          <w:p>
            <w:pPr>
              <w:jc w:val="right"/>
              <w:ind w:right="292"/>
              <w:spacing w:after="0"/>
              <w:rPr>
                <w:sz w:val="20"/>
                <w:szCs w:val="20"/>
                <w:color w:val="auto"/>
              </w:rPr>
            </w:pPr>
            <w:r>
              <w:rPr>
                <w:rFonts w:ascii="Arial" w:cs="Arial" w:eastAsia="Arial" w:hAnsi="Arial"/>
                <w:sz w:val="18"/>
                <w:szCs w:val="18"/>
                <w:color w:val="auto"/>
              </w:rPr>
              <w:t>13.5</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28.2</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16.5</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-41.5%</w:t>
            </w:r>
          </w:p>
        </w:tc>
        <w:tc>
          <w:tcPr>
            <w:tcW w:w="88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28"/>
        </w:trPr>
        <w:tc>
          <w:tcPr>
            <w:tcW w:w="4460" w:type="dxa"/>
            <w:vAlign w:val="bottom"/>
          </w:tcPr>
          <w:p>
            <w:pPr>
              <w:spacing w:after="0"/>
              <w:rPr>
                <w:sz w:val="20"/>
                <w:szCs w:val="20"/>
                <w:color w:val="auto"/>
              </w:rPr>
            </w:pPr>
            <w:r>
              <w:rPr>
                <w:rFonts w:ascii="Arial" w:cs="Arial" w:eastAsia="Arial" w:hAnsi="Arial"/>
                <w:sz w:val="18"/>
                <w:szCs w:val="18"/>
                <w:b w:val="1"/>
                <w:bCs w:val="1"/>
                <w:color w:val="auto"/>
              </w:rPr>
              <w:t>Total Non-Interest Income</w:t>
            </w:r>
          </w:p>
        </w:tc>
        <w:tc>
          <w:tcPr>
            <w:tcW w:w="2780" w:type="dxa"/>
            <w:vAlign w:val="bottom"/>
          </w:tcPr>
          <w:p>
            <w:pPr>
              <w:jc w:val="right"/>
              <w:ind w:right="292"/>
              <w:spacing w:after="0"/>
              <w:rPr>
                <w:sz w:val="20"/>
                <w:szCs w:val="20"/>
                <w:color w:val="auto"/>
              </w:rPr>
            </w:pPr>
            <w:r>
              <w:rPr>
                <w:rFonts w:ascii="Arial" w:cs="Arial" w:eastAsia="Arial" w:hAnsi="Arial"/>
                <w:sz w:val="18"/>
                <w:szCs w:val="18"/>
                <w:b w:val="1"/>
                <w:bCs w:val="1"/>
                <w:color w:val="auto"/>
              </w:rPr>
              <w:t>93.8</w:t>
            </w:r>
          </w:p>
        </w:tc>
        <w:tc>
          <w:tcPr>
            <w:tcW w:w="1140" w:type="dxa"/>
            <w:vAlign w:val="bottom"/>
          </w:tcPr>
          <w:p>
            <w:pPr>
              <w:jc w:val="right"/>
              <w:ind w:right="272"/>
              <w:spacing w:after="0"/>
              <w:rPr>
                <w:sz w:val="20"/>
                <w:szCs w:val="20"/>
                <w:color w:val="auto"/>
              </w:rPr>
            </w:pPr>
            <w:r>
              <w:rPr>
                <w:rFonts w:ascii="Arial" w:cs="Arial" w:eastAsia="Arial" w:hAnsi="Arial"/>
                <w:sz w:val="18"/>
                <w:szCs w:val="18"/>
                <w:b w:val="1"/>
                <w:bCs w:val="1"/>
                <w:color w:val="auto"/>
              </w:rPr>
              <w:t>112.5</w:t>
            </w:r>
          </w:p>
        </w:tc>
        <w:tc>
          <w:tcPr>
            <w:tcW w:w="1020" w:type="dxa"/>
            <w:vAlign w:val="bottom"/>
          </w:tcPr>
          <w:p>
            <w:pPr>
              <w:jc w:val="right"/>
              <w:ind w:right="152"/>
              <w:spacing w:after="0"/>
              <w:rPr>
                <w:sz w:val="20"/>
                <w:szCs w:val="20"/>
                <w:color w:val="auto"/>
              </w:rPr>
            </w:pPr>
            <w:r>
              <w:rPr>
                <w:rFonts w:ascii="Arial" w:cs="Arial" w:eastAsia="Arial" w:hAnsi="Arial"/>
                <w:sz w:val="18"/>
                <w:szCs w:val="18"/>
                <w:b w:val="1"/>
                <w:bCs w:val="1"/>
                <w:color w:val="auto"/>
              </w:rPr>
              <w:t>109.6</w:t>
            </w:r>
          </w:p>
        </w:tc>
        <w:tc>
          <w:tcPr>
            <w:tcW w:w="1140" w:type="dxa"/>
            <w:vAlign w:val="bottom"/>
          </w:tcPr>
          <w:p>
            <w:pPr>
              <w:jc w:val="right"/>
              <w:ind w:right="172"/>
              <w:spacing w:after="0"/>
              <w:rPr>
                <w:sz w:val="20"/>
                <w:szCs w:val="20"/>
                <w:color w:val="auto"/>
              </w:rPr>
            </w:pPr>
            <w:r>
              <w:rPr>
                <w:rFonts w:ascii="Arial" w:cs="Arial" w:eastAsia="Arial" w:hAnsi="Arial"/>
                <w:sz w:val="18"/>
                <w:szCs w:val="18"/>
                <w:b w:val="1"/>
                <w:bCs w:val="1"/>
                <w:color w:val="auto"/>
              </w:rPr>
              <w:t>-2.6%</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16.9%</w:t>
            </w:r>
          </w:p>
        </w:tc>
      </w:tr>
      <w:tr>
        <w:trPr>
          <w:trHeight w:val="110"/>
        </w:trPr>
        <w:tc>
          <w:tcPr>
            <w:tcW w:w="4460" w:type="dxa"/>
            <w:vAlign w:val="bottom"/>
            <w:tcBorders>
              <w:bottom w:val="single" w:sz="8" w:color="9A9A9A"/>
            </w:tcBorders>
          </w:tcPr>
          <w:p>
            <w:pPr>
              <w:spacing w:after="0"/>
              <w:rPr>
                <w:sz w:val="9"/>
                <w:szCs w:val="9"/>
                <w:color w:val="auto"/>
              </w:rPr>
            </w:pPr>
          </w:p>
        </w:tc>
        <w:tc>
          <w:tcPr>
            <w:tcW w:w="27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I.3 OTHER NON-INTEREST EXPENSES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non-interest expenses amounted to US$114.4 million in second quarter 2003, which, excluding merger costs, amounted to US$112.4 million, 11.8% higher than in the same period of the previous year. The increase is explained principally by US$4.5 million of provisions for contingencies made by Credicorp, registered in the Other expense caption, and by non-recurrent expenses in BCP (see Section II.4). Credicorp’s other expense components had the following variations: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59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800" w:type="dxa"/>
            <w:vAlign w:val="bottom"/>
          </w:tcPr>
          <w:p>
            <w:pPr>
              <w:jc w:val="right"/>
              <w:ind w:right="292"/>
              <w:spacing w:after="0"/>
              <w:rPr>
                <w:sz w:val="20"/>
                <w:szCs w:val="20"/>
                <w:color w:val="auto"/>
              </w:rPr>
            </w:pPr>
            <w:r>
              <w:rPr>
                <w:rFonts w:ascii="Arial" w:cs="Arial" w:eastAsia="Arial" w:hAnsi="Arial"/>
                <w:sz w:val="18"/>
                <w:szCs w:val="18"/>
                <w:b w:val="1"/>
                <w:bCs w:val="1"/>
                <w:color w:val="auto"/>
              </w:rPr>
              <w:t>2Q02</w:t>
            </w:r>
          </w:p>
        </w:tc>
        <w:tc>
          <w:tcPr>
            <w:tcW w:w="1140" w:type="dxa"/>
            <w:vAlign w:val="bottom"/>
          </w:tcPr>
          <w:p>
            <w:pPr>
              <w:jc w:val="right"/>
              <w:ind w:right="272"/>
              <w:spacing w:after="0"/>
              <w:rPr>
                <w:sz w:val="20"/>
                <w:szCs w:val="20"/>
                <w:color w:val="auto"/>
              </w:rPr>
            </w:pPr>
            <w:r>
              <w:rPr>
                <w:rFonts w:ascii="Arial" w:cs="Arial" w:eastAsia="Arial" w:hAnsi="Arial"/>
                <w:sz w:val="18"/>
                <w:szCs w:val="18"/>
                <w:b w:val="1"/>
                <w:bCs w:val="1"/>
                <w:color w:val="auto"/>
              </w:rPr>
              <w:t>1Q03</w:t>
            </w:r>
          </w:p>
        </w:tc>
        <w:tc>
          <w:tcPr>
            <w:tcW w:w="1020" w:type="dxa"/>
            <w:vAlign w:val="bottom"/>
          </w:tcPr>
          <w:p>
            <w:pPr>
              <w:jc w:val="right"/>
              <w:ind w:right="152"/>
              <w:spacing w:after="0"/>
              <w:rPr>
                <w:sz w:val="20"/>
                <w:szCs w:val="20"/>
                <w:color w:val="auto"/>
              </w:rPr>
            </w:pPr>
            <w:r>
              <w:rPr>
                <w:rFonts w:ascii="Arial" w:cs="Arial" w:eastAsia="Arial" w:hAnsi="Arial"/>
                <w:sz w:val="18"/>
                <w:szCs w:val="18"/>
                <w:b w:val="1"/>
                <w:bCs w:val="1"/>
                <w:color w:val="auto"/>
              </w:rPr>
              <w:t>2Q03</w:t>
            </w:r>
          </w:p>
        </w:tc>
        <w:tc>
          <w:tcPr>
            <w:tcW w:w="1140" w:type="dxa"/>
            <w:vAlign w:val="bottom"/>
          </w:tcPr>
          <w:p>
            <w:pPr>
              <w:jc w:val="right"/>
              <w:ind w:right="172"/>
              <w:spacing w:after="0"/>
              <w:rPr>
                <w:sz w:val="20"/>
                <w:szCs w:val="20"/>
                <w:color w:val="auto"/>
              </w:rPr>
            </w:pPr>
            <w:r>
              <w:rPr>
                <w:rFonts w:ascii="Arial" w:cs="Arial" w:eastAsia="Arial" w:hAnsi="Arial"/>
                <w:sz w:val="18"/>
                <w:szCs w:val="18"/>
                <w:b w:val="1"/>
                <w:bCs w:val="1"/>
                <w:color w:val="auto"/>
              </w:rPr>
              <w:t>2Q03 vs.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2Q03 vs.</w:t>
            </w:r>
          </w:p>
        </w:tc>
      </w:tr>
      <w:tr>
        <w:trPr>
          <w:trHeight w:val="228"/>
        </w:trPr>
        <w:tc>
          <w:tcPr>
            <w:tcW w:w="4440" w:type="dxa"/>
            <w:vAlign w:val="bottom"/>
          </w:tcPr>
          <w:p>
            <w:pPr>
              <w:spacing w:after="0"/>
              <w:rPr>
                <w:sz w:val="20"/>
                <w:szCs w:val="20"/>
                <w:color w:val="auto"/>
              </w:rPr>
            </w:pPr>
            <w:r>
              <w:rPr>
                <w:rFonts w:ascii="Arial" w:cs="Arial" w:eastAsia="Arial" w:hAnsi="Arial"/>
                <w:sz w:val="18"/>
                <w:szCs w:val="18"/>
                <w:i w:val="1"/>
                <w:iCs w:val="1"/>
                <w:color w:val="auto"/>
              </w:rPr>
              <w:t>(% change and US$Mn)</w:t>
            </w:r>
          </w:p>
        </w:tc>
        <w:tc>
          <w:tcPr>
            <w:tcW w:w="2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b w:val="1"/>
                <w:bCs w:val="1"/>
                <w:color w:val="auto"/>
              </w:rPr>
              <w:t>1Q03</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2Q02</w:t>
            </w:r>
          </w:p>
        </w:tc>
      </w:tr>
      <w:tr>
        <w:trPr>
          <w:trHeight w:val="110"/>
        </w:trPr>
        <w:tc>
          <w:tcPr>
            <w:tcW w:w="444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r>
        <w:trPr>
          <w:trHeight w:val="309"/>
        </w:trPr>
        <w:tc>
          <w:tcPr>
            <w:tcW w:w="444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2800" w:type="dxa"/>
            <w:vAlign w:val="bottom"/>
          </w:tcPr>
          <w:p>
            <w:pPr>
              <w:jc w:val="right"/>
              <w:ind w:right="292"/>
              <w:spacing w:after="0"/>
              <w:rPr>
                <w:sz w:val="20"/>
                <w:szCs w:val="20"/>
                <w:color w:val="auto"/>
              </w:rPr>
            </w:pPr>
            <w:r>
              <w:rPr>
                <w:rFonts w:ascii="Arial" w:cs="Arial" w:eastAsia="Arial" w:hAnsi="Arial"/>
                <w:sz w:val="18"/>
                <w:szCs w:val="18"/>
                <w:color w:val="auto"/>
              </w:rPr>
              <w:t>44.8</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46.1</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45.1</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-2.0%</w:t>
            </w: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General, administrative, and taxes</w:t>
            </w:r>
          </w:p>
        </w:tc>
        <w:tc>
          <w:tcPr>
            <w:tcW w:w="2800" w:type="dxa"/>
            <w:vAlign w:val="bottom"/>
          </w:tcPr>
          <w:p>
            <w:pPr>
              <w:jc w:val="right"/>
              <w:ind w:right="292"/>
              <w:spacing w:after="0"/>
              <w:rPr>
                <w:sz w:val="20"/>
                <w:szCs w:val="20"/>
                <w:color w:val="auto"/>
              </w:rPr>
            </w:pPr>
            <w:r>
              <w:rPr>
                <w:rFonts w:ascii="Arial" w:cs="Arial" w:eastAsia="Arial" w:hAnsi="Arial"/>
                <w:sz w:val="18"/>
                <w:szCs w:val="18"/>
                <w:color w:val="auto"/>
              </w:rPr>
              <w:t>33.7</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38.8</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36.0</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-7.3%</w:t>
            </w: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0" w:type="dxa"/>
            <w:vAlign w:val="bottom"/>
          </w:tcPr>
          <w:p>
            <w:pPr>
              <w:jc w:val="right"/>
              <w:ind w:right="292"/>
              <w:spacing w:after="0"/>
              <w:rPr>
                <w:sz w:val="20"/>
                <w:szCs w:val="20"/>
                <w:color w:val="auto"/>
              </w:rPr>
            </w:pPr>
            <w:r>
              <w:rPr>
                <w:rFonts w:ascii="Arial" w:cs="Arial" w:eastAsia="Arial" w:hAnsi="Arial"/>
                <w:sz w:val="18"/>
                <w:szCs w:val="18"/>
                <w:color w:val="auto"/>
              </w:rPr>
              <w:t>10.9</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11.7</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12.4</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5.5%</w:t>
            </w: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Other</w:t>
            </w:r>
          </w:p>
        </w:tc>
        <w:tc>
          <w:tcPr>
            <w:tcW w:w="2800" w:type="dxa"/>
            <w:vAlign w:val="bottom"/>
          </w:tcPr>
          <w:p>
            <w:pPr>
              <w:jc w:val="right"/>
              <w:ind w:right="292"/>
              <w:spacing w:after="0"/>
              <w:rPr>
                <w:sz w:val="20"/>
                <w:szCs w:val="20"/>
                <w:color w:val="auto"/>
              </w:rPr>
            </w:pPr>
            <w:r>
              <w:rPr>
                <w:rFonts w:ascii="Arial" w:cs="Arial" w:eastAsia="Arial" w:hAnsi="Arial"/>
                <w:sz w:val="18"/>
                <w:szCs w:val="18"/>
                <w:color w:val="auto"/>
              </w:rPr>
              <w:t>11.1</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12.5</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18.8</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51.2%</w:t>
            </w:r>
          </w:p>
        </w:tc>
        <w:tc>
          <w:tcPr>
            <w:tcW w:w="88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10"/>
        </w:trPr>
        <w:tc>
          <w:tcPr>
            <w:tcW w:w="4440" w:type="dxa"/>
            <w:vAlign w:val="bottom"/>
          </w:tcPr>
          <w:p>
            <w:pPr>
              <w:spacing w:after="0"/>
              <w:rPr>
                <w:sz w:val="20"/>
                <w:szCs w:val="20"/>
                <w:color w:val="auto"/>
              </w:rPr>
            </w:pPr>
            <w:r>
              <w:rPr>
                <w:rFonts w:ascii="Arial" w:cs="Arial" w:eastAsia="Arial" w:hAnsi="Arial"/>
                <w:sz w:val="18"/>
                <w:szCs w:val="18"/>
                <w:color w:val="auto"/>
              </w:rPr>
              <w:t>Merger costs</w:t>
            </w:r>
          </w:p>
        </w:tc>
        <w:tc>
          <w:tcPr>
            <w:tcW w:w="280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15.5</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-86.9%</w:t>
            </w:r>
          </w:p>
        </w:tc>
        <w:tc>
          <w:tcPr>
            <w:tcW w:w="8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8"/>
        </w:trPr>
        <w:tc>
          <w:tcPr>
            <w:tcW w:w="4440" w:type="dxa"/>
            <w:vAlign w:val="bottom"/>
          </w:tcPr>
          <w:p>
            <w:pPr>
              <w:spacing w:after="0"/>
              <w:rPr>
                <w:sz w:val="20"/>
                <w:szCs w:val="20"/>
                <w:color w:val="auto"/>
              </w:rPr>
            </w:pPr>
            <w:r>
              <w:rPr>
                <w:rFonts w:ascii="Arial" w:cs="Arial" w:eastAsia="Arial" w:hAnsi="Arial"/>
                <w:sz w:val="18"/>
                <w:szCs w:val="18"/>
                <w:b w:val="1"/>
                <w:bCs w:val="1"/>
                <w:color w:val="auto"/>
              </w:rPr>
              <w:t>Total Other Expenses</w:t>
            </w:r>
          </w:p>
        </w:tc>
        <w:tc>
          <w:tcPr>
            <w:tcW w:w="2800" w:type="dxa"/>
            <w:vAlign w:val="bottom"/>
          </w:tcPr>
          <w:p>
            <w:pPr>
              <w:jc w:val="right"/>
              <w:ind w:right="292"/>
              <w:spacing w:after="0"/>
              <w:rPr>
                <w:sz w:val="20"/>
                <w:szCs w:val="20"/>
                <w:color w:val="auto"/>
              </w:rPr>
            </w:pPr>
            <w:r>
              <w:rPr>
                <w:rFonts w:ascii="Arial" w:cs="Arial" w:eastAsia="Arial" w:hAnsi="Arial"/>
                <w:sz w:val="18"/>
                <w:szCs w:val="18"/>
                <w:b w:val="1"/>
                <w:bCs w:val="1"/>
                <w:color w:val="auto"/>
              </w:rPr>
              <w:t>100.5</w:t>
            </w:r>
          </w:p>
        </w:tc>
        <w:tc>
          <w:tcPr>
            <w:tcW w:w="1140" w:type="dxa"/>
            <w:vAlign w:val="bottom"/>
          </w:tcPr>
          <w:p>
            <w:pPr>
              <w:jc w:val="right"/>
              <w:ind w:right="272"/>
              <w:spacing w:after="0"/>
              <w:rPr>
                <w:sz w:val="20"/>
                <w:szCs w:val="20"/>
                <w:color w:val="auto"/>
              </w:rPr>
            </w:pPr>
            <w:r>
              <w:rPr>
                <w:rFonts w:ascii="Arial" w:cs="Arial" w:eastAsia="Arial" w:hAnsi="Arial"/>
                <w:sz w:val="18"/>
                <w:szCs w:val="18"/>
                <w:b w:val="1"/>
                <w:bCs w:val="1"/>
                <w:color w:val="auto"/>
              </w:rPr>
              <w:t>124.6</w:t>
            </w:r>
          </w:p>
        </w:tc>
        <w:tc>
          <w:tcPr>
            <w:tcW w:w="1020" w:type="dxa"/>
            <w:vAlign w:val="bottom"/>
          </w:tcPr>
          <w:p>
            <w:pPr>
              <w:jc w:val="right"/>
              <w:ind w:right="152"/>
              <w:spacing w:after="0"/>
              <w:rPr>
                <w:sz w:val="20"/>
                <w:szCs w:val="20"/>
                <w:color w:val="auto"/>
              </w:rPr>
            </w:pPr>
            <w:r>
              <w:rPr>
                <w:rFonts w:ascii="Arial" w:cs="Arial" w:eastAsia="Arial" w:hAnsi="Arial"/>
                <w:sz w:val="18"/>
                <w:szCs w:val="18"/>
                <w:b w:val="1"/>
                <w:bCs w:val="1"/>
                <w:color w:val="auto"/>
              </w:rPr>
              <w:t>114.4</w:t>
            </w:r>
          </w:p>
        </w:tc>
        <w:tc>
          <w:tcPr>
            <w:tcW w:w="1140" w:type="dxa"/>
            <w:vAlign w:val="bottom"/>
          </w:tcPr>
          <w:p>
            <w:pPr>
              <w:jc w:val="right"/>
              <w:ind w:right="172"/>
              <w:spacing w:after="0"/>
              <w:rPr>
                <w:sz w:val="20"/>
                <w:szCs w:val="20"/>
                <w:color w:val="auto"/>
              </w:rPr>
            </w:pPr>
            <w:r>
              <w:rPr>
                <w:rFonts w:ascii="Arial" w:cs="Arial" w:eastAsia="Arial" w:hAnsi="Arial"/>
                <w:sz w:val="18"/>
                <w:szCs w:val="18"/>
                <w:b w:val="1"/>
                <w:bCs w:val="1"/>
                <w:color w:val="auto"/>
              </w:rPr>
              <w:t>-8.7%</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13.8%</w:t>
            </w:r>
          </w:p>
        </w:tc>
      </w:tr>
      <w:tr>
        <w:trPr>
          <w:trHeight w:val="110"/>
        </w:trPr>
        <w:tc>
          <w:tcPr>
            <w:tcW w:w="444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efficiency ratio (adjusted operating expenses, determined by netting provisions for assets received in lieu of loan repayment, employee profit sharing expenses and non-recurrent expenses) as a percentage of total income, without extraordinary concepts, was 53.4% in the second quarter of 2003 having been 50.2% in the same period last year. Adjusted operating expenses as a percentage of average total assets was 4.9% the current period, remaining similar to the ratio in the year-ago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I.4 ASSETS AND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Credicorp’s totals assets were US$8.2 billion at June 30, 2003, 12.9% over the balance at the end of the same quarter of 2002, but decreases 4.0% compared to the ending balance of March 2003. The loan portfolio as of June 30, 2003 reached US$4.6 billion, increasing 13.3% compared to the year-ago balance, but decreased 1.3% during the current quarter. Deposits and other obligations reached US$6.4 billion at June 30, 2003, a 15.2% increase since June of last year, but are 5.2% lower than the March 2003 balance. Due to banks and correspondents, which closed at US$286.9 million, continued its declining trend, decreasing 5.3% from US$302.8 million in June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Loan quality indicators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60" w:type="dxa"/>
            <w:vAlign w:val="bottom"/>
          </w:tcPr>
          <w:p>
            <w:pPr>
              <w:spacing w:after="0"/>
              <w:rPr>
                <w:sz w:val="20"/>
                <w:szCs w:val="20"/>
                <w:color w:val="auto"/>
              </w:rPr>
            </w:pPr>
            <w:r>
              <w:rPr>
                <w:rFonts w:ascii="Arial" w:cs="Arial" w:eastAsia="Arial" w:hAnsi="Arial"/>
                <w:sz w:val="18"/>
                <w:szCs w:val="18"/>
                <w:i w:val="1"/>
                <w:iCs w:val="1"/>
                <w:color w:val="auto"/>
              </w:rPr>
              <w:t>(In US$Mn)</w:t>
            </w:r>
          </w:p>
        </w:tc>
        <w:tc>
          <w:tcPr>
            <w:tcW w:w="4160" w:type="dxa"/>
            <w:vAlign w:val="bottom"/>
          </w:tcPr>
          <w:p>
            <w:pPr>
              <w:jc w:val="right"/>
              <w:ind w:right="832"/>
              <w:spacing w:after="0"/>
              <w:rPr>
                <w:sz w:val="20"/>
                <w:szCs w:val="20"/>
                <w:color w:val="auto"/>
              </w:rPr>
            </w:pPr>
            <w:r>
              <w:rPr>
                <w:rFonts w:ascii="Arial" w:cs="Arial" w:eastAsia="Arial" w:hAnsi="Arial"/>
                <w:sz w:val="18"/>
                <w:szCs w:val="18"/>
                <w:b w:val="1"/>
                <w:bCs w:val="1"/>
                <w:color w:val="auto"/>
              </w:rPr>
              <w:t>2Q02</w:t>
            </w:r>
          </w:p>
        </w:tc>
        <w:tc>
          <w:tcPr>
            <w:tcW w:w="1940" w:type="dxa"/>
            <w:vAlign w:val="bottom"/>
          </w:tcPr>
          <w:p>
            <w:pPr>
              <w:jc w:val="right"/>
              <w:ind w:right="492"/>
              <w:spacing w:after="0"/>
              <w:rPr>
                <w:sz w:val="20"/>
                <w:szCs w:val="20"/>
                <w:color w:val="auto"/>
              </w:rPr>
            </w:pPr>
            <w:r>
              <w:rPr>
                <w:rFonts w:ascii="Arial" w:cs="Arial" w:eastAsia="Arial" w:hAnsi="Arial"/>
                <w:sz w:val="18"/>
                <w:szCs w:val="18"/>
                <w:b w:val="1"/>
                <w:bCs w:val="1"/>
                <w:color w:val="auto"/>
              </w:rPr>
              <w:t>1Q03</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2Q03</w:t>
            </w:r>
          </w:p>
        </w:tc>
      </w:tr>
      <w:tr>
        <w:trPr>
          <w:trHeight w:val="110"/>
        </w:trPr>
        <w:tc>
          <w:tcPr>
            <w:tcW w:w="426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309"/>
        </w:trPr>
        <w:tc>
          <w:tcPr>
            <w:tcW w:w="4260" w:type="dxa"/>
            <w:vAlign w:val="bottom"/>
          </w:tcPr>
          <w:p>
            <w:pPr>
              <w:spacing w:after="0"/>
              <w:rPr>
                <w:sz w:val="20"/>
                <w:szCs w:val="20"/>
                <w:color w:val="auto"/>
              </w:rPr>
            </w:pPr>
            <w:r>
              <w:rPr>
                <w:rFonts w:ascii="Arial" w:cs="Arial" w:eastAsia="Arial" w:hAnsi="Arial"/>
                <w:sz w:val="18"/>
                <w:szCs w:val="18"/>
                <w:color w:val="auto"/>
              </w:rPr>
              <w:t>Total loans</w:t>
            </w:r>
          </w:p>
        </w:tc>
        <w:tc>
          <w:tcPr>
            <w:tcW w:w="4160" w:type="dxa"/>
            <w:vAlign w:val="bottom"/>
          </w:tcPr>
          <w:p>
            <w:pPr>
              <w:jc w:val="right"/>
              <w:ind w:right="792"/>
              <w:spacing w:after="0"/>
              <w:rPr>
                <w:sz w:val="20"/>
                <w:szCs w:val="20"/>
                <w:color w:val="auto"/>
              </w:rPr>
            </w:pPr>
            <w:r>
              <w:rPr>
                <w:rFonts w:ascii="Arial" w:cs="Arial" w:eastAsia="Arial" w:hAnsi="Arial"/>
                <w:sz w:val="18"/>
                <w:szCs w:val="18"/>
                <w:color w:val="auto"/>
              </w:rPr>
              <w:t>4,045.4</w:t>
            </w:r>
          </w:p>
        </w:tc>
        <w:tc>
          <w:tcPr>
            <w:tcW w:w="1940" w:type="dxa"/>
            <w:vAlign w:val="bottom"/>
          </w:tcPr>
          <w:p>
            <w:pPr>
              <w:jc w:val="right"/>
              <w:ind w:right="452"/>
              <w:spacing w:after="0"/>
              <w:rPr>
                <w:sz w:val="20"/>
                <w:szCs w:val="20"/>
                <w:color w:val="auto"/>
              </w:rPr>
            </w:pPr>
            <w:r>
              <w:rPr>
                <w:rFonts w:ascii="Arial" w:cs="Arial" w:eastAsia="Arial" w:hAnsi="Arial"/>
                <w:sz w:val="18"/>
                <w:szCs w:val="18"/>
                <w:color w:val="auto"/>
              </w:rPr>
              <w:t>4,639.6</w:t>
            </w:r>
          </w:p>
        </w:tc>
        <w:tc>
          <w:tcPr>
            <w:tcW w:w="1060" w:type="dxa"/>
            <w:vAlign w:val="bottom"/>
          </w:tcPr>
          <w:p>
            <w:pPr>
              <w:jc w:val="right"/>
              <w:spacing w:after="0"/>
              <w:rPr>
                <w:sz w:val="20"/>
                <w:szCs w:val="20"/>
                <w:color w:val="auto"/>
              </w:rPr>
            </w:pPr>
            <w:r>
              <w:rPr>
                <w:rFonts w:ascii="Arial" w:cs="Arial" w:eastAsia="Arial" w:hAnsi="Arial"/>
                <w:sz w:val="18"/>
                <w:szCs w:val="18"/>
                <w:color w:val="auto"/>
              </w:rPr>
              <w:t>4,581.4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Past due loans</w:t>
            </w:r>
          </w:p>
        </w:tc>
        <w:tc>
          <w:tcPr>
            <w:tcW w:w="4160" w:type="dxa"/>
            <w:vAlign w:val="bottom"/>
          </w:tcPr>
          <w:p>
            <w:pPr>
              <w:jc w:val="right"/>
              <w:ind w:right="792"/>
              <w:spacing w:after="0"/>
              <w:rPr>
                <w:sz w:val="20"/>
                <w:szCs w:val="20"/>
                <w:color w:val="auto"/>
              </w:rPr>
            </w:pPr>
            <w:r>
              <w:rPr>
                <w:rFonts w:ascii="Arial" w:cs="Arial" w:eastAsia="Arial" w:hAnsi="Arial"/>
                <w:sz w:val="18"/>
                <w:szCs w:val="18"/>
                <w:color w:val="auto"/>
              </w:rPr>
              <w:t>316.3</w:t>
            </w:r>
          </w:p>
        </w:tc>
        <w:tc>
          <w:tcPr>
            <w:tcW w:w="1940" w:type="dxa"/>
            <w:vAlign w:val="bottom"/>
          </w:tcPr>
          <w:p>
            <w:pPr>
              <w:jc w:val="right"/>
              <w:ind w:right="452"/>
              <w:spacing w:after="0"/>
              <w:rPr>
                <w:sz w:val="20"/>
                <w:szCs w:val="20"/>
                <w:color w:val="auto"/>
              </w:rPr>
            </w:pPr>
            <w:r>
              <w:rPr>
                <w:rFonts w:ascii="Arial" w:cs="Arial" w:eastAsia="Arial" w:hAnsi="Arial"/>
                <w:sz w:val="18"/>
                <w:szCs w:val="18"/>
                <w:color w:val="auto"/>
              </w:rPr>
              <w:t>384.1</w:t>
            </w:r>
          </w:p>
        </w:tc>
        <w:tc>
          <w:tcPr>
            <w:tcW w:w="1060" w:type="dxa"/>
            <w:vAlign w:val="bottom"/>
          </w:tcPr>
          <w:p>
            <w:pPr>
              <w:jc w:val="right"/>
              <w:spacing w:after="0"/>
              <w:rPr>
                <w:sz w:val="20"/>
                <w:szCs w:val="20"/>
                <w:color w:val="auto"/>
              </w:rPr>
            </w:pPr>
            <w:r>
              <w:rPr>
                <w:rFonts w:ascii="Arial" w:cs="Arial" w:eastAsia="Arial" w:hAnsi="Arial"/>
                <w:sz w:val="18"/>
                <w:szCs w:val="18"/>
                <w:color w:val="auto"/>
              </w:rPr>
              <w:t>360.1</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Loan loss reserves</w:t>
            </w:r>
          </w:p>
        </w:tc>
        <w:tc>
          <w:tcPr>
            <w:tcW w:w="4160" w:type="dxa"/>
            <w:vAlign w:val="bottom"/>
          </w:tcPr>
          <w:p>
            <w:pPr>
              <w:jc w:val="right"/>
              <w:ind w:right="792"/>
              <w:spacing w:after="0"/>
              <w:rPr>
                <w:sz w:val="20"/>
                <w:szCs w:val="20"/>
                <w:color w:val="auto"/>
              </w:rPr>
            </w:pPr>
            <w:r>
              <w:rPr>
                <w:rFonts w:ascii="Arial" w:cs="Arial" w:eastAsia="Arial" w:hAnsi="Arial"/>
                <w:sz w:val="18"/>
                <w:szCs w:val="18"/>
                <w:color w:val="auto"/>
              </w:rPr>
              <w:t>314.1</w:t>
            </w:r>
          </w:p>
        </w:tc>
        <w:tc>
          <w:tcPr>
            <w:tcW w:w="1940" w:type="dxa"/>
            <w:vAlign w:val="bottom"/>
          </w:tcPr>
          <w:p>
            <w:pPr>
              <w:jc w:val="right"/>
              <w:ind w:right="452"/>
              <w:spacing w:after="0"/>
              <w:rPr>
                <w:sz w:val="20"/>
                <w:szCs w:val="20"/>
                <w:color w:val="auto"/>
              </w:rPr>
            </w:pPr>
            <w:r>
              <w:rPr>
                <w:rFonts w:ascii="Arial" w:cs="Arial" w:eastAsia="Arial" w:hAnsi="Arial"/>
                <w:sz w:val="18"/>
                <w:szCs w:val="18"/>
                <w:color w:val="auto"/>
              </w:rPr>
              <w:t>430.7</w:t>
            </w:r>
          </w:p>
        </w:tc>
        <w:tc>
          <w:tcPr>
            <w:tcW w:w="1060" w:type="dxa"/>
            <w:vAlign w:val="bottom"/>
          </w:tcPr>
          <w:p>
            <w:pPr>
              <w:jc w:val="right"/>
              <w:spacing w:after="0"/>
              <w:rPr>
                <w:sz w:val="20"/>
                <w:szCs w:val="20"/>
                <w:color w:val="auto"/>
              </w:rPr>
            </w:pPr>
            <w:r>
              <w:rPr>
                <w:rFonts w:ascii="Arial" w:cs="Arial" w:eastAsia="Arial" w:hAnsi="Arial"/>
                <w:sz w:val="18"/>
                <w:szCs w:val="18"/>
                <w:color w:val="auto"/>
              </w:rPr>
              <w:t>407.1</w:t>
            </w:r>
          </w:p>
        </w:tc>
      </w:tr>
      <w:tr>
        <w:trPr>
          <w:trHeight w:val="453"/>
        </w:trPr>
        <w:tc>
          <w:tcPr>
            <w:tcW w:w="4260" w:type="dxa"/>
            <w:vAlign w:val="bottom"/>
          </w:tcPr>
          <w:p>
            <w:pPr>
              <w:spacing w:after="0"/>
              <w:rPr>
                <w:sz w:val="20"/>
                <w:szCs w:val="20"/>
                <w:color w:val="auto"/>
              </w:rPr>
            </w:pPr>
            <w:r>
              <w:rPr>
                <w:rFonts w:ascii="Arial" w:cs="Arial" w:eastAsia="Arial" w:hAnsi="Arial"/>
                <w:sz w:val="18"/>
                <w:szCs w:val="18"/>
                <w:color w:val="auto"/>
              </w:rPr>
              <w:t>Past due / Total loans</w:t>
            </w:r>
          </w:p>
        </w:tc>
        <w:tc>
          <w:tcPr>
            <w:tcW w:w="4160" w:type="dxa"/>
            <w:vAlign w:val="bottom"/>
          </w:tcPr>
          <w:p>
            <w:pPr>
              <w:jc w:val="right"/>
              <w:ind w:right="792"/>
              <w:spacing w:after="0"/>
              <w:rPr>
                <w:sz w:val="20"/>
                <w:szCs w:val="20"/>
                <w:color w:val="auto"/>
              </w:rPr>
            </w:pPr>
            <w:r>
              <w:rPr>
                <w:rFonts w:ascii="Arial" w:cs="Arial" w:eastAsia="Arial" w:hAnsi="Arial"/>
                <w:sz w:val="18"/>
                <w:szCs w:val="18"/>
                <w:color w:val="auto"/>
              </w:rPr>
              <w:t>7.8%</w:t>
            </w:r>
          </w:p>
        </w:tc>
        <w:tc>
          <w:tcPr>
            <w:tcW w:w="1940" w:type="dxa"/>
            <w:vAlign w:val="bottom"/>
          </w:tcPr>
          <w:p>
            <w:pPr>
              <w:jc w:val="right"/>
              <w:ind w:right="452"/>
              <w:spacing w:after="0"/>
              <w:rPr>
                <w:sz w:val="20"/>
                <w:szCs w:val="20"/>
                <w:color w:val="auto"/>
              </w:rPr>
            </w:pPr>
            <w:r>
              <w:rPr>
                <w:rFonts w:ascii="Arial" w:cs="Arial" w:eastAsia="Arial" w:hAnsi="Arial"/>
                <w:sz w:val="18"/>
                <w:szCs w:val="18"/>
                <w:color w:val="auto"/>
              </w:rPr>
              <w:t>8.3%</w:t>
            </w: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Reserves / Past due</w:t>
            </w:r>
          </w:p>
        </w:tc>
        <w:tc>
          <w:tcPr>
            <w:tcW w:w="4160" w:type="dxa"/>
            <w:vAlign w:val="bottom"/>
          </w:tcPr>
          <w:p>
            <w:pPr>
              <w:jc w:val="right"/>
              <w:ind w:right="792"/>
              <w:spacing w:after="0"/>
              <w:rPr>
                <w:sz w:val="20"/>
                <w:szCs w:val="20"/>
                <w:color w:val="auto"/>
              </w:rPr>
            </w:pPr>
            <w:r>
              <w:rPr>
                <w:rFonts w:ascii="Arial" w:cs="Arial" w:eastAsia="Arial" w:hAnsi="Arial"/>
                <w:sz w:val="18"/>
                <w:szCs w:val="18"/>
                <w:color w:val="auto"/>
              </w:rPr>
              <w:t>99.3%</w:t>
            </w:r>
          </w:p>
        </w:tc>
        <w:tc>
          <w:tcPr>
            <w:tcW w:w="1940" w:type="dxa"/>
            <w:vAlign w:val="bottom"/>
          </w:tcPr>
          <w:p>
            <w:pPr>
              <w:jc w:val="right"/>
              <w:ind w:right="452"/>
              <w:spacing w:after="0"/>
              <w:rPr>
                <w:sz w:val="20"/>
                <w:szCs w:val="20"/>
                <w:color w:val="auto"/>
              </w:rPr>
            </w:pPr>
            <w:r>
              <w:rPr>
                <w:rFonts w:ascii="Arial" w:cs="Arial" w:eastAsia="Arial" w:hAnsi="Arial"/>
                <w:sz w:val="18"/>
                <w:szCs w:val="18"/>
                <w:color w:val="auto"/>
              </w:rPr>
              <w:t>112.2%</w:t>
            </w:r>
          </w:p>
        </w:tc>
        <w:tc>
          <w:tcPr>
            <w:tcW w:w="1060" w:type="dxa"/>
            <w:vAlign w:val="bottom"/>
          </w:tcPr>
          <w:p>
            <w:pPr>
              <w:jc w:val="right"/>
              <w:spacing w:after="0"/>
              <w:rPr>
                <w:sz w:val="20"/>
                <w:szCs w:val="20"/>
                <w:color w:val="auto"/>
              </w:rPr>
            </w:pPr>
            <w:r>
              <w:rPr>
                <w:rFonts w:ascii="Arial" w:cs="Arial" w:eastAsia="Arial" w:hAnsi="Arial"/>
                <w:sz w:val="18"/>
                <w:szCs w:val="18"/>
                <w:color w:val="auto"/>
              </w:rPr>
              <w:t>113.1%</w:t>
            </w:r>
          </w:p>
        </w:tc>
      </w:tr>
      <w:tr>
        <w:trPr>
          <w:trHeight w:val="110"/>
        </w:trPr>
        <w:tc>
          <w:tcPr>
            <w:tcW w:w="426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The balance of past due loans decreased during the current quarter partly due to charge-offs amounting to US$37.0 million.</w:t>
      </w:r>
    </w:p>
    <w:p>
      <w:pPr>
        <w:sectPr>
          <w:pgSz w:w="11900" w:h="16838" w:orient="portrait"/>
          <w:cols w:equalWidth="0" w:num="1">
            <w:col w:w="11420"/>
          </w:cols>
          <w:pgMar w:left="240" w:top="131" w:right="2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I.5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Credicorp’s principal subsidiaries contributed to consolidated net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60" w:type="dxa"/>
            <w:vAlign w:val="bottom"/>
          </w:tcPr>
          <w:p>
            <w:pPr>
              <w:spacing w:after="0"/>
              <w:rPr>
                <w:sz w:val="20"/>
                <w:szCs w:val="20"/>
                <w:color w:val="auto"/>
              </w:rPr>
            </w:pPr>
            <w:r>
              <w:rPr>
                <w:rFonts w:ascii="Arial" w:cs="Arial" w:eastAsia="Arial" w:hAnsi="Arial"/>
                <w:sz w:val="18"/>
                <w:szCs w:val="18"/>
                <w:i w:val="1"/>
                <w:iCs w:val="1"/>
                <w:color w:val="auto"/>
              </w:rPr>
              <w:t>(US$Mn)</w:t>
            </w:r>
          </w:p>
        </w:tc>
        <w:tc>
          <w:tcPr>
            <w:tcW w:w="3100" w:type="dxa"/>
            <w:vAlign w:val="bottom"/>
          </w:tcPr>
          <w:p>
            <w:pPr>
              <w:jc w:val="right"/>
              <w:ind w:right="212"/>
              <w:spacing w:after="0"/>
              <w:rPr>
                <w:sz w:val="20"/>
                <w:szCs w:val="20"/>
                <w:color w:val="auto"/>
              </w:rPr>
            </w:pPr>
            <w:r>
              <w:rPr>
                <w:rFonts w:ascii="Arial" w:cs="Arial" w:eastAsia="Arial" w:hAnsi="Arial"/>
                <w:sz w:val="18"/>
                <w:szCs w:val="18"/>
                <w:b w:val="1"/>
                <w:bCs w:val="1"/>
                <w:color w:val="auto"/>
              </w:rPr>
              <w:t>2Q02</w:t>
            </w:r>
          </w:p>
        </w:tc>
        <w:tc>
          <w:tcPr>
            <w:tcW w:w="1100" w:type="dxa"/>
            <w:vAlign w:val="bottom"/>
          </w:tcPr>
          <w:p>
            <w:pPr>
              <w:jc w:val="right"/>
              <w:ind w:right="152"/>
              <w:spacing w:after="0"/>
              <w:rPr>
                <w:sz w:val="20"/>
                <w:szCs w:val="20"/>
                <w:color w:val="auto"/>
              </w:rPr>
            </w:pPr>
            <w:r>
              <w:rPr>
                <w:rFonts w:ascii="Arial" w:cs="Arial" w:eastAsia="Arial" w:hAnsi="Arial"/>
                <w:sz w:val="18"/>
                <w:szCs w:val="18"/>
                <w:b w:val="1"/>
                <w:bCs w:val="1"/>
                <w:color w:val="auto"/>
              </w:rPr>
              <w:t>1Q03</w:t>
            </w:r>
          </w:p>
        </w:tc>
        <w:tc>
          <w:tcPr>
            <w:tcW w:w="1120" w:type="dxa"/>
            <w:vAlign w:val="bottom"/>
          </w:tcPr>
          <w:p>
            <w:pPr>
              <w:jc w:val="right"/>
              <w:ind w:right="192"/>
              <w:spacing w:after="0"/>
              <w:rPr>
                <w:sz w:val="20"/>
                <w:szCs w:val="20"/>
                <w:color w:val="auto"/>
              </w:rPr>
            </w:pPr>
            <w:r>
              <w:rPr>
                <w:rFonts w:ascii="Arial" w:cs="Arial" w:eastAsia="Arial" w:hAnsi="Arial"/>
                <w:sz w:val="18"/>
                <w:szCs w:val="18"/>
                <w:b w:val="1"/>
                <w:bCs w:val="1"/>
                <w:color w:val="auto"/>
              </w:rPr>
              <w:t>2Q03</w:t>
            </w:r>
          </w:p>
        </w:tc>
        <w:tc>
          <w:tcPr>
            <w:tcW w:w="1140" w:type="dxa"/>
            <w:vAlign w:val="bottom"/>
          </w:tcPr>
          <w:p>
            <w:pPr>
              <w:jc w:val="right"/>
              <w:ind w:right="152"/>
              <w:spacing w:after="0"/>
              <w:rPr>
                <w:sz w:val="20"/>
                <w:szCs w:val="20"/>
                <w:color w:val="auto"/>
              </w:rPr>
            </w:pPr>
            <w:r>
              <w:rPr>
                <w:rFonts w:ascii="Arial" w:cs="Arial" w:eastAsia="Arial" w:hAnsi="Arial"/>
                <w:sz w:val="18"/>
                <w:szCs w:val="18"/>
                <w:b w:val="1"/>
                <w:bCs w:val="1"/>
                <w:color w:val="auto"/>
              </w:rPr>
              <w:t>6m02</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6m03</w:t>
            </w:r>
          </w:p>
        </w:tc>
      </w:tr>
      <w:tr>
        <w:trPr>
          <w:trHeight w:val="110"/>
        </w:trPr>
        <w:tc>
          <w:tcPr>
            <w:tcW w:w="4060" w:type="dxa"/>
            <w:vAlign w:val="bottom"/>
            <w:tcBorders>
              <w:bottom w:val="single" w:sz="8" w:color="auto"/>
            </w:tcBorders>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r>
        <w:trPr>
          <w:trHeight w:val="309"/>
        </w:trPr>
        <w:tc>
          <w:tcPr>
            <w:tcW w:w="4060" w:type="dxa"/>
            <w:vAlign w:val="bottom"/>
          </w:tcPr>
          <w:p>
            <w:pPr>
              <w:spacing w:after="0"/>
              <w:rPr>
                <w:sz w:val="20"/>
                <w:szCs w:val="20"/>
                <w:color w:val="auto"/>
              </w:rPr>
            </w:pPr>
            <w:r>
              <w:rPr>
                <w:rFonts w:ascii="Arial" w:cs="Arial" w:eastAsia="Arial" w:hAnsi="Arial"/>
                <w:sz w:val="18"/>
                <w:szCs w:val="18"/>
                <w:color w:val="auto"/>
              </w:rPr>
              <w:t>Banco de Credito BCP</w:t>
            </w:r>
          </w:p>
        </w:tc>
        <w:tc>
          <w:tcPr>
            <w:tcW w:w="3100" w:type="dxa"/>
            <w:vAlign w:val="bottom"/>
          </w:tcPr>
          <w:p>
            <w:pPr>
              <w:jc w:val="right"/>
              <w:ind w:right="212"/>
              <w:spacing w:after="0"/>
              <w:rPr>
                <w:sz w:val="20"/>
                <w:szCs w:val="20"/>
                <w:color w:val="auto"/>
              </w:rPr>
            </w:pPr>
            <w:r>
              <w:rPr>
                <w:rFonts w:ascii="Arial" w:cs="Arial" w:eastAsia="Arial" w:hAnsi="Arial"/>
                <w:sz w:val="18"/>
                <w:szCs w:val="18"/>
                <w:color w:val="auto"/>
              </w:rPr>
              <w:t>US$ 13.3</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US$ 8.0</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US$ 27.2</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US$ 27.2</w:t>
            </w:r>
          </w:p>
        </w:tc>
        <w:tc>
          <w:tcPr>
            <w:tcW w:w="900" w:type="dxa"/>
            <w:vAlign w:val="bottom"/>
          </w:tcPr>
          <w:p>
            <w:pPr>
              <w:jc w:val="right"/>
              <w:spacing w:after="0"/>
              <w:rPr>
                <w:sz w:val="20"/>
                <w:szCs w:val="20"/>
                <w:color w:val="auto"/>
              </w:rPr>
            </w:pPr>
            <w:r>
              <w:rPr>
                <w:rFonts w:ascii="Arial" w:cs="Arial" w:eastAsia="Arial" w:hAnsi="Arial"/>
                <w:sz w:val="18"/>
                <w:szCs w:val="18"/>
                <w:color w:val="auto"/>
              </w:rPr>
              <w:t>US$ 35.2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Atlantic</w:t>
            </w:r>
          </w:p>
        </w:tc>
        <w:tc>
          <w:tcPr>
            <w:tcW w:w="3100" w:type="dxa"/>
            <w:vAlign w:val="bottom"/>
          </w:tcPr>
          <w:p>
            <w:pPr>
              <w:jc w:val="right"/>
              <w:ind w:right="212"/>
              <w:spacing w:after="0"/>
              <w:rPr>
                <w:sz w:val="20"/>
                <w:szCs w:val="20"/>
                <w:color w:val="auto"/>
              </w:rPr>
            </w:pPr>
            <w:r>
              <w:rPr>
                <w:rFonts w:ascii="Arial" w:cs="Arial" w:eastAsia="Arial" w:hAnsi="Arial"/>
                <w:sz w:val="18"/>
                <w:szCs w:val="18"/>
                <w:color w:val="auto"/>
              </w:rPr>
              <w:t>0.1</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0.6</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PPS</w:t>
            </w:r>
          </w:p>
        </w:tc>
        <w:tc>
          <w:tcPr>
            <w:tcW w:w="3100" w:type="dxa"/>
            <w:vAlign w:val="bottom"/>
          </w:tcPr>
          <w:p>
            <w:pPr>
              <w:jc w:val="right"/>
              <w:ind w:right="212"/>
              <w:spacing w:after="0"/>
              <w:rPr>
                <w:sz w:val="20"/>
                <w:szCs w:val="20"/>
                <w:color w:val="auto"/>
              </w:rPr>
            </w:pPr>
            <w:r>
              <w:rPr>
                <w:rFonts w:ascii="Arial" w:cs="Arial" w:eastAsia="Arial" w:hAnsi="Arial"/>
                <w:sz w:val="18"/>
                <w:szCs w:val="18"/>
                <w:color w:val="auto"/>
              </w:rPr>
              <w:t>1.4</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5.6</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3.6</w:t>
            </w: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Banco Tequendama</w:t>
            </w:r>
          </w:p>
        </w:tc>
        <w:tc>
          <w:tcPr>
            <w:tcW w:w="3100" w:type="dxa"/>
            <w:vAlign w:val="bottom"/>
          </w:tcPr>
          <w:p>
            <w:pPr>
              <w:jc w:val="right"/>
              <w:ind w:right="212"/>
              <w:spacing w:after="0"/>
              <w:rPr>
                <w:sz w:val="20"/>
                <w:szCs w:val="20"/>
                <w:color w:val="auto"/>
              </w:rPr>
            </w:pPr>
            <w:r>
              <w:rPr>
                <w:rFonts w:ascii="Arial" w:cs="Arial" w:eastAsia="Arial" w:hAnsi="Arial"/>
                <w:sz w:val="18"/>
                <w:szCs w:val="18"/>
                <w:color w:val="auto"/>
              </w:rPr>
              <w:t>-0.5</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0.9</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-0.3</w:t>
            </w: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0"/>
        </w:trPr>
        <w:tc>
          <w:tcPr>
            <w:tcW w:w="4060" w:type="dxa"/>
            <w:vAlign w:val="bottom"/>
          </w:tcPr>
          <w:p>
            <w:pPr>
              <w:spacing w:after="0"/>
              <w:rPr>
                <w:sz w:val="20"/>
                <w:szCs w:val="20"/>
                <w:color w:val="auto"/>
              </w:rPr>
            </w:pPr>
            <w:r>
              <w:rPr>
                <w:rFonts w:ascii="Arial" w:cs="Arial" w:eastAsia="Arial" w:hAnsi="Arial"/>
                <w:sz w:val="18"/>
                <w:szCs w:val="18"/>
                <w:color w:val="auto"/>
              </w:rPr>
              <w:t>Credicorp and others*</w:t>
            </w:r>
          </w:p>
        </w:tc>
        <w:tc>
          <w:tcPr>
            <w:tcW w:w="3100" w:type="dxa"/>
            <w:vAlign w:val="bottom"/>
          </w:tcPr>
          <w:p>
            <w:pPr>
              <w:jc w:val="right"/>
              <w:ind w:right="212"/>
              <w:spacing w:after="0"/>
              <w:rPr>
                <w:sz w:val="20"/>
                <w:szCs w:val="20"/>
                <w:color w:val="auto"/>
              </w:rPr>
            </w:pPr>
            <w:r>
              <w:rPr>
                <w:rFonts w:ascii="Arial" w:cs="Arial" w:eastAsia="Arial" w:hAnsi="Arial"/>
                <w:sz w:val="18"/>
                <w:szCs w:val="18"/>
                <w:color w:val="auto"/>
              </w:rPr>
              <w:t>-3.3</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-6.1</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-7.0</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-6.1</w:t>
            </w: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8"/>
        </w:trPr>
        <w:tc>
          <w:tcPr>
            <w:tcW w:w="4060" w:type="dxa"/>
            <w:vAlign w:val="bottom"/>
          </w:tcPr>
          <w:p>
            <w:pPr>
              <w:spacing w:after="0"/>
              <w:rPr>
                <w:sz w:val="20"/>
                <w:szCs w:val="20"/>
                <w:color w:val="auto"/>
              </w:rPr>
            </w:pPr>
            <w:r>
              <w:rPr>
                <w:rFonts w:ascii="Arial" w:cs="Arial" w:eastAsia="Arial" w:hAnsi="Arial"/>
                <w:sz w:val="18"/>
                <w:szCs w:val="18"/>
                <w:b w:val="1"/>
                <w:bCs w:val="1"/>
                <w:color w:val="auto"/>
              </w:rPr>
              <w:t>Consolidated Net Income</w:t>
            </w:r>
          </w:p>
        </w:tc>
        <w:tc>
          <w:tcPr>
            <w:tcW w:w="3100" w:type="dxa"/>
            <w:vAlign w:val="bottom"/>
          </w:tcPr>
          <w:p>
            <w:pPr>
              <w:jc w:val="right"/>
              <w:ind w:right="212"/>
              <w:spacing w:after="0"/>
              <w:rPr>
                <w:sz w:val="20"/>
                <w:szCs w:val="20"/>
                <w:color w:val="auto"/>
              </w:rPr>
            </w:pPr>
            <w:r>
              <w:rPr>
                <w:rFonts w:ascii="Arial" w:cs="Arial" w:eastAsia="Arial" w:hAnsi="Arial"/>
                <w:sz w:val="18"/>
                <w:szCs w:val="18"/>
                <w:b w:val="1"/>
                <w:bCs w:val="1"/>
                <w:color w:val="auto"/>
              </w:rPr>
              <w:t>US$ 11.0</w:t>
            </w:r>
          </w:p>
        </w:tc>
        <w:tc>
          <w:tcPr>
            <w:tcW w:w="1100" w:type="dxa"/>
            <w:vAlign w:val="bottom"/>
          </w:tcPr>
          <w:p>
            <w:pPr>
              <w:jc w:val="right"/>
              <w:ind w:right="152"/>
              <w:spacing w:after="0"/>
              <w:rPr>
                <w:sz w:val="20"/>
                <w:szCs w:val="20"/>
                <w:color w:val="auto"/>
              </w:rPr>
            </w:pPr>
            <w:r>
              <w:rPr>
                <w:rFonts w:ascii="Arial" w:cs="Arial" w:eastAsia="Arial" w:hAnsi="Arial"/>
                <w:sz w:val="18"/>
                <w:szCs w:val="18"/>
                <w:b w:val="1"/>
                <w:bCs w:val="1"/>
                <w:color w:val="auto"/>
              </w:rPr>
              <w:t>US$ 2.5</w:t>
            </w:r>
          </w:p>
        </w:tc>
        <w:tc>
          <w:tcPr>
            <w:tcW w:w="1120" w:type="dxa"/>
            <w:vAlign w:val="bottom"/>
          </w:tcPr>
          <w:p>
            <w:pPr>
              <w:jc w:val="right"/>
              <w:ind w:right="132"/>
              <w:spacing w:after="0"/>
              <w:rPr>
                <w:sz w:val="20"/>
                <w:szCs w:val="20"/>
                <w:color w:val="auto"/>
              </w:rPr>
            </w:pPr>
            <w:r>
              <w:rPr>
                <w:rFonts w:ascii="Arial" w:cs="Arial" w:eastAsia="Arial" w:hAnsi="Arial"/>
                <w:sz w:val="18"/>
                <w:szCs w:val="18"/>
                <w:b w:val="1"/>
                <w:bCs w:val="1"/>
                <w:color w:val="auto"/>
              </w:rPr>
              <w:t>US$ 28.3</w:t>
            </w:r>
          </w:p>
        </w:tc>
        <w:tc>
          <w:tcPr>
            <w:tcW w:w="1140" w:type="dxa"/>
            <w:vAlign w:val="bottom"/>
          </w:tcPr>
          <w:p>
            <w:pPr>
              <w:jc w:val="right"/>
              <w:ind w:right="152"/>
              <w:spacing w:after="0"/>
              <w:rPr>
                <w:sz w:val="20"/>
                <w:szCs w:val="20"/>
                <w:color w:val="auto"/>
              </w:rPr>
            </w:pPr>
            <w:r>
              <w:rPr>
                <w:rFonts w:ascii="Arial" w:cs="Arial" w:eastAsia="Arial" w:hAnsi="Arial"/>
                <w:sz w:val="18"/>
                <w:szCs w:val="18"/>
                <w:b w:val="1"/>
                <w:bCs w:val="1"/>
                <w:color w:val="auto"/>
              </w:rPr>
              <w:t>US$ 25.8</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US$ 30.8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Inversiones Credito and others.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second quarter of 2003, the Credicorp and others concept contributed a loss of US$7.0 million, higher than the loss of US$3.3 million in the same prior year period. The increase is mostly due to a US$4.5 million charge for contingencies reserves and a US$1.4 million provision for substandard loans transferred from Banco Tequendama. The loss contributed in the year-ago quarter include a US$2.4 million translation loss due to the devaluation of the Venezuelan Bolivar which affected the equity that Banco Tequendama had in that country.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present quarter, Banco de Crédito BCP contributed US$27.2 million to Credicorp’s net income, while its results according to Peruvian accounting principles reported in Section II, amounted to US$28.8 million, with the difference mainly due to the elimination of minority interests (US$1.0 million) and of dividends received from Credicorp (US$0.5 million).</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contribution of Atlantic Security Holding Corporation of US$1.6 million in the current quarter is similar to net income shown in its books (see Section III), but the first half 2003 contribution of US$2.2 million is lower than the US$5.4 million profit in its books due to the elimination for consolidation purposes of US$3.1 million of dividends received from Credicorp and registered as income. In the first half of 2002 US$4.2 million were eliminated for the same reason, of which US$2.1 million were registered in the second quarter of 2002.</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2003, Credicorp had a contribution from PPS of US$5.6 million, lower than US$6.8 million in its local Peruvian GAAP books, mainly due to the elimination of dividends received from Credicorp (US$0.8 million) and of minority interests (US$1.8 million), which were partly offset by lower reserve requirements and with gains on inflation adjustment.</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first half of 2003, Banco Tequendama’s loss contribution of US$-0.2 million, does not include provision expense incurred by Credicorp of US$3.4 million, of which US$1.4 million was expensed in the second quarter 2003, as mentioned above. Compared to the year-ago periods, Banco Tequendama contributed US$-0.3 million in first half 2002, while Credicorp assumed a charge of US$3.5 million, of which a US$2.4 million expense was incurred in the second quarter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Below are brief comments on some of the subsidiaries not discussed in the following sections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Banco de Crédito de Bolivia (“BCB”), Bolivia</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Credicorp holds 100% of BCB’s shares, directly and through various subsidiaries, and it is consolidated within BCP’s financial statements. Expectations on the Bolivian economy continue cautious, with GDP growth that may not reach 3%, mainly due to the government’s fiscal difficulties, after the budget deficit reached 8.5% of GDP in 2002. Following severe social protests in the first quarter 2003, the government is preparing measures to generate employment, to increase construction of public works and to facilitate the restructuring of businesses.</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Inflation in the second quarter of 2003 was 0.54%, and of 0.78% in the first half of the year, due to weak domestic demand. Devaluation continued over inflation with a 1.1% exchange rate increase in the current quarter and of 2.1% in the first half of 2003, reaching 7.64 Bolivianos per Dollar at June 30, 2003.</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 volume in the banking system, which have been declining since year 2000, increased 1.7% in the current quarter to US$2,624 million at the end of June 2003. Loan quality improved, from a past due ratio of 20.1% in March 2003, to 19.3% at June 2003. Total deposits in the system amounted to US$2,714 million at June 2003, higher by 3.7% compared to the balance at March 2003.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BCB’s market share in deposits at June 2003 was 12.5%, increasing from 12.1% at the end of March 2003, remaining as the fifth of twelve banks in the system.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 terms of loans, BCB continued as the fourth bank in the system with 12.1% market share, also higher than 11.5% it had last March.</w:t>
      </w:r>
    </w:p>
    <w:p>
      <w:pPr>
        <w:spacing w:after="0" w:line="21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June 30, 2003, BCB had total loans of US$315.1 million which compares to the US$311.2 million at March 2003, and US$355.4 million at the end of June 2002. At the end of the second quarter 2003, BCB’s past due loans reached US$73.8 million, or 23.4% of total loans, higher than 23.2% at March 2003. Coverage of past due loans with loan loss provisions decreased from 75.8% as of March 2003 to 69.9% in June 2003.</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BCB’s records of the second quarter 2003, US$1.2 million of loan loss provisions were charged against results, compared to US$7.8 million charged during the same quarter of last year, jointly incurred by BCB and at the BCP level to cover BCB’s impaired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BCB´s own records, second quarter 2003 net income was US$440 thousand, compared to US$15 thousand in the year-ago quarter.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Banco Tequendama, Colombia</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the first quarter 2003 Colombian GDP grew 3.8%, compared to the same period in 2002, a rate higher than the 2.4% expected for total 2003. In 2002 growth was 1.7%. The weak economic recovery is led by expansion of the construction sector, that grew 15.8% in the quarter, but its growth trend is slowing down. Manufacturing continues to expand and reaches a cumulative growth rate of 5.3% through april 3003 (to avoid the calendar effect of the change of the Easter holiday). GDP growth also benefitted from exports that, though may 2003, managed to increase 4.2%, in spite of the collapse of the Venezuelan market (that had a 10% share of total exports), accomplished through sales to other markets and increased petroleum and minerals exports.</w:t>
      </w:r>
    </w:p>
    <w:p>
      <w:pPr>
        <w:sectPr>
          <w:pgSz w:w="11900" w:h="16838" w:orient="portrait"/>
          <w:cols w:equalWidth="0" w:num="1">
            <w:col w:w="11420"/>
          </w:cols>
          <w:pgMar w:left="240" w:top="131" w:right="239" w:bottom="65"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The Government’s fiscal deficit continued under control in the first months of 2003, although meeting the 2.5% deficit target for full year 2003 is not yet assured. For this purpose several measures have been taken in taxation and restructuring of the government, and there have been advances toward the referendum which, among other issues, would freeze wages and pensions.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Central Bank intervention in the foreign exchange market continued with the purpose of reducing its volatility, which led to an exchange rate of Col$3,000 per US$1 during the first quarter, which then declined below Col$2,800 to end at Col$2,812 as of June 30, 2003, a 5% revaluation during the current quarter and of 2% in the first half of 2003.</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Inflation is beginning to slow down. Prices increased 1.6% in the second quarter of 2003, compared to 3.4% in the preceding first quarter, and is lower than 2.0% in the second quarter of last year. Still, the official inflation target of between 5 to 6% for full year 2003 seems difficult to attain as inflation for the past twelve months to June 2003 remains at 7.2%.</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control inflation, the Central Bank increased its intervention rates in January 2003 by 100 basis points, with an additional 100 points in April. Nevertheless, the effect on other interest rates has been low, with rates in real terms remaining close to zero. The DTF rate decreased slightly from 7.70% last December 2002, to 7.68% at the end of March 2003, and to 7.78% at the end of June 2003.</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Banking system statistics show that loans increase from US$14.4 billion at December 2002, to US$14.9 billion at the close of May 2003, with the past-due ratio improving from 12.7% to 12.2%, respectively. The coverage ratio of loan provisions over bad loans remained almost unchanged, it was 61.9% at December 2002 and 61.3% in May 2003. Total deposits in the banking entities were US$18.7 billion at the end of May 2003, decreasing from US$19.2 billion at December 2002.</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Banco Tequendama’s loan market share, as of May 2003, was 1.42%, similar to 1.43% obtained in December 2002. At the same dates, deposit market share increased to 0.81% from 0.74%.</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2003, Banco Tequendama’s loans were US$221.0 million, increasing 4.9% from US$210.7 in March 2003, but decreases compared to US$239.0 millon as of June 2002. At the end of June 2003, deposits totaled US$172.2 million, higher than US$164.1 million in March 2003, but decreases from US$193.1 million at the year-ago period.</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past due loan ratio was 2.0% in June 2003, improving from 2.9% at the end of March 2003 and from 4.3% at December 2002, while coverage with provisions was 122.4%, compared to 94.6% and 69.5%, respectively.</w:t>
      </w:r>
    </w:p>
    <w:p>
      <w:pPr>
        <w:sectPr>
          <w:pgSz w:w="11900" w:h="16838" w:orient="portrait"/>
          <w:cols w:equalWidth="0" w:num="1">
            <w:col w:w="11420"/>
          </w:cols>
          <w:pgMar w:left="240" w:top="131" w:right="239" w:bottom="1440" w:gutter="0" w:footer="0" w:header="0"/>
        </w:sectPr>
      </w:pPr>
    </w:p>
    <w:bookmarkStart w:id="6" w:name="page7"/>
    <w:bookmarkEnd w:id="6"/>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BANCO DE CREDITO DEL PERU AND SUBSIDIARIES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II.1 NET INCOME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Consolidated net income for the six month period ended June 30, 2003 was S/.112.2 million (US$32.3 million), compared to net income of S/.125.0 million (US$36.0 million) in the first half of 2002, resulting in S/.0.09 and S/.0.10 per share, respectively. Net income decreased compared to the year-ago period principally due to higher non-recurring expenses required by the merger of BSCH-Peru, that were expensed mostly through March 2003 and that reached S/.60.3 million (US$17.4 million) as of June 2003, which were partly offset by increased non-interest income.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for the second quarter of 2003 was S/.100.0 million (US$28.8 million), increasing over S/.66.1 million (US$19.0 million) in the same period of 2002. Net income in the current quarter increased compared to the year-ago period principally due to higher non-interest income and lower loan loss provisions, that offset decreased inflation adjustment gains.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RESULTS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constant S/. and U.S.$ millions, except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238760</wp:posOffset>
            </wp:positionV>
            <wp:extent cx="71951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4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w w:val="90"/>
              </w:rPr>
              <w:t>Three months ended</w:t>
            </w:r>
          </w:p>
        </w:tc>
        <w:tc>
          <w:tcPr>
            <w:tcW w:w="920" w:type="dxa"/>
            <w:vAlign w:val="bottom"/>
          </w:tcPr>
          <w:p>
            <w:pPr>
              <w:spacing w:after="0"/>
              <w:rPr>
                <w:sz w:val="19"/>
                <w:szCs w:val="19"/>
                <w:color w:val="auto"/>
              </w:rPr>
            </w:pPr>
          </w:p>
        </w:tc>
        <w:tc>
          <w:tcPr>
            <w:tcW w:w="2660" w:type="dxa"/>
            <w:vAlign w:val="bottom"/>
            <w:gridSpan w:val="3"/>
          </w:tcPr>
          <w:p>
            <w:pPr>
              <w:jc w:val="right"/>
              <w:ind w:right="592"/>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220" w:type="dxa"/>
            <w:vAlign w:val="bottom"/>
          </w:tcPr>
          <w:p>
            <w:pPr>
              <w:spacing w:after="0"/>
              <w:rPr>
                <w:sz w:val="23"/>
                <w:szCs w:val="23"/>
                <w:color w:val="auto"/>
              </w:rPr>
            </w:pPr>
          </w:p>
        </w:tc>
        <w:tc>
          <w:tcPr>
            <w:tcW w:w="1700" w:type="dxa"/>
            <w:vAlign w:val="bottom"/>
          </w:tcPr>
          <w:p>
            <w:pPr>
              <w:jc w:val="right"/>
              <w:ind w:right="132"/>
              <w:spacing w:after="0"/>
              <w:rPr>
                <w:sz w:val="20"/>
                <w:szCs w:val="20"/>
                <w:color w:val="auto"/>
              </w:rPr>
            </w:pPr>
            <w:r>
              <w:rPr>
                <w:rFonts w:ascii="Arial" w:cs="Arial" w:eastAsia="Arial" w:hAnsi="Arial"/>
                <w:sz w:val="18"/>
                <w:szCs w:val="18"/>
                <w:b w:val="1"/>
                <w:bCs w:val="1"/>
                <w:color w:val="auto"/>
              </w:rPr>
              <w:t>30.06.02</w:t>
            </w: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w w:val="96"/>
              </w:rPr>
              <w:t>31.03.03</w:t>
            </w: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w w:val="96"/>
              </w:rPr>
              <w:t>30.06.03</w:t>
            </w: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w w:val="96"/>
              </w:rPr>
              <w:t>30.06.03</w:t>
            </w: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w w:val="96"/>
              </w:rPr>
              <w:t>30.06.02</w:t>
            </w: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w w:val="96"/>
              </w:rPr>
              <w:t>30.06.03</w:t>
            </w: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w w:val="96"/>
              </w:rPr>
              <w:t>30.06.03</w:t>
            </w:r>
          </w:p>
        </w:tc>
      </w:tr>
      <w:tr>
        <w:trPr>
          <w:trHeight w:val="164"/>
        </w:trPr>
        <w:tc>
          <w:tcPr>
            <w:tcW w:w="4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370"/>
        </w:trPr>
        <w:tc>
          <w:tcPr>
            <w:tcW w:w="4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US$</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rPr>
              <w:t>US$</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Net interest income</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278.7</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281.7</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284.4</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$81.9</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557.2</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566.1</w:t>
            </w:r>
          </w:p>
        </w:tc>
        <w:tc>
          <w:tcPr>
            <w:tcW w:w="820" w:type="dxa"/>
            <w:vAlign w:val="bottom"/>
          </w:tcPr>
          <w:p>
            <w:pPr>
              <w:jc w:val="right"/>
              <w:spacing w:after="0"/>
              <w:rPr>
                <w:sz w:val="20"/>
                <w:szCs w:val="20"/>
                <w:color w:val="auto"/>
              </w:rPr>
            </w:pPr>
            <w:r>
              <w:rPr>
                <w:rFonts w:ascii="Arial" w:cs="Arial" w:eastAsia="Arial" w:hAnsi="Arial"/>
                <w:sz w:val="18"/>
                <w:szCs w:val="18"/>
                <w:color w:val="auto"/>
              </w:rPr>
              <w:t>$163.1</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Provisions for loan losses, net</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103.9</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115.3</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66.3</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$19.1</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191.6</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181.6</w:t>
            </w:r>
          </w:p>
        </w:tc>
        <w:tc>
          <w:tcPr>
            <w:tcW w:w="82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Other income</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189.6</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248.4</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212.3</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$61.2</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372.7</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460.7</w:t>
            </w:r>
          </w:p>
        </w:tc>
        <w:tc>
          <w:tcPr>
            <w:tcW w:w="820" w:type="dxa"/>
            <w:vAlign w:val="bottom"/>
          </w:tcPr>
          <w:p>
            <w:pPr>
              <w:jc w:val="right"/>
              <w:spacing w:after="0"/>
              <w:rPr>
                <w:sz w:val="20"/>
                <w:szCs w:val="20"/>
                <w:color w:val="auto"/>
              </w:rPr>
            </w:pPr>
            <w:r>
              <w:rPr>
                <w:rFonts w:ascii="Arial" w:cs="Arial" w:eastAsia="Arial" w:hAnsi="Arial"/>
                <w:sz w:val="18"/>
                <w:szCs w:val="18"/>
                <w:color w:val="auto"/>
              </w:rPr>
              <w:t>$132.7</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Other expenses</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295.3</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311.7</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297.5</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$85.7</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586.5</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609.2</w:t>
            </w:r>
          </w:p>
        </w:tc>
        <w:tc>
          <w:tcPr>
            <w:tcW w:w="820" w:type="dxa"/>
            <w:vAlign w:val="bottom"/>
          </w:tcPr>
          <w:p>
            <w:pPr>
              <w:jc w:val="right"/>
              <w:spacing w:after="0"/>
              <w:rPr>
                <w:sz w:val="20"/>
                <w:szCs w:val="20"/>
                <w:color w:val="auto"/>
              </w:rPr>
            </w:pPr>
            <w:r>
              <w:rPr>
                <w:rFonts w:ascii="Arial" w:cs="Arial" w:eastAsia="Arial" w:hAnsi="Arial"/>
                <w:sz w:val="18"/>
                <w:szCs w:val="18"/>
                <w:color w:val="auto"/>
              </w:rPr>
              <w:t>$175.5</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Merger costs</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53.3</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0.0</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60.3</w:t>
            </w:r>
          </w:p>
        </w:tc>
        <w:tc>
          <w:tcPr>
            <w:tcW w:w="8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Result from exposure to inflation</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23.9</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(24.9)</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24.2</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4220" w:type="dxa"/>
            <w:vAlign w:val="bottom"/>
          </w:tcPr>
          <w:p>
            <w:pPr>
              <w:ind w:left="1540"/>
              <w:spacing w:after="0"/>
              <w:rPr>
                <w:sz w:val="20"/>
                <w:szCs w:val="20"/>
                <w:color w:val="auto"/>
              </w:rPr>
            </w:pPr>
            <w:r>
              <w:rPr>
                <w:rFonts w:ascii="Arial" w:cs="Arial" w:eastAsia="Arial" w:hAnsi="Arial"/>
                <w:sz w:val="18"/>
                <w:szCs w:val="18"/>
                <w:color w:val="auto"/>
              </w:rPr>
              <w:t>Income before income tax</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93.0</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24.9</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129.7</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$37.4</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176.1</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154.6</w:t>
            </w:r>
          </w:p>
        </w:tc>
        <w:tc>
          <w:tcPr>
            <w:tcW w:w="82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Income Tax</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26.9</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29.7</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51.1</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42.4</w:t>
            </w:r>
          </w:p>
        </w:tc>
        <w:tc>
          <w:tcPr>
            <w:tcW w:w="8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0"/>
        </w:trPr>
        <w:tc>
          <w:tcPr>
            <w:tcW w:w="4220" w:type="dxa"/>
            <w:vAlign w:val="bottom"/>
          </w:tcPr>
          <w:p>
            <w:pPr>
              <w:ind w:left="2020"/>
              <w:spacing w:after="0"/>
              <w:rPr>
                <w:sz w:val="20"/>
                <w:szCs w:val="20"/>
                <w:color w:val="auto"/>
              </w:rPr>
            </w:pPr>
            <w:r>
              <w:rPr>
                <w:rFonts w:ascii="Arial" w:cs="Arial" w:eastAsia="Arial" w:hAnsi="Arial"/>
                <w:sz w:val="18"/>
                <w:szCs w:val="18"/>
                <w:b w:val="1"/>
                <w:bCs w:val="1"/>
                <w:color w:val="auto"/>
              </w:rPr>
              <w:t>Net Income</w:t>
            </w:r>
          </w:p>
        </w:tc>
        <w:tc>
          <w:tcPr>
            <w:tcW w:w="1700" w:type="dxa"/>
            <w:vAlign w:val="bottom"/>
          </w:tcPr>
          <w:p>
            <w:pPr>
              <w:jc w:val="right"/>
              <w:ind w:right="12"/>
              <w:spacing w:after="0"/>
              <w:rPr>
                <w:sz w:val="20"/>
                <w:szCs w:val="20"/>
                <w:color w:val="auto"/>
              </w:rPr>
            </w:pPr>
            <w:r>
              <w:rPr>
                <w:rFonts w:ascii="Arial" w:cs="Arial" w:eastAsia="Arial" w:hAnsi="Arial"/>
                <w:sz w:val="18"/>
                <w:szCs w:val="18"/>
                <w:b w:val="1"/>
                <w:bCs w:val="1"/>
                <w:color w:val="auto"/>
              </w:rPr>
              <w:t>66.1</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12.1</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100.0</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$28.8</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125.0</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112.2</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$32.3</w:t>
            </w: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Net Income per share (2)</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0.05</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0.01</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0.08</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$0.02</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0.10</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0.09</w:t>
            </w:r>
          </w:p>
        </w:tc>
        <w:tc>
          <w:tcPr>
            <w:tcW w:w="82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164"/>
        </w:trPr>
        <w:tc>
          <w:tcPr>
            <w:tcW w:w="4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bl>
    <w:p>
      <w:pPr>
        <w:spacing w:after="0" w:line="356" w:lineRule="exact"/>
        <w:rPr>
          <w:sz w:val="20"/>
          <w:szCs w:val="20"/>
          <w:color w:val="auto"/>
        </w:rPr>
      </w:pPr>
    </w:p>
    <w:p>
      <w:pPr>
        <w:ind w:right="340" w:firstLine="8"/>
        <w:spacing w:after="0" w:line="254" w:lineRule="auto"/>
        <w:tabs>
          <w:tab w:leader="none" w:pos="249"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 prepared according to Peruvian GAAP. The financial information is in constant soles as of June 30, 2003. Figures in US$ have been translated at the exchange rate of S/.3.471 to the dollar.</w:t>
      </w:r>
    </w:p>
    <w:p>
      <w:pPr>
        <w:ind w:left="260" w:hanging="252"/>
        <w:spacing w:after="0"/>
        <w:tabs>
          <w:tab w:leader="none" w:pos="2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Based on 1,202 million outstanding shares in all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II.2 NET INTEREST INCOME</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Interest income, net of interest payments, in the second quarter of 2003 reached S/.284.4 million (US$81.9 million), increasing 2.0% compared to the same period of last year, but remains similar to the preceding first quarter of 2002. The increase versus net interest income in the second quarter 2002 is mainly due to higher interest earning assets that offset lower interest margins, within a persistent excess liquidity environment in both local and foreign currencies.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second quarter of 2003, the net interest margin was 5.34%, decreasing from 6.04% in the second quarter of 2002, but is higher than 5.08% during the preceding first quarter of 2003. During the current quarter the margin improved mostly due to higher lending and investments in local currency. In spite of the continuing decline of loan and deposits interest rates in both, local and foreign, currencies, returns in local currency investments grew, which raised the interest margin in that currency, while the margin in foreing currency operations remained stable.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II.3 NON-INTEREST INCOME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Non-interest income, including fee revenue and other non-interest items, in the second quarter of 2003 amounted to S/.212.3 million (US$61.2 million), 12.0% higher than income earned during the same period of 2002, mostly due to higher banking services fees.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2003, fees from banking services amounted to S/.158.7 million (US$45.7 million), 14.5% higher than in the same period of 2002, mostly due to increases in various services, specially from account maintenance fees. In the quarter, fees on the most important banking services had the following growth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spacing w:after="0"/>
              <w:rPr>
                <w:sz w:val="20"/>
                <w:szCs w:val="20"/>
                <w:color w:val="auto"/>
              </w:rPr>
            </w:pPr>
            <w:r>
              <w:rPr>
                <w:rFonts w:ascii="Arial" w:cs="Arial" w:eastAsia="Arial" w:hAnsi="Arial"/>
                <w:sz w:val="18"/>
                <w:szCs w:val="18"/>
                <w:i w:val="1"/>
                <w:iCs w:val="1"/>
                <w:color w:val="auto"/>
              </w:rPr>
              <w:t>(In constant S/. Mn.)</w:t>
            </w:r>
          </w:p>
        </w:tc>
        <w:tc>
          <w:tcPr>
            <w:tcW w:w="4060" w:type="dxa"/>
            <w:vAlign w:val="bottom"/>
          </w:tcPr>
          <w:p>
            <w:pPr>
              <w:jc w:val="right"/>
              <w:ind w:right="592"/>
              <w:spacing w:after="0"/>
              <w:rPr>
                <w:sz w:val="20"/>
                <w:szCs w:val="20"/>
                <w:color w:val="auto"/>
              </w:rPr>
            </w:pPr>
            <w:r>
              <w:rPr>
                <w:rFonts w:ascii="Arial" w:cs="Arial" w:eastAsia="Arial" w:hAnsi="Arial"/>
                <w:sz w:val="18"/>
                <w:szCs w:val="18"/>
                <w:b w:val="1"/>
                <w:bCs w:val="1"/>
                <w:color w:val="auto"/>
              </w:rPr>
              <w:t>2Q02</w:t>
            </w:r>
          </w:p>
        </w:tc>
        <w:tc>
          <w:tcPr>
            <w:tcW w:w="1640" w:type="dxa"/>
            <w:vAlign w:val="bottom"/>
          </w:tcPr>
          <w:p>
            <w:pPr>
              <w:jc w:val="right"/>
              <w:ind w:right="512"/>
              <w:spacing w:after="0"/>
              <w:rPr>
                <w:sz w:val="20"/>
                <w:szCs w:val="20"/>
                <w:color w:val="auto"/>
              </w:rPr>
            </w:pPr>
            <w:r>
              <w:rPr>
                <w:rFonts w:ascii="Arial" w:cs="Arial" w:eastAsia="Arial" w:hAnsi="Arial"/>
                <w:sz w:val="18"/>
                <w:szCs w:val="18"/>
                <w:b w:val="1"/>
                <w:bCs w:val="1"/>
                <w:color w:val="auto"/>
              </w:rPr>
              <w:t>2Q03</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Growth</w:t>
            </w:r>
          </w:p>
        </w:tc>
      </w:tr>
      <w:tr>
        <w:trPr>
          <w:trHeight w:val="110"/>
        </w:trPr>
        <w:tc>
          <w:tcPr>
            <w:tcW w:w="4580" w:type="dxa"/>
            <w:vAlign w:val="bottom"/>
            <w:tcBorders>
              <w:bottom w:val="single" w:sz="8" w:color="auto"/>
            </w:tcBorders>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r>
        <w:trPr>
          <w:trHeight w:val="309"/>
        </w:trPr>
        <w:tc>
          <w:tcPr>
            <w:tcW w:w="4580" w:type="dxa"/>
            <w:vAlign w:val="bottom"/>
          </w:tcPr>
          <w:p>
            <w:pPr>
              <w:spacing w:after="0"/>
              <w:rPr>
                <w:sz w:val="20"/>
                <w:szCs w:val="20"/>
                <w:color w:val="auto"/>
              </w:rPr>
            </w:pPr>
            <w:r>
              <w:rPr>
                <w:rFonts w:ascii="Arial" w:cs="Arial" w:eastAsia="Arial" w:hAnsi="Arial"/>
                <w:sz w:val="18"/>
                <w:szCs w:val="18"/>
                <w:color w:val="auto"/>
              </w:rPr>
              <w:t>Contingent credits</w:t>
            </w:r>
          </w:p>
        </w:tc>
        <w:tc>
          <w:tcPr>
            <w:tcW w:w="4060" w:type="dxa"/>
            <w:vAlign w:val="bottom"/>
          </w:tcPr>
          <w:p>
            <w:pPr>
              <w:jc w:val="right"/>
              <w:ind w:right="552"/>
              <w:spacing w:after="0"/>
              <w:rPr>
                <w:sz w:val="20"/>
                <w:szCs w:val="20"/>
                <w:color w:val="auto"/>
              </w:rPr>
            </w:pPr>
            <w:r>
              <w:rPr>
                <w:rFonts w:ascii="Arial" w:cs="Arial" w:eastAsia="Arial" w:hAnsi="Arial"/>
                <w:sz w:val="18"/>
                <w:szCs w:val="18"/>
                <w:color w:val="auto"/>
              </w:rPr>
              <w:t>6.6</w:t>
            </w:r>
          </w:p>
        </w:tc>
        <w:tc>
          <w:tcPr>
            <w:tcW w:w="1640" w:type="dxa"/>
            <w:vAlign w:val="bottom"/>
          </w:tcPr>
          <w:p>
            <w:pPr>
              <w:jc w:val="right"/>
              <w:ind w:right="472"/>
              <w:spacing w:after="0"/>
              <w:rPr>
                <w:sz w:val="20"/>
                <w:szCs w:val="20"/>
                <w:color w:val="auto"/>
              </w:rPr>
            </w:pPr>
            <w:r>
              <w:rPr>
                <w:rFonts w:ascii="Arial" w:cs="Arial" w:eastAsia="Arial" w:hAnsi="Arial"/>
                <w:sz w:val="18"/>
                <w:szCs w:val="18"/>
                <w:color w:val="auto"/>
              </w:rPr>
              <w:t>7.5</w:t>
            </w:r>
          </w:p>
        </w:tc>
        <w:tc>
          <w:tcPr>
            <w:tcW w:w="11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Foreign Trade</w:t>
            </w:r>
          </w:p>
        </w:tc>
        <w:tc>
          <w:tcPr>
            <w:tcW w:w="4060" w:type="dxa"/>
            <w:vAlign w:val="bottom"/>
          </w:tcPr>
          <w:p>
            <w:pPr>
              <w:jc w:val="right"/>
              <w:ind w:right="552"/>
              <w:spacing w:after="0"/>
              <w:rPr>
                <w:sz w:val="20"/>
                <w:szCs w:val="20"/>
                <w:color w:val="auto"/>
              </w:rPr>
            </w:pPr>
            <w:r>
              <w:rPr>
                <w:rFonts w:ascii="Arial" w:cs="Arial" w:eastAsia="Arial" w:hAnsi="Arial"/>
                <w:sz w:val="18"/>
                <w:szCs w:val="18"/>
                <w:color w:val="auto"/>
              </w:rPr>
              <w:t>6.7</w:t>
            </w:r>
          </w:p>
        </w:tc>
        <w:tc>
          <w:tcPr>
            <w:tcW w:w="1640" w:type="dxa"/>
            <w:vAlign w:val="bottom"/>
          </w:tcPr>
          <w:p>
            <w:pPr>
              <w:jc w:val="right"/>
              <w:ind w:right="472"/>
              <w:spacing w:after="0"/>
              <w:rPr>
                <w:sz w:val="20"/>
                <w:szCs w:val="20"/>
                <w:color w:val="auto"/>
              </w:rPr>
            </w:pPr>
            <w:r>
              <w:rPr>
                <w:rFonts w:ascii="Arial" w:cs="Arial" w:eastAsia="Arial" w:hAnsi="Arial"/>
                <w:sz w:val="18"/>
                <w:szCs w:val="18"/>
                <w:color w:val="auto"/>
              </w:rPr>
              <w:t>8.1</w:t>
            </w: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Account Maintenance</w:t>
            </w:r>
          </w:p>
        </w:tc>
        <w:tc>
          <w:tcPr>
            <w:tcW w:w="4060" w:type="dxa"/>
            <w:vAlign w:val="bottom"/>
          </w:tcPr>
          <w:p>
            <w:pPr>
              <w:jc w:val="right"/>
              <w:ind w:right="552"/>
              <w:spacing w:after="0"/>
              <w:rPr>
                <w:sz w:val="20"/>
                <w:szCs w:val="20"/>
                <w:color w:val="auto"/>
              </w:rPr>
            </w:pPr>
            <w:r>
              <w:rPr>
                <w:rFonts w:ascii="Arial" w:cs="Arial" w:eastAsia="Arial" w:hAnsi="Arial"/>
                <w:sz w:val="18"/>
                <w:szCs w:val="18"/>
                <w:color w:val="auto"/>
              </w:rPr>
              <w:t>37.4</w:t>
            </w:r>
          </w:p>
        </w:tc>
        <w:tc>
          <w:tcPr>
            <w:tcW w:w="1640" w:type="dxa"/>
            <w:vAlign w:val="bottom"/>
          </w:tcPr>
          <w:p>
            <w:pPr>
              <w:jc w:val="right"/>
              <w:ind w:right="472"/>
              <w:spacing w:after="0"/>
              <w:rPr>
                <w:sz w:val="20"/>
                <w:szCs w:val="20"/>
                <w:color w:val="auto"/>
              </w:rPr>
            </w:pPr>
            <w:r>
              <w:rPr>
                <w:rFonts w:ascii="Arial" w:cs="Arial" w:eastAsia="Arial" w:hAnsi="Arial"/>
                <w:sz w:val="18"/>
                <w:szCs w:val="18"/>
                <w:color w:val="auto"/>
              </w:rPr>
              <w:t>43.6</w:t>
            </w:r>
          </w:p>
        </w:tc>
        <w:tc>
          <w:tcPr>
            <w:tcW w:w="11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Insurance</w:t>
            </w:r>
          </w:p>
        </w:tc>
        <w:tc>
          <w:tcPr>
            <w:tcW w:w="4060" w:type="dxa"/>
            <w:vAlign w:val="bottom"/>
          </w:tcPr>
          <w:p>
            <w:pPr>
              <w:jc w:val="right"/>
              <w:ind w:right="552"/>
              <w:spacing w:after="0"/>
              <w:rPr>
                <w:sz w:val="20"/>
                <w:szCs w:val="20"/>
                <w:color w:val="auto"/>
              </w:rPr>
            </w:pPr>
            <w:r>
              <w:rPr>
                <w:rFonts w:ascii="Arial" w:cs="Arial" w:eastAsia="Arial" w:hAnsi="Arial"/>
                <w:sz w:val="18"/>
                <w:szCs w:val="18"/>
                <w:color w:val="auto"/>
              </w:rPr>
              <w:t>6.3</w:t>
            </w:r>
          </w:p>
        </w:tc>
        <w:tc>
          <w:tcPr>
            <w:tcW w:w="1640" w:type="dxa"/>
            <w:vAlign w:val="bottom"/>
          </w:tcPr>
          <w:p>
            <w:pPr>
              <w:jc w:val="right"/>
              <w:ind w:right="472"/>
              <w:spacing w:after="0"/>
              <w:rPr>
                <w:sz w:val="20"/>
                <w:szCs w:val="20"/>
                <w:color w:val="auto"/>
              </w:rPr>
            </w:pPr>
            <w:r>
              <w:rPr>
                <w:rFonts w:ascii="Arial" w:cs="Arial" w:eastAsia="Arial" w:hAnsi="Arial"/>
                <w:sz w:val="18"/>
                <w:szCs w:val="18"/>
                <w:color w:val="auto"/>
              </w:rPr>
              <w:t>7.0</w:t>
            </w: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Collections fees</w:t>
            </w:r>
          </w:p>
        </w:tc>
        <w:tc>
          <w:tcPr>
            <w:tcW w:w="4060" w:type="dxa"/>
            <w:vAlign w:val="bottom"/>
          </w:tcPr>
          <w:p>
            <w:pPr>
              <w:jc w:val="right"/>
              <w:ind w:right="552"/>
              <w:spacing w:after="0"/>
              <w:rPr>
                <w:sz w:val="20"/>
                <w:szCs w:val="20"/>
                <w:color w:val="auto"/>
              </w:rPr>
            </w:pPr>
            <w:r>
              <w:rPr>
                <w:rFonts w:ascii="Arial" w:cs="Arial" w:eastAsia="Arial" w:hAnsi="Arial"/>
                <w:sz w:val="18"/>
                <w:szCs w:val="18"/>
                <w:color w:val="auto"/>
              </w:rPr>
              <w:t>16.4</w:t>
            </w:r>
          </w:p>
        </w:tc>
        <w:tc>
          <w:tcPr>
            <w:tcW w:w="1640" w:type="dxa"/>
            <w:vAlign w:val="bottom"/>
          </w:tcPr>
          <w:p>
            <w:pPr>
              <w:jc w:val="right"/>
              <w:ind w:right="472"/>
              <w:spacing w:after="0"/>
              <w:rPr>
                <w:sz w:val="20"/>
                <w:szCs w:val="20"/>
                <w:color w:val="auto"/>
              </w:rPr>
            </w:pPr>
            <w:r>
              <w:rPr>
                <w:rFonts w:ascii="Arial" w:cs="Arial" w:eastAsia="Arial" w:hAnsi="Arial"/>
                <w:sz w:val="18"/>
                <w:szCs w:val="18"/>
                <w:color w:val="auto"/>
              </w:rPr>
              <w:t>15.9</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Fund transfer services</w:t>
            </w:r>
          </w:p>
        </w:tc>
        <w:tc>
          <w:tcPr>
            <w:tcW w:w="4060" w:type="dxa"/>
            <w:vAlign w:val="bottom"/>
          </w:tcPr>
          <w:p>
            <w:pPr>
              <w:jc w:val="right"/>
              <w:ind w:right="552"/>
              <w:spacing w:after="0"/>
              <w:rPr>
                <w:sz w:val="20"/>
                <w:szCs w:val="20"/>
                <w:color w:val="auto"/>
              </w:rPr>
            </w:pPr>
            <w:r>
              <w:rPr>
                <w:rFonts w:ascii="Arial" w:cs="Arial" w:eastAsia="Arial" w:hAnsi="Arial"/>
                <w:sz w:val="18"/>
                <w:szCs w:val="18"/>
                <w:color w:val="auto"/>
              </w:rPr>
              <w:t>25.2</w:t>
            </w:r>
          </w:p>
        </w:tc>
        <w:tc>
          <w:tcPr>
            <w:tcW w:w="1640" w:type="dxa"/>
            <w:vAlign w:val="bottom"/>
          </w:tcPr>
          <w:p>
            <w:pPr>
              <w:jc w:val="right"/>
              <w:ind w:right="472"/>
              <w:spacing w:after="0"/>
              <w:rPr>
                <w:sz w:val="20"/>
                <w:szCs w:val="20"/>
                <w:color w:val="auto"/>
              </w:rPr>
            </w:pPr>
            <w:r>
              <w:rPr>
                <w:rFonts w:ascii="Arial" w:cs="Arial" w:eastAsia="Arial" w:hAnsi="Arial"/>
                <w:sz w:val="18"/>
                <w:szCs w:val="18"/>
                <w:color w:val="auto"/>
              </w:rPr>
              <w:t>25.9</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Credit card fees</w:t>
            </w:r>
          </w:p>
        </w:tc>
        <w:tc>
          <w:tcPr>
            <w:tcW w:w="4060" w:type="dxa"/>
            <w:vAlign w:val="bottom"/>
          </w:tcPr>
          <w:p>
            <w:pPr>
              <w:jc w:val="right"/>
              <w:ind w:right="552"/>
              <w:spacing w:after="0"/>
              <w:rPr>
                <w:sz w:val="20"/>
                <w:szCs w:val="20"/>
                <w:color w:val="auto"/>
              </w:rPr>
            </w:pPr>
            <w:r>
              <w:rPr>
                <w:rFonts w:ascii="Arial" w:cs="Arial" w:eastAsia="Arial" w:hAnsi="Arial"/>
                <w:sz w:val="18"/>
                <w:szCs w:val="18"/>
                <w:color w:val="auto"/>
              </w:rPr>
              <w:t>16.1</w:t>
            </w:r>
          </w:p>
        </w:tc>
        <w:tc>
          <w:tcPr>
            <w:tcW w:w="1640" w:type="dxa"/>
            <w:vAlign w:val="bottom"/>
          </w:tcPr>
          <w:p>
            <w:pPr>
              <w:jc w:val="right"/>
              <w:ind w:right="472"/>
              <w:spacing w:after="0"/>
              <w:rPr>
                <w:sz w:val="20"/>
                <w:szCs w:val="20"/>
                <w:color w:val="auto"/>
              </w:rPr>
            </w:pPr>
            <w:r>
              <w:rPr>
                <w:rFonts w:ascii="Arial" w:cs="Arial" w:eastAsia="Arial" w:hAnsi="Arial"/>
                <w:sz w:val="18"/>
                <w:szCs w:val="18"/>
                <w:color w:val="auto"/>
              </w:rPr>
              <w:t>19.7</w:t>
            </w:r>
          </w:p>
        </w:tc>
        <w:tc>
          <w:tcPr>
            <w:tcW w:w="114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Brokerage</w:t>
            </w:r>
          </w:p>
        </w:tc>
        <w:tc>
          <w:tcPr>
            <w:tcW w:w="4060" w:type="dxa"/>
            <w:vAlign w:val="bottom"/>
          </w:tcPr>
          <w:p>
            <w:pPr>
              <w:jc w:val="right"/>
              <w:ind w:right="552"/>
              <w:spacing w:after="0"/>
              <w:rPr>
                <w:sz w:val="20"/>
                <w:szCs w:val="20"/>
                <w:color w:val="auto"/>
              </w:rPr>
            </w:pPr>
            <w:r>
              <w:rPr>
                <w:rFonts w:ascii="Arial" w:cs="Arial" w:eastAsia="Arial" w:hAnsi="Arial"/>
                <w:sz w:val="18"/>
                <w:szCs w:val="18"/>
                <w:color w:val="auto"/>
              </w:rPr>
              <w:t>7.7</w:t>
            </w:r>
          </w:p>
        </w:tc>
        <w:tc>
          <w:tcPr>
            <w:tcW w:w="1640" w:type="dxa"/>
            <w:vAlign w:val="bottom"/>
          </w:tcPr>
          <w:p>
            <w:pPr>
              <w:jc w:val="right"/>
              <w:ind w:right="472"/>
              <w:spacing w:after="0"/>
              <w:rPr>
                <w:sz w:val="20"/>
                <w:szCs w:val="20"/>
                <w:color w:val="auto"/>
              </w:rPr>
            </w:pPr>
            <w:r>
              <w:rPr>
                <w:rFonts w:ascii="Arial" w:cs="Arial" w:eastAsia="Arial" w:hAnsi="Arial"/>
                <w:sz w:val="18"/>
                <w:szCs w:val="18"/>
                <w:color w:val="auto"/>
              </w:rPr>
              <w:t>11.3</w:t>
            </w:r>
          </w:p>
        </w:tc>
        <w:tc>
          <w:tcPr>
            <w:tcW w:w="114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Corporate Finance</w:t>
            </w:r>
          </w:p>
        </w:tc>
        <w:tc>
          <w:tcPr>
            <w:tcW w:w="4060" w:type="dxa"/>
            <w:vAlign w:val="bottom"/>
          </w:tcPr>
          <w:p>
            <w:pPr>
              <w:jc w:val="right"/>
              <w:ind w:right="552"/>
              <w:spacing w:after="0"/>
              <w:rPr>
                <w:sz w:val="20"/>
                <w:szCs w:val="20"/>
                <w:color w:val="auto"/>
              </w:rPr>
            </w:pPr>
            <w:r>
              <w:rPr>
                <w:rFonts w:ascii="Arial" w:cs="Arial" w:eastAsia="Arial" w:hAnsi="Arial"/>
                <w:sz w:val="18"/>
                <w:szCs w:val="18"/>
                <w:color w:val="auto"/>
              </w:rPr>
              <w:t>1.5</w:t>
            </w:r>
          </w:p>
        </w:tc>
        <w:tc>
          <w:tcPr>
            <w:tcW w:w="1640" w:type="dxa"/>
            <w:vAlign w:val="bottom"/>
          </w:tcPr>
          <w:p>
            <w:pPr>
              <w:jc w:val="right"/>
              <w:ind w:right="472"/>
              <w:spacing w:after="0"/>
              <w:rPr>
                <w:sz w:val="20"/>
                <w:szCs w:val="20"/>
                <w:color w:val="auto"/>
              </w:rPr>
            </w:pPr>
            <w:r>
              <w:rPr>
                <w:rFonts w:ascii="Arial" w:cs="Arial" w:eastAsia="Arial" w:hAnsi="Arial"/>
                <w:sz w:val="18"/>
                <w:szCs w:val="18"/>
                <w:color w:val="auto"/>
              </w:rPr>
              <w:t>3.8</w:t>
            </w:r>
          </w:p>
        </w:tc>
        <w:tc>
          <w:tcPr>
            <w:tcW w:w="1140" w:type="dxa"/>
            <w:vAlign w:val="bottom"/>
          </w:tcPr>
          <w:p>
            <w:pPr>
              <w:jc w:val="right"/>
              <w:spacing w:after="0"/>
              <w:rPr>
                <w:sz w:val="20"/>
                <w:szCs w:val="20"/>
                <w:color w:val="auto"/>
              </w:rPr>
            </w:pPr>
            <w:r>
              <w:rPr>
                <w:rFonts w:ascii="Arial" w:cs="Arial" w:eastAsia="Arial" w:hAnsi="Arial"/>
                <w:sz w:val="18"/>
                <w:szCs w:val="18"/>
                <w:color w:val="auto"/>
              </w:rPr>
              <w:t>148.4%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Loan administration</w:t>
            </w:r>
          </w:p>
        </w:tc>
        <w:tc>
          <w:tcPr>
            <w:tcW w:w="4060" w:type="dxa"/>
            <w:vAlign w:val="bottom"/>
          </w:tcPr>
          <w:p>
            <w:pPr>
              <w:jc w:val="right"/>
              <w:ind w:right="552"/>
              <w:spacing w:after="0"/>
              <w:rPr>
                <w:sz w:val="20"/>
                <w:szCs w:val="20"/>
                <w:color w:val="auto"/>
              </w:rPr>
            </w:pPr>
            <w:r>
              <w:rPr>
                <w:rFonts w:ascii="Arial" w:cs="Arial" w:eastAsia="Arial" w:hAnsi="Arial"/>
                <w:sz w:val="18"/>
                <w:szCs w:val="18"/>
                <w:color w:val="auto"/>
              </w:rPr>
              <w:t>0.5</w:t>
            </w:r>
          </w:p>
        </w:tc>
        <w:tc>
          <w:tcPr>
            <w:tcW w:w="1640" w:type="dxa"/>
            <w:vAlign w:val="bottom"/>
          </w:tcPr>
          <w:p>
            <w:pPr>
              <w:jc w:val="right"/>
              <w:ind w:right="472"/>
              <w:spacing w:after="0"/>
              <w:rPr>
                <w:sz w:val="20"/>
                <w:szCs w:val="20"/>
                <w:color w:val="auto"/>
              </w:rPr>
            </w:pPr>
            <w:r>
              <w:rPr>
                <w:rFonts w:ascii="Arial" w:cs="Arial" w:eastAsia="Arial" w:hAnsi="Arial"/>
                <w:sz w:val="18"/>
                <w:szCs w:val="18"/>
                <w:color w:val="auto"/>
              </w:rPr>
              <w:t>1.3</w:t>
            </w:r>
          </w:p>
        </w:tc>
        <w:tc>
          <w:tcPr>
            <w:tcW w:w="1140" w:type="dxa"/>
            <w:vAlign w:val="bottom"/>
          </w:tcPr>
          <w:p>
            <w:pPr>
              <w:jc w:val="right"/>
              <w:spacing w:after="0"/>
              <w:rPr>
                <w:sz w:val="20"/>
                <w:szCs w:val="20"/>
                <w:color w:val="auto"/>
              </w:rPr>
            </w:pPr>
            <w:r>
              <w:rPr>
                <w:rFonts w:ascii="Arial" w:cs="Arial" w:eastAsia="Arial" w:hAnsi="Arial"/>
                <w:sz w:val="18"/>
                <w:szCs w:val="18"/>
                <w:color w:val="auto"/>
              </w:rPr>
              <w:t>154.9%</w:t>
            </w: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Shipping and handling</w:t>
            </w:r>
          </w:p>
        </w:tc>
        <w:tc>
          <w:tcPr>
            <w:tcW w:w="4060" w:type="dxa"/>
            <w:vAlign w:val="bottom"/>
          </w:tcPr>
          <w:p>
            <w:pPr>
              <w:jc w:val="right"/>
              <w:ind w:right="552"/>
              <w:spacing w:after="0"/>
              <w:rPr>
                <w:sz w:val="20"/>
                <w:szCs w:val="20"/>
                <w:color w:val="auto"/>
              </w:rPr>
            </w:pPr>
            <w:r>
              <w:rPr>
                <w:rFonts w:ascii="Arial" w:cs="Arial" w:eastAsia="Arial" w:hAnsi="Arial"/>
                <w:sz w:val="18"/>
                <w:szCs w:val="18"/>
                <w:color w:val="auto"/>
              </w:rPr>
              <w:t>7.3</w:t>
            </w:r>
          </w:p>
        </w:tc>
        <w:tc>
          <w:tcPr>
            <w:tcW w:w="1640" w:type="dxa"/>
            <w:vAlign w:val="bottom"/>
          </w:tcPr>
          <w:p>
            <w:pPr>
              <w:jc w:val="right"/>
              <w:ind w:right="472"/>
              <w:spacing w:after="0"/>
              <w:rPr>
                <w:sz w:val="20"/>
                <w:szCs w:val="20"/>
                <w:color w:val="auto"/>
              </w:rPr>
            </w:pPr>
            <w:r>
              <w:rPr>
                <w:rFonts w:ascii="Arial" w:cs="Arial" w:eastAsia="Arial" w:hAnsi="Arial"/>
                <w:sz w:val="18"/>
                <w:szCs w:val="18"/>
                <w:color w:val="auto"/>
              </w:rPr>
              <w:t>6.9</w:t>
            </w: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r>
    </w:tbl>
    <w:p>
      <w:pPr>
        <w:sectPr>
          <w:pgSz w:w="11900" w:h="16855" w:orient="portrait"/>
          <w:cols w:equalWidth="0" w:num="1">
            <w:col w:w="11420"/>
          </w:cols>
          <w:pgMar w:left="240" w:top="131"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Other</w:t>
            </w:r>
          </w:p>
        </w:tc>
        <w:tc>
          <w:tcPr>
            <w:tcW w:w="4660" w:type="dxa"/>
            <w:vAlign w:val="bottom"/>
          </w:tcPr>
          <w:p>
            <w:pPr>
              <w:jc w:val="right"/>
              <w:ind w:right="572"/>
              <w:spacing w:after="0"/>
              <w:rPr>
                <w:sz w:val="20"/>
                <w:szCs w:val="20"/>
                <w:color w:val="auto"/>
              </w:rPr>
            </w:pPr>
            <w:r>
              <w:rPr>
                <w:rFonts w:ascii="Arial" w:cs="Arial" w:eastAsia="Arial" w:hAnsi="Arial"/>
                <w:sz w:val="18"/>
                <w:szCs w:val="18"/>
                <w:color w:val="auto"/>
              </w:rPr>
              <w:t>6.8</w:t>
            </w:r>
          </w:p>
        </w:tc>
        <w:tc>
          <w:tcPr>
            <w:tcW w:w="1660" w:type="dxa"/>
            <w:vAlign w:val="bottom"/>
          </w:tcPr>
          <w:p>
            <w:pPr>
              <w:jc w:val="right"/>
              <w:ind w:right="512"/>
              <w:spacing w:after="0"/>
              <w:rPr>
                <w:sz w:val="20"/>
                <w:szCs w:val="20"/>
                <w:color w:val="auto"/>
              </w:rPr>
            </w:pPr>
            <w:r>
              <w:rPr>
                <w:rFonts w:ascii="Arial" w:cs="Arial" w:eastAsia="Arial" w:hAnsi="Arial"/>
                <w:sz w:val="18"/>
                <w:szCs w:val="18"/>
                <w:color w:val="auto"/>
              </w:rPr>
              <w:t>7.7</w:t>
            </w: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28"/>
        </w:trPr>
        <w:tc>
          <w:tcPr>
            <w:tcW w:w="4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660" w:type="dxa"/>
            <w:vAlign w:val="bottom"/>
          </w:tcPr>
          <w:p>
            <w:pPr>
              <w:jc w:val="right"/>
              <w:ind w:right="572"/>
              <w:spacing w:after="0"/>
              <w:rPr>
                <w:sz w:val="20"/>
                <w:szCs w:val="20"/>
                <w:color w:val="auto"/>
              </w:rPr>
            </w:pPr>
            <w:r>
              <w:rPr>
                <w:rFonts w:ascii="Arial" w:cs="Arial" w:eastAsia="Arial" w:hAnsi="Arial"/>
                <w:sz w:val="18"/>
                <w:szCs w:val="18"/>
                <w:b w:val="1"/>
                <w:bCs w:val="1"/>
                <w:color w:val="auto"/>
              </w:rPr>
              <w:t>138.5</w:t>
            </w:r>
          </w:p>
        </w:tc>
        <w:tc>
          <w:tcPr>
            <w:tcW w:w="1660" w:type="dxa"/>
            <w:vAlign w:val="bottom"/>
          </w:tcPr>
          <w:p>
            <w:pPr>
              <w:jc w:val="right"/>
              <w:ind w:right="512"/>
              <w:spacing w:after="0"/>
              <w:rPr>
                <w:sz w:val="20"/>
                <w:szCs w:val="20"/>
                <w:color w:val="auto"/>
              </w:rPr>
            </w:pPr>
            <w:r>
              <w:rPr>
                <w:rFonts w:ascii="Arial" w:cs="Arial" w:eastAsia="Arial" w:hAnsi="Arial"/>
                <w:sz w:val="18"/>
                <w:szCs w:val="18"/>
                <w:b w:val="1"/>
                <w:bCs w:val="1"/>
                <w:color w:val="auto"/>
              </w:rPr>
              <w:t>158.7</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14.5%</w:t>
            </w:r>
          </w:p>
        </w:tc>
      </w:tr>
      <w:tr>
        <w:trPr>
          <w:trHeight w:val="110"/>
        </w:trPr>
        <w:tc>
          <w:tcPr>
            <w:tcW w:w="4000" w:type="dxa"/>
            <w:vAlign w:val="bottom"/>
            <w:tcBorders>
              <w:bottom w:val="single" w:sz="8" w:color="auto"/>
            </w:tcBorders>
          </w:tcPr>
          <w:p>
            <w:pPr>
              <w:spacing w:after="0"/>
              <w:rPr>
                <w:sz w:val="9"/>
                <w:szCs w:val="9"/>
                <w:color w:val="auto"/>
              </w:rPr>
            </w:pPr>
          </w:p>
        </w:tc>
        <w:tc>
          <w:tcPr>
            <w:tcW w:w="466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2003, securities transactions resulted in gains of S/.8.2 million (US$2.4 million), similar to gains in the year-ago quarter which had S/.8.9 million (US$2.6 million). The general index of the Lima Stock Exchange increased 17.1% in the second quarter of 2003, compared to a 12.7% decline in the same period of 2002.</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Gains from foreign exchange operations, which are the result of the foreign exchange buy-sell margin, were S/.18.9 million (US$5.4 million) in the second quarter of 2003, 3.5% over revenue in the same period in 2002, mainly due to increased traded volumes, which offset a slight decline in margins.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Other Income caption, that mainly registers reversals of prior year expenses and provisions and recoveries of certain operating costs, increased from S/.23.9 million (US$6.9 million) in the second quarter of 2002 to S/.26.6 million (US$7.7 million) in the current period, but declines with respect to S/.67.8 million (US$19.5 million) in the first quarter of 2003, which included deferred earnings amounting to S/.19.9 million (US$5.7 million) that did not have an effect in net income since offsetting loan loss provisions for the same amount were registered.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II.4 OTHER NON-INTEREST EXPENSES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Non-interest expenses during the second quarter of 2003 were S/.304.4 million (US$87.7 million), 3.1% above those of the same period in 2002, but decline 16.6% with respect to the preceding first quarter in which costs related to the BSCH-Peru merger were registered. Adjusted operating expenses reached S/.263.4 million (US$75.9 million) in the second quarter of 2003, increasing 2.6% compared to the year-ago period. Second quarter 2003 adjusted operating expenses are determined by excluding: (i) provisions for assets received in lieu of loan repayment (S/.23.2 million); (ii) non-recurring expenses related to the BSCH-Peru merger and systems’ restructuring costs (S/.12.8 million); and (iii) employee profit sharing expenses (S/.5.0 million).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second quarter 2003 BSCH-Peru merger costs, of S/.7.0 million (US$2.0 million), were incurred mainly for general expenses and employee severance indemnities. In the first quarter 2003 merger costs amounted to S/.53.4 million (US$15.4 million).</w:t>
      </w:r>
    </w:p>
    <w:p>
      <w:pPr>
        <w:spacing w:after="0" w:line="18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Excluding merger costs, approximately 42% of non-interest expenses were attributable to employee salaries and other expenses related to personnel. This concept decreased 3.8% to S/.124.7 million (US$35.9 million) when compared to the second quarter of 2002. At the end of the second quarter 2003 the number of employees stood at 7,570, decreasing from 7,629 employees as of March 2003, mainly due to restructuring plans at Banco de Crédito and at Solución Financiera.</w:t>
      </w:r>
    </w:p>
    <w:p>
      <w:pPr>
        <w:spacing w:after="0" w:line="14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General and Administrative expenses, which represented 33% of non-interest expenses excluding merger costs, reached S/.99.0 million (US$28.5 million) in the second quarter of 2003, increasing 8.7% when compared to expenses in the year-ago period partly due to non-recurring expenses related to systems amounting to S/.5.8 million (US$1.7 million). In the quarter, the most significant general and administrative expenses excluding merger costs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20"/>
                <w:szCs w:val="20"/>
                <w:color w:val="auto"/>
              </w:rPr>
            </w:pPr>
            <w:r>
              <w:rPr>
                <w:rFonts w:ascii="Arial" w:cs="Arial" w:eastAsia="Arial" w:hAnsi="Arial"/>
                <w:sz w:val="18"/>
                <w:szCs w:val="18"/>
                <w:i w:val="1"/>
                <w:iCs w:val="1"/>
                <w:color w:val="auto"/>
              </w:rPr>
              <w:t>(In constant S/. Mn.)</w:t>
            </w:r>
          </w:p>
        </w:tc>
        <w:tc>
          <w:tcPr>
            <w:tcW w:w="3600" w:type="dxa"/>
            <w:vAlign w:val="bottom"/>
          </w:tcPr>
          <w:p>
            <w:pPr>
              <w:jc w:val="right"/>
              <w:ind w:right="592"/>
              <w:spacing w:after="0"/>
              <w:rPr>
                <w:sz w:val="20"/>
                <w:szCs w:val="20"/>
                <w:color w:val="auto"/>
              </w:rPr>
            </w:pPr>
            <w:r>
              <w:rPr>
                <w:rFonts w:ascii="Arial" w:cs="Arial" w:eastAsia="Arial" w:hAnsi="Arial"/>
                <w:sz w:val="18"/>
                <w:szCs w:val="18"/>
                <w:b w:val="1"/>
                <w:bCs w:val="1"/>
                <w:color w:val="auto"/>
              </w:rPr>
              <w:t>2Q02</w:t>
            </w:r>
          </w:p>
        </w:tc>
        <w:tc>
          <w:tcPr>
            <w:tcW w:w="1660" w:type="dxa"/>
            <w:vAlign w:val="bottom"/>
          </w:tcPr>
          <w:p>
            <w:pPr>
              <w:jc w:val="right"/>
              <w:ind w:right="532"/>
              <w:spacing w:after="0"/>
              <w:rPr>
                <w:sz w:val="20"/>
                <w:szCs w:val="20"/>
                <w:color w:val="auto"/>
              </w:rPr>
            </w:pPr>
            <w:r>
              <w:rPr>
                <w:rFonts w:ascii="Arial" w:cs="Arial" w:eastAsia="Arial" w:hAnsi="Arial"/>
                <w:sz w:val="18"/>
                <w:szCs w:val="18"/>
                <w:b w:val="1"/>
                <w:bCs w:val="1"/>
                <w:color w:val="auto"/>
              </w:rPr>
              <w:t>2Q03</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Chnge.</w:t>
            </w:r>
          </w:p>
        </w:tc>
      </w:tr>
      <w:tr>
        <w:trPr>
          <w:trHeight w:val="110"/>
        </w:trPr>
        <w:tc>
          <w:tcPr>
            <w:tcW w:w="5040" w:type="dxa"/>
            <w:vAlign w:val="bottom"/>
            <w:tcBorders>
              <w:bottom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r>
        <w:trPr>
          <w:trHeight w:val="309"/>
        </w:trPr>
        <w:tc>
          <w:tcPr>
            <w:tcW w:w="5040" w:type="dxa"/>
            <w:vAlign w:val="bottom"/>
          </w:tcPr>
          <w:p>
            <w:pPr>
              <w:spacing w:after="0"/>
              <w:rPr>
                <w:sz w:val="20"/>
                <w:szCs w:val="20"/>
                <w:color w:val="auto"/>
              </w:rPr>
            </w:pPr>
            <w:r>
              <w:rPr>
                <w:rFonts w:ascii="Arial" w:cs="Arial" w:eastAsia="Arial" w:hAnsi="Arial"/>
                <w:sz w:val="18"/>
                <w:szCs w:val="18"/>
                <w:color w:val="auto"/>
              </w:rPr>
              <w:t>Office supplies and operating costs</w:t>
            </w:r>
          </w:p>
        </w:tc>
        <w:tc>
          <w:tcPr>
            <w:tcW w:w="3600" w:type="dxa"/>
            <w:vAlign w:val="bottom"/>
          </w:tcPr>
          <w:p>
            <w:pPr>
              <w:jc w:val="right"/>
              <w:ind w:right="552"/>
              <w:spacing w:after="0"/>
              <w:rPr>
                <w:sz w:val="20"/>
                <w:szCs w:val="20"/>
                <w:color w:val="auto"/>
              </w:rPr>
            </w:pPr>
            <w:r>
              <w:rPr>
                <w:rFonts w:ascii="Arial" w:cs="Arial" w:eastAsia="Arial" w:hAnsi="Arial"/>
                <w:sz w:val="18"/>
                <w:szCs w:val="18"/>
                <w:color w:val="auto"/>
              </w:rPr>
              <w:t>11.4</w:t>
            </w: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12.6</w:t>
            </w: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Communications</w:t>
            </w:r>
          </w:p>
        </w:tc>
        <w:tc>
          <w:tcPr>
            <w:tcW w:w="3600" w:type="dxa"/>
            <w:vAlign w:val="bottom"/>
          </w:tcPr>
          <w:p>
            <w:pPr>
              <w:jc w:val="right"/>
              <w:ind w:right="552"/>
              <w:spacing w:after="0"/>
              <w:rPr>
                <w:sz w:val="20"/>
                <w:szCs w:val="20"/>
                <w:color w:val="auto"/>
              </w:rPr>
            </w:pPr>
            <w:r>
              <w:rPr>
                <w:rFonts w:ascii="Arial" w:cs="Arial" w:eastAsia="Arial" w:hAnsi="Arial"/>
                <w:sz w:val="18"/>
                <w:szCs w:val="18"/>
                <w:color w:val="auto"/>
              </w:rPr>
              <w:t>9.2</w:t>
            </w: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9.6</w:t>
            </w: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Third party fees</w:t>
            </w:r>
          </w:p>
        </w:tc>
        <w:tc>
          <w:tcPr>
            <w:tcW w:w="3600" w:type="dxa"/>
            <w:vAlign w:val="bottom"/>
          </w:tcPr>
          <w:p>
            <w:pPr>
              <w:jc w:val="right"/>
              <w:ind w:right="552"/>
              <w:spacing w:after="0"/>
              <w:rPr>
                <w:sz w:val="20"/>
                <w:szCs w:val="20"/>
                <w:color w:val="auto"/>
              </w:rPr>
            </w:pPr>
            <w:r>
              <w:rPr>
                <w:rFonts w:ascii="Arial" w:cs="Arial" w:eastAsia="Arial" w:hAnsi="Arial"/>
                <w:sz w:val="18"/>
                <w:szCs w:val="18"/>
                <w:color w:val="auto"/>
              </w:rPr>
              <w:t>17.2</w:t>
            </w: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16.8</w:t>
            </w: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Insurance and security</w:t>
            </w:r>
          </w:p>
        </w:tc>
        <w:tc>
          <w:tcPr>
            <w:tcW w:w="3600" w:type="dxa"/>
            <w:vAlign w:val="bottom"/>
          </w:tcPr>
          <w:p>
            <w:pPr>
              <w:jc w:val="right"/>
              <w:ind w:right="552"/>
              <w:spacing w:after="0"/>
              <w:rPr>
                <w:sz w:val="20"/>
                <w:szCs w:val="20"/>
                <w:color w:val="auto"/>
              </w:rPr>
            </w:pPr>
            <w:r>
              <w:rPr>
                <w:rFonts w:ascii="Arial" w:cs="Arial" w:eastAsia="Arial" w:hAnsi="Arial"/>
                <w:sz w:val="18"/>
                <w:szCs w:val="18"/>
                <w:color w:val="auto"/>
              </w:rPr>
              <w:t>7.7</w:t>
            </w: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8.0</w:t>
            </w: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Transport of currency and securities</w:t>
            </w:r>
          </w:p>
        </w:tc>
        <w:tc>
          <w:tcPr>
            <w:tcW w:w="3600" w:type="dxa"/>
            <w:vAlign w:val="bottom"/>
          </w:tcPr>
          <w:p>
            <w:pPr>
              <w:jc w:val="right"/>
              <w:ind w:right="552"/>
              <w:spacing w:after="0"/>
              <w:rPr>
                <w:sz w:val="20"/>
                <w:szCs w:val="20"/>
                <w:color w:val="auto"/>
              </w:rPr>
            </w:pPr>
            <w:r>
              <w:rPr>
                <w:rFonts w:ascii="Arial" w:cs="Arial" w:eastAsia="Arial" w:hAnsi="Arial"/>
                <w:sz w:val="18"/>
                <w:szCs w:val="18"/>
                <w:color w:val="auto"/>
              </w:rPr>
              <w:t>11.1</w:t>
            </w: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11.8</w:t>
            </w: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Systems and maintenance</w:t>
            </w:r>
          </w:p>
        </w:tc>
        <w:tc>
          <w:tcPr>
            <w:tcW w:w="3600" w:type="dxa"/>
            <w:vAlign w:val="bottom"/>
          </w:tcPr>
          <w:p>
            <w:pPr>
              <w:jc w:val="right"/>
              <w:ind w:right="552"/>
              <w:spacing w:after="0"/>
              <w:rPr>
                <w:sz w:val="20"/>
                <w:szCs w:val="20"/>
                <w:color w:val="auto"/>
              </w:rPr>
            </w:pPr>
            <w:r>
              <w:rPr>
                <w:rFonts w:ascii="Arial" w:cs="Arial" w:eastAsia="Arial" w:hAnsi="Arial"/>
                <w:sz w:val="18"/>
                <w:szCs w:val="18"/>
                <w:color w:val="auto"/>
              </w:rPr>
              <w:t>16.0</w:t>
            </w: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22.1</w:t>
            </w:r>
          </w:p>
        </w:tc>
        <w:tc>
          <w:tcPr>
            <w:tcW w:w="112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3600" w:type="dxa"/>
            <w:vAlign w:val="bottom"/>
          </w:tcPr>
          <w:p>
            <w:pPr>
              <w:jc w:val="right"/>
              <w:ind w:right="552"/>
              <w:spacing w:after="0"/>
              <w:rPr>
                <w:sz w:val="20"/>
                <w:szCs w:val="20"/>
                <w:color w:val="auto"/>
              </w:rPr>
            </w:pPr>
            <w:r>
              <w:rPr>
                <w:rFonts w:ascii="Arial" w:cs="Arial" w:eastAsia="Arial" w:hAnsi="Arial"/>
                <w:sz w:val="18"/>
                <w:szCs w:val="18"/>
                <w:color w:val="auto"/>
              </w:rPr>
              <w:t>15.9</w:t>
            </w: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13.6</w:t>
            </w:r>
          </w:p>
        </w:tc>
        <w:tc>
          <w:tcPr>
            <w:tcW w:w="11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0"/>
        </w:trPr>
        <w:tc>
          <w:tcPr>
            <w:tcW w:w="5040" w:type="dxa"/>
            <w:vAlign w:val="bottom"/>
          </w:tcPr>
          <w:p>
            <w:pPr>
              <w:spacing w:after="0"/>
              <w:rPr>
                <w:sz w:val="20"/>
                <w:szCs w:val="20"/>
                <w:color w:val="auto"/>
              </w:rPr>
            </w:pPr>
            <w:r>
              <w:rPr>
                <w:rFonts w:ascii="Arial" w:cs="Arial" w:eastAsia="Arial" w:hAnsi="Arial"/>
                <w:sz w:val="18"/>
                <w:szCs w:val="18"/>
                <w:color w:val="auto"/>
              </w:rPr>
              <w:t>Other G&amp;A</w:t>
            </w:r>
          </w:p>
        </w:tc>
        <w:tc>
          <w:tcPr>
            <w:tcW w:w="3600" w:type="dxa"/>
            <w:vAlign w:val="bottom"/>
          </w:tcPr>
          <w:p>
            <w:pPr>
              <w:jc w:val="right"/>
              <w:ind w:right="552"/>
              <w:spacing w:after="0"/>
              <w:rPr>
                <w:sz w:val="20"/>
                <w:szCs w:val="20"/>
                <w:color w:val="auto"/>
              </w:rPr>
            </w:pPr>
            <w:r>
              <w:rPr>
                <w:rFonts w:ascii="Arial" w:cs="Arial" w:eastAsia="Arial" w:hAnsi="Arial"/>
                <w:sz w:val="18"/>
                <w:szCs w:val="18"/>
                <w:color w:val="auto"/>
              </w:rPr>
              <w:t>2.4</w:t>
            </w:r>
          </w:p>
        </w:tc>
        <w:tc>
          <w:tcPr>
            <w:tcW w:w="1660" w:type="dxa"/>
            <w:vAlign w:val="bottom"/>
          </w:tcPr>
          <w:p>
            <w:pPr>
              <w:jc w:val="right"/>
              <w:ind w:right="492"/>
              <w:spacing w:after="0"/>
              <w:rPr>
                <w:sz w:val="20"/>
                <w:szCs w:val="20"/>
                <w:color w:val="auto"/>
              </w:rPr>
            </w:pPr>
            <w:r>
              <w:rPr>
                <w:rFonts w:ascii="Arial" w:cs="Arial" w:eastAsia="Arial" w:hAnsi="Arial"/>
                <w:sz w:val="18"/>
                <w:szCs w:val="18"/>
                <w:color w:val="auto"/>
              </w:rPr>
              <w:t>4.5</w:t>
            </w:r>
          </w:p>
        </w:tc>
        <w:tc>
          <w:tcPr>
            <w:tcW w:w="112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28"/>
        </w:trPr>
        <w:tc>
          <w:tcPr>
            <w:tcW w:w="5040" w:type="dxa"/>
            <w:vAlign w:val="bottom"/>
          </w:tcPr>
          <w:p>
            <w:pPr>
              <w:spacing w:after="0"/>
              <w:rPr>
                <w:sz w:val="20"/>
                <w:szCs w:val="20"/>
                <w:color w:val="auto"/>
              </w:rPr>
            </w:pPr>
            <w:r>
              <w:rPr>
                <w:rFonts w:ascii="Arial" w:cs="Arial" w:eastAsia="Arial" w:hAnsi="Arial"/>
                <w:sz w:val="18"/>
                <w:szCs w:val="18"/>
                <w:b w:val="1"/>
                <w:bCs w:val="1"/>
                <w:color w:val="auto"/>
              </w:rPr>
              <w:t>Total G&amp;A</w:t>
            </w:r>
          </w:p>
        </w:tc>
        <w:tc>
          <w:tcPr>
            <w:tcW w:w="3600" w:type="dxa"/>
            <w:vAlign w:val="bottom"/>
          </w:tcPr>
          <w:p>
            <w:pPr>
              <w:jc w:val="right"/>
              <w:ind w:right="552"/>
              <w:spacing w:after="0"/>
              <w:rPr>
                <w:sz w:val="20"/>
                <w:szCs w:val="20"/>
                <w:color w:val="auto"/>
              </w:rPr>
            </w:pPr>
            <w:r>
              <w:rPr>
                <w:rFonts w:ascii="Arial" w:cs="Arial" w:eastAsia="Arial" w:hAnsi="Arial"/>
                <w:sz w:val="18"/>
                <w:szCs w:val="18"/>
                <w:b w:val="1"/>
                <w:bCs w:val="1"/>
                <w:color w:val="auto"/>
              </w:rPr>
              <w:t>91.1</w:t>
            </w:r>
          </w:p>
        </w:tc>
        <w:tc>
          <w:tcPr>
            <w:tcW w:w="1660" w:type="dxa"/>
            <w:vAlign w:val="bottom"/>
          </w:tcPr>
          <w:p>
            <w:pPr>
              <w:jc w:val="right"/>
              <w:ind w:right="492"/>
              <w:spacing w:after="0"/>
              <w:rPr>
                <w:sz w:val="20"/>
                <w:szCs w:val="20"/>
                <w:color w:val="auto"/>
              </w:rPr>
            </w:pPr>
            <w:r>
              <w:rPr>
                <w:rFonts w:ascii="Arial" w:cs="Arial" w:eastAsia="Arial" w:hAnsi="Arial"/>
                <w:sz w:val="18"/>
                <w:szCs w:val="18"/>
                <w:b w:val="1"/>
                <w:bCs w:val="1"/>
                <w:color w:val="auto"/>
              </w:rPr>
              <w:t>99.0</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8.7%</w:t>
            </w:r>
          </w:p>
        </w:tc>
      </w:tr>
      <w:tr>
        <w:trPr>
          <w:trHeight w:val="110"/>
        </w:trPr>
        <w:tc>
          <w:tcPr>
            <w:tcW w:w="5040" w:type="dxa"/>
            <w:vAlign w:val="bottom"/>
            <w:tcBorders>
              <w:bottom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Other caption within Other Non-Interest Expenses, decreased from S/.36.5 million (US$10.5 million) in the second quarter of 2002 to S/.29.0 million (US$8.4 million) in the current quarter, mainly due to lower provisions for contingencies registered within this caption.</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ratio of adjusted operating expenses (determined by excluding provisions for assets received in lieu of loan repayment, employee profit sharing expense and non-recurring expenses) as a percentage of average total assets, decreased from 4.9% in the second quarter of 2002 to 4.4% in the current period.</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operating expenses, as a percentage of total income (excluding non-recurring income), also improved from 54.8% to 53.0% when comparing the second quarters of 2002 and 2003,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II.5 ASSETS AND LIABILITIES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assets of BCP reached S/.23,386 million (US$6,737 million) at the end of June 2003, increasing 10.9% with respect to the year-ago balance, but decrease by 5.1% compared to assets at March 2003.</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total loans were S/.14,618 million (US$4,212 million) at the end of June 2003, increasing 12.1% compared to June 2002, but are slightly lower by 0.9% with respect to preceding quarter loans. At June 30, 2003, the loan portfolio, net of provisions, represented 56.3% of total assets, higher than 53.8% at March 2003. At the end of the second quarter of 2003, the Nuevos Soles portion of the loan portfolio was 17.2%, over 16.7% in March 2003, and also over 14.2% as of June 2002.</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June 30, 2003 total deposits were S/.20,013 million (US$5,766 million), increasing 13.2% compared to second quarter 2002 deposits, but declined 4.6% during the current quarter. During the second quarter 2003, savings deposits decreased by 1.0%, demand deposits by 4.3%, and time deposits by 6.6%. Deposits denominated in Nuevos Soles were 23.5% of total deposits, higher than 22.2% at March 2003, and also increasing over 20.4% at the end of June 2002.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BCP’s subsidiaries had the following loan, net of provisions, and deposit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ind w:left="5920"/>
        <w:spacing w:after="0"/>
        <w:tabs>
          <w:tab w:leader="none" w:pos="9160" w:val="left"/>
        </w:tabs>
        <w:rPr>
          <w:sz w:val="20"/>
          <w:szCs w:val="20"/>
          <w:color w:val="auto"/>
        </w:rPr>
      </w:pPr>
      <w:r>
        <w:rPr>
          <w:rFonts w:ascii="Arial" w:cs="Arial" w:eastAsia="Arial" w:hAnsi="Arial"/>
          <w:sz w:val="18"/>
          <w:szCs w:val="18"/>
          <w:b w:val="1"/>
          <w:bCs w:val="1"/>
          <w:color w:val="auto"/>
        </w:rPr>
        <w:t>Loans, net</w:t>
      </w:r>
      <w:r>
        <w:rPr>
          <w:sz w:val="20"/>
          <w:szCs w:val="20"/>
          <w:color w:val="auto"/>
        </w:rPr>
        <w:tab/>
      </w:r>
      <w:r>
        <w:rPr>
          <w:rFonts w:ascii="Arial" w:cs="Arial" w:eastAsia="Arial" w:hAnsi="Arial"/>
          <w:sz w:val="15"/>
          <w:szCs w:val="15"/>
          <w:b w:val="1"/>
          <w:bCs w:val="1"/>
          <w:color w:val="auto"/>
        </w:rPr>
        <w:t>Total Deposits</w:t>
      </w:r>
    </w:p>
    <w:p>
      <w:pPr>
        <w:sectPr>
          <w:pgSz w:w="11900" w:h="16838" w:orient="portrait"/>
          <w:cols w:equalWidth="0" w:num="1">
            <w:col w:w="11420"/>
          </w:cols>
          <w:pgMar w:left="240" w:top="131" w:right="239" w:bottom="0" w:gutter="0" w:footer="0" w:header="0"/>
          <w:type w:val="continuous"/>
        </w:sectPr>
      </w:pPr>
    </w:p>
    <w:bookmarkStart w:id="8" w:name="page9"/>
    <w:bookmarkEnd w:id="8"/>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3640" w:type="dxa"/>
            <w:vAlign w:val="bottom"/>
            <w:gridSpan w:val="2"/>
          </w:tcPr>
          <w:p>
            <w:pPr>
              <w:spacing w:after="0"/>
              <w:rPr>
                <w:sz w:val="20"/>
                <w:szCs w:val="20"/>
                <w:color w:val="auto"/>
              </w:rPr>
            </w:pPr>
            <w:r>
              <w:rPr>
                <w:rFonts w:ascii="Arial" w:cs="Arial" w:eastAsia="Arial" w:hAnsi="Arial"/>
                <w:sz w:val="18"/>
                <w:szCs w:val="18"/>
                <w:i w:val="1"/>
                <w:iCs w:val="1"/>
                <w:color w:val="auto"/>
              </w:rPr>
              <w:t>(In % and constant S/.Mn.)</w:t>
            </w:r>
          </w:p>
        </w:tc>
        <w:tc>
          <w:tcPr>
            <w:tcW w:w="2100" w:type="dxa"/>
            <w:vAlign w:val="bottom"/>
            <w:gridSpan w:val="3"/>
          </w:tcPr>
          <w:p>
            <w:pPr>
              <w:jc w:val="right"/>
              <w:spacing w:after="0"/>
              <w:rPr>
                <w:sz w:val="20"/>
                <w:szCs w:val="20"/>
                <w:color w:val="auto"/>
              </w:rPr>
            </w:pPr>
            <w:r>
              <w:rPr>
                <w:rFonts w:ascii="Arial" w:cs="Arial" w:eastAsia="Arial" w:hAnsi="Arial"/>
                <w:sz w:val="18"/>
                <w:szCs w:val="18"/>
                <w:b w:val="1"/>
                <w:bCs w:val="1"/>
                <w:color w:val="auto"/>
              </w:rPr>
              <w:t>30.06.02</w:t>
            </w:r>
          </w:p>
        </w:tc>
        <w:tc>
          <w:tcPr>
            <w:tcW w:w="2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31.03.03</w:t>
            </w:r>
          </w:p>
        </w:tc>
        <w:tc>
          <w:tcPr>
            <w:tcW w:w="4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30.06.03</w:t>
            </w:r>
          </w:p>
        </w:tc>
        <w:tc>
          <w:tcPr>
            <w:tcW w:w="4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30.06.02</w:t>
            </w:r>
          </w:p>
        </w:tc>
        <w:tc>
          <w:tcPr>
            <w:tcW w:w="460" w:type="dxa"/>
            <w:vAlign w:val="bottom"/>
          </w:tcPr>
          <w:p>
            <w:pPr>
              <w:spacing w:after="0"/>
              <w:rPr>
                <w:sz w:val="19"/>
                <w:szCs w:val="19"/>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31.03.03</w:t>
            </w: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30.06.03</w:t>
            </w:r>
          </w:p>
        </w:tc>
      </w:tr>
      <w:tr>
        <w:trPr>
          <w:trHeight w:val="110"/>
        </w:trPr>
        <w:tc>
          <w:tcPr>
            <w:tcW w:w="72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09"/>
        </w:trPr>
        <w:tc>
          <w:tcPr>
            <w:tcW w:w="3640" w:type="dxa"/>
            <w:vAlign w:val="bottom"/>
            <w:gridSpan w:val="2"/>
          </w:tcPr>
          <w:p>
            <w:pPr>
              <w:spacing w:after="0"/>
              <w:rPr>
                <w:sz w:val="20"/>
                <w:szCs w:val="20"/>
                <w:color w:val="auto"/>
              </w:rPr>
            </w:pPr>
            <w:r>
              <w:rPr>
                <w:rFonts w:ascii="Arial" w:cs="Arial" w:eastAsia="Arial" w:hAnsi="Arial"/>
                <w:sz w:val="18"/>
                <w:szCs w:val="18"/>
                <w:color w:val="auto"/>
              </w:rPr>
              <w:t>Banco de Credito del Peru</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78.0%</w:t>
            </w:r>
          </w:p>
        </w:tc>
        <w:tc>
          <w:tcPr>
            <w:tcW w:w="24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86.4%</w:t>
            </w:r>
          </w:p>
        </w:tc>
        <w:tc>
          <w:tcPr>
            <w:tcW w:w="4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4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84.6%</w:t>
            </w:r>
          </w:p>
        </w:tc>
        <w:tc>
          <w:tcPr>
            <w:tcW w:w="460" w:type="dxa"/>
            <w:vAlign w:val="bottom"/>
          </w:tcPr>
          <w:p>
            <w:pPr>
              <w:spacing w:after="0"/>
              <w:rPr>
                <w:sz w:val="24"/>
                <w:szCs w:val="24"/>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90.6%</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90.0%</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Banco de Credito de Bolivia</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46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5.6%</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Banco de Credito Overseas</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0.0%</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Credito Leasing</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2.6%</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Solucion Financiera de Credito</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1.1%</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1.2%</w:t>
            </w:r>
          </w:p>
        </w:tc>
      </w:tr>
      <w:tr>
        <w:trPr>
          <w:trHeight w:val="184"/>
        </w:trPr>
        <w:tc>
          <w:tcPr>
            <w:tcW w:w="720" w:type="dxa"/>
            <w:vAlign w:val="bottom"/>
          </w:tcPr>
          <w:p>
            <w:pPr>
              <w:spacing w:after="0" w:line="184" w:lineRule="exact"/>
              <w:rPr>
                <w:sz w:val="20"/>
                <w:szCs w:val="20"/>
                <w:color w:val="auto"/>
              </w:rPr>
            </w:pPr>
            <w:r>
              <w:rPr>
                <w:rFonts w:ascii="Arial" w:cs="Arial" w:eastAsia="Arial" w:hAnsi="Arial"/>
                <w:sz w:val="18"/>
                <w:szCs w:val="18"/>
                <w:color w:val="auto"/>
                <w:w w:val="94"/>
              </w:rPr>
              <w:t>TOTAL%</w:t>
            </w:r>
          </w:p>
        </w:tc>
        <w:tc>
          <w:tcPr>
            <w:tcW w:w="2920" w:type="dxa"/>
            <w:vAlign w:val="bottom"/>
          </w:tcPr>
          <w:p>
            <w:pPr>
              <w:spacing w:after="0"/>
              <w:rPr>
                <w:sz w:val="15"/>
                <w:szCs w:val="15"/>
                <w:color w:val="auto"/>
              </w:rPr>
            </w:pPr>
          </w:p>
        </w:tc>
        <w:tc>
          <w:tcPr>
            <w:tcW w:w="210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240" w:type="dxa"/>
            <w:vAlign w:val="bottom"/>
          </w:tcPr>
          <w:p>
            <w:pPr>
              <w:spacing w:after="0"/>
              <w:rPr>
                <w:sz w:val="15"/>
                <w:szCs w:val="15"/>
                <w:color w:val="auto"/>
              </w:rPr>
            </w:pPr>
          </w:p>
        </w:tc>
        <w:tc>
          <w:tcPr>
            <w:tcW w:w="90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460" w:type="dxa"/>
            <w:vAlign w:val="bottom"/>
          </w:tcPr>
          <w:p>
            <w:pPr>
              <w:spacing w:after="0"/>
              <w:rPr>
                <w:sz w:val="15"/>
                <w:szCs w:val="15"/>
                <w:color w:val="auto"/>
              </w:rPr>
            </w:pPr>
          </w:p>
        </w:tc>
        <w:tc>
          <w:tcPr>
            <w:tcW w:w="68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460" w:type="dxa"/>
            <w:vAlign w:val="bottom"/>
          </w:tcPr>
          <w:p>
            <w:pPr>
              <w:spacing w:after="0"/>
              <w:rPr>
                <w:sz w:val="15"/>
                <w:szCs w:val="15"/>
                <w:color w:val="auto"/>
              </w:rPr>
            </w:pPr>
          </w:p>
        </w:tc>
        <w:tc>
          <w:tcPr>
            <w:tcW w:w="68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460" w:type="dxa"/>
            <w:vAlign w:val="bottom"/>
          </w:tcPr>
          <w:p>
            <w:pPr>
              <w:spacing w:after="0"/>
              <w:rPr>
                <w:sz w:val="15"/>
                <w:szCs w:val="15"/>
                <w:color w:val="auto"/>
              </w:rPr>
            </w:pPr>
          </w:p>
        </w:tc>
        <w:tc>
          <w:tcPr>
            <w:tcW w:w="900" w:type="dxa"/>
            <w:vAlign w:val="bottom"/>
            <w:gridSpan w:val="3"/>
          </w:tcPr>
          <w:p>
            <w:pPr>
              <w:jc w:val="right"/>
              <w:ind w:right="24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90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r>
      <w:tr>
        <w:trPr>
          <w:trHeight w:val="20"/>
        </w:trPr>
        <w:tc>
          <w:tcPr>
            <w:tcW w:w="7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96"/>
        </w:trPr>
        <w:tc>
          <w:tcPr>
            <w:tcW w:w="36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BCP consolidated Total</w:t>
            </w:r>
          </w:p>
        </w:tc>
        <w:tc>
          <w:tcPr>
            <w:tcW w:w="2340" w:type="dxa"/>
            <w:vAlign w:val="bottom"/>
            <w:gridSpan w:val="4"/>
          </w:tcPr>
          <w:p>
            <w:pPr>
              <w:jc w:val="right"/>
              <w:ind w:right="240"/>
              <w:spacing w:after="0" w:line="196" w:lineRule="exact"/>
              <w:rPr>
                <w:sz w:val="20"/>
                <w:szCs w:val="20"/>
                <w:color w:val="auto"/>
              </w:rPr>
            </w:pPr>
            <w:r>
              <w:rPr>
                <w:rFonts w:ascii="Arial" w:cs="Arial" w:eastAsia="Arial" w:hAnsi="Arial"/>
                <w:sz w:val="18"/>
                <w:szCs w:val="18"/>
                <w:b w:val="1"/>
                <w:bCs w:val="1"/>
                <w:color w:val="auto"/>
              </w:rPr>
              <w:t>S/.11,931</w:t>
            </w:r>
          </w:p>
        </w:tc>
        <w:tc>
          <w:tcPr>
            <w:tcW w:w="1360" w:type="dxa"/>
            <w:vAlign w:val="bottom"/>
            <w:gridSpan w:val="4"/>
          </w:tcPr>
          <w:p>
            <w:pPr>
              <w:jc w:val="right"/>
              <w:ind w:right="460"/>
              <w:spacing w:after="0" w:line="196" w:lineRule="exact"/>
              <w:rPr>
                <w:sz w:val="20"/>
                <w:szCs w:val="20"/>
                <w:color w:val="auto"/>
              </w:rPr>
            </w:pPr>
            <w:r>
              <w:rPr>
                <w:rFonts w:ascii="Arial" w:cs="Arial" w:eastAsia="Arial" w:hAnsi="Arial"/>
                <w:sz w:val="18"/>
                <w:szCs w:val="18"/>
                <w:b w:val="1"/>
                <w:bCs w:val="1"/>
                <w:color w:val="auto"/>
              </w:rPr>
              <w:t>S/.13,266</w:t>
            </w:r>
          </w:p>
        </w:tc>
        <w:tc>
          <w:tcPr>
            <w:tcW w:w="1140" w:type="dxa"/>
            <w:vAlign w:val="bottom"/>
            <w:gridSpan w:val="3"/>
          </w:tcPr>
          <w:p>
            <w:pPr>
              <w:jc w:val="right"/>
              <w:ind w:right="460"/>
              <w:spacing w:after="0" w:line="196" w:lineRule="exact"/>
              <w:rPr>
                <w:sz w:val="20"/>
                <w:szCs w:val="20"/>
                <w:color w:val="auto"/>
              </w:rPr>
            </w:pPr>
            <w:r>
              <w:rPr>
                <w:rFonts w:ascii="Arial" w:cs="Arial" w:eastAsia="Arial" w:hAnsi="Arial"/>
                <w:sz w:val="18"/>
                <w:szCs w:val="18"/>
                <w:b w:val="1"/>
                <w:bCs w:val="1"/>
                <w:color w:val="auto"/>
                <w:w w:val="85"/>
              </w:rPr>
              <w:t>S/.13,177</w:t>
            </w:r>
          </w:p>
        </w:tc>
        <w:tc>
          <w:tcPr>
            <w:tcW w:w="1140" w:type="dxa"/>
            <w:vAlign w:val="bottom"/>
            <w:gridSpan w:val="3"/>
          </w:tcPr>
          <w:p>
            <w:pPr>
              <w:jc w:val="right"/>
              <w:ind w:right="460"/>
              <w:spacing w:after="0" w:line="196" w:lineRule="exact"/>
              <w:rPr>
                <w:sz w:val="20"/>
                <w:szCs w:val="20"/>
                <w:color w:val="auto"/>
              </w:rPr>
            </w:pPr>
            <w:r>
              <w:rPr>
                <w:rFonts w:ascii="Arial" w:cs="Arial" w:eastAsia="Arial" w:hAnsi="Arial"/>
                <w:sz w:val="18"/>
                <w:szCs w:val="18"/>
                <w:b w:val="1"/>
                <w:bCs w:val="1"/>
                <w:color w:val="auto"/>
                <w:w w:val="85"/>
              </w:rPr>
              <w:t>S/.17,673</w:t>
            </w:r>
          </w:p>
        </w:tc>
        <w:tc>
          <w:tcPr>
            <w:tcW w:w="900" w:type="dxa"/>
            <w:vAlign w:val="bottom"/>
            <w:gridSpan w:val="3"/>
          </w:tcPr>
          <w:p>
            <w:pPr>
              <w:jc w:val="right"/>
              <w:ind w:right="240"/>
              <w:spacing w:after="0" w:line="196" w:lineRule="exact"/>
              <w:rPr>
                <w:sz w:val="20"/>
                <w:szCs w:val="20"/>
                <w:color w:val="auto"/>
              </w:rPr>
            </w:pPr>
            <w:r>
              <w:rPr>
                <w:rFonts w:ascii="Arial" w:cs="Arial" w:eastAsia="Arial" w:hAnsi="Arial"/>
                <w:sz w:val="18"/>
                <w:szCs w:val="18"/>
                <w:b w:val="1"/>
                <w:bCs w:val="1"/>
                <w:color w:val="auto"/>
                <w:w w:val="82"/>
              </w:rPr>
              <w:t>S/.20,985</w:t>
            </w:r>
          </w:p>
        </w:tc>
        <w:tc>
          <w:tcPr>
            <w:tcW w:w="9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S/.20,014</w:t>
            </w:r>
          </w:p>
        </w:tc>
      </w:tr>
      <w:tr>
        <w:trPr>
          <w:trHeight w:val="129"/>
        </w:trPr>
        <w:tc>
          <w:tcPr>
            <w:tcW w:w="72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spacing w:after="0"/>
              <w:rPr>
                <w:sz w:val="11"/>
                <w:szCs w:val="11"/>
                <w:color w:val="auto"/>
              </w:rPr>
            </w:pPr>
          </w:p>
        </w:tc>
      </w:tr>
    </w:tbl>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statistics from the Peruvian Banking Association (ASBANC) for Peruvian commercial banks as of June 30, 2003, Banco de Crédito del Perú had a total loan market share of 34.3% (35.3% at March 31, 2003 and 27.2% at June 30, 2002), and 36.3% of deposits (38.5% at March 31, 2003 and 31.4% at June 30,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Loan portfolio composition by business segment developed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gridSpan w:val="2"/>
          </w:tcPr>
          <w:p>
            <w:pPr>
              <w:spacing w:after="0"/>
              <w:rPr>
                <w:sz w:val="20"/>
                <w:szCs w:val="20"/>
                <w:color w:val="auto"/>
              </w:rPr>
            </w:pPr>
            <w:r>
              <w:rPr>
                <w:rFonts w:ascii="Arial" w:cs="Arial" w:eastAsia="Arial" w:hAnsi="Arial"/>
                <w:sz w:val="18"/>
                <w:szCs w:val="18"/>
                <w:i w:val="1"/>
                <w:iCs w:val="1"/>
                <w:color w:val="auto"/>
              </w:rPr>
              <w:t>(In % of total and constant S/. Mn)</w:t>
            </w:r>
          </w:p>
        </w:tc>
        <w:tc>
          <w:tcPr>
            <w:tcW w:w="30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30.06.02</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31.03.03</w:t>
            </w:r>
          </w:p>
        </w:tc>
        <w:tc>
          <w:tcPr>
            <w:tcW w:w="5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30.06.03</w:t>
            </w:r>
          </w:p>
        </w:tc>
      </w:tr>
      <w:tr>
        <w:trPr>
          <w:trHeight w:val="110"/>
        </w:trPr>
        <w:tc>
          <w:tcPr>
            <w:tcW w:w="360" w:type="dxa"/>
            <w:vAlign w:val="bottom"/>
            <w:tcBorders>
              <w:bottom w:val="single" w:sz="8" w:color="auto"/>
            </w:tcBorders>
          </w:tcPr>
          <w:p>
            <w:pPr>
              <w:spacing w:after="0"/>
              <w:rPr>
                <w:sz w:val="9"/>
                <w:szCs w:val="9"/>
                <w:color w:val="auto"/>
              </w:rPr>
            </w:pPr>
          </w:p>
        </w:tc>
        <w:tc>
          <w:tcPr>
            <w:tcW w:w="510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09"/>
        </w:trPr>
        <w:tc>
          <w:tcPr>
            <w:tcW w:w="546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3060" w:type="dxa"/>
            <w:vAlign w:val="bottom"/>
            <w:gridSpan w:val="3"/>
          </w:tcPr>
          <w:p>
            <w:pPr>
              <w:jc w:val="right"/>
              <w:ind w:right="520"/>
              <w:spacing w:after="0"/>
              <w:rPr>
                <w:sz w:val="20"/>
                <w:szCs w:val="20"/>
                <w:color w:val="auto"/>
              </w:rPr>
            </w:pPr>
            <w:r>
              <w:rPr>
                <w:rFonts w:ascii="Arial" w:cs="Arial" w:eastAsia="Arial" w:hAnsi="Arial"/>
                <w:sz w:val="18"/>
                <w:szCs w:val="18"/>
                <w:color w:val="auto"/>
              </w:rPr>
              <w:t>45.5%</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43.2%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43.1%</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Middle market</w:t>
            </w:r>
          </w:p>
        </w:tc>
        <w:tc>
          <w:tcPr>
            <w:tcW w:w="3060" w:type="dxa"/>
            <w:vAlign w:val="bottom"/>
            <w:gridSpan w:val="3"/>
          </w:tcPr>
          <w:p>
            <w:pPr>
              <w:jc w:val="right"/>
              <w:ind w:right="520"/>
              <w:spacing w:after="0"/>
              <w:rPr>
                <w:sz w:val="20"/>
                <w:szCs w:val="20"/>
                <w:color w:val="auto"/>
              </w:rPr>
            </w:pPr>
            <w:r>
              <w:rPr>
                <w:rFonts w:ascii="Arial" w:cs="Arial" w:eastAsia="Arial" w:hAnsi="Arial"/>
                <w:sz w:val="18"/>
                <w:szCs w:val="18"/>
                <w:color w:val="auto"/>
              </w:rPr>
              <w:t>27.2%</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26.0%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26.4%</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060" w:type="dxa"/>
            <w:vAlign w:val="bottom"/>
            <w:gridSpan w:val="3"/>
          </w:tcPr>
          <w:p>
            <w:pPr>
              <w:jc w:val="right"/>
              <w:ind w:right="520"/>
              <w:spacing w:after="0"/>
              <w:rPr>
                <w:sz w:val="20"/>
                <w:szCs w:val="20"/>
                <w:color w:val="auto"/>
              </w:rPr>
            </w:pPr>
            <w:r>
              <w:rPr>
                <w:rFonts w:ascii="Arial" w:cs="Arial" w:eastAsia="Arial" w:hAnsi="Arial"/>
                <w:sz w:val="18"/>
                <w:szCs w:val="18"/>
                <w:color w:val="auto"/>
              </w:rPr>
              <w:t>27.3%</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30.8%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30.5%</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 small business</w:t>
            </w:r>
          </w:p>
        </w:tc>
        <w:tc>
          <w:tcPr>
            <w:tcW w:w="3060" w:type="dxa"/>
            <w:vAlign w:val="bottom"/>
            <w:gridSpan w:val="3"/>
          </w:tcPr>
          <w:p>
            <w:pPr>
              <w:jc w:val="right"/>
              <w:ind w:right="520"/>
              <w:spacing w:after="0"/>
              <w:rPr>
                <w:sz w:val="20"/>
                <w:szCs w:val="20"/>
                <w:color w:val="auto"/>
              </w:rPr>
            </w:pPr>
            <w:r>
              <w:rPr>
                <w:rFonts w:ascii="Arial" w:cs="Arial" w:eastAsia="Arial" w:hAnsi="Arial"/>
                <w:sz w:val="18"/>
                <w:szCs w:val="18"/>
                <w:color w:val="auto"/>
              </w:rPr>
              <w:t>11.3%</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11.0%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 home mortgage</w:t>
            </w:r>
          </w:p>
        </w:tc>
        <w:tc>
          <w:tcPr>
            <w:tcW w:w="3060" w:type="dxa"/>
            <w:vAlign w:val="bottom"/>
            <w:gridSpan w:val="3"/>
          </w:tcPr>
          <w:p>
            <w:pPr>
              <w:jc w:val="right"/>
              <w:ind w:right="520"/>
              <w:spacing w:after="0"/>
              <w:rPr>
                <w:sz w:val="20"/>
                <w:szCs w:val="20"/>
                <w:color w:val="auto"/>
              </w:rPr>
            </w:pPr>
            <w:r>
              <w:rPr>
                <w:rFonts w:ascii="Arial" w:cs="Arial" w:eastAsia="Arial" w:hAnsi="Arial"/>
                <w:sz w:val="18"/>
                <w:szCs w:val="18"/>
                <w:color w:val="auto"/>
              </w:rPr>
              <w:t>8.1%</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12.1%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 consumer</w:t>
            </w:r>
          </w:p>
        </w:tc>
        <w:tc>
          <w:tcPr>
            <w:tcW w:w="3060" w:type="dxa"/>
            <w:vAlign w:val="bottom"/>
            <w:gridSpan w:val="3"/>
          </w:tcPr>
          <w:p>
            <w:pPr>
              <w:jc w:val="right"/>
              <w:ind w:right="520"/>
              <w:spacing w:after="0"/>
              <w:rPr>
                <w:sz w:val="20"/>
                <w:szCs w:val="20"/>
                <w:color w:val="auto"/>
              </w:rPr>
            </w:pPr>
            <w:r>
              <w:rPr>
                <w:rFonts w:ascii="Arial" w:cs="Arial" w:eastAsia="Arial" w:hAnsi="Arial"/>
                <w:sz w:val="18"/>
                <w:szCs w:val="18"/>
                <w:color w:val="auto"/>
              </w:rPr>
              <w:t>4.6%</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4.3%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 credit cards</w:t>
            </w:r>
          </w:p>
        </w:tc>
        <w:tc>
          <w:tcPr>
            <w:tcW w:w="3060" w:type="dxa"/>
            <w:vAlign w:val="bottom"/>
            <w:gridSpan w:val="3"/>
          </w:tcPr>
          <w:p>
            <w:pPr>
              <w:jc w:val="right"/>
              <w:ind w:right="520"/>
              <w:spacing w:after="0"/>
              <w:rPr>
                <w:sz w:val="20"/>
                <w:szCs w:val="20"/>
                <w:color w:val="auto"/>
              </w:rPr>
            </w:pPr>
            <w:r>
              <w:rPr>
                <w:rFonts w:ascii="Arial" w:cs="Arial" w:eastAsia="Arial" w:hAnsi="Arial"/>
                <w:sz w:val="18"/>
                <w:szCs w:val="18"/>
                <w:color w:val="auto"/>
              </w:rPr>
              <w:t>3.2%</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3.4%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184"/>
        </w:trPr>
        <w:tc>
          <w:tcPr>
            <w:tcW w:w="5460" w:type="dxa"/>
            <w:vAlign w:val="bottom"/>
            <w:gridSpan w:val="2"/>
          </w:tcPr>
          <w:p>
            <w:pPr>
              <w:spacing w:after="0" w:line="184" w:lineRule="exact"/>
              <w:rPr>
                <w:sz w:val="20"/>
                <w:szCs w:val="20"/>
                <w:color w:val="auto"/>
              </w:rPr>
            </w:pPr>
            <w:r>
              <w:rPr>
                <w:rFonts w:ascii="Arial" w:cs="Arial" w:eastAsia="Arial" w:hAnsi="Arial"/>
                <w:sz w:val="18"/>
                <w:szCs w:val="18"/>
                <w:color w:val="auto"/>
              </w:rPr>
              <w:t>Total</w:t>
            </w:r>
          </w:p>
        </w:tc>
        <w:tc>
          <w:tcPr>
            <w:tcW w:w="3060" w:type="dxa"/>
            <w:vAlign w:val="bottom"/>
            <w:gridSpan w:val="3"/>
          </w:tcPr>
          <w:p>
            <w:pPr>
              <w:jc w:val="right"/>
              <w:ind w:right="52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720" w:type="dxa"/>
            <w:vAlign w:val="bottom"/>
            <w:gridSpan w:val="3"/>
          </w:tcPr>
          <w:p>
            <w:pPr>
              <w:jc w:val="right"/>
              <w:ind w:right="52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18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r>
      <w:tr>
        <w:trPr>
          <w:trHeight w:val="20"/>
        </w:trPr>
        <w:tc>
          <w:tcPr>
            <w:tcW w:w="36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35"/>
        </w:trPr>
        <w:tc>
          <w:tcPr>
            <w:tcW w:w="360" w:type="dxa"/>
            <w:vAlign w:val="bottom"/>
          </w:tcPr>
          <w:p>
            <w:pPr>
              <w:spacing w:after="0"/>
              <w:rPr>
                <w:sz w:val="20"/>
                <w:szCs w:val="20"/>
                <w:color w:val="auto"/>
              </w:rPr>
            </w:pPr>
          </w:p>
        </w:tc>
        <w:tc>
          <w:tcPr>
            <w:tcW w:w="5100" w:type="dxa"/>
            <w:vAlign w:val="bottom"/>
          </w:tcPr>
          <w:p>
            <w:pPr>
              <w:ind w:left="2340"/>
              <w:spacing w:after="0"/>
              <w:rPr>
                <w:sz w:val="20"/>
                <w:szCs w:val="20"/>
                <w:color w:val="auto"/>
              </w:rPr>
            </w:pPr>
            <w:r>
              <w:rPr>
                <w:rFonts w:ascii="Arial" w:cs="Arial" w:eastAsia="Arial" w:hAnsi="Arial"/>
                <w:sz w:val="18"/>
                <w:szCs w:val="18"/>
                <w:b w:val="1"/>
                <w:bCs w:val="1"/>
                <w:color w:val="auto"/>
              </w:rPr>
              <w:t>Total Loans</w:t>
            </w:r>
          </w:p>
        </w:tc>
        <w:tc>
          <w:tcPr>
            <w:tcW w:w="30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S/.13,038</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S/.14,746</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S/.14,618</w:t>
            </w:r>
          </w:p>
        </w:tc>
      </w:tr>
      <w:tr>
        <w:trPr>
          <w:trHeight w:val="110"/>
        </w:trPr>
        <w:tc>
          <w:tcPr>
            <w:tcW w:w="360" w:type="dxa"/>
            <w:vAlign w:val="bottom"/>
            <w:tcBorders>
              <w:bottom w:val="single" w:sz="8" w:color="auto"/>
            </w:tcBorders>
          </w:tcPr>
          <w:p>
            <w:pPr>
              <w:spacing w:after="0"/>
              <w:rPr>
                <w:sz w:val="9"/>
                <w:szCs w:val="9"/>
                <w:color w:val="auto"/>
              </w:rPr>
            </w:pPr>
          </w:p>
        </w:tc>
        <w:tc>
          <w:tcPr>
            <w:tcW w:w="510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current quarter, loan balances decreased 0.9%, while middle market loans increased by 0.7% to S/.3,862 million (US$1,113 million), corporate loans are lower by 1.2% to S/.6,298 million (US$1,814 million), and retail loans decreased by 1.7% to S/.4,459 million (US$1,285 million). Retail loans by product performed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60" w:type="dxa"/>
            <w:vAlign w:val="bottom"/>
          </w:tcPr>
          <w:p>
            <w:pPr>
              <w:jc w:val="right"/>
              <w:ind w:right="292"/>
              <w:spacing w:after="0"/>
              <w:rPr>
                <w:sz w:val="20"/>
                <w:szCs w:val="20"/>
                <w:color w:val="auto"/>
              </w:rPr>
            </w:pPr>
            <w:r>
              <w:rPr>
                <w:rFonts w:ascii="Arial" w:cs="Arial" w:eastAsia="Arial" w:hAnsi="Arial"/>
                <w:sz w:val="18"/>
                <w:szCs w:val="18"/>
                <w:b w:val="1"/>
                <w:bCs w:val="1"/>
                <w:color w:val="auto"/>
              </w:rPr>
              <w:t>30.06.02</w:t>
            </w:r>
          </w:p>
        </w:tc>
        <w:tc>
          <w:tcPr>
            <w:tcW w:w="1140" w:type="dxa"/>
            <w:vAlign w:val="bottom"/>
          </w:tcPr>
          <w:p>
            <w:pPr>
              <w:jc w:val="right"/>
              <w:ind w:right="272"/>
              <w:spacing w:after="0"/>
              <w:rPr>
                <w:sz w:val="20"/>
                <w:szCs w:val="20"/>
                <w:color w:val="auto"/>
              </w:rPr>
            </w:pPr>
            <w:r>
              <w:rPr>
                <w:rFonts w:ascii="Arial" w:cs="Arial" w:eastAsia="Arial" w:hAnsi="Arial"/>
                <w:sz w:val="18"/>
                <w:szCs w:val="18"/>
                <w:b w:val="1"/>
                <w:bCs w:val="1"/>
                <w:color w:val="auto"/>
              </w:rPr>
              <w:t>31.03.03</w:t>
            </w:r>
          </w:p>
        </w:tc>
        <w:tc>
          <w:tcPr>
            <w:tcW w:w="1080" w:type="dxa"/>
            <w:vAlign w:val="bottom"/>
          </w:tcPr>
          <w:p>
            <w:pPr>
              <w:jc w:val="right"/>
              <w:ind w:right="212"/>
              <w:spacing w:after="0"/>
              <w:rPr>
                <w:sz w:val="20"/>
                <w:szCs w:val="20"/>
                <w:color w:val="auto"/>
              </w:rPr>
            </w:pPr>
            <w:r>
              <w:rPr>
                <w:rFonts w:ascii="Arial" w:cs="Arial" w:eastAsia="Arial" w:hAnsi="Arial"/>
                <w:sz w:val="18"/>
                <w:szCs w:val="18"/>
                <w:b w:val="1"/>
                <w:bCs w:val="1"/>
                <w:color w:val="auto"/>
              </w:rPr>
              <w:t>30.06.03</w:t>
            </w:r>
          </w:p>
        </w:tc>
        <w:tc>
          <w:tcPr>
            <w:tcW w:w="1160" w:type="dxa"/>
            <w:vAlign w:val="bottom"/>
          </w:tcPr>
          <w:p>
            <w:pPr>
              <w:jc w:val="right"/>
              <w:ind w:right="132"/>
              <w:spacing w:after="0"/>
              <w:rPr>
                <w:sz w:val="20"/>
                <w:szCs w:val="20"/>
                <w:color w:val="auto"/>
              </w:rPr>
            </w:pPr>
            <w:r>
              <w:rPr>
                <w:rFonts w:ascii="Arial" w:cs="Arial" w:eastAsia="Arial" w:hAnsi="Arial"/>
                <w:sz w:val="18"/>
                <w:szCs w:val="18"/>
                <w:b w:val="1"/>
                <w:bCs w:val="1"/>
                <w:color w:val="auto"/>
                <w:w w:val="91"/>
              </w:rPr>
              <w:t>30.06.03 vs.</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w w:val="89"/>
              </w:rPr>
              <w:t>30.06.03 vs.</w:t>
            </w:r>
          </w:p>
        </w:tc>
      </w:tr>
      <w:tr>
        <w:trPr>
          <w:trHeight w:val="228"/>
        </w:trPr>
        <w:tc>
          <w:tcPr>
            <w:tcW w:w="4120" w:type="dxa"/>
            <w:vAlign w:val="bottom"/>
          </w:tcPr>
          <w:p>
            <w:pPr>
              <w:spacing w:after="0"/>
              <w:rPr>
                <w:sz w:val="20"/>
                <w:szCs w:val="20"/>
                <w:color w:val="auto"/>
              </w:rPr>
            </w:pPr>
            <w:r>
              <w:rPr>
                <w:rFonts w:ascii="Arial" w:cs="Arial" w:eastAsia="Arial" w:hAnsi="Arial"/>
                <w:sz w:val="18"/>
                <w:szCs w:val="18"/>
                <w:i w:val="1"/>
                <w:iCs w:val="1"/>
                <w:color w:val="auto"/>
              </w:rPr>
              <w:t>(% change and constant S/. Mn)</w:t>
            </w:r>
          </w:p>
        </w:tc>
        <w:tc>
          <w:tcPr>
            <w:tcW w:w="2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b w:val="1"/>
                <w:bCs w:val="1"/>
                <w:color w:val="auto"/>
              </w:rPr>
              <w:t>31.03.03</w:t>
            </w:r>
          </w:p>
        </w:tc>
        <w:tc>
          <w:tcPr>
            <w:tcW w:w="1060" w:type="dxa"/>
            <w:vAlign w:val="bottom"/>
          </w:tcPr>
          <w:p>
            <w:pPr>
              <w:jc w:val="right"/>
              <w:ind w:right="172"/>
              <w:spacing w:after="0"/>
              <w:rPr>
                <w:sz w:val="20"/>
                <w:szCs w:val="20"/>
                <w:color w:val="auto"/>
              </w:rPr>
            </w:pPr>
            <w:r>
              <w:rPr>
                <w:rFonts w:ascii="Arial" w:cs="Arial" w:eastAsia="Arial" w:hAnsi="Arial"/>
                <w:sz w:val="18"/>
                <w:szCs w:val="18"/>
                <w:b w:val="1"/>
                <w:bCs w:val="1"/>
                <w:color w:val="auto"/>
              </w:rPr>
              <w:t>30.06.02</w:t>
            </w:r>
          </w:p>
        </w:tc>
      </w:tr>
      <w:tr>
        <w:trPr>
          <w:trHeight w:val="110"/>
        </w:trPr>
        <w:tc>
          <w:tcPr>
            <w:tcW w:w="412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309"/>
        </w:trPr>
        <w:tc>
          <w:tcPr>
            <w:tcW w:w="4120" w:type="dxa"/>
            <w:vAlign w:val="bottom"/>
          </w:tcPr>
          <w:p>
            <w:pPr>
              <w:spacing w:after="0"/>
              <w:rPr>
                <w:sz w:val="20"/>
                <w:szCs w:val="20"/>
                <w:color w:val="auto"/>
              </w:rPr>
            </w:pPr>
            <w:r>
              <w:rPr>
                <w:rFonts w:ascii="Arial" w:cs="Arial" w:eastAsia="Arial" w:hAnsi="Arial"/>
                <w:sz w:val="18"/>
                <w:szCs w:val="18"/>
                <w:color w:val="auto"/>
              </w:rPr>
              <w:t>Small business loans</w:t>
            </w:r>
          </w:p>
        </w:tc>
        <w:tc>
          <w:tcPr>
            <w:tcW w:w="2860" w:type="dxa"/>
            <w:vAlign w:val="bottom"/>
          </w:tcPr>
          <w:p>
            <w:pPr>
              <w:jc w:val="right"/>
              <w:ind w:right="72"/>
              <w:spacing w:after="0"/>
              <w:rPr>
                <w:sz w:val="20"/>
                <w:szCs w:val="20"/>
                <w:color w:val="auto"/>
              </w:rPr>
            </w:pPr>
            <w:r>
              <w:rPr>
                <w:rFonts w:ascii="Arial" w:cs="Arial" w:eastAsia="Arial" w:hAnsi="Arial"/>
                <w:sz w:val="18"/>
                <w:szCs w:val="18"/>
                <w:color w:val="auto"/>
              </w:rPr>
              <w:t>1,476</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1,593</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1,473</w:t>
            </w: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Mortgage loans</w:t>
            </w:r>
          </w:p>
        </w:tc>
        <w:tc>
          <w:tcPr>
            <w:tcW w:w="2860" w:type="dxa"/>
            <w:vAlign w:val="bottom"/>
          </w:tcPr>
          <w:p>
            <w:pPr>
              <w:jc w:val="right"/>
              <w:ind w:right="72"/>
              <w:spacing w:after="0"/>
              <w:rPr>
                <w:sz w:val="20"/>
                <w:szCs w:val="20"/>
                <w:color w:val="auto"/>
              </w:rPr>
            </w:pPr>
            <w:r>
              <w:rPr>
                <w:rFonts w:ascii="Arial" w:cs="Arial" w:eastAsia="Arial" w:hAnsi="Arial"/>
                <w:sz w:val="18"/>
                <w:szCs w:val="18"/>
                <w:color w:val="auto"/>
              </w:rPr>
              <w:t>1,062</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1,797</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1,842</w:t>
            </w: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060" w:type="dxa"/>
            <w:vAlign w:val="bottom"/>
          </w:tcPr>
          <w:p>
            <w:pPr>
              <w:jc w:val="right"/>
              <w:spacing w:after="0"/>
              <w:rPr>
                <w:sz w:val="20"/>
                <w:szCs w:val="20"/>
                <w:color w:val="auto"/>
              </w:rPr>
            </w:pPr>
            <w:r>
              <w:rPr>
                <w:rFonts w:ascii="Arial" w:cs="Arial" w:eastAsia="Arial" w:hAnsi="Arial"/>
                <w:sz w:val="18"/>
                <w:szCs w:val="18"/>
                <w:color w:val="auto"/>
              </w:rPr>
              <w:t>73.5%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Consumer loans</w:t>
            </w:r>
          </w:p>
        </w:tc>
        <w:tc>
          <w:tcPr>
            <w:tcW w:w="2860" w:type="dxa"/>
            <w:vAlign w:val="bottom"/>
          </w:tcPr>
          <w:p>
            <w:pPr>
              <w:jc w:val="right"/>
              <w:ind w:right="72"/>
              <w:spacing w:after="0"/>
              <w:rPr>
                <w:sz w:val="20"/>
                <w:szCs w:val="20"/>
                <w:color w:val="auto"/>
              </w:rPr>
            </w:pPr>
            <w:r>
              <w:rPr>
                <w:rFonts w:ascii="Arial" w:cs="Arial" w:eastAsia="Arial" w:hAnsi="Arial"/>
                <w:sz w:val="18"/>
                <w:szCs w:val="18"/>
                <w:color w:val="auto"/>
              </w:rPr>
              <w:t>598</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645</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641</w:t>
            </w: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Credit card loans</w:t>
            </w:r>
          </w:p>
        </w:tc>
        <w:tc>
          <w:tcPr>
            <w:tcW w:w="2860" w:type="dxa"/>
            <w:vAlign w:val="bottom"/>
          </w:tcPr>
          <w:p>
            <w:pPr>
              <w:jc w:val="right"/>
              <w:ind w:right="72"/>
              <w:spacing w:after="0"/>
              <w:rPr>
                <w:sz w:val="20"/>
                <w:szCs w:val="20"/>
                <w:color w:val="auto"/>
              </w:rPr>
            </w:pPr>
            <w:r>
              <w:rPr>
                <w:rFonts w:ascii="Arial" w:cs="Arial" w:eastAsia="Arial" w:hAnsi="Arial"/>
                <w:sz w:val="18"/>
                <w:szCs w:val="18"/>
                <w:color w:val="auto"/>
              </w:rPr>
              <w:t>417</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500</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502</w:t>
            </w: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8"/>
        </w:trPr>
        <w:tc>
          <w:tcPr>
            <w:tcW w:w="4120" w:type="dxa"/>
            <w:vAlign w:val="bottom"/>
          </w:tcPr>
          <w:p>
            <w:pPr>
              <w:spacing w:after="0"/>
              <w:rPr>
                <w:sz w:val="20"/>
                <w:szCs w:val="20"/>
                <w:color w:val="auto"/>
              </w:rPr>
            </w:pPr>
            <w:r>
              <w:rPr>
                <w:rFonts w:ascii="Arial" w:cs="Arial" w:eastAsia="Arial" w:hAnsi="Arial"/>
                <w:sz w:val="18"/>
                <w:szCs w:val="18"/>
                <w:b w:val="1"/>
                <w:bCs w:val="1"/>
                <w:color w:val="auto"/>
              </w:rPr>
              <w:t>Total Retail</w:t>
            </w:r>
          </w:p>
        </w:tc>
        <w:tc>
          <w:tcPr>
            <w:tcW w:w="2860" w:type="dxa"/>
            <w:vAlign w:val="bottom"/>
          </w:tcPr>
          <w:p>
            <w:pPr>
              <w:jc w:val="right"/>
              <w:ind w:right="72"/>
              <w:spacing w:after="0"/>
              <w:rPr>
                <w:sz w:val="20"/>
                <w:szCs w:val="20"/>
                <w:color w:val="auto"/>
              </w:rPr>
            </w:pPr>
            <w:r>
              <w:rPr>
                <w:rFonts w:ascii="Arial" w:cs="Arial" w:eastAsia="Arial" w:hAnsi="Arial"/>
                <w:sz w:val="18"/>
                <w:szCs w:val="18"/>
                <w:b w:val="1"/>
                <w:bCs w:val="1"/>
                <w:color w:val="auto"/>
              </w:rPr>
              <w:t>3,553</w:t>
            </w: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4,535</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4,459</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25.5%</w:t>
            </w:r>
          </w:p>
        </w:tc>
      </w:tr>
      <w:tr>
        <w:trPr>
          <w:trHeight w:val="110"/>
        </w:trPr>
        <w:tc>
          <w:tcPr>
            <w:tcW w:w="412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At June 30, 2003 contingent credits were S/.4,931 million (US$1,420.5 million), 13.4% over the June 2002 figure, as can be seen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60" w:type="dxa"/>
            <w:vAlign w:val="bottom"/>
          </w:tcPr>
          <w:p>
            <w:pPr>
              <w:jc w:val="right"/>
              <w:ind w:right="292"/>
              <w:spacing w:after="0"/>
              <w:rPr>
                <w:sz w:val="20"/>
                <w:szCs w:val="20"/>
                <w:color w:val="auto"/>
              </w:rPr>
            </w:pPr>
            <w:r>
              <w:rPr>
                <w:rFonts w:ascii="Arial" w:cs="Arial" w:eastAsia="Arial" w:hAnsi="Arial"/>
                <w:sz w:val="18"/>
                <w:szCs w:val="18"/>
                <w:b w:val="1"/>
                <w:bCs w:val="1"/>
                <w:color w:val="auto"/>
              </w:rPr>
              <w:t>30.06.02</w:t>
            </w:r>
          </w:p>
        </w:tc>
        <w:tc>
          <w:tcPr>
            <w:tcW w:w="1140" w:type="dxa"/>
            <w:vAlign w:val="bottom"/>
          </w:tcPr>
          <w:p>
            <w:pPr>
              <w:jc w:val="right"/>
              <w:ind w:right="272"/>
              <w:spacing w:after="0"/>
              <w:rPr>
                <w:sz w:val="20"/>
                <w:szCs w:val="20"/>
                <w:color w:val="auto"/>
              </w:rPr>
            </w:pPr>
            <w:r>
              <w:rPr>
                <w:rFonts w:ascii="Arial" w:cs="Arial" w:eastAsia="Arial" w:hAnsi="Arial"/>
                <w:sz w:val="18"/>
                <w:szCs w:val="18"/>
                <w:b w:val="1"/>
                <w:bCs w:val="1"/>
                <w:color w:val="auto"/>
              </w:rPr>
              <w:t>31.03.03</w:t>
            </w:r>
          </w:p>
        </w:tc>
        <w:tc>
          <w:tcPr>
            <w:tcW w:w="1080" w:type="dxa"/>
            <w:vAlign w:val="bottom"/>
          </w:tcPr>
          <w:p>
            <w:pPr>
              <w:jc w:val="right"/>
              <w:ind w:right="212"/>
              <w:spacing w:after="0"/>
              <w:rPr>
                <w:sz w:val="20"/>
                <w:szCs w:val="20"/>
                <w:color w:val="auto"/>
              </w:rPr>
            </w:pPr>
            <w:r>
              <w:rPr>
                <w:rFonts w:ascii="Arial" w:cs="Arial" w:eastAsia="Arial" w:hAnsi="Arial"/>
                <w:sz w:val="18"/>
                <w:szCs w:val="18"/>
                <w:b w:val="1"/>
                <w:bCs w:val="1"/>
                <w:color w:val="auto"/>
              </w:rPr>
              <w:t>30.06.03</w:t>
            </w:r>
          </w:p>
        </w:tc>
        <w:tc>
          <w:tcPr>
            <w:tcW w:w="1160" w:type="dxa"/>
            <w:vAlign w:val="bottom"/>
          </w:tcPr>
          <w:p>
            <w:pPr>
              <w:jc w:val="right"/>
              <w:ind w:right="132"/>
              <w:spacing w:after="0"/>
              <w:rPr>
                <w:sz w:val="20"/>
                <w:szCs w:val="20"/>
                <w:color w:val="auto"/>
              </w:rPr>
            </w:pPr>
            <w:r>
              <w:rPr>
                <w:rFonts w:ascii="Arial" w:cs="Arial" w:eastAsia="Arial" w:hAnsi="Arial"/>
                <w:sz w:val="18"/>
                <w:szCs w:val="18"/>
                <w:b w:val="1"/>
                <w:bCs w:val="1"/>
                <w:color w:val="auto"/>
                <w:w w:val="91"/>
              </w:rPr>
              <w:t>30.06.03 vs.</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w w:val="89"/>
              </w:rPr>
              <w:t>30.06.03 vs.</w:t>
            </w:r>
          </w:p>
        </w:tc>
      </w:tr>
      <w:tr>
        <w:trPr>
          <w:trHeight w:val="228"/>
        </w:trPr>
        <w:tc>
          <w:tcPr>
            <w:tcW w:w="4120" w:type="dxa"/>
            <w:vAlign w:val="bottom"/>
          </w:tcPr>
          <w:p>
            <w:pPr>
              <w:spacing w:after="0"/>
              <w:rPr>
                <w:sz w:val="20"/>
                <w:szCs w:val="20"/>
                <w:color w:val="auto"/>
              </w:rPr>
            </w:pPr>
            <w:r>
              <w:rPr>
                <w:rFonts w:ascii="Arial" w:cs="Arial" w:eastAsia="Arial" w:hAnsi="Arial"/>
                <w:sz w:val="18"/>
                <w:szCs w:val="18"/>
                <w:i w:val="1"/>
                <w:iCs w:val="1"/>
                <w:color w:val="auto"/>
              </w:rPr>
              <w:t>(% change and constant S/. Mn)</w:t>
            </w:r>
          </w:p>
        </w:tc>
        <w:tc>
          <w:tcPr>
            <w:tcW w:w="2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b w:val="1"/>
                <w:bCs w:val="1"/>
                <w:color w:val="auto"/>
              </w:rPr>
              <w:t>31.03.03</w:t>
            </w:r>
          </w:p>
        </w:tc>
        <w:tc>
          <w:tcPr>
            <w:tcW w:w="1060" w:type="dxa"/>
            <w:vAlign w:val="bottom"/>
          </w:tcPr>
          <w:p>
            <w:pPr>
              <w:jc w:val="right"/>
              <w:ind w:right="172"/>
              <w:spacing w:after="0"/>
              <w:rPr>
                <w:sz w:val="20"/>
                <w:szCs w:val="20"/>
                <w:color w:val="auto"/>
              </w:rPr>
            </w:pPr>
            <w:r>
              <w:rPr>
                <w:rFonts w:ascii="Arial" w:cs="Arial" w:eastAsia="Arial" w:hAnsi="Arial"/>
                <w:sz w:val="18"/>
                <w:szCs w:val="18"/>
                <w:b w:val="1"/>
                <w:bCs w:val="1"/>
                <w:color w:val="auto"/>
              </w:rPr>
              <w:t>30.06.02</w:t>
            </w:r>
          </w:p>
        </w:tc>
      </w:tr>
      <w:tr>
        <w:trPr>
          <w:trHeight w:val="110"/>
        </w:trPr>
        <w:tc>
          <w:tcPr>
            <w:tcW w:w="412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r>
        <w:trPr>
          <w:trHeight w:val="309"/>
        </w:trPr>
        <w:tc>
          <w:tcPr>
            <w:tcW w:w="4120" w:type="dxa"/>
            <w:vAlign w:val="bottom"/>
          </w:tcPr>
          <w:p>
            <w:pPr>
              <w:spacing w:after="0"/>
              <w:rPr>
                <w:sz w:val="20"/>
                <w:szCs w:val="20"/>
                <w:color w:val="auto"/>
              </w:rPr>
            </w:pPr>
            <w:r>
              <w:rPr>
                <w:rFonts w:ascii="Arial" w:cs="Arial" w:eastAsia="Arial" w:hAnsi="Arial"/>
                <w:sz w:val="18"/>
                <w:szCs w:val="18"/>
                <w:color w:val="auto"/>
              </w:rPr>
              <w:t>- Guarantees and Stand-by LCs</w:t>
            </w:r>
          </w:p>
        </w:tc>
        <w:tc>
          <w:tcPr>
            <w:tcW w:w="2860" w:type="dxa"/>
            <w:vAlign w:val="bottom"/>
          </w:tcPr>
          <w:p>
            <w:pPr>
              <w:jc w:val="right"/>
              <w:ind w:right="72"/>
              <w:spacing w:after="0"/>
              <w:rPr>
                <w:sz w:val="20"/>
                <w:szCs w:val="20"/>
                <w:color w:val="auto"/>
              </w:rPr>
            </w:pPr>
            <w:r>
              <w:rPr>
                <w:rFonts w:ascii="Arial" w:cs="Arial" w:eastAsia="Arial" w:hAnsi="Arial"/>
                <w:sz w:val="18"/>
                <w:szCs w:val="18"/>
                <w:color w:val="auto"/>
              </w:rPr>
              <w:t>2,075</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2,278</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2,194</w:t>
            </w:r>
          </w:p>
        </w:tc>
        <w:tc>
          <w:tcPr>
            <w:tcW w:w="1160" w:type="dxa"/>
            <w:vAlign w:val="bottom"/>
          </w:tcPr>
          <w:p>
            <w:pPr>
              <w:jc w:val="right"/>
              <w:spacing w:after="0"/>
              <w:rPr>
                <w:sz w:val="20"/>
                <w:szCs w:val="20"/>
                <w:color w:val="auto"/>
              </w:rPr>
            </w:pPr>
            <w:r>
              <w:rPr>
                <w:rFonts w:ascii="Arial" w:cs="Arial" w:eastAsia="Arial" w:hAnsi="Arial"/>
                <w:sz w:val="18"/>
                <w:szCs w:val="18"/>
                <w:color w:val="auto"/>
              </w:rPr>
              <w:t>-3.7%</w:t>
            </w: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 Letters of Credit</w:t>
            </w:r>
          </w:p>
        </w:tc>
        <w:tc>
          <w:tcPr>
            <w:tcW w:w="2860" w:type="dxa"/>
            <w:vAlign w:val="bottom"/>
          </w:tcPr>
          <w:p>
            <w:pPr>
              <w:jc w:val="right"/>
              <w:ind w:right="72"/>
              <w:spacing w:after="0"/>
              <w:rPr>
                <w:sz w:val="20"/>
                <w:szCs w:val="20"/>
                <w:color w:val="auto"/>
              </w:rPr>
            </w:pPr>
            <w:r>
              <w:rPr>
                <w:rFonts w:ascii="Arial" w:cs="Arial" w:eastAsia="Arial" w:hAnsi="Arial"/>
                <w:sz w:val="18"/>
                <w:szCs w:val="18"/>
                <w:color w:val="auto"/>
              </w:rPr>
              <w:t>424</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505</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440</w:t>
            </w: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 Acceptances</w:t>
            </w:r>
          </w:p>
        </w:tc>
        <w:tc>
          <w:tcPr>
            <w:tcW w:w="2860" w:type="dxa"/>
            <w:vAlign w:val="bottom"/>
          </w:tcPr>
          <w:p>
            <w:pPr>
              <w:jc w:val="right"/>
              <w:ind w:right="72"/>
              <w:spacing w:after="0"/>
              <w:rPr>
                <w:sz w:val="20"/>
                <w:szCs w:val="20"/>
                <w:color w:val="auto"/>
              </w:rPr>
            </w:pPr>
            <w:r>
              <w:rPr>
                <w:rFonts w:ascii="Arial" w:cs="Arial" w:eastAsia="Arial" w:hAnsi="Arial"/>
                <w:sz w:val="18"/>
                <w:szCs w:val="18"/>
                <w:color w:val="auto"/>
              </w:rPr>
              <w:t>102</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134</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1160" w:type="dxa"/>
            <w:vAlign w:val="bottom"/>
          </w:tcPr>
          <w:p>
            <w:pPr>
              <w:jc w:val="right"/>
              <w:spacing w:after="0"/>
              <w:rPr>
                <w:sz w:val="20"/>
                <w:szCs w:val="20"/>
                <w:color w:val="auto"/>
              </w:rPr>
            </w:pPr>
            <w:r>
              <w:rPr>
                <w:rFonts w:ascii="Arial" w:cs="Arial" w:eastAsia="Arial" w:hAnsi="Arial"/>
                <w:sz w:val="18"/>
                <w:szCs w:val="18"/>
                <w:color w:val="auto"/>
              </w:rPr>
              <w:t>18.5%</w:t>
            </w:r>
          </w:p>
        </w:tc>
        <w:tc>
          <w:tcPr>
            <w:tcW w:w="106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 Foreign currency forwards</w:t>
            </w:r>
          </w:p>
        </w:tc>
        <w:tc>
          <w:tcPr>
            <w:tcW w:w="2860" w:type="dxa"/>
            <w:vAlign w:val="bottom"/>
          </w:tcPr>
          <w:p>
            <w:pPr>
              <w:jc w:val="right"/>
              <w:ind w:right="72"/>
              <w:spacing w:after="0"/>
              <w:rPr>
                <w:sz w:val="20"/>
                <w:szCs w:val="20"/>
                <w:color w:val="auto"/>
              </w:rPr>
            </w:pPr>
            <w:r>
              <w:rPr>
                <w:rFonts w:ascii="Arial" w:cs="Arial" w:eastAsia="Arial" w:hAnsi="Arial"/>
                <w:sz w:val="18"/>
                <w:szCs w:val="18"/>
                <w:color w:val="auto"/>
              </w:rPr>
              <w:t>1,076</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1,324</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1,473</w:t>
            </w: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c>
          <w:tcPr>
            <w:tcW w:w="106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 Other contingent accounts</w:t>
            </w:r>
          </w:p>
        </w:tc>
        <w:tc>
          <w:tcPr>
            <w:tcW w:w="2860" w:type="dxa"/>
            <w:vAlign w:val="bottom"/>
          </w:tcPr>
          <w:p>
            <w:pPr>
              <w:jc w:val="right"/>
              <w:ind w:right="72"/>
              <w:spacing w:after="0"/>
              <w:rPr>
                <w:sz w:val="20"/>
                <w:szCs w:val="20"/>
                <w:color w:val="auto"/>
              </w:rPr>
            </w:pPr>
            <w:r>
              <w:rPr>
                <w:rFonts w:ascii="Arial" w:cs="Arial" w:eastAsia="Arial" w:hAnsi="Arial"/>
                <w:sz w:val="18"/>
                <w:szCs w:val="18"/>
                <w:color w:val="auto"/>
              </w:rPr>
              <w:t>672</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659</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665</w:t>
            </w: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8"/>
        </w:trPr>
        <w:tc>
          <w:tcPr>
            <w:tcW w:w="4120" w:type="dxa"/>
            <w:vAlign w:val="bottom"/>
          </w:tcPr>
          <w:p>
            <w:pPr>
              <w:spacing w:after="0"/>
              <w:rPr>
                <w:sz w:val="20"/>
                <w:szCs w:val="20"/>
                <w:color w:val="auto"/>
              </w:rPr>
            </w:pPr>
            <w:r>
              <w:rPr>
                <w:rFonts w:ascii="Arial" w:cs="Arial" w:eastAsia="Arial" w:hAnsi="Arial"/>
                <w:sz w:val="18"/>
                <w:szCs w:val="18"/>
                <w:b w:val="1"/>
                <w:bCs w:val="1"/>
                <w:color w:val="auto"/>
              </w:rPr>
              <w:t>Total Contingent Credits</w:t>
            </w:r>
          </w:p>
        </w:tc>
        <w:tc>
          <w:tcPr>
            <w:tcW w:w="2860" w:type="dxa"/>
            <w:vAlign w:val="bottom"/>
          </w:tcPr>
          <w:p>
            <w:pPr>
              <w:jc w:val="right"/>
              <w:ind w:right="72"/>
              <w:spacing w:after="0"/>
              <w:rPr>
                <w:sz w:val="20"/>
                <w:szCs w:val="20"/>
                <w:color w:val="auto"/>
              </w:rPr>
            </w:pPr>
            <w:r>
              <w:rPr>
                <w:rFonts w:ascii="Arial" w:cs="Arial" w:eastAsia="Arial" w:hAnsi="Arial"/>
                <w:sz w:val="18"/>
                <w:szCs w:val="18"/>
                <w:b w:val="1"/>
                <w:bCs w:val="1"/>
                <w:color w:val="auto"/>
              </w:rPr>
              <w:t>4,349</w:t>
            </w: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4,900</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4,931</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13.4%</w:t>
            </w:r>
          </w:p>
        </w:tc>
      </w:tr>
      <w:tr>
        <w:trPr>
          <w:trHeight w:val="110"/>
        </w:trPr>
        <w:tc>
          <w:tcPr>
            <w:tcW w:w="412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II.6 LOAN QUALITY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2003 loan quality continued to improve. Consolidated past due loans amounted to S/.1,224 million (US$352.6 million) at June 30, 2003, decreasing 3.3% from the balance of S/.1,266 million (US$364.8 million) as of the end of March 2003, and are also 9.0% below past due loans at year-end 2002 which already included BSCH-Peru loans.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ratio of past due loans as a percentage of total loans was 8.37% at June 30, 2003, improving during this quarter compared to 8.59% at March 2003, but is over 7.93% in June 2002 where past due loans from BSCH-Peru were not yet incorporated.</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the second quarter 2003, outstanding balances of loan loss provisions totaled S/.1,442 million (US$415.3 million), decreasing 2.6% compared to the preceding quarter due to charge-offs. The ratio of loan provisions to past due loans was 117.8% at the end of this quarter, higher than the 116.9% at March 2003 and also better than 107.1% past due coverage at June 2002.</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Of total provisions outstanding at the end of the current quarter, S/.208.0 million (US$59.9 million) correspond to generic provisions assigned to loans in the Normal (A) risk category, decreasing from the balance at March 31, 2003 of S/.261.3 million (US$75.3 million) due to the final allocation of reserves that</w:t>
      </w:r>
    </w:p>
    <w:p>
      <w:pPr>
        <w:sectPr>
          <w:pgSz w:w="11900" w:h="16885" w:orient="portrait"/>
          <w:cols w:equalWidth="0" w:num="1">
            <w:col w:w="11420"/>
          </w:cols>
          <w:pgMar w:left="240" w:top="247"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exceeded required levels.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believed to be unrecoverable, fully provisioned in prior periods, were written-off during the second quarter 2003 amounting to S/.128.4 million (US$37.0 million), of which approximately 5% were related to consumer loans. This compares to charge-offs in the first quarter of 2003 of S/.58.6 million (US$17.0 million), and S/.168.1 million (US$48.4 million) in the year-ago second quarter.</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At the end of the current quarter, refinanced loans amounted to S/.912.2 million (US$262.8 million), lower than the balance at March 2003 that was S/.954.8 million (US$275.1 million).</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Loans classified as Substandard (i.e., Deficient, Doubtful and Loss) were 18.1% of the loan portfolio in June 2003, decreasing from 19.5% in June 2003, but is slightly over 17.8% that resulted in March 2003. The loan classification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00" w:type="dxa"/>
            <w:vAlign w:val="bottom"/>
            <w:gridSpan w:val="3"/>
          </w:tcPr>
          <w:p>
            <w:pPr>
              <w:spacing w:after="0"/>
              <w:rPr>
                <w:sz w:val="20"/>
                <w:szCs w:val="20"/>
                <w:color w:val="auto"/>
              </w:rPr>
            </w:pPr>
            <w:r>
              <w:rPr>
                <w:rFonts w:ascii="Arial" w:cs="Arial" w:eastAsia="Arial" w:hAnsi="Arial"/>
                <w:sz w:val="18"/>
                <w:szCs w:val="18"/>
                <w:i w:val="1"/>
                <w:iCs w:val="1"/>
                <w:color w:val="auto"/>
              </w:rPr>
              <w:t>(% of Total loans and S/.Mn const.)</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30.06.02</w:t>
            </w:r>
          </w:p>
        </w:tc>
        <w:tc>
          <w:tcPr>
            <w:tcW w:w="5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31.03.03</w:t>
            </w:r>
          </w:p>
        </w:tc>
        <w:tc>
          <w:tcPr>
            <w:tcW w:w="5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30.06.03</w:t>
            </w:r>
          </w:p>
        </w:tc>
      </w:tr>
      <w:tr>
        <w:trPr>
          <w:trHeight w:val="110"/>
        </w:trPr>
        <w:tc>
          <w:tcPr>
            <w:tcW w:w="28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09"/>
        </w:trPr>
        <w:tc>
          <w:tcPr>
            <w:tcW w:w="5300" w:type="dxa"/>
            <w:vAlign w:val="bottom"/>
            <w:gridSpan w:val="3"/>
          </w:tcPr>
          <w:p>
            <w:pPr>
              <w:spacing w:after="0"/>
              <w:rPr>
                <w:sz w:val="20"/>
                <w:szCs w:val="20"/>
                <w:color w:val="auto"/>
              </w:rPr>
            </w:pPr>
            <w:r>
              <w:rPr>
                <w:rFonts w:ascii="Arial" w:cs="Arial" w:eastAsia="Arial" w:hAnsi="Arial"/>
                <w:sz w:val="18"/>
                <w:szCs w:val="18"/>
                <w:color w:val="auto"/>
              </w:rPr>
              <w:t>A: Normal</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5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5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70.3%</w:t>
            </w:r>
          </w:p>
        </w:tc>
      </w:tr>
      <w:tr>
        <w:trPr>
          <w:trHeight w:val="216"/>
        </w:trPr>
        <w:tc>
          <w:tcPr>
            <w:tcW w:w="5300" w:type="dxa"/>
            <w:vAlign w:val="bottom"/>
            <w:gridSpan w:val="3"/>
          </w:tcPr>
          <w:p>
            <w:pPr>
              <w:spacing w:after="0"/>
              <w:rPr>
                <w:sz w:val="20"/>
                <w:szCs w:val="20"/>
                <w:color w:val="auto"/>
              </w:rPr>
            </w:pPr>
            <w:r>
              <w:rPr>
                <w:rFonts w:ascii="Arial" w:cs="Arial" w:eastAsia="Arial" w:hAnsi="Arial"/>
                <w:sz w:val="18"/>
                <w:szCs w:val="18"/>
                <w:color w:val="auto"/>
              </w:rPr>
              <w:t>B: Potential Problem</w:t>
            </w:r>
          </w:p>
        </w:tc>
        <w:tc>
          <w:tcPr>
            <w:tcW w:w="3080" w:type="dxa"/>
            <w:vAlign w:val="bottom"/>
            <w:gridSpan w:val="3"/>
          </w:tcPr>
          <w:p>
            <w:pPr>
              <w:jc w:val="right"/>
              <w:ind w:right="560"/>
              <w:spacing w:after="0"/>
              <w:rPr>
                <w:sz w:val="20"/>
                <w:szCs w:val="20"/>
                <w:color w:val="auto"/>
              </w:rPr>
            </w:pPr>
            <w:r>
              <w:rPr>
                <w:rFonts w:ascii="Arial" w:cs="Arial" w:eastAsia="Arial" w:hAnsi="Arial"/>
                <w:sz w:val="18"/>
                <w:szCs w:val="18"/>
                <w:color w:val="auto"/>
              </w:rPr>
              <w:t>11.8%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5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5300" w:type="dxa"/>
            <w:vAlign w:val="bottom"/>
            <w:gridSpan w:val="3"/>
          </w:tcPr>
          <w:p>
            <w:pPr>
              <w:spacing w:after="0"/>
              <w:rPr>
                <w:sz w:val="20"/>
                <w:szCs w:val="20"/>
                <w:color w:val="auto"/>
              </w:rPr>
            </w:pPr>
            <w:r>
              <w:rPr>
                <w:rFonts w:ascii="Arial" w:cs="Arial" w:eastAsia="Arial" w:hAnsi="Arial"/>
                <w:sz w:val="18"/>
                <w:szCs w:val="18"/>
                <w:color w:val="auto"/>
              </w:rPr>
              <w:t>C: Deficient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5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5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300" w:type="dxa"/>
            <w:vAlign w:val="bottom"/>
            <w:gridSpan w:val="3"/>
          </w:tcPr>
          <w:p>
            <w:pPr>
              <w:spacing w:after="0"/>
              <w:rPr>
                <w:sz w:val="20"/>
                <w:szCs w:val="20"/>
                <w:color w:val="auto"/>
              </w:rPr>
            </w:pPr>
            <w:r>
              <w:rPr>
                <w:rFonts w:ascii="Arial" w:cs="Arial" w:eastAsia="Arial" w:hAnsi="Arial"/>
                <w:sz w:val="18"/>
                <w:szCs w:val="18"/>
                <w:color w:val="auto"/>
              </w:rPr>
              <w:t>D: Doubtful</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5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5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300" w:type="dxa"/>
            <w:vAlign w:val="bottom"/>
            <w:gridSpan w:val="3"/>
          </w:tcPr>
          <w:p>
            <w:pPr>
              <w:spacing w:after="0"/>
              <w:rPr>
                <w:sz w:val="20"/>
                <w:szCs w:val="20"/>
                <w:color w:val="auto"/>
              </w:rPr>
            </w:pPr>
            <w:r>
              <w:rPr>
                <w:rFonts w:ascii="Arial" w:cs="Arial" w:eastAsia="Arial" w:hAnsi="Arial"/>
                <w:sz w:val="18"/>
                <w:szCs w:val="18"/>
                <w:color w:val="auto"/>
              </w:rPr>
              <w:t>E: Loss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5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184"/>
        </w:trPr>
        <w:tc>
          <w:tcPr>
            <w:tcW w:w="2840" w:type="dxa"/>
            <w:vAlign w:val="bottom"/>
          </w:tcPr>
          <w:p>
            <w:pPr>
              <w:spacing w:after="0"/>
              <w:rPr>
                <w:sz w:val="15"/>
                <w:szCs w:val="15"/>
                <w:color w:val="auto"/>
              </w:rPr>
            </w:pPr>
          </w:p>
        </w:tc>
        <w:tc>
          <w:tcPr>
            <w:tcW w:w="360" w:type="dxa"/>
            <w:vAlign w:val="bottom"/>
          </w:tcPr>
          <w:p>
            <w:pPr>
              <w:jc w:val="center"/>
              <w:spacing w:after="0" w:line="184" w:lineRule="exact"/>
              <w:rPr>
                <w:sz w:val="20"/>
                <w:szCs w:val="20"/>
                <w:color w:val="auto"/>
              </w:rPr>
            </w:pPr>
            <w:r>
              <w:rPr>
                <w:rFonts w:ascii="Arial" w:cs="Arial" w:eastAsia="Arial" w:hAnsi="Arial"/>
                <w:sz w:val="18"/>
                <w:szCs w:val="18"/>
                <w:color w:val="auto"/>
                <w:w w:val="89"/>
              </w:rPr>
              <w:t>Total</w:t>
            </w:r>
          </w:p>
        </w:tc>
        <w:tc>
          <w:tcPr>
            <w:tcW w:w="2100" w:type="dxa"/>
            <w:vAlign w:val="bottom"/>
          </w:tcPr>
          <w:p>
            <w:pPr>
              <w:spacing w:after="0"/>
              <w:rPr>
                <w:sz w:val="15"/>
                <w:szCs w:val="15"/>
                <w:color w:val="auto"/>
              </w:rPr>
            </w:pPr>
          </w:p>
        </w:tc>
        <w:tc>
          <w:tcPr>
            <w:tcW w:w="252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560" w:type="dxa"/>
            <w:vAlign w:val="bottom"/>
          </w:tcPr>
          <w:p>
            <w:pPr>
              <w:spacing w:after="0"/>
              <w:rPr>
                <w:sz w:val="15"/>
                <w:szCs w:val="15"/>
                <w:color w:val="auto"/>
              </w:rPr>
            </w:pPr>
          </w:p>
        </w:tc>
        <w:tc>
          <w:tcPr>
            <w:tcW w:w="124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560" w:type="dxa"/>
            <w:vAlign w:val="bottom"/>
          </w:tcPr>
          <w:p>
            <w:pPr>
              <w:spacing w:after="0"/>
              <w:rPr>
                <w:sz w:val="15"/>
                <w:szCs w:val="15"/>
                <w:color w:val="auto"/>
              </w:rPr>
            </w:pPr>
          </w:p>
        </w:tc>
        <w:tc>
          <w:tcPr>
            <w:tcW w:w="124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r>
      <w:tr>
        <w:trPr>
          <w:trHeight w:val="20"/>
        </w:trPr>
        <w:tc>
          <w:tcPr>
            <w:tcW w:w="2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35"/>
        </w:trPr>
        <w:tc>
          <w:tcPr>
            <w:tcW w:w="5300" w:type="dxa"/>
            <w:vAlign w:val="bottom"/>
            <w:gridSpan w:val="3"/>
          </w:tcPr>
          <w:p>
            <w:pPr>
              <w:jc w:val="center"/>
              <w:ind w:left="632"/>
              <w:spacing w:after="0"/>
              <w:rPr>
                <w:sz w:val="20"/>
                <w:szCs w:val="20"/>
                <w:color w:val="auto"/>
              </w:rPr>
            </w:pPr>
            <w:r>
              <w:rPr>
                <w:rFonts w:ascii="Arial" w:cs="Arial" w:eastAsia="Arial" w:hAnsi="Arial"/>
                <w:sz w:val="18"/>
                <w:szCs w:val="18"/>
                <w:b w:val="1"/>
                <w:bCs w:val="1"/>
                <w:color w:val="auto"/>
                <w:w w:val="89"/>
              </w:rPr>
              <w:t>Total Loans</w:t>
            </w:r>
          </w:p>
        </w:tc>
        <w:tc>
          <w:tcPr>
            <w:tcW w:w="308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S/.13,038</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S/.14,746</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S/.14,618</w:t>
            </w:r>
          </w:p>
        </w:tc>
      </w:tr>
      <w:tr>
        <w:trPr>
          <w:trHeight w:val="110"/>
        </w:trPr>
        <w:tc>
          <w:tcPr>
            <w:tcW w:w="28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Loan loss provisions, net of recoveries, charged in second quarter 2003 amounted to S/.66.3 million (US$19.1 million), lower than S/.103.9 million (US$29.9 million) in the year-ago period, mainly due to improved loan quality and to the allocation of generic reserves that exceeded required levels. Provision expense in the first quarter of 2003 was S/.115.3 million (US$33.2 million), which included US$13.4 million for the past due portfolio of the Bolivian subsidiary. In the current quarter, provision expense for Bolivian bad loans decrease to US$1.2 million. Quarterly provision expense charged by each business segment, without considering current period’s allocation of generic reserves,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60" w:type="dxa"/>
            <w:vAlign w:val="bottom"/>
            <w:gridSpan w:val="3"/>
          </w:tcPr>
          <w:p>
            <w:pPr>
              <w:spacing w:after="0"/>
              <w:rPr>
                <w:sz w:val="20"/>
                <w:szCs w:val="20"/>
                <w:color w:val="auto"/>
              </w:rPr>
            </w:pPr>
            <w:r>
              <w:rPr>
                <w:rFonts w:ascii="Arial" w:cs="Arial" w:eastAsia="Arial" w:hAnsi="Arial"/>
                <w:sz w:val="18"/>
                <w:szCs w:val="18"/>
                <w:i w:val="1"/>
                <w:iCs w:val="1"/>
                <w:color w:val="auto"/>
              </w:rPr>
              <w:t>(% of Provision expense and S/.Mn const.)</w:t>
            </w:r>
          </w:p>
        </w:tc>
        <w:tc>
          <w:tcPr>
            <w:tcW w:w="162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2Q02</w:t>
            </w:r>
          </w:p>
        </w:tc>
        <w:tc>
          <w:tcPr>
            <w:tcW w:w="64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1Q03</w:t>
            </w: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2Q03</w:t>
            </w:r>
          </w:p>
        </w:tc>
      </w:tr>
      <w:tr>
        <w:trPr>
          <w:trHeight w:val="110"/>
        </w:trPr>
        <w:tc>
          <w:tcPr>
            <w:tcW w:w="28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r>
        <w:trPr>
          <w:trHeight w:val="309"/>
        </w:trPr>
        <w:tc>
          <w:tcPr>
            <w:tcW w:w="5660" w:type="dxa"/>
            <w:vAlign w:val="bottom"/>
            <w:gridSpan w:val="3"/>
          </w:tcPr>
          <w:p>
            <w:pPr>
              <w:spacing w:after="0"/>
              <w:rPr>
                <w:sz w:val="20"/>
                <w:szCs w:val="20"/>
                <w:color w:val="auto"/>
              </w:rPr>
            </w:pPr>
            <w:r>
              <w:rPr>
                <w:rFonts w:ascii="Arial" w:cs="Arial" w:eastAsia="Arial" w:hAnsi="Arial"/>
                <w:sz w:val="18"/>
                <w:szCs w:val="18"/>
                <w:color w:val="auto"/>
              </w:rPr>
              <w:t>Corporate Banking</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6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62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41.2%</w:t>
            </w: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Middle Market</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6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6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5660" w:type="dxa"/>
            <w:vAlign w:val="bottom"/>
            <w:gridSpan w:val="3"/>
          </w:tcPr>
          <w:p>
            <w:pPr>
              <w:spacing w:after="0"/>
              <w:rPr>
                <w:sz w:val="20"/>
                <w:szCs w:val="20"/>
                <w:color w:val="auto"/>
              </w:rPr>
            </w:pPr>
            <w:r>
              <w:rPr>
                <w:rFonts w:ascii="Arial" w:cs="Arial" w:eastAsia="Arial" w:hAnsi="Arial"/>
                <w:sz w:val="18"/>
                <w:szCs w:val="18"/>
                <w:color w:val="auto"/>
              </w:rPr>
              <w:t>Retail</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6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6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37.4%</w:t>
            </w:r>
          </w:p>
        </w:tc>
      </w:tr>
      <w:tr>
        <w:trPr>
          <w:trHeight w:val="184"/>
        </w:trPr>
        <w:tc>
          <w:tcPr>
            <w:tcW w:w="2840" w:type="dxa"/>
            <w:vAlign w:val="bottom"/>
          </w:tcPr>
          <w:p>
            <w:pPr>
              <w:spacing w:after="0"/>
              <w:rPr>
                <w:sz w:val="15"/>
                <w:szCs w:val="15"/>
                <w:color w:val="auto"/>
              </w:rPr>
            </w:pPr>
          </w:p>
        </w:tc>
        <w:tc>
          <w:tcPr>
            <w:tcW w:w="360" w:type="dxa"/>
            <w:vAlign w:val="bottom"/>
          </w:tcPr>
          <w:p>
            <w:pPr>
              <w:jc w:val="center"/>
              <w:spacing w:after="0" w:line="184" w:lineRule="exact"/>
              <w:rPr>
                <w:sz w:val="20"/>
                <w:szCs w:val="20"/>
                <w:color w:val="auto"/>
              </w:rPr>
            </w:pPr>
            <w:r>
              <w:rPr>
                <w:rFonts w:ascii="Arial" w:cs="Arial" w:eastAsia="Arial" w:hAnsi="Arial"/>
                <w:sz w:val="18"/>
                <w:szCs w:val="18"/>
                <w:color w:val="auto"/>
                <w:w w:val="89"/>
              </w:rPr>
              <w:t>Total</w:t>
            </w:r>
          </w:p>
        </w:tc>
        <w:tc>
          <w:tcPr>
            <w:tcW w:w="2460" w:type="dxa"/>
            <w:vAlign w:val="bottom"/>
          </w:tcPr>
          <w:p>
            <w:pPr>
              <w:spacing w:after="0"/>
              <w:rPr>
                <w:sz w:val="15"/>
                <w:szCs w:val="15"/>
                <w:color w:val="auto"/>
              </w:rPr>
            </w:pPr>
          </w:p>
        </w:tc>
        <w:tc>
          <w:tcPr>
            <w:tcW w:w="216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600" w:type="dxa"/>
            <w:vAlign w:val="bottom"/>
          </w:tcPr>
          <w:p>
            <w:pPr>
              <w:spacing w:after="0"/>
              <w:rPr>
                <w:sz w:val="15"/>
                <w:szCs w:val="15"/>
                <w:color w:val="auto"/>
              </w:rPr>
            </w:pPr>
          </w:p>
        </w:tc>
        <w:tc>
          <w:tcPr>
            <w:tcW w:w="120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620" w:type="dxa"/>
            <w:vAlign w:val="bottom"/>
          </w:tcPr>
          <w:p>
            <w:pPr>
              <w:spacing w:after="0"/>
              <w:rPr>
                <w:sz w:val="15"/>
                <w:szCs w:val="15"/>
                <w:color w:val="auto"/>
              </w:rPr>
            </w:pPr>
          </w:p>
        </w:tc>
        <w:tc>
          <w:tcPr>
            <w:tcW w:w="118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r>
      <w:tr>
        <w:trPr>
          <w:trHeight w:val="20"/>
        </w:trPr>
        <w:tc>
          <w:tcPr>
            <w:tcW w:w="2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35"/>
        </w:trPr>
        <w:tc>
          <w:tcPr>
            <w:tcW w:w="5660" w:type="dxa"/>
            <w:vAlign w:val="bottom"/>
            <w:gridSpan w:val="3"/>
          </w:tcPr>
          <w:p>
            <w:pPr>
              <w:jc w:val="center"/>
              <w:ind w:left="272"/>
              <w:spacing w:after="0"/>
              <w:rPr>
                <w:sz w:val="20"/>
                <w:szCs w:val="20"/>
                <w:color w:val="auto"/>
              </w:rPr>
            </w:pPr>
            <w:r>
              <w:rPr>
                <w:rFonts w:ascii="Arial" w:cs="Arial" w:eastAsia="Arial" w:hAnsi="Arial"/>
                <w:sz w:val="18"/>
                <w:szCs w:val="18"/>
                <w:b w:val="1"/>
                <w:bCs w:val="1"/>
                <w:color w:val="auto"/>
                <w:w w:val="86"/>
              </w:rPr>
              <w:t>Total Provision Expense, net</w:t>
            </w:r>
          </w:p>
        </w:tc>
        <w:tc>
          <w:tcPr>
            <w:tcW w:w="27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S/.103.9</w:t>
            </w:r>
          </w:p>
        </w:tc>
        <w:tc>
          <w:tcPr>
            <w:tcW w:w="182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S/.115.3</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S/. 66.3</w:t>
            </w:r>
          </w:p>
        </w:tc>
      </w:tr>
      <w:tr>
        <w:trPr>
          <w:trHeight w:val="110"/>
        </w:trPr>
        <w:tc>
          <w:tcPr>
            <w:tcW w:w="28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II.7 CAPITAL ADEQUACY</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At the end of the second quarter of 2003, BCP’s unconsolidated ratio of risk-weighted assets to regulatory capital was 9.4 to 1.0 (10.7%), while the corresponding consolidated ratio was 7.9 to 1.0 (12.6%). Risk-weighted assets include S/.771.1 million (US$222.2 million) of market-risk exposure whose coverage required S/.70.1 million (US$20.2 million) of regulatory capital at June 30, 2003. Peruvian regulations limit risk-weighted assets to a ratio of 11.0 to 1.0 (9.1%).</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2003, BCP’s consolidated “regulatory capital” was S/.2,165 million (US$623.7 million), decreasing compared to S/.2,186 million (US$629.8 million) in the preceding quarter mostly due to higher investments. Regulatory capital included S/.163.4 million ($47.1 million) in subordinated debt in the current period, which remained almost unchanged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80" w:type="dxa"/>
            <w:vAlign w:val="bottom"/>
          </w:tcPr>
          <w:p>
            <w:pPr>
              <w:spacing w:after="0"/>
              <w:rPr>
                <w:sz w:val="19"/>
                <w:szCs w:val="19"/>
                <w:color w:val="auto"/>
              </w:rPr>
            </w:pPr>
          </w:p>
        </w:tc>
        <w:tc>
          <w:tcPr>
            <w:tcW w:w="3540" w:type="dxa"/>
            <w:vAlign w:val="bottom"/>
          </w:tcPr>
          <w:p>
            <w:pPr>
              <w:jc w:val="right"/>
              <w:ind w:right="72"/>
              <w:spacing w:after="0"/>
              <w:rPr>
                <w:sz w:val="20"/>
                <w:szCs w:val="20"/>
                <w:color w:val="auto"/>
              </w:rPr>
            </w:pPr>
            <w:r>
              <w:rPr>
                <w:rFonts w:ascii="Arial" w:cs="Arial" w:eastAsia="Arial" w:hAnsi="Arial"/>
                <w:sz w:val="18"/>
                <w:szCs w:val="18"/>
                <w:b w:val="1"/>
                <w:bCs w:val="1"/>
                <w:color w:val="auto"/>
              </w:rPr>
              <w:t>BCP unconsolidated</w:t>
            </w:r>
          </w:p>
        </w:tc>
        <w:tc>
          <w:tcPr>
            <w:tcW w:w="1320" w:type="dxa"/>
            <w:vAlign w:val="bottom"/>
          </w:tcPr>
          <w:p>
            <w:pPr>
              <w:spacing w:after="0"/>
              <w:rPr>
                <w:sz w:val="19"/>
                <w:szCs w:val="19"/>
                <w:color w:val="auto"/>
              </w:rPr>
            </w:pPr>
          </w:p>
        </w:tc>
        <w:tc>
          <w:tcPr>
            <w:tcW w:w="2040" w:type="dxa"/>
            <w:vAlign w:val="bottom"/>
          </w:tcPr>
          <w:p>
            <w:pPr>
              <w:jc w:val="right"/>
              <w:ind w:right="112"/>
              <w:spacing w:after="0"/>
              <w:rPr>
                <w:sz w:val="20"/>
                <w:szCs w:val="20"/>
                <w:color w:val="auto"/>
              </w:rPr>
            </w:pPr>
            <w:r>
              <w:rPr>
                <w:rFonts w:ascii="Arial" w:cs="Arial" w:eastAsia="Arial" w:hAnsi="Arial"/>
                <w:sz w:val="18"/>
                <w:szCs w:val="18"/>
                <w:b w:val="1"/>
                <w:bCs w:val="1"/>
                <w:color w:val="auto"/>
              </w:rPr>
              <w:t>BCP consolidated</w:t>
            </w:r>
          </w:p>
        </w:tc>
        <w:tc>
          <w:tcPr>
            <w:tcW w:w="840" w:type="dxa"/>
            <w:vAlign w:val="bottom"/>
          </w:tcPr>
          <w:p>
            <w:pPr>
              <w:spacing w:after="0"/>
              <w:rPr>
                <w:sz w:val="19"/>
                <w:szCs w:val="19"/>
                <w:color w:val="auto"/>
              </w:rPr>
            </w:pPr>
          </w:p>
        </w:tc>
      </w:tr>
      <w:tr>
        <w:trPr>
          <w:trHeight w:val="110"/>
        </w:trPr>
        <w:tc>
          <w:tcPr>
            <w:tcW w:w="3680" w:type="dxa"/>
            <w:vAlign w:val="bottom"/>
            <w:tcBorders>
              <w:bottom w:val="single" w:sz="8" w:color="auto"/>
            </w:tcBorders>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r>
      <w:tr>
        <w:trPr>
          <w:trHeight w:val="316"/>
        </w:trPr>
        <w:tc>
          <w:tcPr>
            <w:tcW w:w="3680" w:type="dxa"/>
            <w:vAlign w:val="bottom"/>
          </w:tcPr>
          <w:p>
            <w:pPr>
              <w:spacing w:after="0"/>
              <w:rPr>
                <w:sz w:val="20"/>
                <w:szCs w:val="20"/>
                <w:color w:val="auto"/>
              </w:rPr>
            </w:pPr>
            <w:r>
              <w:rPr>
                <w:rFonts w:ascii="Arial" w:cs="Arial" w:eastAsia="Arial" w:hAnsi="Arial"/>
                <w:sz w:val="18"/>
                <w:szCs w:val="18"/>
                <w:i w:val="1"/>
                <w:iCs w:val="1"/>
                <w:color w:val="auto"/>
              </w:rPr>
              <w:t>(In constant S/. Mn.)</w:t>
            </w:r>
          </w:p>
        </w:tc>
        <w:tc>
          <w:tcPr>
            <w:tcW w:w="3540" w:type="dxa"/>
            <w:vAlign w:val="bottom"/>
          </w:tcPr>
          <w:p>
            <w:pPr>
              <w:jc w:val="right"/>
              <w:ind w:right="872"/>
              <w:spacing w:after="0"/>
              <w:rPr>
                <w:sz w:val="20"/>
                <w:szCs w:val="20"/>
                <w:color w:val="auto"/>
              </w:rPr>
            </w:pPr>
            <w:r>
              <w:rPr>
                <w:rFonts w:ascii="Arial" w:cs="Arial" w:eastAsia="Arial" w:hAnsi="Arial"/>
                <w:sz w:val="18"/>
                <w:szCs w:val="18"/>
                <w:b w:val="1"/>
                <w:bCs w:val="1"/>
                <w:color w:val="auto"/>
              </w:rPr>
              <w:t>30.06.02</w:t>
            </w:r>
          </w:p>
        </w:tc>
        <w:tc>
          <w:tcPr>
            <w:tcW w:w="1320" w:type="dxa"/>
            <w:vAlign w:val="bottom"/>
          </w:tcPr>
          <w:p>
            <w:pPr>
              <w:jc w:val="right"/>
              <w:ind w:right="472"/>
              <w:spacing w:after="0"/>
              <w:rPr>
                <w:sz w:val="20"/>
                <w:szCs w:val="20"/>
                <w:color w:val="auto"/>
              </w:rPr>
            </w:pPr>
            <w:r>
              <w:rPr>
                <w:rFonts w:ascii="Arial" w:cs="Arial" w:eastAsia="Arial" w:hAnsi="Arial"/>
                <w:sz w:val="18"/>
                <w:szCs w:val="18"/>
                <w:b w:val="1"/>
                <w:bCs w:val="1"/>
                <w:color w:val="auto"/>
              </w:rPr>
              <w:t>30.06.03</w:t>
            </w:r>
          </w:p>
        </w:tc>
        <w:tc>
          <w:tcPr>
            <w:tcW w:w="2040" w:type="dxa"/>
            <w:vAlign w:val="bottom"/>
          </w:tcPr>
          <w:p>
            <w:pPr>
              <w:jc w:val="right"/>
              <w:ind w:right="812"/>
              <w:spacing w:after="0"/>
              <w:rPr>
                <w:sz w:val="20"/>
                <w:szCs w:val="20"/>
                <w:color w:val="auto"/>
              </w:rPr>
            </w:pPr>
            <w:r>
              <w:rPr>
                <w:rFonts w:ascii="Arial" w:cs="Arial" w:eastAsia="Arial" w:hAnsi="Arial"/>
                <w:sz w:val="18"/>
                <w:szCs w:val="18"/>
                <w:b w:val="1"/>
                <w:bCs w:val="1"/>
                <w:color w:val="auto"/>
              </w:rPr>
              <w:t>30.06.02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30.06.03</w:t>
            </w:r>
          </w:p>
        </w:tc>
      </w:tr>
      <w:tr>
        <w:trPr>
          <w:trHeight w:val="110"/>
        </w:trPr>
        <w:tc>
          <w:tcPr>
            <w:tcW w:w="3680" w:type="dxa"/>
            <w:vAlign w:val="bottom"/>
            <w:tcBorders>
              <w:bottom w:val="single" w:sz="8" w:color="auto"/>
            </w:tcBorders>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r>
      <w:tr>
        <w:trPr>
          <w:trHeight w:val="309"/>
        </w:trPr>
        <w:tc>
          <w:tcPr>
            <w:tcW w:w="3680" w:type="dxa"/>
            <w:vAlign w:val="bottom"/>
          </w:tcPr>
          <w:p>
            <w:pPr>
              <w:spacing w:after="0"/>
              <w:rPr>
                <w:sz w:val="20"/>
                <w:szCs w:val="20"/>
                <w:color w:val="auto"/>
              </w:rPr>
            </w:pPr>
            <w:r>
              <w:rPr>
                <w:rFonts w:ascii="Arial" w:cs="Arial" w:eastAsia="Arial" w:hAnsi="Arial"/>
                <w:sz w:val="18"/>
                <w:szCs w:val="18"/>
                <w:color w:val="auto"/>
              </w:rPr>
              <w:t>Regulatory capital</w:t>
            </w:r>
          </w:p>
        </w:tc>
        <w:tc>
          <w:tcPr>
            <w:tcW w:w="3540" w:type="dxa"/>
            <w:vAlign w:val="bottom"/>
          </w:tcPr>
          <w:p>
            <w:pPr>
              <w:jc w:val="right"/>
              <w:ind w:right="872"/>
              <w:spacing w:after="0"/>
              <w:rPr>
                <w:sz w:val="20"/>
                <w:szCs w:val="20"/>
                <w:color w:val="auto"/>
              </w:rPr>
            </w:pPr>
            <w:r>
              <w:rPr>
                <w:rFonts w:ascii="Arial" w:cs="Arial" w:eastAsia="Arial" w:hAnsi="Arial"/>
                <w:sz w:val="18"/>
                <w:szCs w:val="18"/>
                <w:color w:val="auto"/>
              </w:rPr>
              <w:t>1,437</w:t>
            </w:r>
          </w:p>
        </w:tc>
        <w:tc>
          <w:tcPr>
            <w:tcW w:w="1320" w:type="dxa"/>
            <w:vAlign w:val="bottom"/>
          </w:tcPr>
          <w:p>
            <w:pPr>
              <w:jc w:val="right"/>
              <w:ind w:right="472"/>
              <w:spacing w:after="0"/>
              <w:rPr>
                <w:sz w:val="20"/>
                <w:szCs w:val="20"/>
                <w:color w:val="auto"/>
              </w:rPr>
            </w:pPr>
            <w:r>
              <w:rPr>
                <w:rFonts w:ascii="Arial" w:cs="Arial" w:eastAsia="Arial" w:hAnsi="Arial"/>
                <w:sz w:val="18"/>
                <w:szCs w:val="18"/>
                <w:color w:val="auto"/>
              </w:rPr>
              <w:t>1,598</w:t>
            </w:r>
          </w:p>
        </w:tc>
        <w:tc>
          <w:tcPr>
            <w:tcW w:w="2040" w:type="dxa"/>
            <w:vAlign w:val="bottom"/>
          </w:tcPr>
          <w:p>
            <w:pPr>
              <w:jc w:val="right"/>
              <w:ind w:right="812"/>
              <w:spacing w:after="0"/>
              <w:rPr>
                <w:sz w:val="20"/>
                <w:szCs w:val="20"/>
                <w:color w:val="auto"/>
              </w:rPr>
            </w:pPr>
            <w:r>
              <w:rPr>
                <w:rFonts w:ascii="Arial" w:cs="Arial" w:eastAsia="Arial" w:hAnsi="Arial"/>
                <w:sz w:val="18"/>
                <w:szCs w:val="18"/>
                <w:color w:val="auto"/>
              </w:rPr>
              <w:t>2,036</w:t>
            </w:r>
          </w:p>
        </w:tc>
        <w:tc>
          <w:tcPr>
            <w:tcW w:w="840" w:type="dxa"/>
            <w:vAlign w:val="bottom"/>
          </w:tcPr>
          <w:p>
            <w:pPr>
              <w:jc w:val="right"/>
              <w:spacing w:after="0"/>
              <w:rPr>
                <w:sz w:val="20"/>
                <w:szCs w:val="20"/>
                <w:color w:val="auto"/>
              </w:rPr>
            </w:pPr>
            <w:r>
              <w:rPr>
                <w:rFonts w:ascii="Arial" w:cs="Arial" w:eastAsia="Arial" w:hAnsi="Arial"/>
                <w:sz w:val="18"/>
                <w:szCs w:val="18"/>
                <w:color w:val="auto"/>
              </w:rPr>
              <w:t>2,165</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Risk weighted assets</w:t>
            </w:r>
          </w:p>
        </w:tc>
        <w:tc>
          <w:tcPr>
            <w:tcW w:w="3540" w:type="dxa"/>
            <w:vAlign w:val="bottom"/>
          </w:tcPr>
          <w:p>
            <w:pPr>
              <w:jc w:val="right"/>
              <w:ind w:right="872"/>
              <w:spacing w:after="0"/>
              <w:rPr>
                <w:sz w:val="20"/>
                <w:szCs w:val="20"/>
                <w:color w:val="auto"/>
              </w:rPr>
            </w:pPr>
            <w:r>
              <w:rPr>
                <w:rFonts w:ascii="Arial" w:cs="Arial" w:eastAsia="Arial" w:hAnsi="Arial"/>
                <w:sz w:val="18"/>
                <w:szCs w:val="18"/>
                <w:color w:val="auto"/>
              </w:rPr>
              <w:t>13,636</w:t>
            </w:r>
          </w:p>
        </w:tc>
        <w:tc>
          <w:tcPr>
            <w:tcW w:w="1320" w:type="dxa"/>
            <w:vAlign w:val="bottom"/>
          </w:tcPr>
          <w:p>
            <w:pPr>
              <w:jc w:val="right"/>
              <w:ind w:right="472"/>
              <w:spacing w:after="0"/>
              <w:rPr>
                <w:sz w:val="20"/>
                <w:szCs w:val="20"/>
                <w:color w:val="auto"/>
              </w:rPr>
            </w:pPr>
            <w:r>
              <w:rPr>
                <w:rFonts w:ascii="Arial" w:cs="Arial" w:eastAsia="Arial" w:hAnsi="Arial"/>
                <w:sz w:val="18"/>
                <w:szCs w:val="18"/>
                <w:color w:val="auto"/>
              </w:rPr>
              <w:t>14,942</w:t>
            </w:r>
          </w:p>
        </w:tc>
        <w:tc>
          <w:tcPr>
            <w:tcW w:w="2040" w:type="dxa"/>
            <w:vAlign w:val="bottom"/>
          </w:tcPr>
          <w:p>
            <w:pPr>
              <w:jc w:val="right"/>
              <w:ind w:right="812"/>
              <w:spacing w:after="0"/>
              <w:rPr>
                <w:sz w:val="20"/>
                <w:szCs w:val="20"/>
                <w:color w:val="auto"/>
              </w:rPr>
            </w:pPr>
            <w:r>
              <w:rPr>
                <w:rFonts w:ascii="Arial" w:cs="Arial" w:eastAsia="Arial" w:hAnsi="Arial"/>
                <w:sz w:val="18"/>
                <w:szCs w:val="18"/>
                <w:color w:val="auto"/>
              </w:rPr>
              <w:t>16,719</w:t>
            </w:r>
          </w:p>
        </w:tc>
        <w:tc>
          <w:tcPr>
            <w:tcW w:w="840" w:type="dxa"/>
            <w:vAlign w:val="bottom"/>
          </w:tcPr>
          <w:p>
            <w:pPr>
              <w:jc w:val="right"/>
              <w:spacing w:after="0"/>
              <w:rPr>
                <w:sz w:val="20"/>
                <w:szCs w:val="20"/>
                <w:color w:val="auto"/>
              </w:rPr>
            </w:pPr>
            <w:r>
              <w:rPr>
                <w:rFonts w:ascii="Arial" w:cs="Arial" w:eastAsia="Arial" w:hAnsi="Arial"/>
                <w:sz w:val="18"/>
                <w:szCs w:val="18"/>
                <w:color w:val="auto"/>
              </w:rPr>
              <w:t>17,131</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Weighted assets / Capital</w:t>
            </w:r>
          </w:p>
        </w:tc>
        <w:tc>
          <w:tcPr>
            <w:tcW w:w="3540" w:type="dxa"/>
            <w:vAlign w:val="bottom"/>
          </w:tcPr>
          <w:p>
            <w:pPr>
              <w:jc w:val="right"/>
              <w:ind w:right="832"/>
              <w:spacing w:after="0"/>
              <w:rPr>
                <w:sz w:val="20"/>
                <w:szCs w:val="20"/>
                <w:color w:val="auto"/>
              </w:rPr>
            </w:pPr>
            <w:r>
              <w:rPr>
                <w:rFonts w:ascii="Arial" w:cs="Arial" w:eastAsia="Arial" w:hAnsi="Arial"/>
                <w:sz w:val="18"/>
                <w:szCs w:val="18"/>
                <w:color w:val="auto"/>
              </w:rPr>
              <w:t>9.5</w:t>
            </w:r>
          </w:p>
        </w:tc>
        <w:tc>
          <w:tcPr>
            <w:tcW w:w="1320" w:type="dxa"/>
            <w:vAlign w:val="bottom"/>
          </w:tcPr>
          <w:p>
            <w:pPr>
              <w:jc w:val="right"/>
              <w:ind w:right="432"/>
              <w:spacing w:after="0"/>
              <w:rPr>
                <w:sz w:val="20"/>
                <w:szCs w:val="20"/>
                <w:color w:val="auto"/>
              </w:rPr>
            </w:pPr>
            <w:r>
              <w:rPr>
                <w:rFonts w:ascii="Arial" w:cs="Arial" w:eastAsia="Arial" w:hAnsi="Arial"/>
                <w:sz w:val="18"/>
                <w:szCs w:val="18"/>
                <w:color w:val="auto"/>
              </w:rPr>
              <w:t>9.4</w:t>
            </w:r>
          </w:p>
        </w:tc>
        <w:tc>
          <w:tcPr>
            <w:tcW w:w="2040" w:type="dxa"/>
            <w:vAlign w:val="bottom"/>
          </w:tcPr>
          <w:p>
            <w:pPr>
              <w:jc w:val="right"/>
              <w:ind w:right="772"/>
              <w:spacing w:after="0"/>
              <w:rPr>
                <w:sz w:val="20"/>
                <w:szCs w:val="20"/>
                <w:color w:val="auto"/>
              </w:rPr>
            </w:pPr>
            <w:r>
              <w:rPr>
                <w:rFonts w:ascii="Arial" w:cs="Arial" w:eastAsia="Arial" w:hAnsi="Arial"/>
                <w:sz w:val="18"/>
                <w:szCs w:val="18"/>
                <w:color w:val="auto"/>
              </w:rPr>
              <w:t>8.2</w:t>
            </w: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Capital / Weighted Assets</w:t>
            </w:r>
          </w:p>
        </w:tc>
        <w:tc>
          <w:tcPr>
            <w:tcW w:w="3540" w:type="dxa"/>
            <w:vAlign w:val="bottom"/>
          </w:tcPr>
          <w:p>
            <w:pPr>
              <w:jc w:val="right"/>
              <w:ind w:right="832"/>
              <w:spacing w:after="0"/>
              <w:rPr>
                <w:sz w:val="20"/>
                <w:szCs w:val="20"/>
                <w:color w:val="auto"/>
              </w:rPr>
            </w:pPr>
            <w:r>
              <w:rPr>
                <w:rFonts w:ascii="Arial" w:cs="Arial" w:eastAsia="Arial" w:hAnsi="Arial"/>
                <w:sz w:val="18"/>
                <w:szCs w:val="18"/>
                <w:color w:val="auto"/>
              </w:rPr>
              <w:t>10.5%</w:t>
            </w:r>
          </w:p>
        </w:tc>
        <w:tc>
          <w:tcPr>
            <w:tcW w:w="1320" w:type="dxa"/>
            <w:vAlign w:val="bottom"/>
          </w:tcPr>
          <w:p>
            <w:pPr>
              <w:jc w:val="right"/>
              <w:ind w:right="432"/>
              <w:spacing w:after="0"/>
              <w:rPr>
                <w:sz w:val="20"/>
                <w:szCs w:val="20"/>
                <w:color w:val="auto"/>
              </w:rPr>
            </w:pPr>
            <w:r>
              <w:rPr>
                <w:rFonts w:ascii="Arial" w:cs="Arial" w:eastAsia="Arial" w:hAnsi="Arial"/>
                <w:sz w:val="18"/>
                <w:szCs w:val="18"/>
                <w:color w:val="auto"/>
              </w:rPr>
              <w:t>10.7%</w:t>
            </w:r>
          </w:p>
        </w:tc>
        <w:tc>
          <w:tcPr>
            <w:tcW w:w="2040" w:type="dxa"/>
            <w:vAlign w:val="bottom"/>
          </w:tcPr>
          <w:p>
            <w:pPr>
              <w:jc w:val="right"/>
              <w:ind w:right="772"/>
              <w:spacing w:after="0"/>
              <w:rPr>
                <w:sz w:val="20"/>
                <w:szCs w:val="20"/>
                <w:color w:val="auto"/>
              </w:rPr>
            </w:pPr>
            <w:r>
              <w:rPr>
                <w:rFonts w:ascii="Arial" w:cs="Arial" w:eastAsia="Arial" w:hAnsi="Arial"/>
                <w:sz w:val="18"/>
                <w:szCs w:val="18"/>
                <w:color w:val="auto"/>
              </w:rPr>
              <w:t>12.2%</w:t>
            </w:r>
          </w:p>
        </w:tc>
        <w:tc>
          <w:tcPr>
            <w:tcW w:w="8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110"/>
        </w:trPr>
        <w:tc>
          <w:tcPr>
            <w:tcW w:w="3680" w:type="dxa"/>
            <w:vAlign w:val="bottom"/>
            <w:tcBorders>
              <w:bottom w:val="single" w:sz="8" w:color="auto"/>
            </w:tcBorders>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3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III. ATLANTIC SECURITY HOLDING CORPORATION AND SUBSIDIARIES (“ASHC”)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net income for the six month period ended June 30, 2003 was US$5.4 million, remaining almost unchanged compared to US$5.5 million in the first half of 2002. Net income through June in both years are similar in spite of higher returns on the investment portfolio in 2003, which offset higher risk provisions and lower interest margins.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in the second quarter 2003 was US$1.6 million, compared to US$2.1 million in the same year-ago period. Profits in the current quarter decrease with respect to the prior year period mainly due to lower dividend and net interest income and higher risk provisions, which are partly offset by higher returns on the investment portfolio.</w:t>
      </w:r>
    </w:p>
    <w:p>
      <w:pPr>
        <w:spacing w:after="0" w:line="19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Net interest income, before risk provisions and not including dividend income, was US$3.7 million in the second quarter of 2003, lower than US$4.6 million in the same quarter of last year. Dividends received in these periods amounted to US$0.1 million and US$2.1 million, respectively.</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interest margin as a percentage of interest earning assets, without considering dividends, was 2.4% during second quarter 2003, similar to 2.5% in the preceding first quarter, but decreases compared to 3.4% in the second quarter 2002. With respect to the year-ago period, the margin decreases mainly due to the portfolio shift from higher return fixed income securities in favor of investment grade papers, that offer lower interest rates but that will reduce balance sheet volatility.</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the second quarter of 2003 charges against income for market risk provisions amounted to US$3.5 million, similar to US$3.6 million charged in the preceding first quarter, but increase from US$0.8 million provisioned in the year-ago period. Additionally, in the current quarter US$0.9 million were also provisioned for credit risks, higher than US$0.6 million loan provisions in the preceding period, and also compared to US$0.1 million in the prior year second quarter.</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Non-interest income, which includes fee income, realized gains on securities transactions before risk provisions and others, improved from a loss of US$1.3 million in the second quarter of 2002 to a gain of US$3.9 million in the current quarter. Compared to the prior year second quarter, income increases mainly due to higher realized gains on securities transactions, which improve from a loss of US$3.5 million in second quarter 2002, to a US$2.8 million net gain in the second quarter of 2003. Fee income decreased from US$1.5 million in the year-ago quarter to US$0.8 million in the current period, mainly because of administrative services and shared comissions paid to affiliates in the U.S., which are required after the restructuring of Credicorp’s operations in that country.</w:t>
      </w:r>
    </w:p>
    <w:p>
      <w:pPr>
        <w:spacing w:after="0" w:line="1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loan portfolio, net of provisions, was US$156.7 million as of June 30, 2003, remaining almost unchanged during the quarter, but decreases compared to US$167.2 million at June 2002, mainly due to lower lending to Peruvian companies and lower risk-participated loans.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marketable securities portfolio was US$359.8 million at June 2003, over US$327.6 million last March 2003, and increases also from US$312.3 million at the end of second quarter 2002.</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Deposits amounted to US$583.7 million at June 30, 2003, increasing from US$573.0 million at the end of the preceding first quarter, and also compared to US$503.5 million at the end of the second quarter of 2002.</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Funds under management were US$560.5 million at June 30, 2003, 3.4% higher than US$542.2 million at the end of March 2003, and grows 11.6% compared to US$502.3 million at the end of the second quarter 2002. The increase is principally due to the introduction of new structured products and funds under management with higher yields than interest paid on bank deposits.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equity reached US$128.7 million at the end of June 2003, higher than US$119.3 million at March 2003 mainly due to the US$12.8 million increase in the equity account of reserves for unrealized losses on investments, which changed from a balance of US$-2.2 million of unrealized losses at the end of March 2003, to US$10.6 million of unrealized gains at the end of the current quarter, due to improved values in capital markets of the available for sale proprietary portfolio. This equity increase was partly offset by a US$5.0 million dividend payment. The loan portfolio had no past dues.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operating expenses over average assets decrease to 0.9%, annualized, in the second quarter of 2003 compared to the 1.5% ratio during the same period in 2002. This ratio declines to 0.5% in the second quarter of 2003, when funds under management are included within total assets, improving from 0.8% in the prior year quarter. The improvements a mainly due to the closing of ASB’s U.S. agency.</w:t>
      </w:r>
    </w:p>
    <w:p>
      <w:pPr>
        <w:sectPr>
          <w:pgSz w:w="11900" w:h="16838" w:orient="portrait"/>
          <w:cols w:equalWidth="0" w:num="1">
            <w:col w:w="11420"/>
          </w:cols>
          <w:pgMar w:left="240" w:top="13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IV. EL PACIFICO-PERUANO SUIZA AND SUBSIDIARIES (“PPS”)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PPS obtained in the six month period ended June 30, 2003 a consolidated net income of S/.28.6 million (US$8.3 million), 28.1% over net income of S/.22.4 million (US$6.4 million) in the year-ago period. Net income in the second quarter of 2003 was S/.23.5 million (US$6.8 million), higher than S/.9.9 million (US$2.9 million) in the same quarter of 2002.</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Results in the first half and in the second quarter of 2003 increase over profits in the same periods of the prior year mainly because of gains on the sale of long-term investments, which amounted to S/.19.7 million (US$5.7 million).</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Total premiums in the second quarter of 2003 were S/.266.7 million (US$76.8 million), 38.9% over to premiums of S/.192.0 million (US$55.3 million) in the year-ago quarter. Net premiums earned, net of reinsured premiums and reserves, were S/.121.1 million (US$34.9 million) in second quarter 2003, 3.9% over premiums in the prior year quarter. The increase in total premiums is mostly due to life annuities, which require high reserves, and fire insurance operations with government entities, which are mostly reinsured, resulting in a lower growth rate for net premiums earned.</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Additions to technical reserves for premiums grew by S/.76.0 million (US$21.9 million) in the second quarter of 2003, three times larger than additions of S/.24.3 million (US$7.0 million) in the same quarter of last year, most of which were established by Pacífico Vida for its life annuities and life insurance lines.</w:t>
      </w:r>
    </w:p>
    <w:p>
      <w:pPr>
        <w:spacing w:after="0" w:line="13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Comparing cumulative results for the first half of 2003 and 2002, consolidated premiums grew 17.4% reaching S/.507.0 million (US$146.1 million). Total premiums consisted of: i) general insurance lines, that amounted to 53.7% of total premiums and increased 0.7%; ii) Pacífico Salud, that was 8.8% of total premiums, increasing 12.2%; and, iii) premiums by Pacífico Vida, which amounted to 37.5% of the total and grew 55.9%.</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Cumulative through June 30, 2003, growth of Pacífico Salud and the health and medical assistance insurance line (19.1% of total premiums) was 5.1%; fire insurance lines (20.2% of total premiums) increased 2.6%; while the automobile insurance line (5.7% of total premiums) increased 2.3%. Through June 2003, pension fund benefits insurance (6.5% of total premiums) decreased 6.4%, while group life insurance and individual life insurance policies (10.4% of total premiums) grew 16.3%, and life annuities (19.5% of total premiums) increased 175.4%, compared to the prior year period. Life annuities increased due to the regularization of bonds issued by the public pension fund for past contributions and easier early retirement regulations.</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underwriting results was S/.13.9 million (US$4.0 million) in the second quarter of 2003, compared to S/.9.9 million (US$2.9 million) in the prior year quarter, maily due to lower claims. The ratio of net underwriting results (net premiums less reserves and claims as a percentage of total premiums) was 5.2% in the second quarter of 2003, remaining similar to the ratio in the prior year quarter. Nevertheless, in first half 2003 this ratio decreased to 5.6% compared to 8.6% in the prior year period, mainly because of higher reserves.</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claims incurred in the second quarter of 2003 were S/.90.6 million (US$26.1 million), 6.1% lower than claims in the same quarter of 2002. The net loss ratio (net claims to net premiums) decreases to 46.0% in the current quarter from 68.4% in second quarter 2002. In the first half of 2003, the net loss ratio was 48.4%, under 58.1% in the same period of 2002, but continues high in pension fund insurance (127.3%), health (74.9%) and in Pacífico Salud (85.8%).</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combined ratio (the sum of net claims, general expenses and commissions, as a percentage of net premiums) improved from 91.8% in the second quarter of 2002 to 66.6% in the current quarter, mainly because of lower net claims.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over net premiums declined from 19.4% to 15.1% comparing the second quarters of 2002 and 2003, respectively.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Investments in real estate and financial assets were S/.1,175 million (US$338.6 million) at the end of the current quarter, increasing 24.3% from the year-ago balance.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2003, total assets were S/.1,600 million (US$461.0 million) increasing 17.7% compared to the year-ago balance. At the end of the current period net equity amounted to S/.362.3 million (US$104.4 million) 6.5% over net equity at June 2002.</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Peruvian insurance market through May 31, 2003, had total premiums of US$368.8 million, 33.4% over premiums in the same period in 2002, mainly due to sales of SOAT and life annuities. For the first five months of 2003, PPS’s market share in total premiums was 29.3% (35.2% in the year-ago period), with the share in general risks and health lines being 31.6% and 37.8, respectively. Market share in life insurance and pension fund benefits lines was 26.5% as of May 2003, and of 30.2% in the same period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Tables To Follow ***</w:t>
      </w:r>
    </w:p>
    <w:p>
      <w:pPr>
        <w:sectPr>
          <w:pgSz w:w="11900" w:h="16838" w:orient="portrait"/>
          <w:cols w:equalWidth="0" w:num="1">
            <w:col w:w="11420"/>
          </w:cols>
          <w:pgMar w:left="240" w:top="13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1</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20" w:type="dxa"/>
            <w:vAlign w:val="bottom"/>
            <w:gridSpan w:val="5"/>
          </w:tcPr>
          <w:p>
            <w:pPr>
              <w:ind w:left="560"/>
              <w:spacing w:after="0"/>
              <w:rPr>
                <w:sz w:val="20"/>
                <w:szCs w:val="20"/>
                <w:color w:val="auto"/>
              </w:rPr>
            </w:pPr>
            <w:r>
              <w:rPr>
                <w:rFonts w:ascii="Arial" w:cs="Arial" w:eastAsia="Arial" w:hAnsi="Arial"/>
                <w:sz w:val="18"/>
                <w:szCs w:val="18"/>
                <w:b w:val="1"/>
                <w:bCs w:val="1"/>
                <w:color w:val="auto"/>
              </w:rPr>
              <w:t>As of</w:t>
            </w: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124"/>
        </w:trPr>
        <w:tc>
          <w:tcPr>
            <w:tcW w:w="6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r>
      <w:tr>
        <w:trPr>
          <w:trHeight w:val="316"/>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80" w:type="dxa"/>
            <w:vAlign w:val="bottom"/>
          </w:tcPr>
          <w:p>
            <w:pPr>
              <w:ind w:left="180"/>
              <w:spacing w:after="0"/>
              <w:rPr>
                <w:sz w:val="20"/>
                <w:szCs w:val="20"/>
                <w:color w:val="auto"/>
              </w:rPr>
            </w:pPr>
            <w:r>
              <w:rPr>
                <w:rFonts w:ascii="Arial" w:cs="Arial" w:eastAsia="Arial" w:hAnsi="Arial"/>
                <w:sz w:val="18"/>
                <w:szCs w:val="18"/>
                <w:b w:val="1"/>
                <w:bCs w:val="1"/>
                <w:color w:val="auto"/>
              </w:rPr>
              <w:t>ASSETS</w:t>
            </w:r>
          </w:p>
        </w:tc>
        <w:tc>
          <w:tcPr>
            <w:tcW w:w="19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Jun. 30, 2002</w:t>
            </w:r>
          </w:p>
        </w:tc>
        <w:tc>
          <w:tcPr>
            <w:tcW w:w="1460" w:type="dxa"/>
            <w:vAlign w:val="bottom"/>
            <w:gridSpan w:val="3"/>
          </w:tcPr>
          <w:p>
            <w:pPr>
              <w:ind w:left="200"/>
              <w:spacing w:after="0"/>
              <w:rPr>
                <w:sz w:val="20"/>
                <w:szCs w:val="20"/>
                <w:color w:val="auto"/>
              </w:rPr>
            </w:pPr>
            <w:r>
              <w:rPr>
                <w:rFonts w:ascii="Arial" w:cs="Arial" w:eastAsia="Arial" w:hAnsi="Arial"/>
                <w:sz w:val="18"/>
                <w:szCs w:val="18"/>
                <w:b w:val="1"/>
                <w:bCs w:val="1"/>
                <w:color w:val="auto"/>
              </w:rPr>
              <w:t>Dec. 31, 2002</w:t>
            </w: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Mar. 31, 2003</w:t>
            </w:r>
          </w:p>
        </w:tc>
        <w:tc>
          <w:tcPr>
            <w:tcW w:w="12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4"/>
              </w:rPr>
              <w:t>Jun. 30, 2003</w:t>
            </w:r>
          </w:p>
        </w:tc>
      </w:tr>
      <w:tr>
        <w:trPr>
          <w:trHeight w:val="110"/>
        </w:trPr>
        <w:tc>
          <w:tcPr>
            <w:tcW w:w="6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r>
      <w:tr>
        <w:trPr>
          <w:trHeight w:val="277"/>
        </w:trPr>
        <w:tc>
          <w:tcPr>
            <w:tcW w:w="5360" w:type="dxa"/>
            <w:vAlign w:val="bottom"/>
            <w:gridSpan w:val="4"/>
          </w:tcPr>
          <w:p>
            <w:pPr>
              <w:spacing w:after="0"/>
              <w:rPr>
                <w:sz w:val="20"/>
                <w:szCs w:val="20"/>
                <w:color w:val="auto"/>
              </w:rPr>
            </w:pPr>
            <w:r>
              <w:rPr>
                <w:rFonts w:ascii="Arial" w:cs="Arial" w:eastAsia="Arial" w:hAnsi="Arial"/>
                <w:sz w:val="18"/>
                <w:szCs w:val="18"/>
                <w:color w:val="auto"/>
              </w:rPr>
              <w:t>CASH AND DUE FROM BANKS</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8"/>
        </w:trPr>
        <w:tc>
          <w:tcPr>
            <w:tcW w:w="5360" w:type="dxa"/>
            <w:vAlign w:val="bottom"/>
            <w:gridSpan w:val="4"/>
          </w:tcPr>
          <w:p>
            <w:pPr>
              <w:spacing w:after="0"/>
              <w:rPr>
                <w:sz w:val="20"/>
                <w:szCs w:val="20"/>
                <w:color w:val="auto"/>
              </w:rPr>
            </w:pPr>
            <w:r>
              <w:rPr>
                <w:rFonts w:ascii="Arial" w:cs="Arial" w:eastAsia="Arial" w:hAnsi="Arial"/>
                <w:sz w:val="18"/>
                <w:szCs w:val="18"/>
                <w:color w:val="auto"/>
              </w:rPr>
              <w:t>Cash and non interest bearing deposits in banks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239,724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314,404</w:t>
            </w:r>
          </w:p>
        </w:tc>
        <w:tc>
          <w:tcPr>
            <w:tcW w:w="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243,401</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251,643</w:t>
            </w:r>
          </w:p>
        </w:tc>
      </w:tr>
      <w:tr>
        <w:trPr>
          <w:trHeight w:val="184"/>
        </w:trPr>
        <w:tc>
          <w:tcPr>
            <w:tcW w:w="5360" w:type="dxa"/>
            <w:vAlign w:val="bottom"/>
            <w:gridSpan w:val="4"/>
          </w:tcPr>
          <w:p>
            <w:pPr>
              <w:spacing w:after="0" w:line="184" w:lineRule="exact"/>
              <w:rPr>
                <w:sz w:val="20"/>
                <w:szCs w:val="20"/>
                <w:color w:val="auto"/>
              </w:rPr>
            </w:pPr>
            <w:r>
              <w:rPr>
                <w:rFonts w:ascii="Arial" w:cs="Arial" w:eastAsia="Arial" w:hAnsi="Arial"/>
                <w:sz w:val="18"/>
                <w:szCs w:val="18"/>
                <w:color w:val="auto"/>
              </w:rPr>
              <w:t>Interest bearing deposits in banks</w:t>
            </w:r>
          </w:p>
        </w:tc>
        <w:tc>
          <w:tcPr>
            <w:tcW w:w="1220" w:type="dxa"/>
            <w:vAlign w:val="bottom"/>
          </w:tcPr>
          <w:p>
            <w:pPr>
              <w:spacing w:after="0"/>
              <w:rPr>
                <w:sz w:val="15"/>
                <w:szCs w:val="15"/>
                <w:color w:val="auto"/>
              </w:rPr>
            </w:pPr>
          </w:p>
        </w:tc>
        <w:tc>
          <w:tcPr>
            <w:tcW w:w="740" w:type="dxa"/>
            <w:vAlign w:val="bottom"/>
          </w:tcPr>
          <w:p>
            <w:pPr>
              <w:jc w:val="right"/>
              <w:spacing w:after="0" w:line="184" w:lineRule="exact"/>
              <w:rPr>
                <w:sz w:val="20"/>
                <w:szCs w:val="20"/>
                <w:color w:val="auto"/>
              </w:rPr>
            </w:pPr>
            <w:r>
              <w:rPr>
                <w:rFonts w:ascii="Arial" w:cs="Arial" w:eastAsia="Arial" w:hAnsi="Arial"/>
                <w:sz w:val="18"/>
                <w:szCs w:val="18"/>
                <w:color w:val="auto"/>
                <w:w w:val="84"/>
              </w:rPr>
              <w:t>1,469,750</w:t>
            </w:r>
          </w:p>
        </w:tc>
        <w:tc>
          <w:tcPr>
            <w:tcW w:w="620" w:type="dxa"/>
            <w:vAlign w:val="bottom"/>
          </w:tcPr>
          <w:p>
            <w:pPr>
              <w:spacing w:after="0"/>
              <w:rPr>
                <w:sz w:val="15"/>
                <w:szCs w:val="15"/>
                <w:color w:val="auto"/>
              </w:rPr>
            </w:pPr>
          </w:p>
        </w:tc>
        <w:tc>
          <w:tcPr>
            <w:tcW w:w="760" w:type="dxa"/>
            <w:vAlign w:val="bottom"/>
          </w:tcPr>
          <w:p>
            <w:pPr>
              <w:jc w:val="right"/>
              <w:spacing w:after="0" w:line="184" w:lineRule="exact"/>
              <w:rPr>
                <w:sz w:val="20"/>
                <w:szCs w:val="20"/>
                <w:color w:val="auto"/>
              </w:rPr>
            </w:pPr>
            <w:r>
              <w:rPr>
                <w:rFonts w:ascii="Arial" w:cs="Arial" w:eastAsia="Arial" w:hAnsi="Arial"/>
                <w:sz w:val="18"/>
                <w:szCs w:val="18"/>
                <w:color w:val="auto"/>
                <w:w w:val="84"/>
              </w:rPr>
              <w:t>1,867,987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right"/>
              <w:spacing w:after="0" w:line="184" w:lineRule="exact"/>
              <w:rPr>
                <w:sz w:val="20"/>
                <w:szCs w:val="20"/>
                <w:color w:val="auto"/>
              </w:rPr>
            </w:pPr>
            <w:r>
              <w:rPr>
                <w:rFonts w:ascii="Arial" w:cs="Arial" w:eastAsia="Arial" w:hAnsi="Arial"/>
                <w:sz w:val="18"/>
                <w:szCs w:val="18"/>
                <w:color w:val="auto"/>
                <w:w w:val="87"/>
              </w:rPr>
              <w:t>1,901,274</w:t>
            </w:r>
          </w:p>
        </w:tc>
        <w:tc>
          <w:tcPr>
            <w:tcW w:w="100" w:type="dxa"/>
            <w:vAlign w:val="bottom"/>
          </w:tcPr>
          <w:p>
            <w:pPr>
              <w:spacing w:after="0"/>
              <w:rPr>
                <w:sz w:val="15"/>
                <w:szCs w:val="15"/>
                <w:color w:val="auto"/>
              </w:rPr>
            </w:pPr>
          </w:p>
        </w:tc>
        <w:tc>
          <w:tcPr>
            <w:tcW w:w="126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1,616,400</w:t>
            </w:r>
          </w:p>
        </w:tc>
      </w:tr>
      <w:tr>
        <w:trPr>
          <w:trHeight w:val="20"/>
        </w:trPr>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w w:val="84"/>
              </w:rPr>
              <w:t>1,709,474</w:t>
            </w:r>
          </w:p>
        </w:tc>
        <w:tc>
          <w:tcPr>
            <w:tcW w:w="6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w w:val="84"/>
              </w:rPr>
              <w:t>2,182,391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w w:val="87"/>
              </w:rPr>
              <w:t>2,144,675</w:t>
            </w:r>
          </w:p>
        </w:tc>
        <w:tc>
          <w:tcPr>
            <w:tcW w:w="10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1,868,043</w:t>
            </w:r>
          </w:p>
        </w:tc>
      </w:tr>
      <w:tr>
        <w:trPr>
          <w:trHeight w:val="478"/>
        </w:trPr>
        <w:tc>
          <w:tcPr>
            <w:tcW w:w="5360" w:type="dxa"/>
            <w:vAlign w:val="bottom"/>
            <w:gridSpan w:val="4"/>
          </w:tcPr>
          <w:p>
            <w:pPr>
              <w:spacing w:after="0"/>
              <w:rPr>
                <w:sz w:val="20"/>
                <w:szCs w:val="20"/>
                <w:color w:val="auto"/>
              </w:rPr>
            </w:pPr>
            <w:r>
              <w:rPr>
                <w:rFonts w:ascii="Arial" w:cs="Arial" w:eastAsia="Arial" w:hAnsi="Arial"/>
                <w:sz w:val="18"/>
                <w:szCs w:val="18"/>
                <w:color w:val="auto"/>
              </w:rPr>
              <w:t>MARKETABLE SECURITIES, net</w:t>
            </w:r>
          </w:p>
        </w:tc>
        <w:tc>
          <w:tcPr>
            <w:tcW w:w="122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498,453</w:t>
            </w:r>
          </w:p>
        </w:tc>
        <w:tc>
          <w:tcPr>
            <w:tcW w:w="620" w:type="dxa"/>
            <w:vAlign w:val="bottom"/>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613,174</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714,208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685,378</w:t>
            </w:r>
          </w:p>
        </w:tc>
      </w:tr>
      <w:tr>
        <w:trPr>
          <w:trHeight w:val="421"/>
        </w:trPr>
        <w:tc>
          <w:tcPr>
            <w:tcW w:w="600" w:type="dxa"/>
            <w:vAlign w:val="bottom"/>
          </w:tcPr>
          <w:p>
            <w:pPr>
              <w:spacing w:after="0"/>
              <w:rPr>
                <w:sz w:val="20"/>
                <w:szCs w:val="20"/>
                <w:color w:val="auto"/>
              </w:rPr>
            </w:pPr>
            <w:r>
              <w:rPr>
                <w:rFonts w:ascii="Arial" w:cs="Arial" w:eastAsia="Arial" w:hAnsi="Arial"/>
                <w:sz w:val="18"/>
                <w:szCs w:val="18"/>
                <w:color w:val="auto"/>
                <w:w w:val="94"/>
              </w:rPr>
              <w:t>LOANS</w:t>
            </w:r>
          </w:p>
        </w:tc>
        <w:tc>
          <w:tcPr>
            <w:tcW w:w="4760" w:type="dxa"/>
            <w:vAlign w:val="bottom"/>
            <w:gridSpan w:val="3"/>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4"/>
              </w:rPr>
              <w:t>4,045,408</w:t>
            </w: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4"/>
              </w:rPr>
              <w:t>4,817,662</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4,639,592</w:t>
            </w:r>
          </w:p>
        </w:tc>
        <w:tc>
          <w:tcPr>
            <w:tcW w:w="10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4,581,397</w:t>
            </w:r>
          </w:p>
        </w:tc>
      </w:tr>
      <w:tr>
        <w:trPr>
          <w:trHeight w:val="20"/>
        </w:trPr>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8"/>
        </w:trPr>
        <w:tc>
          <w:tcPr>
            <w:tcW w:w="600" w:type="dxa"/>
            <w:vAlign w:val="bottom"/>
          </w:tcPr>
          <w:p>
            <w:pPr>
              <w:spacing w:after="0"/>
              <w:rPr>
                <w:sz w:val="20"/>
                <w:szCs w:val="20"/>
                <w:color w:val="auto"/>
              </w:rPr>
            </w:pPr>
            <w:r>
              <w:rPr>
                <w:rFonts w:ascii="Arial" w:cs="Arial" w:eastAsia="Arial" w:hAnsi="Arial"/>
                <w:sz w:val="18"/>
                <w:szCs w:val="18"/>
                <w:color w:val="auto"/>
                <w:w w:val="96"/>
              </w:rPr>
              <w:t>Current</w:t>
            </w:r>
          </w:p>
        </w:tc>
        <w:tc>
          <w:tcPr>
            <w:tcW w:w="4760" w:type="dxa"/>
            <w:vAlign w:val="bottom"/>
            <w:gridSpan w:val="3"/>
          </w:tcPr>
          <w:p>
            <w:pPr>
              <w:spacing w:after="0"/>
              <w:rPr>
                <w:sz w:val="19"/>
                <w:szCs w:val="19"/>
                <w:color w:val="auto"/>
              </w:rPr>
            </w:pP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4"/>
              </w:rPr>
              <w:t>3,729,116</w:t>
            </w:r>
          </w:p>
        </w:tc>
        <w:tc>
          <w:tcPr>
            <w:tcW w:w="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4"/>
              </w:rPr>
              <w:t>4,412,345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4,255,538</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4,221,341</w:t>
            </w:r>
          </w:p>
        </w:tc>
      </w:tr>
      <w:tr>
        <w:trPr>
          <w:trHeight w:val="216"/>
        </w:trPr>
        <w:tc>
          <w:tcPr>
            <w:tcW w:w="5360" w:type="dxa"/>
            <w:vAlign w:val="bottom"/>
            <w:gridSpan w:val="4"/>
          </w:tcPr>
          <w:p>
            <w:pPr>
              <w:spacing w:after="0"/>
              <w:rPr>
                <w:sz w:val="20"/>
                <w:szCs w:val="20"/>
                <w:color w:val="auto"/>
              </w:rPr>
            </w:pPr>
            <w:r>
              <w:rPr>
                <w:rFonts w:ascii="Arial" w:cs="Arial" w:eastAsia="Arial" w:hAnsi="Arial"/>
                <w:sz w:val="18"/>
                <w:szCs w:val="18"/>
                <w:color w:val="auto"/>
              </w:rPr>
              <w:t>Past Due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316,292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405,317</w:t>
            </w:r>
          </w:p>
        </w:tc>
        <w:tc>
          <w:tcPr>
            <w:tcW w:w="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384,054</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360,056</w:t>
            </w:r>
          </w:p>
        </w:tc>
      </w:tr>
      <w:tr>
        <w:trPr>
          <w:trHeight w:val="216"/>
        </w:trPr>
        <w:tc>
          <w:tcPr>
            <w:tcW w:w="5360" w:type="dxa"/>
            <w:vAlign w:val="bottom"/>
            <w:gridSpan w:val="4"/>
          </w:tcPr>
          <w:p>
            <w:pPr>
              <w:spacing w:after="0"/>
              <w:rPr>
                <w:sz w:val="20"/>
                <w:szCs w:val="20"/>
                <w:color w:val="auto"/>
              </w:rPr>
            </w:pPr>
            <w:r>
              <w:rPr>
                <w:rFonts w:ascii="Arial" w:cs="Arial" w:eastAsia="Arial" w:hAnsi="Arial"/>
                <w:sz w:val="18"/>
                <w:szCs w:val="18"/>
                <w:color w:val="auto"/>
              </w:rPr>
              <w:t>Less - Reserve for possible loan losses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(314,076)</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(420,809)</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(430,712)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(407,117)</w:t>
            </w:r>
          </w:p>
        </w:tc>
      </w:tr>
      <w:tr>
        <w:trPr>
          <w:trHeight w:val="184"/>
        </w:trPr>
        <w:tc>
          <w:tcPr>
            <w:tcW w:w="980" w:type="dxa"/>
            <w:vAlign w:val="bottom"/>
            <w:gridSpan w:val="2"/>
          </w:tcPr>
          <w:p>
            <w:pPr>
              <w:spacing w:after="0" w:line="184" w:lineRule="exact"/>
              <w:rPr>
                <w:sz w:val="20"/>
                <w:szCs w:val="20"/>
                <w:color w:val="auto"/>
              </w:rPr>
            </w:pPr>
            <w:r>
              <w:rPr>
                <w:rFonts w:ascii="Arial" w:cs="Arial" w:eastAsia="Arial" w:hAnsi="Arial"/>
                <w:sz w:val="18"/>
                <w:szCs w:val="18"/>
                <w:color w:val="auto"/>
                <w:w w:val="94"/>
              </w:rPr>
              <w:t>LOANS NET</w:t>
            </w:r>
          </w:p>
        </w:tc>
        <w:tc>
          <w:tcPr>
            <w:tcW w:w="4380" w:type="dxa"/>
            <w:vAlign w:val="bottom"/>
            <w:gridSpan w:val="2"/>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jc w:val="right"/>
              <w:spacing w:after="0" w:line="184" w:lineRule="exact"/>
              <w:rPr>
                <w:sz w:val="20"/>
                <w:szCs w:val="20"/>
                <w:color w:val="auto"/>
              </w:rPr>
            </w:pPr>
            <w:r>
              <w:rPr>
                <w:rFonts w:ascii="Arial" w:cs="Arial" w:eastAsia="Arial" w:hAnsi="Arial"/>
                <w:sz w:val="18"/>
                <w:szCs w:val="18"/>
                <w:color w:val="auto"/>
                <w:w w:val="84"/>
              </w:rPr>
              <w:t>3,731,332</w:t>
            </w:r>
          </w:p>
        </w:tc>
        <w:tc>
          <w:tcPr>
            <w:tcW w:w="620" w:type="dxa"/>
            <w:vAlign w:val="bottom"/>
          </w:tcPr>
          <w:p>
            <w:pPr>
              <w:spacing w:after="0"/>
              <w:rPr>
                <w:sz w:val="15"/>
                <w:szCs w:val="15"/>
                <w:color w:val="auto"/>
              </w:rPr>
            </w:pPr>
          </w:p>
        </w:tc>
        <w:tc>
          <w:tcPr>
            <w:tcW w:w="760" w:type="dxa"/>
            <w:vAlign w:val="bottom"/>
          </w:tcPr>
          <w:p>
            <w:pPr>
              <w:jc w:val="right"/>
              <w:spacing w:after="0" w:line="184" w:lineRule="exact"/>
              <w:rPr>
                <w:sz w:val="20"/>
                <w:szCs w:val="20"/>
                <w:color w:val="auto"/>
              </w:rPr>
            </w:pPr>
            <w:r>
              <w:rPr>
                <w:rFonts w:ascii="Arial" w:cs="Arial" w:eastAsia="Arial" w:hAnsi="Arial"/>
                <w:sz w:val="18"/>
                <w:szCs w:val="18"/>
                <w:color w:val="auto"/>
                <w:w w:val="84"/>
              </w:rPr>
              <w:t>4,396,853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jc w:val="right"/>
              <w:spacing w:after="0" w:line="184" w:lineRule="exact"/>
              <w:rPr>
                <w:sz w:val="20"/>
                <w:szCs w:val="20"/>
                <w:color w:val="auto"/>
              </w:rPr>
            </w:pPr>
            <w:r>
              <w:rPr>
                <w:rFonts w:ascii="Arial" w:cs="Arial" w:eastAsia="Arial" w:hAnsi="Arial"/>
                <w:sz w:val="18"/>
                <w:szCs w:val="18"/>
                <w:color w:val="auto"/>
                <w:w w:val="87"/>
              </w:rPr>
              <w:t>4,208,880</w:t>
            </w:r>
          </w:p>
        </w:tc>
        <w:tc>
          <w:tcPr>
            <w:tcW w:w="100" w:type="dxa"/>
            <w:vAlign w:val="bottom"/>
          </w:tcPr>
          <w:p>
            <w:pPr>
              <w:spacing w:after="0"/>
              <w:rPr>
                <w:sz w:val="15"/>
                <w:szCs w:val="15"/>
                <w:color w:val="auto"/>
              </w:rPr>
            </w:pPr>
          </w:p>
        </w:tc>
        <w:tc>
          <w:tcPr>
            <w:tcW w:w="126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4,174,280</w:t>
            </w:r>
          </w:p>
        </w:tc>
      </w:tr>
      <w:tr>
        <w:trPr>
          <w:trHeight w:val="20"/>
        </w:trPr>
        <w:tc>
          <w:tcPr>
            <w:tcW w:w="980" w:type="dxa"/>
            <w:vAlign w:val="bottom"/>
            <w:gridSpan w:val="2"/>
            <w:shd w:val="clear" w:color="auto" w:fill="000000"/>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471"/>
        </w:trPr>
        <w:tc>
          <w:tcPr>
            <w:tcW w:w="5360" w:type="dxa"/>
            <w:vAlign w:val="bottom"/>
            <w:gridSpan w:val="4"/>
          </w:tcPr>
          <w:p>
            <w:pPr>
              <w:spacing w:after="0"/>
              <w:rPr>
                <w:sz w:val="20"/>
                <w:szCs w:val="20"/>
                <w:color w:val="auto"/>
              </w:rPr>
            </w:pPr>
            <w:r>
              <w:rPr>
                <w:rFonts w:ascii="Arial" w:cs="Arial" w:eastAsia="Arial" w:hAnsi="Arial"/>
                <w:sz w:val="18"/>
                <w:szCs w:val="18"/>
                <w:color w:val="auto"/>
              </w:rPr>
              <w:t>INVESTMENT SECURITIES AVAILABLE FOR SALE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620,141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634,151</w:t>
            </w:r>
          </w:p>
        </w:tc>
        <w:tc>
          <w:tcPr>
            <w:tcW w:w="8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670,269</w:t>
            </w:r>
          </w:p>
        </w:tc>
        <w:tc>
          <w:tcPr>
            <w:tcW w:w="10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711,404</w:t>
            </w:r>
          </w:p>
        </w:tc>
      </w:tr>
      <w:tr>
        <w:trPr>
          <w:trHeight w:val="216"/>
        </w:trPr>
        <w:tc>
          <w:tcPr>
            <w:tcW w:w="5360" w:type="dxa"/>
            <w:vAlign w:val="bottom"/>
            <w:gridSpan w:val="4"/>
          </w:tcPr>
          <w:p>
            <w:pPr>
              <w:spacing w:after="0"/>
              <w:rPr>
                <w:sz w:val="20"/>
                <w:szCs w:val="20"/>
                <w:color w:val="auto"/>
              </w:rPr>
            </w:pPr>
            <w:r>
              <w:rPr>
                <w:rFonts w:ascii="Arial" w:cs="Arial" w:eastAsia="Arial" w:hAnsi="Arial"/>
                <w:sz w:val="18"/>
                <w:szCs w:val="18"/>
                <w:color w:val="auto"/>
              </w:rPr>
              <w:t>REINSURANCE ASSETS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35,012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29,677</w:t>
            </w:r>
          </w:p>
        </w:tc>
        <w:tc>
          <w:tcPr>
            <w:tcW w:w="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27,838</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33,846</w:t>
            </w:r>
          </w:p>
        </w:tc>
      </w:tr>
      <w:tr>
        <w:trPr>
          <w:trHeight w:val="216"/>
        </w:trPr>
        <w:tc>
          <w:tcPr>
            <w:tcW w:w="5360" w:type="dxa"/>
            <w:vAlign w:val="bottom"/>
            <w:gridSpan w:val="4"/>
          </w:tcPr>
          <w:p>
            <w:pPr>
              <w:spacing w:after="0"/>
              <w:rPr>
                <w:sz w:val="20"/>
                <w:szCs w:val="20"/>
                <w:color w:val="auto"/>
              </w:rPr>
            </w:pPr>
            <w:r>
              <w:rPr>
                <w:rFonts w:ascii="Arial" w:cs="Arial" w:eastAsia="Arial" w:hAnsi="Arial"/>
                <w:sz w:val="18"/>
                <w:szCs w:val="18"/>
                <w:color w:val="auto"/>
              </w:rPr>
              <w:t>PREMIUMS AND OTHER POLICYHOLDER RECEIVABLES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65,141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61,856</w:t>
            </w:r>
          </w:p>
        </w:tc>
        <w:tc>
          <w:tcPr>
            <w:tcW w:w="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51,512</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56,890</w:t>
            </w:r>
          </w:p>
        </w:tc>
      </w:tr>
      <w:tr>
        <w:trPr>
          <w:trHeight w:val="216"/>
        </w:trPr>
        <w:tc>
          <w:tcPr>
            <w:tcW w:w="5360" w:type="dxa"/>
            <w:vAlign w:val="bottom"/>
            <w:gridSpan w:val="4"/>
          </w:tcPr>
          <w:p>
            <w:pPr>
              <w:spacing w:after="0"/>
              <w:rPr>
                <w:sz w:val="20"/>
                <w:szCs w:val="20"/>
                <w:color w:val="auto"/>
              </w:rPr>
            </w:pPr>
            <w:r>
              <w:rPr>
                <w:rFonts w:ascii="Arial" w:cs="Arial" w:eastAsia="Arial" w:hAnsi="Arial"/>
                <w:sz w:val="18"/>
                <w:szCs w:val="18"/>
                <w:color w:val="auto"/>
              </w:rPr>
              <w:t>PROPERTY, PLANT and EQUIPMENT, net</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248,184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288,889</w:t>
            </w:r>
          </w:p>
        </w:tc>
        <w:tc>
          <w:tcPr>
            <w:tcW w:w="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284,572</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278,002</w:t>
            </w:r>
          </w:p>
        </w:tc>
      </w:tr>
      <w:tr>
        <w:trPr>
          <w:trHeight w:val="216"/>
        </w:trPr>
        <w:tc>
          <w:tcPr>
            <w:tcW w:w="5360" w:type="dxa"/>
            <w:vAlign w:val="bottom"/>
            <w:gridSpan w:val="4"/>
          </w:tcPr>
          <w:p>
            <w:pPr>
              <w:spacing w:after="0"/>
              <w:rPr>
                <w:sz w:val="20"/>
                <w:szCs w:val="20"/>
                <w:color w:val="auto"/>
              </w:rPr>
            </w:pPr>
            <w:r>
              <w:rPr>
                <w:rFonts w:ascii="Arial" w:cs="Arial" w:eastAsia="Arial" w:hAnsi="Arial"/>
                <w:sz w:val="18"/>
                <w:szCs w:val="18"/>
                <w:color w:val="auto"/>
              </w:rPr>
              <w:t>DUE FROM CUSTOMERS ON ACCEPTANCES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29,617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36,068</w:t>
            </w:r>
          </w:p>
        </w:tc>
        <w:tc>
          <w:tcPr>
            <w:tcW w:w="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37,939</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43,078</w:t>
            </w:r>
          </w:p>
        </w:tc>
      </w:tr>
      <w:tr>
        <w:trPr>
          <w:trHeight w:val="222"/>
        </w:trPr>
        <w:tc>
          <w:tcPr>
            <w:tcW w:w="5360" w:type="dxa"/>
            <w:vAlign w:val="bottom"/>
            <w:gridSpan w:val="4"/>
          </w:tcPr>
          <w:p>
            <w:pPr>
              <w:spacing w:after="0"/>
              <w:rPr>
                <w:sz w:val="20"/>
                <w:szCs w:val="20"/>
                <w:color w:val="auto"/>
              </w:rPr>
            </w:pPr>
            <w:r>
              <w:rPr>
                <w:rFonts w:ascii="Arial" w:cs="Arial" w:eastAsia="Arial" w:hAnsi="Arial"/>
                <w:sz w:val="18"/>
                <w:szCs w:val="18"/>
                <w:color w:val="auto"/>
              </w:rPr>
              <w:t>OTHER ASSETS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354,004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376,660</w:t>
            </w:r>
          </w:p>
        </w:tc>
        <w:tc>
          <w:tcPr>
            <w:tcW w:w="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437,110</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383,210</w:t>
            </w: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4860" w:type="dxa"/>
            <w:vAlign w:val="bottom"/>
            <w:gridSpan w:val="3"/>
          </w:tcPr>
          <w:p>
            <w:pPr>
              <w:jc w:val="center"/>
              <w:ind w:right="2340"/>
              <w:spacing w:after="0"/>
              <w:rPr>
                <w:sz w:val="20"/>
                <w:szCs w:val="20"/>
                <w:color w:val="auto"/>
              </w:rPr>
            </w:pPr>
            <w:r>
              <w:rPr>
                <w:rFonts w:ascii="Arial" w:cs="Arial" w:eastAsia="Arial" w:hAnsi="Arial"/>
                <w:sz w:val="18"/>
                <w:szCs w:val="18"/>
                <w:b w:val="1"/>
                <w:bCs w:val="1"/>
                <w:color w:val="auto"/>
                <w:w w:val="93"/>
              </w:rPr>
              <w:t>TOTAL ASSETS</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4"/>
              </w:rPr>
              <w:t>7,291,358</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8,619,719</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8,577,003</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8,234,131</w:t>
            </w:r>
          </w:p>
        </w:tc>
      </w:tr>
      <w:tr>
        <w:trPr>
          <w:trHeight w:val="110"/>
        </w:trPr>
        <w:tc>
          <w:tcPr>
            <w:tcW w:w="17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r>
      <w:tr>
        <w:trPr>
          <w:trHeight w:val="316"/>
        </w:trPr>
        <w:tc>
          <w:tcPr>
            <w:tcW w:w="658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21"/>
        </w:trPr>
        <w:tc>
          <w:tcPr>
            <w:tcW w:w="6580" w:type="dxa"/>
            <w:vAlign w:val="bottom"/>
            <w:gridSpan w:val="4"/>
          </w:tcPr>
          <w:p>
            <w:pPr>
              <w:spacing w:after="0"/>
              <w:rPr>
                <w:sz w:val="20"/>
                <w:szCs w:val="20"/>
                <w:color w:val="auto"/>
              </w:rPr>
            </w:pPr>
            <w:r>
              <w:rPr>
                <w:rFonts w:ascii="Arial" w:cs="Arial" w:eastAsia="Arial" w:hAnsi="Arial"/>
                <w:sz w:val="18"/>
                <w:szCs w:val="18"/>
                <w:color w:val="auto"/>
              </w:rPr>
              <w:t>DEPOSITS AND OBLIGATIONS: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8"/>
        </w:trPr>
        <w:tc>
          <w:tcPr>
            <w:tcW w:w="2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Non-interest bearing</w:t>
            </w:r>
          </w:p>
        </w:tc>
        <w:tc>
          <w:tcPr>
            <w:tcW w:w="4080" w:type="dxa"/>
            <w:vAlign w:val="bottom"/>
            <w:gridSpan w:val="2"/>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686,970</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822,883</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867,013</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812,058</w:t>
            </w:r>
          </w:p>
        </w:tc>
      </w:tr>
      <w:tr>
        <w:trPr>
          <w:trHeight w:val="184"/>
        </w:trPr>
        <w:tc>
          <w:tcPr>
            <w:tcW w:w="6580" w:type="dxa"/>
            <w:vAlign w:val="bottom"/>
            <w:gridSpan w:val="4"/>
          </w:tcPr>
          <w:p>
            <w:pPr>
              <w:spacing w:after="0" w:line="184" w:lineRule="exact"/>
              <w:rPr>
                <w:sz w:val="20"/>
                <w:szCs w:val="20"/>
                <w:color w:val="auto"/>
              </w:rPr>
            </w:pPr>
            <w:r>
              <w:rPr>
                <w:rFonts w:ascii="Arial" w:cs="Arial" w:eastAsia="Arial" w:hAnsi="Arial"/>
                <w:sz w:val="18"/>
                <w:szCs w:val="18"/>
                <w:color w:val="auto"/>
              </w:rPr>
              <w:t>Interest bearing</w:t>
            </w:r>
          </w:p>
        </w:tc>
        <w:tc>
          <w:tcPr>
            <w:tcW w:w="740" w:type="dxa"/>
            <w:vAlign w:val="bottom"/>
            <w:gridSpan w:val="2"/>
          </w:tcPr>
          <w:p>
            <w:pPr>
              <w:jc w:val="right"/>
              <w:ind w:right="40"/>
              <w:spacing w:after="0" w:line="184" w:lineRule="exact"/>
              <w:rPr>
                <w:sz w:val="20"/>
                <w:szCs w:val="20"/>
                <w:color w:val="auto"/>
              </w:rPr>
            </w:pPr>
            <w:r>
              <w:rPr>
                <w:rFonts w:ascii="Arial" w:cs="Arial" w:eastAsia="Arial" w:hAnsi="Arial"/>
                <w:sz w:val="18"/>
                <w:szCs w:val="18"/>
                <w:color w:val="auto"/>
                <w:w w:val="84"/>
              </w:rPr>
              <w:t>4,827,277</w:t>
            </w:r>
          </w:p>
        </w:tc>
        <w:tc>
          <w:tcPr>
            <w:tcW w:w="620" w:type="dxa"/>
            <w:vAlign w:val="bottom"/>
          </w:tcPr>
          <w:p>
            <w:pPr>
              <w:spacing w:after="0"/>
              <w:rPr>
                <w:sz w:val="15"/>
                <w:szCs w:val="15"/>
                <w:color w:val="auto"/>
              </w:rPr>
            </w:pPr>
          </w:p>
        </w:tc>
        <w:tc>
          <w:tcPr>
            <w:tcW w:w="760" w:type="dxa"/>
            <w:vAlign w:val="bottom"/>
            <w:gridSpan w:val="2"/>
          </w:tcPr>
          <w:p>
            <w:pPr>
              <w:jc w:val="right"/>
              <w:ind w:right="60"/>
              <w:spacing w:after="0" w:line="184" w:lineRule="exact"/>
              <w:rPr>
                <w:sz w:val="20"/>
                <w:szCs w:val="20"/>
                <w:color w:val="auto"/>
              </w:rPr>
            </w:pPr>
            <w:r>
              <w:rPr>
                <w:rFonts w:ascii="Arial" w:cs="Arial" w:eastAsia="Arial" w:hAnsi="Arial"/>
                <w:sz w:val="18"/>
                <w:szCs w:val="18"/>
                <w:color w:val="auto"/>
                <w:w w:val="84"/>
              </w:rPr>
              <w:t>5,933,819</w:t>
            </w:r>
          </w:p>
        </w:tc>
        <w:tc>
          <w:tcPr>
            <w:tcW w:w="600" w:type="dxa"/>
            <w:vAlign w:val="bottom"/>
          </w:tcPr>
          <w:p>
            <w:pPr>
              <w:spacing w:after="0"/>
              <w:rPr>
                <w:sz w:val="15"/>
                <w:szCs w:val="15"/>
                <w:color w:val="auto"/>
              </w:rPr>
            </w:pPr>
          </w:p>
        </w:tc>
        <w:tc>
          <w:tcPr>
            <w:tcW w:w="760" w:type="dxa"/>
            <w:vAlign w:val="bottom"/>
            <w:gridSpan w:val="2"/>
          </w:tcPr>
          <w:p>
            <w:pPr>
              <w:jc w:val="right"/>
              <w:ind w:right="40"/>
              <w:spacing w:after="0" w:line="184" w:lineRule="exact"/>
              <w:rPr>
                <w:sz w:val="20"/>
                <w:szCs w:val="20"/>
                <w:color w:val="auto"/>
              </w:rPr>
            </w:pPr>
            <w:r>
              <w:rPr>
                <w:rFonts w:ascii="Arial" w:cs="Arial" w:eastAsia="Arial" w:hAnsi="Arial"/>
                <w:sz w:val="18"/>
                <w:szCs w:val="18"/>
                <w:color w:val="auto"/>
                <w:w w:val="87"/>
              </w:rPr>
              <w:t>5,831,799</w:t>
            </w:r>
          </w:p>
        </w:tc>
        <w:tc>
          <w:tcPr>
            <w:tcW w:w="1360" w:type="dxa"/>
            <w:vAlign w:val="bottom"/>
            <w:gridSpan w:val="3"/>
          </w:tcPr>
          <w:p>
            <w:pPr>
              <w:jc w:val="right"/>
              <w:ind w:right="40"/>
              <w:spacing w:after="0" w:line="184" w:lineRule="exact"/>
              <w:rPr>
                <w:sz w:val="20"/>
                <w:szCs w:val="20"/>
                <w:color w:val="auto"/>
              </w:rPr>
            </w:pPr>
            <w:r>
              <w:rPr>
                <w:rFonts w:ascii="Arial" w:cs="Arial" w:eastAsia="Arial" w:hAnsi="Arial"/>
                <w:sz w:val="18"/>
                <w:szCs w:val="18"/>
                <w:color w:val="auto"/>
              </w:rPr>
              <w:t>5,540,923</w:t>
            </w:r>
          </w:p>
        </w:tc>
      </w:tr>
      <w:tr>
        <w:trPr>
          <w:trHeight w:val="20"/>
        </w:trPr>
        <w:tc>
          <w:tcPr>
            <w:tcW w:w="1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84"/>
              </w:rPr>
              <w:t>5,514,247</w:t>
            </w:r>
          </w:p>
        </w:tc>
        <w:tc>
          <w:tcPr>
            <w:tcW w:w="620" w:type="dxa"/>
            <w:vAlign w:val="bottom"/>
          </w:tcPr>
          <w:p>
            <w:pPr>
              <w:spacing w:after="0"/>
              <w:rPr>
                <w:sz w:val="17"/>
                <w:szCs w:val="17"/>
                <w:color w:val="auto"/>
              </w:rPr>
            </w:pPr>
          </w:p>
        </w:tc>
        <w:tc>
          <w:tcPr>
            <w:tcW w:w="7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w w:val="84"/>
              </w:rPr>
              <w:t>6,756,702</w:t>
            </w:r>
          </w:p>
        </w:tc>
        <w:tc>
          <w:tcPr>
            <w:tcW w:w="600" w:type="dxa"/>
            <w:vAlign w:val="bottom"/>
          </w:tcPr>
          <w:p>
            <w:pPr>
              <w:spacing w:after="0"/>
              <w:rPr>
                <w:sz w:val="17"/>
                <w:szCs w:val="17"/>
                <w:color w:val="auto"/>
              </w:rPr>
            </w:pPr>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87"/>
              </w:rPr>
              <w:t>6,698,812</w:t>
            </w:r>
          </w:p>
        </w:tc>
        <w:tc>
          <w:tcPr>
            <w:tcW w:w="13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6,352,981</w:t>
            </w:r>
          </w:p>
        </w:tc>
      </w:tr>
      <w:tr>
        <w:trPr>
          <w:trHeight w:val="471"/>
        </w:trPr>
        <w:tc>
          <w:tcPr>
            <w:tcW w:w="6580" w:type="dxa"/>
            <w:vAlign w:val="bottom"/>
            <w:gridSpan w:val="4"/>
          </w:tcPr>
          <w:p>
            <w:pPr>
              <w:spacing w:after="0"/>
              <w:rPr>
                <w:sz w:val="20"/>
                <w:szCs w:val="20"/>
                <w:color w:val="auto"/>
              </w:rPr>
            </w:pPr>
            <w:r>
              <w:rPr>
                <w:rFonts w:ascii="Arial" w:cs="Arial" w:eastAsia="Arial" w:hAnsi="Arial"/>
                <w:sz w:val="18"/>
                <w:szCs w:val="18"/>
                <w:color w:val="auto"/>
              </w:rPr>
              <w:t>DUE TO BANKS AND CORRESPONDENTS</w:t>
            </w:r>
          </w:p>
        </w:tc>
        <w:tc>
          <w:tcPr>
            <w:tcW w:w="7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302,846</w:t>
            </w:r>
          </w:p>
        </w:tc>
        <w:tc>
          <w:tcPr>
            <w:tcW w:w="620" w:type="dxa"/>
            <w:vAlign w:val="bottom"/>
          </w:tcPr>
          <w:p>
            <w:pPr>
              <w:spacing w:after="0"/>
              <w:rPr>
                <w:sz w:val="24"/>
                <w:szCs w:val="24"/>
                <w:color w:val="auto"/>
              </w:rPr>
            </w:pPr>
          </w:p>
        </w:tc>
        <w:tc>
          <w:tcPr>
            <w:tcW w:w="7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309,698</w:t>
            </w:r>
          </w:p>
        </w:tc>
        <w:tc>
          <w:tcPr>
            <w:tcW w:w="600" w:type="dxa"/>
            <w:vAlign w:val="bottom"/>
          </w:tcPr>
          <w:p>
            <w:pPr>
              <w:spacing w:after="0"/>
              <w:rPr>
                <w:sz w:val="24"/>
                <w:szCs w:val="24"/>
                <w:color w:val="auto"/>
              </w:rPr>
            </w:pPr>
          </w:p>
        </w:tc>
        <w:tc>
          <w:tcPr>
            <w:tcW w:w="7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293,475</w:t>
            </w:r>
          </w:p>
        </w:tc>
        <w:tc>
          <w:tcPr>
            <w:tcW w:w="620" w:type="dxa"/>
            <w:vAlign w:val="bottom"/>
          </w:tcPr>
          <w:p>
            <w:pPr>
              <w:spacing w:after="0"/>
              <w:rPr>
                <w:sz w:val="24"/>
                <w:szCs w:val="24"/>
                <w:color w:val="auto"/>
              </w:rPr>
            </w:pPr>
          </w:p>
        </w:tc>
        <w:tc>
          <w:tcPr>
            <w:tcW w:w="7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286,857</w:t>
            </w:r>
          </w:p>
        </w:tc>
      </w:tr>
      <w:tr>
        <w:trPr>
          <w:trHeight w:val="216"/>
        </w:trPr>
        <w:tc>
          <w:tcPr>
            <w:tcW w:w="6580" w:type="dxa"/>
            <w:vAlign w:val="bottom"/>
            <w:gridSpan w:val="4"/>
          </w:tcPr>
          <w:p>
            <w:pPr>
              <w:spacing w:after="0"/>
              <w:rPr>
                <w:sz w:val="20"/>
                <w:szCs w:val="20"/>
                <w:color w:val="auto"/>
              </w:rPr>
            </w:pPr>
            <w:r>
              <w:rPr>
                <w:rFonts w:ascii="Arial" w:cs="Arial" w:eastAsia="Arial" w:hAnsi="Arial"/>
                <w:sz w:val="18"/>
                <w:szCs w:val="18"/>
                <w:color w:val="auto"/>
              </w:rPr>
              <w:t>ACCEPTANCES OUTSTANDING</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29,617</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36,068</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37,939</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43,078</w:t>
            </w:r>
          </w:p>
        </w:tc>
      </w:tr>
      <w:tr>
        <w:trPr>
          <w:trHeight w:val="216"/>
        </w:trPr>
        <w:tc>
          <w:tcPr>
            <w:tcW w:w="6580" w:type="dxa"/>
            <w:vAlign w:val="bottom"/>
            <w:gridSpan w:val="4"/>
          </w:tcPr>
          <w:p>
            <w:pPr>
              <w:spacing w:after="0"/>
              <w:rPr>
                <w:sz w:val="20"/>
                <w:szCs w:val="20"/>
                <w:color w:val="auto"/>
              </w:rPr>
            </w:pPr>
            <w:r>
              <w:rPr>
                <w:rFonts w:ascii="Arial" w:cs="Arial" w:eastAsia="Arial" w:hAnsi="Arial"/>
                <w:sz w:val="18"/>
                <w:szCs w:val="18"/>
                <w:color w:val="auto"/>
              </w:rPr>
              <w:t>RESERVE FOR PROPERTY AND CASUALTY CLAIMS</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208,188</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224,754</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246,637</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274,596</w:t>
            </w:r>
          </w:p>
        </w:tc>
      </w:tr>
      <w:tr>
        <w:trPr>
          <w:trHeight w:val="216"/>
        </w:trPr>
        <w:tc>
          <w:tcPr>
            <w:tcW w:w="6580" w:type="dxa"/>
            <w:vAlign w:val="bottom"/>
            <w:gridSpan w:val="4"/>
          </w:tcPr>
          <w:p>
            <w:pPr>
              <w:spacing w:after="0"/>
              <w:rPr>
                <w:sz w:val="20"/>
                <w:szCs w:val="20"/>
                <w:color w:val="auto"/>
              </w:rPr>
            </w:pPr>
            <w:r>
              <w:rPr>
                <w:rFonts w:ascii="Arial" w:cs="Arial" w:eastAsia="Arial" w:hAnsi="Arial"/>
                <w:sz w:val="18"/>
                <w:szCs w:val="18"/>
                <w:color w:val="auto"/>
              </w:rPr>
              <w:t>RESERVE FOR UNEARNED PREMIUMS</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47,808</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48,703</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49,388</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49,255</w:t>
            </w:r>
          </w:p>
        </w:tc>
      </w:tr>
      <w:tr>
        <w:trPr>
          <w:trHeight w:val="216"/>
        </w:trPr>
        <w:tc>
          <w:tcPr>
            <w:tcW w:w="6580" w:type="dxa"/>
            <w:vAlign w:val="bottom"/>
            <w:gridSpan w:val="4"/>
          </w:tcPr>
          <w:p>
            <w:pPr>
              <w:spacing w:after="0"/>
              <w:rPr>
                <w:sz w:val="20"/>
                <w:szCs w:val="20"/>
                <w:color w:val="auto"/>
              </w:rPr>
            </w:pPr>
            <w:r>
              <w:rPr>
                <w:rFonts w:ascii="Arial" w:cs="Arial" w:eastAsia="Arial" w:hAnsi="Arial"/>
                <w:sz w:val="18"/>
                <w:szCs w:val="18"/>
                <w:color w:val="auto"/>
              </w:rPr>
              <w:t>REINSURANCE PAYABLE</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25,585</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23,253</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18,761</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23,815</w:t>
            </w:r>
          </w:p>
        </w:tc>
      </w:tr>
      <w:tr>
        <w:trPr>
          <w:trHeight w:val="216"/>
        </w:trPr>
        <w:tc>
          <w:tcPr>
            <w:tcW w:w="6580" w:type="dxa"/>
            <w:vAlign w:val="bottom"/>
            <w:gridSpan w:val="4"/>
          </w:tcPr>
          <w:p>
            <w:pPr>
              <w:spacing w:after="0"/>
              <w:rPr>
                <w:sz w:val="20"/>
                <w:szCs w:val="20"/>
                <w:color w:val="auto"/>
              </w:rPr>
            </w:pPr>
            <w:r>
              <w:rPr>
                <w:rFonts w:ascii="Arial" w:cs="Arial" w:eastAsia="Arial" w:hAnsi="Arial"/>
                <w:sz w:val="18"/>
                <w:szCs w:val="18"/>
                <w:color w:val="auto"/>
              </w:rPr>
              <w:t>OTHER LIABILITIES</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298,658</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332,000</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358,431</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281,172</w:t>
            </w:r>
          </w:p>
        </w:tc>
      </w:tr>
      <w:tr>
        <w:trPr>
          <w:trHeight w:val="222"/>
        </w:trPr>
        <w:tc>
          <w:tcPr>
            <w:tcW w:w="6580" w:type="dxa"/>
            <w:vAlign w:val="bottom"/>
            <w:gridSpan w:val="4"/>
          </w:tcPr>
          <w:p>
            <w:pPr>
              <w:spacing w:after="0"/>
              <w:rPr>
                <w:sz w:val="20"/>
                <w:szCs w:val="20"/>
                <w:color w:val="auto"/>
              </w:rPr>
            </w:pPr>
            <w:r>
              <w:rPr>
                <w:rFonts w:ascii="Arial" w:cs="Arial" w:eastAsia="Arial" w:hAnsi="Arial"/>
                <w:sz w:val="18"/>
                <w:szCs w:val="18"/>
                <w:color w:val="auto"/>
              </w:rPr>
              <w:t>MINORITY INTEREST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63,031</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64,742</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65,161</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66,866</w:t>
            </w:r>
          </w:p>
        </w:tc>
      </w:tr>
      <w:tr>
        <w:trPr>
          <w:trHeight w:val="459"/>
        </w:trPr>
        <w:tc>
          <w:tcPr>
            <w:tcW w:w="1720" w:type="dxa"/>
            <w:vAlign w:val="bottom"/>
          </w:tcPr>
          <w:p>
            <w:pPr>
              <w:spacing w:after="0"/>
              <w:rPr>
                <w:sz w:val="24"/>
                <w:szCs w:val="24"/>
                <w:color w:val="auto"/>
              </w:rPr>
            </w:pPr>
          </w:p>
        </w:tc>
        <w:tc>
          <w:tcPr>
            <w:tcW w:w="4860" w:type="dxa"/>
            <w:vAlign w:val="bottom"/>
            <w:gridSpan w:val="3"/>
          </w:tcPr>
          <w:p>
            <w:pPr>
              <w:jc w:val="center"/>
              <w:ind w:right="2340"/>
              <w:spacing w:after="0"/>
              <w:rPr>
                <w:sz w:val="20"/>
                <w:szCs w:val="20"/>
                <w:color w:val="auto"/>
              </w:rPr>
            </w:pPr>
            <w:r>
              <w:rPr>
                <w:rFonts w:ascii="Arial" w:cs="Arial" w:eastAsia="Arial" w:hAnsi="Arial"/>
                <w:sz w:val="18"/>
                <w:szCs w:val="18"/>
                <w:b w:val="1"/>
                <w:bCs w:val="1"/>
                <w:color w:val="auto"/>
              </w:rPr>
              <w:t>TOTAL LIABILITIES</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4"/>
              </w:rPr>
              <w:t>6,489,980</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7,795,920</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7,768,604</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7,378,620</w:t>
            </w:r>
          </w:p>
        </w:tc>
      </w:tr>
      <w:tr>
        <w:trPr>
          <w:trHeight w:val="421"/>
        </w:trPr>
        <w:tc>
          <w:tcPr>
            <w:tcW w:w="1720" w:type="dxa"/>
            <w:vAlign w:val="bottom"/>
          </w:tcPr>
          <w:p>
            <w:pPr>
              <w:spacing w:after="0"/>
              <w:rPr>
                <w:sz w:val="24"/>
                <w:szCs w:val="24"/>
                <w:color w:val="auto"/>
              </w:rPr>
            </w:pPr>
          </w:p>
        </w:tc>
        <w:tc>
          <w:tcPr>
            <w:tcW w:w="4860" w:type="dxa"/>
            <w:vAlign w:val="bottom"/>
            <w:gridSpan w:val="3"/>
          </w:tcPr>
          <w:p>
            <w:pPr>
              <w:jc w:val="center"/>
              <w:ind w:right="2360"/>
              <w:spacing w:after="0"/>
              <w:rPr>
                <w:sz w:val="20"/>
                <w:szCs w:val="20"/>
                <w:color w:val="auto"/>
              </w:rPr>
            </w:pPr>
            <w:r>
              <w:rPr>
                <w:rFonts w:ascii="Arial" w:cs="Arial" w:eastAsia="Arial" w:hAnsi="Arial"/>
                <w:sz w:val="18"/>
                <w:szCs w:val="18"/>
                <w:color w:val="auto"/>
                <w:w w:val="94"/>
              </w:rPr>
              <w:t>NET SHAREHOLDERS' EQUITY</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801,378</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823,799</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808,399</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855,511</w:t>
            </w:r>
          </w:p>
        </w:tc>
      </w:tr>
      <w:tr>
        <w:trPr>
          <w:trHeight w:val="20"/>
        </w:trPr>
        <w:tc>
          <w:tcPr>
            <w:tcW w:w="1720" w:type="dxa"/>
            <w:vAlign w:val="bottom"/>
          </w:tcPr>
          <w:p>
            <w:pPr>
              <w:spacing w:after="0" w:line="20" w:lineRule="exact"/>
              <w:rPr>
                <w:sz w:val="1"/>
                <w:szCs w:val="1"/>
                <w:color w:val="auto"/>
              </w:rPr>
            </w:pPr>
          </w:p>
        </w:tc>
        <w:tc>
          <w:tcPr>
            <w:tcW w:w="2500" w:type="dxa"/>
            <w:vAlign w:val="bottom"/>
            <w:gridSpan w:val="2"/>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478"/>
        </w:trPr>
        <w:tc>
          <w:tcPr>
            <w:tcW w:w="658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99"/>
              </w:rPr>
              <w:t>TOTAL LIABILITIES and NET SHAREHOLDERS' EQUITY</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4"/>
              </w:rPr>
              <w:t>7,291,358</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8,619,719</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8,577,003</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8,234,131</w:t>
            </w:r>
          </w:p>
        </w:tc>
      </w:tr>
      <w:tr>
        <w:trPr>
          <w:trHeight w:val="459"/>
        </w:trPr>
        <w:tc>
          <w:tcPr>
            <w:tcW w:w="6580" w:type="dxa"/>
            <w:vAlign w:val="bottom"/>
            <w:gridSpan w:val="4"/>
          </w:tcPr>
          <w:p>
            <w:pPr>
              <w:spacing w:after="0"/>
              <w:rPr>
                <w:sz w:val="20"/>
                <w:szCs w:val="20"/>
                <w:color w:val="auto"/>
              </w:rPr>
            </w:pPr>
            <w:r>
              <w:rPr>
                <w:rFonts w:ascii="Arial" w:cs="Arial" w:eastAsia="Arial" w:hAnsi="Arial"/>
                <w:sz w:val="18"/>
                <w:szCs w:val="18"/>
                <w:b w:val="1"/>
                <w:bCs w:val="1"/>
                <w:color w:val="auto"/>
              </w:rPr>
              <w:t>CONTINGENT CREDITS</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4"/>
              </w:rPr>
              <w:t>1,282,967</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1,637,050</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1,508,022</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1,497,043</w:t>
            </w:r>
          </w:p>
        </w:tc>
      </w:tr>
      <w:tr>
        <w:trPr>
          <w:trHeight w:val="110"/>
        </w:trPr>
        <w:tc>
          <w:tcPr>
            <w:tcW w:w="17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3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8"/>
          </w:tcPr>
          <w:p>
            <w:pPr>
              <w:ind w:left="180"/>
              <w:spacing w:after="0"/>
              <w:rPr>
                <w:sz w:val="20"/>
                <w:szCs w:val="20"/>
                <w:color w:val="auto"/>
              </w:rPr>
            </w:pPr>
            <w:r>
              <w:rPr>
                <w:rFonts w:ascii="Arial" w:cs="Arial" w:eastAsia="Arial" w:hAnsi="Arial"/>
                <w:sz w:val="18"/>
                <w:szCs w:val="18"/>
                <w:b w:val="1"/>
                <w:bCs w:val="1"/>
                <w:color w:val="auto"/>
                <w:w w:val="88"/>
              </w:rPr>
              <w:t>Three months ended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9"/>
          </w:tcPr>
          <w:p>
            <w:pPr>
              <w:jc w:val="right"/>
              <w:ind w:right="480"/>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2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20" w:type="dxa"/>
            <w:vAlign w:val="bottom"/>
            <w:gridSpan w:val="4"/>
          </w:tcPr>
          <w:p>
            <w:pPr>
              <w:jc w:val="right"/>
              <w:ind w:right="52"/>
              <w:spacing w:after="0"/>
              <w:rPr>
                <w:sz w:val="20"/>
                <w:szCs w:val="20"/>
                <w:color w:val="auto"/>
              </w:rPr>
            </w:pPr>
            <w:r>
              <w:rPr>
                <w:rFonts w:ascii="Arial" w:cs="Arial" w:eastAsia="Arial" w:hAnsi="Arial"/>
                <w:sz w:val="18"/>
                <w:szCs w:val="18"/>
                <w:b w:val="1"/>
                <w:bCs w:val="1"/>
                <w:color w:val="auto"/>
              </w:rPr>
              <w:t>30.06.02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31.03.03</w:t>
            </w:r>
          </w:p>
        </w:tc>
        <w:tc>
          <w:tcPr>
            <w:tcW w:w="220" w:type="dxa"/>
            <w:vAlign w:val="bottom"/>
          </w:tcPr>
          <w:p>
            <w:pPr>
              <w:spacing w:after="0"/>
              <w:rPr>
                <w:sz w:val="19"/>
                <w:szCs w:val="19"/>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1"/>
              </w:rPr>
              <w:t>30.06.03</w:t>
            </w:r>
          </w:p>
        </w:tc>
        <w:tc>
          <w:tcPr>
            <w:tcW w:w="12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30.06.02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30.06.03</w:t>
            </w:r>
          </w:p>
        </w:tc>
      </w:tr>
      <w:tr>
        <w:trPr>
          <w:trHeight w:val="110"/>
        </w:trPr>
        <w:tc>
          <w:tcPr>
            <w:tcW w:w="21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r>
      <w:tr>
        <w:trPr>
          <w:trHeight w:val="309"/>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INTEREST INCOME</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Interest on loans</w:t>
            </w:r>
          </w:p>
        </w:tc>
        <w:tc>
          <w:tcPr>
            <w:tcW w:w="2040" w:type="dxa"/>
            <w:vAlign w:val="bottom"/>
            <w:gridSpan w:val="5"/>
          </w:tcPr>
          <w:p>
            <w:pPr>
              <w:jc w:val="right"/>
              <w:spacing w:after="0"/>
              <w:rPr>
                <w:sz w:val="20"/>
                <w:szCs w:val="20"/>
                <w:color w:val="auto"/>
              </w:rPr>
            </w:pPr>
            <w:r>
              <w:rPr>
                <w:rFonts w:ascii="Arial" w:cs="Arial" w:eastAsia="Arial" w:hAnsi="Arial"/>
                <w:sz w:val="18"/>
                <w:szCs w:val="18"/>
                <w:color w:val="auto"/>
              </w:rPr>
              <w:t>108,242</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113,349</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109,839</w:t>
            </w:r>
          </w:p>
        </w:tc>
        <w:tc>
          <w:tcPr>
            <w:tcW w:w="120" w:type="dxa"/>
            <w:vAlign w:val="bottom"/>
          </w:tcPr>
          <w:p>
            <w:pPr>
              <w:spacing w:after="0"/>
              <w:rPr>
                <w:sz w:val="18"/>
                <w:szCs w:val="18"/>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220,036</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223,188</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Interest and dividends on investments:</w:t>
            </w:r>
          </w:p>
        </w:tc>
        <w:tc>
          <w:tcPr>
            <w:tcW w:w="2040" w:type="dxa"/>
            <w:vAlign w:val="bottom"/>
            <w:gridSpan w:val="5"/>
          </w:tcPr>
          <w:p>
            <w:pPr>
              <w:jc w:val="right"/>
              <w:ind w:right="40"/>
              <w:spacing w:after="0"/>
              <w:rPr>
                <w:sz w:val="20"/>
                <w:szCs w:val="20"/>
                <w:color w:val="auto"/>
              </w:rPr>
            </w:pPr>
            <w:r>
              <w:rPr>
                <w:rFonts w:ascii="Arial" w:cs="Arial" w:eastAsia="Arial" w:hAnsi="Arial"/>
                <w:sz w:val="18"/>
                <w:szCs w:val="18"/>
                <w:color w:val="auto"/>
              </w:rPr>
              <w:t>798</w:t>
            </w:r>
          </w:p>
        </w:tc>
        <w:tc>
          <w:tcPr>
            <w:tcW w:w="140" w:type="dxa"/>
            <w:vAlign w:val="bottom"/>
          </w:tcPr>
          <w:p>
            <w:pPr>
              <w:spacing w:after="0"/>
              <w:rPr>
                <w:sz w:val="18"/>
                <w:szCs w:val="18"/>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8"/>
                <w:szCs w:val="18"/>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1,499</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852</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Interest on deposits with banks</w:t>
            </w:r>
          </w:p>
        </w:tc>
        <w:tc>
          <w:tcPr>
            <w:tcW w:w="2040" w:type="dxa"/>
            <w:vAlign w:val="bottom"/>
            <w:gridSpan w:val="5"/>
          </w:tcPr>
          <w:p>
            <w:pPr>
              <w:jc w:val="right"/>
              <w:spacing w:after="0"/>
              <w:rPr>
                <w:sz w:val="20"/>
                <w:szCs w:val="20"/>
                <w:color w:val="auto"/>
              </w:rPr>
            </w:pPr>
            <w:r>
              <w:rPr>
                <w:rFonts w:ascii="Arial" w:cs="Arial" w:eastAsia="Arial" w:hAnsi="Arial"/>
                <w:sz w:val="18"/>
                <w:szCs w:val="18"/>
                <w:color w:val="auto"/>
              </w:rPr>
              <w:t>8,155</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6,146</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4,508</w:t>
            </w:r>
          </w:p>
        </w:tc>
        <w:tc>
          <w:tcPr>
            <w:tcW w:w="120" w:type="dxa"/>
            <w:vAlign w:val="bottom"/>
          </w:tcPr>
          <w:p>
            <w:pPr>
              <w:spacing w:after="0"/>
              <w:rPr>
                <w:sz w:val="18"/>
                <w:szCs w:val="18"/>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15,866</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10,654</w:t>
            </w:r>
          </w:p>
        </w:tc>
      </w:tr>
      <w:tr>
        <w:trPr>
          <w:trHeight w:val="184"/>
        </w:trPr>
        <w:tc>
          <w:tcPr>
            <w:tcW w:w="4820" w:type="dxa"/>
            <w:vAlign w:val="bottom"/>
            <w:gridSpan w:val="3"/>
          </w:tcPr>
          <w:p>
            <w:pPr>
              <w:spacing w:after="0" w:line="184" w:lineRule="exact"/>
              <w:rPr>
                <w:sz w:val="20"/>
                <w:szCs w:val="20"/>
                <w:color w:val="auto"/>
              </w:rPr>
            </w:pPr>
            <w:r>
              <w:rPr>
                <w:rFonts w:ascii="Arial" w:cs="Arial" w:eastAsia="Arial" w:hAnsi="Arial"/>
                <w:sz w:val="18"/>
                <w:szCs w:val="18"/>
                <w:color w:val="auto"/>
              </w:rPr>
              <w:t>Interest on trading securities</w:t>
            </w:r>
          </w:p>
        </w:tc>
        <w:tc>
          <w:tcPr>
            <w:tcW w:w="2180" w:type="dxa"/>
            <w:vAlign w:val="bottom"/>
            <w:gridSpan w:val="6"/>
          </w:tcPr>
          <w:p>
            <w:pPr>
              <w:jc w:val="right"/>
              <w:ind w:right="140"/>
              <w:spacing w:after="0" w:line="184" w:lineRule="exact"/>
              <w:rPr>
                <w:sz w:val="20"/>
                <w:szCs w:val="20"/>
                <w:color w:val="auto"/>
              </w:rPr>
            </w:pPr>
            <w:r>
              <w:rPr>
                <w:rFonts w:ascii="Arial" w:cs="Arial" w:eastAsia="Arial" w:hAnsi="Arial"/>
                <w:sz w:val="18"/>
                <w:szCs w:val="18"/>
                <w:color w:val="auto"/>
              </w:rPr>
              <w:t>13,119</w:t>
            </w:r>
          </w:p>
        </w:tc>
        <w:tc>
          <w:tcPr>
            <w:tcW w:w="102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12,804</w:t>
            </w:r>
          </w:p>
        </w:tc>
        <w:tc>
          <w:tcPr>
            <w:tcW w:w="220" w:type="dxa"/>
            <w:vAlign w:val="bottom"/>
          </w:tcPr>
          <w:p>
            <w:pPr>
              <w:spacing w:after="0"/>
              <w:rPr>
                <w:sz w:val="15"/>
                <w:szCs w:val="15"/>
                <w:color w:val="auto"/>
              </w:rPr>
            </w:pPr>
          </w:p>
        </w:tc>
        <w:tc>
          <w:tcPr>
            <w:tcW w:w="92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14,785</w:t>
            </w:r>
          </w:p>
        </w:tc>
        <w:tc>
          <w:tcPr>
            <w:tcW w:w="120" w:type="dxa"/>
            <w:vAlign w:val="bottom"/>
          </w:tcPr>
          <w:p>
            <w:pPr>
              <w:spacing w:after="0"/>
              <w:rPr>
                <w:sz w:val="15"/>
                <w:szCs w:val="15"/>
                <w:color w:val="auto"/>
              </w:rPr>
            </w:pPr>
          </w:p>
        </w:tc>
        <w:tc>
          <w:tcPr>
            <w:tcW w:w="1140" w:type="dxa"/>
            <w:vAlign w:val="bottom"/>
            <w:gridSpan w:val="5"/>
          </w:tcPr>
          <w:p>
            <w:pPr>
              <w:jc w:val="right"/>
              <w:ind w:right="140"/>
              <w:spacing w:after="0" w:line="184" w:lineRule="exact"/>
              <w:rPr>
                <w:sz w:val="20"/>
                <w:szCs w:val="20"/>
                <w:color w:val="auto"/>
              </w:rPr>
            </w:pPr>
            <w:r>
              <w:rPr>
                <w:rFonts w:ascii="Arial" w:cs="Arial" w:eastAsia="Arial" w:hAnsi="Arial"/>
                <w:sz w:val="18"/>
                <w:szCs w:val="18"/>
                <w:color w:val="auto"/>
              </w:rPr>
              <w:t>25,240</w:t>
            </w:r>
          </w:p>
        </w:tc>
        <w:tc>
          <w:tcPr>
            <w:tcW w:w="100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27,589</w:t>
            </w:r>
          </w:p>
        </w:tc>
      </w:tr>
      <w:tr>
        <w:trPr>
          <w:trHeight w:val="20"/>
        </w:trPr>
        <w:tc>
          <w:tcPr>
            <w:tcW w:w="2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196"/>
        </w:trPr>
        <w:tc>
          <w:tcPr>
            <w:tcW w:w="4820" w:type="dxa"/>
            <w:vAlign w:val="bottom"/>
            <w:gridSpan w:val="3"/>
          </w:tcPr>
          <w:p>
            <w:pPr>
              <w:jc w:val="center"/>
              <w:ind w:left="832"/>
              <w:spacing w:after="0" w:line="196" w:lineRule="exact"/>
              <w:rPr>
                <w:sz w:val="20"/>
                <w:szCs w:val="20"/>
                <w:color w:val="auto"/>
              </w:rPr>
            </w:pPr>
            <w:r>
              <w:rPr>
                <w:rFonts w:ascii="Arial" w:cs="Arial" w:eastAsia="Arial" w:hAnsi="Arial"/>
                <w:sz w:val="18"/>
                <w:szCs w:val="18"/>
                <w:color w:val="auto"/>
                <w:w w:val="88"/>
              </w:rPr>
              <w:t>Total Interest Income</w:t>
            </w:r>
          </w:p>
        </w:tc>
        <w:tc>
          <w:tcPr>
            <w:tcW w:w="2040" w:type="dxa"/>
            <w:vAlign w:val="bottom"/>
            <w:gridSpan w:val="5"/>
          </w:tcPr>
          <w:p>
            <w:pPr>
              <w:jc w:val="right"/>
              <w:spacing w:after="0" w:line="196" w:lineRule="exact"/>
              <w:rPr>
                <w:sz w:val="20"/>
                <w:szCs w:val="20"/>
                <w:color w:val="auto"/>
              </w:rPr>
            </w:pPr>
            <w:r>
              <w:rPr>
                <w:rFonts w:ascii="Arial" w:cs="Arial" w:eastAsia="Arial" w:hAnsi="Arial"/>
                <w:sz w:val="18"/>
                <w:szCs w:val="18"/>
                <w:color w:val="auto"/>
              </w:rPr>
              <w:t>130,314</w:t>
            </w:r>
          </w:p>
        </w:tc>
        <w:tc>
          <w:tcPr>
            <w:tcW w:w="140" w:type="dxa"/>
            <w:vAlign w:val="bottom"/>
          </w:tcPr>
          <w:p>
            <w:pPr>
              <w:spacing w:after="0"/>
              <w:rPr>
                <w:sz w:val="17"/>
                <w:szCs w:val="17"/>
                <w:color w:val="auto"/>
              </w:rPr>
            </w:pPr>
          </w:p>
        </w:tc>
        <w:tc>
          <w:tcPr>
            <w:tcW w:w="10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132,306</w:t>
            </w:r>
          </w:p>
        </w:tc>
        <w:tc>
          <w:tcPr>
            <w:tcW w:w="220" w:type="dxa"/>
            <w:vAlign w:val="bottom"/>
          </w:tcPr>
          <w:p>
            <w:pPr>
              <w:spacing w:after="0"/>
              <w:rPr>
                <w:sz w:val="17"/>
                <w:szCs w:val="17"/>
                <w:color w:val="auto"/>
              </w:rPr>
            </w:pPr>
          </w:p>
        </w:tc>
        <w:tc>
          <w:tcPr>
            <w:tcW w:w="9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129,977</w:t>
            </w:r>
          </w:p>
        </w:tc>
        <w:tc>
          <w:tcPr>
            <w:tcW w:w="120" w:type="dxa"/>
            <w:vAlign w:val="bottom"/>
          </w:tcPr>
          <w:p>
            <w:pPr>
              <w:spacing w:after="0"/>
              <w:rPr>
                <w:sz w:val="17"/>
                <w:szCs w:val="17"/>
                <w:color w:val="auto"/>
              </w:rPr>
            </w:pPr>
          </w:p>
        </w:tc>
        <w:tc>
          <w:tcPr>
            <w:tcW w:w="1140" w:type="dxa"/>
            <w:vAlign w:val="bottom"/>
            <w:gridSpan w:val="5"/>
          </w:tcPr>
          <w:p>
            <w:pPr>
              <w:jc w:val="right"/>
              <w:ind w:right="140"/>
              <w:spacing w:after="0" w:line="196" w:lineRule="exact"/>
              <w:rPr>
                <w:sz w:val="20"/>
                <w:szCs w:val="20"/>
                <w:color w:val="auto"/>
              </w:rPr>
            </w:pPr>
            <w:r>
              <w:rPr>
                <w:rFonts w:ascii="Arial" w:cs="Arial" w:eastAsia="Arial" w:hAnsi="Arial"/>
                <w:sz w:val="18"/>
                <w:szCs w:val="18"/>
                <w:color w:val="auto"/>
              </w:rPr>
              <w:t>262,641</w:t>
            </w:r>
          </w:p>
        </w:tc>
        <w:tc>
          <w:tcPr>
            <w:tcW w:w="10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262,283</w:t>
            </w:r>
          </w:p>
        </w:tc>
      </w:tr>
      <w:tr>
        <w:trPr>
          <w:trHeight w:val="471"/>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1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Interest on deposits</w:t>
            </w:r>
          </w:p>
        </w:tc>
        <w:tc>
          <w:tcPr>
            <w:tcW w:w="2040" w:type="dxa"/>
            <w:vAlign w:val="bottom"/>
            <w:gridSpan w:val="5"/>
          </w:tcPr>
          <w:p>
            <w:pPr>
              <w:jc w:val="right"/>
              <w:spacing w:after="0"/>
              <w:rPr>
                <w:sz w:val="20"/>
                <w:szCs w:val="20"/>
                <w:color w:val="auto"/>
              </w:rPr>
            </w:pPr>
            <w:r>
              <w:rPr>
                <w:rFonts w:ascii="Arial" w:cs="Arial" w:eastAsia="Arial" w:hAnsi="Arial"/>
                <w:sz w:val="18"/>
                <w:szCs w:val="18"/>
                <w:color w:val="auto"/>
              </w:rPr>
              <w:t>30,051</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25,612</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42,334</w:t>
            </w:r>
          </w:p>
        </w:tc>
        <w:tc>
          <w:tcPr>
            <w:tcW w:w="120" w:type="dxa"/>
            <w:vAlign w:val="bottom"/>
          </w:tcPr>
          <w:p>
            <w:pPr>
              <w:spacing w:after="0"/>
              <w:rPr>
                <w:sz w:val="18"/>
                <w:szCs w:val="18"/>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61,302</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67,946</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Interest on borrowed funds</w:t>
            </w:r>
          </w:p>
        </w:tc>
        <w:tc>
          <w:tcPr>
            <w:tcW w:w="2040" w:type="dxa"/>
            <w:vAlign w:val="bottom"/>
            <w:gridSpan w:val="5"/>
          </w:tcPr>
          <w:p>
            <w:pPr>
              <w:jc w:val="right"/>
              <w:spacing w:after="0"/>
              <w:rPr>
                <w:sz w:val="20"/>
                <w:szCs w:val="20"/>
                <w:color w:val="auto"/>
              </w:rPr>
            </w:pPr>
            <w:r>
              <w:rPr>
                <w:rFonts w:ascii="Arial" w:cs="Arial" w:eastAsia="Arial" w:hAnsi="Arial"/>
                <w:sz w:val="18"/>
                <w:szCs w:val="18"/>
                <w:color w:val="auto"/>
              </w:rPr>
              <w:t>6,545</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3,658</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3,934</w:t>
            </w:r>
          </w:p>
        </w:tc>
        <w:tc>
          <w:tcPr>
            <w:tcW w:w="120" w:type="dxa"/>
            <w:vAlign w:val="bottom"/>
          </w:tcPr>
          <w:p>
            <w:pPr>
              <w:spacing w:after="0"/>
              <w:rPr>
                <w:sz w:val="18"/>
                <w:szCs w:val="18"/>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14,685</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7,592</w:t>
            </w:r>
          </w:p>
        </w:tc>
      </w:tr>
      <w:tr>
        <w:trPr>
          <w:trHeight w:val="184"/>
        </w:trPr>
        <w:tc>
          <w:tcPr>
            <w:tcW w:w="4820" w:type="dxa"/>
            <w:vAlign w:val="bottom"/>
            <w:gridSpan w:val="3"/>
          </w:tcPr>
          <w:p>
            <w:pPr>
              <w:spacing w:after="0" w:line="184" w:lineRule="exact"/>
              <w:rPr>
                <w:sz w:val="20"/>
                <w:szCs w:val="20"/>
                <w:color w:val="auto"/>
              </w:rPr>
            </w:pPr>
            <w:r>
              <w:rPr>
                <w:rFonts w:ascii="Arial" w:cs="Arial" w:eastAsia="Arial" w:hAnsi="Arial"/>
                <w:sz w:val="18"/>
                <w:szCs w:val="18"/>
                <w:color w:val="auto"/>
              </w:rPr>
              <w:t>Other interest expense</w:t>
            </w:r>
          </w:p>
        </w:tc>
        <w:tc>
          <w:tcPr>
            <w:tcW w:w="2040" w:type="dxa"/>
            <w:vAlign w:val="bottom"/>
            <w:gridSpan w:val="5"/>
          </w:tcPr>
          <w:p>
            <w:pPr>
              <w:jc w:val="right"/>
              <w:spacing w:after="0" w:line="184" w:lineRule="exact"/>
              <w:rPr>
                <w:sz w:val="20"/>
                <w:szCs w:val="20"/>
                <w:color w:val="auto"/>
              </w:rPr>
            </w:pPr>
            <w:r>
              <w:rPr>
                <w:rFonts w:ascii="Arial" w:cs="Arial" w:eastAsia="Arial" w:hAnsi="Arial"/>
                <w:sz w:val="18"/>
                <w:szCs w:val="18"/>
                <w:color w:val="auto"/>
              </w:rPr>
              <w:t>7,571</w:t>
            </w:r>
          </w:p>
        </w:tc>
        <w:tc>
          <w:tcPr>
            <w:tcW w:w="140" w:type="dxa"/>
            <w:vAlign w:val="bottom"/>
          </w:tcPr>
          <w:p>
            <w:pPr>
              <w:spacing w:after="0"/>
              <w:rPr>
                <w:sz w:val="15"/>
                <w:szCs w:val="15"/>
                <w:color w:val="auto"/>
              </w:rPr>
            </w:pPr>
          </w:p>
        </w:tc>
        <w:tc>
          <w:tcPr>
            <w:tcW w:w="102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14,157</w:t>
            </w:r>
          </w:p>
        </w:tc>
        <w:tc>
          <w:tcPr>
            <w:tcW w:w="220" w:type="dxa"/>
            <w:vAlign w:val="bottom"/>
          </w:tcPr>
          <w:p>
            <w:pPr>
              <w:spacing w:after="0"/>
              <w:rPr>
                <w:sz w:val="15"/>
                <w:szCs w:val="15"/>
                <w:color w:val="auto"/>
              </w:rPr>
            </w:pPr>
          </w:p>
        </w:tc>
        <w:tc>
          <w:tcPr>
            <w:tcW w:w="92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(5,326</w:t>
            </w:r>
          </w:p>
        </w:tc>
        <w:tc>
          <w:tcPr>
            <w:tcW w:w="120" w:type="dxa"/>
            <w:vAlign w:val="bottom"/>
          </w:tcPr>
          <w:p>
            <w:pPr>
              <w:spacing w:after="0"/>
              <w:rPr>
                <w:sz w:val="15"/>
                <w:szCs w:val="15"/>
                <w:color w:val="auto"/>
              </w:rPr>
            </w:pPr>
          </w:p>
        </w:tc>
        <w:tc>
          <w:tcPr>
            <w:tcW w:w="1140" w:type="dxa"/>
            <w:vAlign w:val="bottom"/>
            <w:gridSpan w:val="5"/>
          </w:tcPr>
          <w:p>
            <w:pPr>
              <w:jc w:val="right"/>
              <w:ind w:right="140"/>
              <w:spacing w:after="0" w:line="184" w:lineRule="exact"/>
              <w:rPr>
                <w:sz w:val="20"/>
                <w:szCs w:val="20"/>
                <w:color w:val="auto"/>
              </w:rPr>
            </w:pPr>
            <w:r>
              <w:rPr>
                <w:rFonts w:ascii="Arial" w:cs="Arial" w:eastAsia="Arial" w:hAnsi="Arial"/>
                <w:sz w:val="18"/>
                <w:szCs w:val="18"/>
                <w:color w:val="auto"/>
              </w:rPr>
              <w:t>16,357</w:t>
            </w:r>
          </w:p>
        </w:tc>
        <w:tc>
          <w:tcPr>
            <w:tcW w:w="100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8,831</w:t>
            </w:r>
          </w:p>
        </w:tc>
      </w:tr>
      <w:tr>
        <w:trPr>
          <w:trHeight w:val="20"/>
        </w:trPr>
        <w:tc>
          <w:tcPr>
            <w:tcW w:w="2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196"/>
        </w:trPr>
        <w:tc>
          <w:tcPr>
            <w:tcW w:w="4820" w:type="dxa"/>
            <w:vAlign w:val="bottom"/>
            <w:gridSpan w:val="3"/>
          </w:tcPr>
          <w:p>
            <w:pPr>
              <w:jc w:val="center"/>
              <w:ind w:left="812"/>
              <w:spacing w:after="0" w:line="196" w:lineRule="exact"/>
              <w:rPr>
                <w:sz w:val="20"/>
                <w:szCs w:val="20"/>
                <w:color w:val="auto"/>
              </w:rPr>
            </w:pPr>
            <w:r>
              <w:rPr>
                <w:rFonts w:ascii="Arial" w:cs="Arial" w:eastAsia="Arial" w:hAnsi="Arial"/>
                <w:sz w:val="18"/>
                <w:szCs w:val="18"/>
                <w:color w:val="auto"/>
                <w:w w:val="86"/>
              </w:rPr>
              <w:t>Total Interest Expense</w:t>
            </w:r>
          </w:p>
        </w:tc>
        <w:tc>
          <w:tcPr>
            <w:tcW w:w="1580" w:type="dxa"/>
            <w:vAlign w:val="bottom"/>
            <w:gridSpan w:val="2"/>
          </w:tcPr>
          <w:p>
            <w:pPr>
              <w:spacing w:after="0"/>
              <w:rPr>
                <w:sz w:val="17"/>
                <w:szCs w:val="17"/>
                <w:color w:val="auto"/>
              </w:rPr>
            </w:pPr>
          </w:p>
        </w:tc>
        <w:tc>
          <w:tcPr>
            <w:tcW w:w="46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79"/>
              </w:rPr>
              <w:t>44,167</w:t>
            </w:r>
          </w:p>
        </w:tc>
        <w:tc>
          <w:tcPr>
            <w:tcW w:w="140" w:type="dxa"/>
            <w:vAlign w:val="bottom"/>
          </w:tcPr>
          <w:p>
            <w:pPr>
              <w:spacing w:after="0"/>
              <w:rPr>
                <w:sz w:val="17"/>
                <w:szCs w:val="17"/>
                <w:color w:val="auto"/>
              </w:rPr>
            </w:pPr>
          </w:p>
        </w:tc>
        <w:tc>
          <w:tcPr>
            <w:tcW w:w="10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43,427</w:t>
            </w:r>
          </w:p>
        </w:tc>
        <w:tc>
          <w:tcPr>
            <w:tcW w:w="220" w:type="dxa"/>
            <w:vAlign w:val="bottom"/>
          </w:tcPr>
          <w:p>
            <w:pPr>
              <w:spacing w:after="0"/>
              <w:rPr>
                <w:sz w:val="17"/>
                <w:szCs w:val="17"/>
                <w:color w:val="auto"/>
              </w:rPr>
            </w:pPr>
          </w:p>
        </w:tc>
        <w:tc>
          <w:tcPr>
            <w:tcW w:w="9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40,942</w:t>
            </w:r>
          </w:p>
        </w:tc>
        <w:tc>
          <w:tcPr>
            <w:tcW w:w="120" w:type="dxa"/>
            <w:vAlign w:val="bottom"/>
          </w:tcPr>
          <w:p>
            <w:pPr>
              <w:spacing w:after="0"/>
              <w:rPr>
                <w:sz w:val="17"/>
                <w:szCs w:val="17"/>
                <w:color w:val="auto"/>
              </w:rPr>
            </w:pPr>
          </w:p>
        </w:tc>
        <w:tc>
          <w:tcPr>
            <w:tcW w:w="1140" w:type="dxa"/>
            <w:vAlign w:val="bottom"/>
            <w:gridSpan w:val="5"/>
          </w:tcPr>
          <w:p>
            <w:pPr>
              <w:jc w:val="right"/>
              <w:ind w:right="140"/>
              <w:spacing w:after="0" w:line="196" w:lineRule="exact"/>
              <w:rPr>
                <w:sz w:val="20"/>
                <w:szCs w:val="20"/>
                <w:color w:val="auto"/>
              </w:rPr>
            </w:pPr>
            <w:r>
              <w:rPr>
                <w:rFonts w:ascii="Arial" w:cs="Arial" w:eastAsia="Arial" w:hAnsi="Arial"/>
                <w:sz w:val="18"/>
                <w:szCs w:val="18"/>
                <w:color w:val="auto"/>
              </w:rPr>
              <w:t>92,344</w:t>
            </w:r>
          </w:p>
        </w:tc>
        <w:tc>
          <w:tcPr>
            <w:tcW w:w="10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84,369</w:t>
            </w:r>
          </w:p>
        </w:tc>
      </w:tr>
      <w:tr>
        <w:trPr>
          <w:trHeight w:val="20"/>
        </w:trPr>
        <w:tc>
          <w:tcPr>
            <w:tcW w:w="2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Borders>
              <w:right w:val="single" w:sz="8" w:color="auto"/>
            </w:tcBorders>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r>
      <w:tr>
        <w:trPr>
          <w:trHeight w:val="439"/>
        </w:trPr>
        <w:tc>
          <w:tcPr>
            <w:tcW w:w="2160" w:type="dxa"/>
            <w:vAlign w:val="bottom"/>
          </w:tcPr>
          <w:p>
            <w:pPr>
              <w:spacing w:after="0"/>
              <w:rPr>
                <w:sz w:val="24"/>
                <w:szCs w:val="24"/>
                <w:color w:val="auto"/>
              </w:rPr>
            </w:pPr>
          </w:p>
        </w:tc>
        <w:tc>
          <w:tcPr>
            <w:tcW w:w="2660" w:type="dxa"/>
            <w:vAlign w:val="bottom"/>
            <w:gridSpan w:val="2"/>
          </w:tcPr>
          <w:p>
            <w:pPr>
              <w:jc w:val="center"/>
              <w:ind w:right="1260"/>
              <w:spacing w:after="0"/>
              <w:rPr>
                <w:sz w:val="20"/>
                <w:szCs w:val="20"/>
                <w:color w:val="auto"/>
              </w:rPr>
            </w:pPr>
            <w:r>
              <w:rPr>
                <w:rFonts w:ascii="Arial" w:cs="Arial" w:eastAsia="Arial" w:hAnsi="Arial"/>
                <w:sz w:val="18"/>
                <w:szCs w:val="18"/>
                <w:color w:val="auto"/>
                <w:w w:val="89"/>
              </w:rPr>
              <w:t>Net Interest Income</w:t>
            </w:r>
          </w:p>
        </w:tc>
        <w:tc>
          <w:tcPr>
            <w:tcW w:w="1580" w:type="dxa"/>
            <w:vAlign w:val="bottom"/>
            <w:gridSpan w:val="2"/>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79"/>
              </w:rPr>
              <w:t>86,147</w:t>
            </w:r>
          </w:p>
        </w:tc>
        <w:tc>
          <w:tcPr>
            <w:tcW w:w="14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88,879</w:t>
            </w: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89,035</w:t>
            </w:r>
          </w:p>
        </w:tc>
        <w:tc>
          <w:tcPr>
            <w:tcW w:w="120" w:type="dxa"/>
            <w:vAlign w:val="bottom"/>
          </w:tcPr>
          <w:p>
            <w:pPr>
              <w:spacing w:after="0"/>
              <w:rPr>
                <w:sz w:val="24"/>
                <w:szCs w:val="24"/>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170,297</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177,914</w:t>
            </w:r>
          </w:p>
        </w:tc>
      </w:tr>
      <w:tr>
        <w:trPr>
          <w:trHeight w:val="20"/>
        </w:trPr>
        <w:tc>
          <w:tcPr>
            <w:tcW w:w="2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r>
      <w:tr>
        <w:trPr>
          <w:trHeight w:val="478"/>
        </w:trPr>
        <w:tc>
          <w:tcPr>
            <w:tcW w:w="4820" w:type="dxa"/>
            <w:vAlign w:val="bottom"/>
            <w:gridSpan w:val="3"/>
          </w:tcPr>
          <w:p>
            <w:pPr>
              <w:spacing w:after="0"/>
              <w:rPr>
                <w:sz w:val="20"/>
                <w:szCs w:val="20"/>
                <w:color w:val="auto"/>
              </w:rPr>
            </w:pPr>
            <w:r>
              <w:rPr>
                <w:rFonts w:ascii="Arial" w:cs="Arial" w:eastAsia="Arial" w:hAnsi="Arial"/>
                <w:sz w:val="18"/>
                <w:szCs w:val="18"/>
                <w:color w:val="auto"/>
              </w:rPr>
              <w:t>Provision for possible loan losses, net</w:t>
            </w:r>
          </w:p>
        </w:tc>
        <w:tc>
          <w:tcPr>
            <w:tcW w:w="2040" w:type="dxa"/>
            <w:vAlign w:val="bottom"/>
            <w:gridSpan w:val="5"/>
          </w:tcPr>
          <w:p>
            <w:pPr>
              <w:jc w:val="right"/>
              <w:spacing w:after="0"/>
              <w:rPr>
                <w:sz w:val="20"/>
                <w:szCs w:val="20"/>
                <w:color w:val="auto"/>
              </w:rPr>
            </w:pPr>
            <w:r>
              <w:rPr>
                <w:rFonts w:ascii="Arial" w:cs="Arial" w:eastAsia="Arial" w:hAnsi="Arial"/>
                <w:sz w:val="18"/>
                <w:szCs w:val="18"/>
                <w:color w:val="auto"/>
              </w:rPr>
              <w:t>30,337</w:t>
            </w:r>
          </w:p>
        </w:tc>
        <w:tc>
          <w:tcPr>
            <w:tcW w:w="14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34,228</w:t>
            </w: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19,702</w:t>
            </w:r>
          </w:p>
        </w:tc>
        <w:tc>
          <w:tcPr>
            <w:tcW w:w="120" w:type="dxa"/>
            <w:vAlign w:val="bottom"/>
          </w:tcPr>
          <w:p>
            <w:pPr>
              <w:spacing w:after="0"/>
              <w:rPr>
                <w:sz w:val="24"/>
                <w:szCs w:val="24"/>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55,675</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53,930</w:t>
            </w:r>
          </w:p>
        </w:tc>
      </w:tr>
      <w:tr>
        <w:trPr>
          <w:trHeight w:val="447"/>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Net interest income after provision for</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8"/>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possible loan losses</w:t>
            </w:r>
          </w:p>
        </w:tc>
        <w:tc>
          <w:tcPr>
            <w:tcW w:w="2040" w:type="dxa"/>
            <w:vAlign w:val="bottom"/>
            <w:gridSpan w:val="5"/>
          </w:tcPr>
          <w:p>
            <w:pPr>
              <w:jc w:val="right"/>
              <w:spacing w:after="0"/>
              <w:rPr>
                <w:sz w:val="20"/>
                <w:szCs w:val="20"/>
                <w:color w:val="auto"/>
              </w:rPr>
            </w:pPr>
            <w:r>
              <w:rPr>
                <w:rFonts w:ascii="Arial" w:cs="Arial" w:eastAsia="Arial" w:hAnsi="Arial"/>
                <w:sz w:val="18"/>
                <w:szCs w:val="18"/>
                <w:b w:val="1"/>
                <w:bCs w:val="1"/>
                <w:color w:val="auto"/>
              </w:rPr>
              <w:t>55,810</w:t>
            </w:r>
          </w:p>
        </w:tc>
        <w:tc>
          <w:tcPr>
            <w:tcW w:w="14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b w:val="1"/>
                <w:bCs w:val="1"/>
                <w:color w:val="auto"/>
              </w:rPr>
              <w:t>54,651</w:t>
            </w:r>
          </w:p>
        </w:tc>
        <w:tc>
          <w:tcPr>
            <w:tcW w:w="22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b w:val="1"/>
                <w:bCs w:val="1"/>
                <w:color w:val="auto"/>
              </w:rPr>
              <w:t>69,333</w:t>
            </w:r>
          </w:p>
        </w:tc>
        <w:tc>
          <w:tcPr>
            <w:tcW w:w="120" w:type="dxa"/>
            <w:vAlign w:val="bottom"/>
          </w:tcPr>
          <w:p>
            <w:pPr>
              <w:spacing w:after="0"/>
              <w:rPr>
                <w:sz w:val="19"/>
                <w:szCs w:val="19"/>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114,622</w:t>
            </w:r>
          </w:p>
        </w:tc>
        <w:tc>
          <w:tcPr>
            <w:tcW w:w="1000" w:type="dxa"/>
            <w:vAlign w:val="bottom"/>
            <w:gridSpan w:val="4"/>
          </w:tcPr>
          <w:p>
            <w:pPr>
              <w:jc w:val="right"/>
              <w:spacing w:after="0"/>
              <w:rPr>
                <w:sz w:val="20"/>
                <w:szCs w:val="20"/>
                <w:color w:val="auto"/>
              </w:rPr>
            </w:pPr>
            <w:r>
              <w:rPr>
                <w:rFonts w:ascii="Arial" w:cs="Arial" w:eastAsia="Arial" w:hAnsi="Arial"/>
                <w:sz w:val="18"/>
                <w:szCs w:val="18"/>
                <w:b w:val="1"/>
                <w:bCs w:val="1"/>
                <w:color w:val="auto"/>
              </w:rPr>
              <w:t>123,984</w:t>
            </w:r>
          </w:p>
        </w:tc>
      </w:tr>
      <w:tr>
        <w:trPr>
          <w:trHeight w:val="453"/>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OTHER INCOME</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Fees and commissions from banking services</w:t>
            </w:r>
          </w:p>
        </w:tc>
        <w:tc>
          <w:tcPr>
            <w:tcW w:w="2040" w:type="dxa"/>
            <w:vAlign w:val="bottom"/>
            <w:gridSpan w:val="5"/>
          </w:tcPr>
          <w:p>
            <w:pPr>
              <w:jc w:val="right"/>
              <w:spacing w:after="0"/>
              <w:rPr>
                <w:sz w:val="20"/>
                <w:szCs w:val="20"/>
                <w:color w:val="auto"/>
              </w:rPr>
            </w:pPr>
            <w:r>
              <w:rPr>
                <w:rFonts w:ascii="Arial" w:cs="Arial" w:eastAsia="Arial" w:hAnsi="Arial"/>
                <w:sz w:val="18"/>
                <w:szCs w:val="18"/>
                <w:color w:val="auto"/>
              </w:rPr>
              <w:t>41,154</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46,199</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47,548</w:t>
            </w:r>
          </w:p>
        </w:tc>
        <w:tc>
          <w:tcPr>
            <w:tcW w:w="120" w:type="dxa"/>
            <w:vAlign w:val="bottom"/>
          </w:tcPr>
          <w:p>
            <w:pPr>
              <w:spacing w:after="0"/>
              <w:rPr>
                <w:sz w:val="18"/>
                <w:szCs w:val="18"/>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81,024</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93,747</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Net gains from sales of securities</w:t>
            </w:r>
          </w:p>
        </w:tc>
        <w:tc>
          <w:tcPr>
            <w:tcW w:w="2040" w:type="dxa"/>
            <w:vAlign w:val="bottom"/>
            <w:gridSpan w:val="5"/>
          </w:tcPr>
          <w:p>
            <w:pPr>
              <w:jc w:val="right"/>
              <w:spacing w:after="0"/>
              <w:rPr>
                <w:sz w:val="20"/>
                <w:szCs w:val="20"/>
                <w:color w:val="auto"/>
              </w:rPr>
            </w:pPr>
            <w:r>
              <w:rPr>
                <w:rFonts w:ascii="Arial" w:cs="Arial" w:eastAsia="Arial" w:hAnsi="Arial"/>
                <w:sz w:val="18"/>
                <w:szCs w:val="18"/>
                <w:color w:val="auto"/>
              </w:rPr>
              <w:t>1,971</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7,593</w:t>
            </w:r>
          </w:p>
        </w:tc>
        <w:tc>
          <w:tcPr>
            <w:tcW w:w="120" w:type="dxa"/>
            <w:vAlign w:val="bottom"/>
          </w:tcPr>
          <w:p>
            <w:pPr>
              <w:spacing w:after="0"/>
              <w:rPr>
                <w:sz w:val="18"/>
                <w:szCs w:val="18"/>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7,403</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7,379</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Net gains on foreign exchange transactions</w:t>
            </w:r>
          </w:p>
        </w:tc>
        <w:tc>
          <w:tcPr>
            <w:tcW w:w="2040" w:type="dxa"/>
            <w:vAlign w:val="bottom"/>
            <w:gridSpan w:val="5"/>
          </w:tcPr>
          <w:p>
            <w:pPr>
              <w:jc w:val="right"/>
              <w:spacing w:after="0"/>
              <w:rPr>
                <w:sz w:val="20"/>
                <w:szCs w:val="20"/>
                <w:color w:val="auto"/>
              </w:rPr>
            </w:pPr>
            <w:r>
              <w:rPr>
                <w:rFonts w:ascii="Arial" w:cs="Arial" w:eastAsia="Arial" w:hAnsi="Arial"/>
                <w:sz w:val="18"/>
                <w:szCs w:val="18"/>
                <w:color w:val="auto"/>
              </w:rPr>
              <w:t>5,758</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6,361</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5,821</w:t>
            </w:r>
          </w:p>
        </w:tc>
        <w:tc>
          <w:tcPr>
            <w:tcW w:w="120" w:type="dxa"/>
            <w:vAlign w:val="bottom"/>
          </w:tcPr>
          <w:p>
            <w:pPr>
              <w:spacing w:after="0"/>
              <w:rPr>
                <w:sz w:val="18"/>
                <w:szCs w:val="18"/>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10,078</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12,182</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Net premiums earned</w:t>
            </w:r>
          </w:p>
        </w:tc>
        <w:tc>
          <w:tcPr>
            <w:tcW w:w="2040" w:type="dxa"/>
            <w:vAlign w:val="bottom"/>
            <w:gridSpan w:val="5"/>
          </w:tcPr>
          <w:p>
            <w:pPr>
              <w:jc w:val="right"/>
              <w:spacing w:after="0"/>
              <w:rPr>
                <w:sz w:val="20"/>
                <w:szCs w:val="20"/>
                <w:color w:val="auto"/>
              </w:rPr>
            </w:pPr>
            <w:r>
              <w:rPr>
                <w:rFonts w:ascii="Arial" w:cs="Arial" w:eastAsia="Arial" w:hAnsi="Arial"/>
                <w:sz w:val="18"/>
                <w:szCs w:val="18"/>
                <w:color w:val="auto"/>
              </w:rPr>
              <w:t>31,410</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31,901</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32,090</w:t>
            </w:r>
          </w:p>
        </w:tc>
        <w:tc>
          <w:tcPr>
            <w:tcW w:w="120" w:type="dxa"/>
            <w:vAlign w:val="bottom"/>
          </w:tcPr>
          <w:p>
            <w:pPr>
              <w:spacing w:after="0"/>
              <w:rPr>
                <w:sz w:val="18"/>
                <w:szCs w:val="18"/>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63,038</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63,991</w:t>
            </w:r>
          </w:p>
        </w:tc>
      </w:tr>
      <w:tr>
        <w:trPr>
          <w:trHeight w:val="184"/>
        </w:trPr>
        <w:tc>
          <w:tcPr>
            <w:tcW w:w="4820" w:type="dxa"/>
            <w:vAlign w:val="bottom"/>
            <w:gridSpan w:val="3"/>
          </w:tcPr>
          <w:p>
            <w:pPr>
              <w:spacing w:after="0" w:line="184" w:lineRule="exact"/>
              <w:rPr>
                <w:sz w:val="20"/>
                <w:szCs w:val="20"/>
                <w:color w:val="auto"/>
              </w:rPr>
            </w:pPr>
            <w:r>
              <w:rPr>
                <w:rFonts w:ascii="Arial" w:cs="Arial" w:eastAsia="Arial" w:hAnsi="Arial"/>
                <w:sz w:val="18"/>
                <w:szCs w:val="18"/>
                <w:color w:val="auto"/>
              </w:rPr>
              <w:t>Other income</w:t>
            </w:r>
          </w:p>
        </w:tc>
        <w:tc>
          <w:tcPr>
            <w:tcW w:w="1580" w:type="dxa"/>
            <w:vAlign w:val="bottom"/>
            <w:gridSpan w:val="2"/>
          </w:tcPr>
          <w:p>
            <w:pPr>
              <w:spacing w:after="0"/>
              <w:rPr>
                <w:sz w:val="15"/>
                <w:szCs w:val="15"/>
                <w:color w:val="auto"/>
              </w:rPr>
            </w:pPr>
          </w:p>
        </w:tc>
        <w:tc>
          <w:tcPr>
            <w:tcW w:w="460" w:type="dxa"/>
            <w:vAlign w:val="bottom"/>
            <w:gridSpan w:val="3"/>
          </w:tcPr>
          <w:p>
            <w:pPr>
              <w:jc w:val="right"/>
              <w:spacing w:after="0" w:line="184" w:lineRule="exact"/>
              <w:rPr>
                <w:sz w:val="20"/>
                <w:szCs w:val="20"/>
                <w:color w:val="auto"/>
              </w:rPr>
            </w:pPr>
            <w:r>
              <w:rPr>
                <w:rFonts w:ascii="Arial" w:cs="Arial" w:eastAsia="Arial" w:hAnsi="Arial"/>
                <w:sz w:val="18"/>
                <w:szCs w:val="18"/>
                <w:color w:val="auto"/>
                <w:w w:val="79"/>
              </w:rPr>
              <w:t>13,477</w:t>
            </w:r>
          </w:p>
        </w:tc>
        <w:tc>
          <w:tcPr>
            <w:tcW w:w="140" w:type="dxa"/>
            <w:vAlign w:val="bottom"/>
          </w:tcPr>
          <w:p>
            <w:pPr>
              <w:spacing w:after="0"/>
              <w:rPr>
                <w:sz w:val="15"/>
                <w:szCs w:val="15"/>
                <w:color w:val="auto"/>
              </w:rPr>
            </w:pPr>
          </w:p>
        </w:tc>
        <w:tc>
          <w:tcPr>
            <w:tcW w:w="102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28,228</w:t>
            </w:r>
          </w:p>
        </w:tc>
        <w:tc>
          <w:tcPr>
            <w:tcW w:w="220" w:type="dxa"/>
            <w:vAlign w:val="bottom"/>
          </w:tcPr>
          <w:p>
            <w:pPr>
              <w:spacing w:after="0"/>
              <w:rPr>
                <w:sz w:val="15"/>
                <w:szCs w:val="15"/>
                <w:color w:val="auto"/>
              </w:rPr>
            </w:pPr>
          </w:p>
        </w:tc>
        <w:tc>
          <w:tcPr>
            <w:tcW w:w="92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16,523</w:t>
            </w:r>
          </w:p>
        </w:tc>
        <w:tc>
          <w:tcPr>
            <w:tcW w:w="120" w:type="dxa"/>
            <w:vAlign w:val="bottom"/>
          </w:tcPr>
          <w:p>
            <w:pPr>
              <w:spacing w:after="0"/>
              <w:rPr>
                <w:sz w:val="15"/>
                <w:szCs w:val="15"/>
                <w:color w:val="auto"/>
              </w:rPr>
            </w:pPr>
          </w:p>
        </w:tc>
        <w:tc>
          <w:tcPr>
            <w:tcW w:w="1140" w:type="dxa"/>
            <w:vAlign w:val="bottom"/>
            <w:gridSpan w:val="5"/>
          </w:tcPr>
          <w:p>
            <w:pPr>
              <w:jc w:val="right"/>
              <w:ind w:right="140"/>
              <w:spacing w:after="0" w:line="184" w:lineRule="exact"/>
              <w:rPr>
                <w:sz w:val="20"/>
                <w:szCs w:val="20"/>
                <w:color w:val="auto"/>
              </w:rPr>
            </w:pPr>
            <w:r>
              <w:rPr>
                <w:rFonts w:ascii="Arial" w:cs="Arial" w:eastAsia="Arial" w:hAnsi="Arial"/>
                <w:sz w:val="18"/>
                <w:szCs w:val="18"/>
                <w:color w:val="auto"/>
              </w:rPr>
              <w:t>23,753</w:t>
            </w:r>
          </w:p>
        </w:tc>
        <w:tc>
          <w:tcPr>
            <w:tcW w:w="100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44,751</w:t>
            </w:r>
          </w:p>
        </w:tc>
      </w:tr>
      <w:tr>
        <w:trPr>
          <w:trHeight w:val="20"/>
        </w:trPr>
        <w:tc>
          <w:tcPr>
            <w:tcW w:w="2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Borders>
              <w:right w:val="single" w:sz="8" w:color="auto"/>
            </w:tcBorders>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r>
      <w:tr>
        <w:trPr>
          <w:trHeight w:val="196"/>
        </w:trPr>
        <w:tc>
          <w:tcPr>
            <w:tcW w:w="2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gridSpan w:val="2"/>
          </w:tcPr>
          <w:p>
            <w:pPr>
              <w:spacing w:after="0"/>
              <w:rPr>
                <w:sz w:val="17"/>
                <w:szCs w:val="17"/>
                <w:color w:val="auto"/>
              </w:rPr>
            </w:pPr>
          </w:p>
        </w:tc>
        <w:tc>
          <w:tcPr>
            <w:tcW w:w="46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79"/>
              </w:rPr>
              <w:t>93,770</w:t>
            </w:r>
          </w:p>
        </w:tc>
        <w:tc>
          <w:tcPr>
            <w:tcW w:w="140" w:type="dxa"/>
            <w:vAlign w:val="bottom"/>
          </w:tcPr>
          <w:p>
            <w:pPr>
              <w:spacing w:after="0"/>
              <w:rPr>
                <w:sz w:val="17"/>
                <w:szCs w:val="17"/>
                <w:color w:val="auto"/>
              </w:rPr>
            </w:pPr>
          </w:p>
        </w:tc>
        <w:tc>
          <w:tcPr>
            <w:tcW w:w="10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112,475</w:t>
            </w:r>
          </w:p>
        </w:tc>
        <w:tc>
          <w:tcPr>
            <w:tcW w:w="220" w:type="dxa"/>
            <w:vAlign w:val="bottom"/>
          </w:tcPr>
          <w:p>
            <w:pPr>
              <w:spacing w:after="0"/>
              <w:rPr>
                <w:sz w:val="17"/>
                <w:szCs w:val="17"/>
                <w:color w:val="auto"/>
              </w:rPr>
            </w:pPr>
          </w:p>
        </w:tc>
        <w:tc>
          <w:tcPr>
            <w:tcW w:w="9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109,575</w:t>
            </w:r>
          </w:p>
        </w:tc>
        <w:tc>
          <w:tcPr>
            <w:tcW w:w="120" w:type="dxa"/>
            <w:vAlign w:val="bottom"/>
          </w:tcPr>
          <w:p>
            <w:pPr>
              <w:spacing w:after="0"/>
              <w:rPr>
                <w:sz w:val="17"/>
                <w:szCs w:val="17"/>
                <w:color w:val="auto"/>
              </w:rPr>
            </w:pPr>
          </w:p>
        </w:tc>
        <w:tc>
          <w:tcPr>
            <w:tcW w:w="1140" w:type="dxa"/>
            <w:vAlign w:val="bottom"/>
            <w:gridSpan w:val="5"/>
          </w:tcPr>
          <w:p>
            <w:pPr>
              <w:jc w:val="right"/>
              <w:ind w:right="140"/>
              <w:spacing w:after="0" w:line="196" w:lineRule="exact"/>
              <w:rPr>
                <w:sz w:val="20"/>
                <w:szCs w:val="20"/>
                <w:color w:val="auto"/>
              </w:rPr>
            </w:pPr>
            <w:r>
              <w:rPr>
                <w:rFonts w:ascii="Arial" w:cs="Arial" w:eastAsia="Arial" w:hAnsi="Arial"/>
                <w:sz w:val="18"/>
                <w:szCs w:val="18"/>
                <w:color w:val="auto"/>
              </w:rPr>
              <w:t>185,296</w:t>
            </w:r>
          </w:p>
        </w:tc>
        <w:tc>
          <w:tcPr>
            <w:tcW w:w="10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222,050</w:t>
            </w:r>
          </w:p>
        </w:tc>
      </w:tr>
      <w:tr>
        <w:trPr>
          <w:trHeight w:val="471"/>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CLAIMS ON INSURANCE ACTIVITIES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Net claims incurred</w:t>
            </w:r>
          </w:p>
        </w:tc>
        <w:tc>
          <w:tcPr>
            <w:tcW w:w="2040" w:type="dxa"/>
            <w:vAlign w:val="bottom"/>
            <w:gridSpan w:val="5"/>
          </w:tcPr>
          <w:p>
            <w:pPr>
              <w:jc w:val="right"/>
              <w:spacing w:after="0"/>
              <w:rPr>
                <w:sz w:val="20"/>
                <w:szCs w:val="20"/>
                <w:color w:val="auto"/>
              </w:rPr>
            </w:pPr>
            <w:r>
              <w:rPr>
                <w:rFonts w:ascii="Arial" w:cs="Arial" w:eastAsia="Arial" w:hAnsi="Arial"/>
                <w:sz w:val="18"/>
                <w:szCs w:val="18"/>
                <w:color w:val="auto"/>
              </w:rPr>
              <w:t>8,189</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4,755</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7,282</w:t>
            </w:r>
          </w:p>
        </w:tc>
        <w:tc>
          <w:tcPr>
            <w:tcW w:w="120" w:type="dxa"/>
            <w:vAlign w:val="bottom"/>
          </w:tcPr>
          <w:p>
            <w:pPr>
              <w:spacing w:after="0"/>
              <w:rPr>
                <w:sz w:val="18"/>
                <w:szCs w:val="18"/>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13,837</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12,037</w:t>
            </w:r>
          </w:p>
        </w:tc>
      </w:tr>
      <w:tr>
        <w:trPr>
          <w:trHeight w:val="184"/>
        </w:trPr>
        <w:tc>
          <w:tcPr>
            <w:tcW w:w="4820" w:type="dxa"/>
            <w:vAlign w:val="bottom"/>
            <w:gridSpan w:val="3"/>
          </w:tcPr>
          <w:p>
            <w:pPr>
              <w:spacing w:after="0" w:line="184" w:lineRule="exact"/>
              <w:rPr>
                <w:sz w:val="20"/>
                <w:szCs w:val="20"/>
                <w:color w:val="auto"/>
              </w:rPr>
            </w:pPr>
            <w:r>
              <w:rPr>
                <w:rFonts w:ascii="Arial" w:cs="Arial" w:eastAsia="Arial" w:hAnsi="Arial"/>
                <w:sz w:val="18"/>
                <w:szCs w:val="18"/>
                <w:color w:val="auto"/>
              </w:rPr>
              <w:t>Increase in future policy benefits for life and health</w:t>
            </w:r>
          </w:p>
        </w:tc>
        <w:tc>
          <w:tcPr>
            <w:tcW w:w="1580" w:type="dxa"/>
            <w:vAlign w:val="bottom"/>
            <w:gridSpan w:val="2"/>
          </w:tcPr>
          <w:p>
            <w:pPr>
              <w:spacing w:after="0"/>
              <w:rPr>
                <w:sz w:val="15"/>
                <w:szCs w:val="15"/>
                <w:color w:val="auto"/>
              </w:rPr>
            </w:pPr>
          </w:p>
        </w:tc>
        <w:tc>
          <w:tcPr>
            <w:tcW w:w="460" w:type="dxa"/>
            <w:vAlign w:val="bottom"/>
            <w:gridSpan w:val="3"/>
          </w:tcPr>
          <w:p>
            <w:pPr>
              <w:jc w:val="right"/>
              <w:spacing w:after="0" w:line="184" w:lineRule="exact"/>
              <w:rPr>
                <w:sz w:val="20"/>
                <w:szCs w:val="20"/>
                <w:color w:val="auto"/>
              </w:rPr>
            </w:pPr>
            <w:r>
              <w:rPr>
                <w:rFonts w:ascii="Arial" w:cs="Arial" w:eastAsia="Arial" w:hAnsi="Arial"/>
                <w:sz w:val="18"/>
                <w:szCs w:val="18"/>
                <w:color w:val="auto"/>
                <w:w w:val="79"/>
              </w:rPr>
              <w:t>18,679</w:t>
            </w:r>
          </w:p>
        </w:tc>
        <w:tc>
          <w:tcPr>
            <w:tcW w:w="140" w:type="dxa"/>
            <w:vAlign w:val="bottom"/>
          </w:tcPr>
          <w:p>
            <w:pPr>
              <w:spacing w:after="0"/>
              <w:rPr>
                <w:sz w:val="15"/>
                <w:szCs w:val="15"/>
                <w:color w:val="auto"/>
              </w:rPr>
            </w:pPr>
          </w:p>
        </w:tc>
        <w:tc>
          <w:tcPr>
            <w:tcW w:w="102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20,448</w:t>
            </w:r>
          </w:p>
        </w:tc>
        <w:tc>
          <w:tcPr>
            <w:tcW w:w="220" w:type="dxa"/>
            <w:vAlign w:val="bottom"/>
          </w:tcPr>
          <w:p>
            <w:pPr>
              <w:spacing w:after="0"/>
              <w:rPr>
                <w:sz w:val="15"/>
                <w:szCs w:val="15"/>
                <w:color w:val="auto"/>
              </w:rPr>
            </w:pPr>
          </w:p>
        </w:tc>
        <w:tc>
          <w:tcPr>
            <w:tcW w:w="92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19,120</w:t>
            </w:r>
          </w:p>
        </w:tc>
        <w:tc>
          <w:tcPr>
            <w:tcW w:w="120" w:type="dxa"/>
            <w:vAlign w:val="bottom"/>
          </w:tcPr>
          <w:p>
            <w:pPr>
              <w:spacing w:after="0"/>
              <w:rPr>
                <w:sz w:val="15"/>
                <w:szCs w:val="15"/>
                <w:color w:val="auto"/>
              </w:rPr>
            </w:pPr>
          </w:p>
        </w:tc>
        <w:tc>
          <w:tcPr>
            <w:tcW w:w="1140" w:type="dxa"/>
            <w:vAlign w:val="bottom"/>
            <w:gridSpan w:val="5"/>
          </w:tcPr>
          <w:p>
            <w:pPr>
              <w:jc w:val="right"/>
              <w:ind w:right="140"/>
              <w:spacing w:after="0" w:line="184" w:lineRule="exact"/>
              <w:rPr>
                <w:sz w:val="20"/>
                <w:szCs w:val="20"/>
                <w:color w:val="auto"/>
              </w:rPr>
            </w:pPr>
            <w:r>
              <w:rPr>
                <w:rFonts w:ascii="Arial" w:cs="Arial" w:eastAsia="Arial" w:hAnsi="Arial"/>
                <w:sz w:val="18"/>
                <w:szCs w:val="18"/>
                <w:color w:val="auto"/>
              </w:rPr>
              <w:t>34,095</w:t>
            </w:r>
          </w:p>
        </w:tc>
        <w:tc>
          <w:tcPr>
            <w:tcW w:w="100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39,568</w:t>
            </w:r>
          </w:p>
        </w:tc>
      </w:tr>
      <w:tr>
        <w:trPr>
          <w:trHeight w:val="20"/>
        </w:trPr>
        <w:tc>
          <w:tcPr>
            <w:tcW w:w="2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80" w:type="dxa"/>
            <w:vAlign w:val="bottom"/>
            <w:tcBorders>
              <w:right w:val="single" w:sz="8" w:color="auto"/>
            </w:tcBorders>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r>
      <w:tr>
        <w:trPr>
          <w:trHeight w:val="196"/>
        </w:trPr>
        <w:tc>
          <w:tcPr>
            <w:tcW w:w="2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gridSpan w:val="2"/>
          </w:tcPr>
          <w:p>
            <w:pPr>
              <w:spacing w:after="0"/>
              <w:rPr>
                <w:sz w:val="17"/>
                <w:szCs w:val="17"/>
                <w:color w:val="auto"/>
              </w:rPr>
            </w:pPr>
          </w:p>
        </w:tc>
        <w:tc>
          <w:tcPr>
            <w:tcW w:w="46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79"/>
              </w:rPr>
              <w:t>26,868</w:t>
            </w:r>
          </w:p>
        </w:tc>
        <w:tc>
          <w:tcPr>
            <w:tcW w:w="140" w:type="dxa"/>
            <w:vAlign w:val="bottom"/>
          </w:tcPr>
          <w:p>
            <w:pPr>
              <w:spacing w:after="0"/>
              <w:rPr>
                <w:sz w:val="17"/>
                <w:szCs w:val="17"/>
                <w:color w:val="auto"/>
              </w:rPr>
            </w:pPr>
          </w:p>
        </w:tc>
        <w:tc>
          <w:tcPr>
            <w:tcW w:w="10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25,203</w:t>
            </w:r>
          </w:p>
        </w:tc>
        <w:tc>
          <w:tcPr>
            <w:tcW w:w="220" w:type="dxa"/>
            <w:vAlign w:val="bottom"/>
          </w:tcPr>
          <w:p>
            <w:pPr>
              <w:spacing w:after="0"/>
              <w:rPr>
                <w:sz w:val="17"/>
                <w:szCs w:val="17"/>
                <w:color w:val="auto"/>
              </w:rPr>
            </w:pPr>
          </w:p>
        </w:tc>
        <w:tc>
          <w:tcPr>
            <w:tcW w:w="9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26,402</w:t>
            </w:r>
          </w:p>
        </w:tc>
        <w:tc>
          <w:tcPr>
            <w:tcW w:w="120" w:type="dxa"/>
            <w:vAlign w:val="bottom"/>
          </w:tcPr>
          <w:p>
            <w:pPr>
              <w:spacing w:after="0"/>
              <w:rPr>
                <w:sz w:val="17"/>
                <w:szCs w:val="17"/>
                <w:color w:val="auto"/>
              </w:rPr>
            </w:pPr>
          </w:p>
        </w:tc>
        <w:tc>
          <w:tcPr>
            <w:tcW w:w="1140" w:type="dxa"/>
            <w:vAlign w:val="bottom"/>
            <w:gridSpan w:val="5"/>
          </w:tcPr>
          <w:p>
            <w:pPr>
              <w:jc w:val="right"/>
              <w:ind w:right="140"/>
              <w:spacing w:after="0" w:line="196" w:lineRule="exact"/>
              <w:rPr>
                <w:sz w:val="20"/>
                <w:szCs w:val="20"/>
                <w:color w:val="auto"/>
              </w:rPr>
            </w:pPr>
            <w:r>
              <w:rPr>
                <w:rFonts w:ascii="Arial" w:cs="Arial" w:eastAsia="Arial" w:hAnsi="Arial"/>
                <w:sz w:val="18"/>
                <w:szCs w:val="18"/>
                <w:color w:val="auto"/>
              </w:rPr>
              <w:t>47,932</w:t>
            </w:r>
          </w:p>
        </w:tc>
        <w:tc>
          <w:tcPr>
            <w:tcW w:w="10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51,605</w:t>
            </w:r>
          </w:p>
        </w:tc>
      </w:tr>
      <w:tr>
        <w:trPr>
          <w:trHeight w:val="471"/>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OTHER EXPENSES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Salaries and employee benefits</w:t>
            </w:r>
          </w:p>
        </w:tc>
        <w:tc>
          <w:tcPr>
            <w:tcW w:w="2040" w:type="dxa"/>
            <w:vAlign w:val="bottom"/>
            <w:gridSpan w:val="5"/>
          </w:tcPr>
          <w:p>
            <w:pPr>
              <w:jc w:val="right"/>
              <w:spacing w:after="0"/>
              <w:rPr>
                <w:sz w:val="20"/>
                <w:szCs w:val="20"/>
                <w:color w:val="auto"/>
              </w:rPr>
            </w:pPr>
            <w:r>
              <w:rPr>
                <w:rFonts w:ascii="Arial" w:cs="Arial" w:eastAsia="Arial" w:hAnsi="Arial"/>
                <w:sz w:val="18"/>
                <w:szCs w:val="18"/>
                <w:color w:val="auto"/>
              </w:rPr>
              <w:t>44,747</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46,064</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45,144</w:t>
            </w:r>
          </w:p>
        </w:tc>
        <w:tc>
          <w:tcPr>
            <w:tcW w:w="120" w:type="dxa"/>
            <w:vAlign w:val="bottom"/>
          </w:tcPr>
          <w:p>
            <w:pPr>
              <w:spacing w:after="0"/>
              <w:rPr>
                <w:sz w:val="18"/>
                <w:szCs w:val="18"/>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90,319</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91,208</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General, administrative, and other taxes</w:t>
            </w:r>
          </w:p>
        </w:tc>
        <w:tc>
          <w:tcPr>
            <w:tcW w:w="2040" w:type="dxa"/>
            <w:vAlign w:val="bottom"/>
            <w:gridSpan w:val="5"/>
          </w:tcPr>
          <w:p>
            <w:pPr>
              <w:jc w:val="right"/>
              <w:spacing w:after="0"/>
              <w:rPr>
                <w:sz w:val="20"/>
                <w:szCs w:val="20"/>
                <w:color w:val="auto"/>
              </w:rPr>
            </w:pPr>
            <w:r>
              <w:rPr>
                <w:rFonts w:ascii="Arial" w:cs="Arial" w:eastAsia="Arial" w:hAnsi="Arial"/>
                <w:sz w:val="18"/>
                <w:szCs w:val="18"/>
                <w:color w:val="auto"/>
              </w:rPr>
              <w:t>33,664</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38,833</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35,997</w:t>
            </w:r>
          </w:p>
        </w:tc>
        <w:tc>
          <w:tcPr>
            <w:tcW w:w="120" w:type="dxa"/>
            <w:vAlign w:val="bottom"/>
          </w:tcPr>
          <w:p>
            <w:pPr>
              <w:spacing w:after="0"/>
              <w:rPr>
                <w:sz w:val="18"/>
                <w:szCs w:val="18"/>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65,655</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74,830</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2040" w:type="dxa"/>
            <w:vAlign w:val="bottom"/>
            <w:gridSpan w:val="5"/>
          </w:tcPr>
          <w:p>
            <w:pPr>
              <w:jc w:val="right"/>
              <w:spacing w:after="0"/>
              <w:rPr>
                <w:sz w:val="20"/>
                <w:szCs w:val="20"/>
                <w:color w:val="auto"/>
              </w:rPr>
            </w:pPr>
            <w:r>
              <w:rPr>
                <w:rFonts w:ascii="Arial" w:cs="Arial" w:eastAsia="Arial" w:hAnsi="Arial"/>
                <w:sz w:val="18"/>
                <w:szCs w:val="18"/>
                <w:color w:val="auto"/>
              </w:rPr>
              <w:t>10,934</w:t>
            </w:r>
          </w:p>
        </w:tc>
        <w:tc>
          <w:tcPr>
            <w:tcW w:w="1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11,749</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12,396</w:t>
            </w:r>
          </w:p>
        </w:tc>
        <w:tc>
          <w:tcPr>
            <w:tcW w:w="120" w:type="dxa"/>
            <w:vAlign w:val="bottom"/>
          </w:tcPr>
          <w:p>
            <w:pPr>
              <w:spacing w:after="0"/>
              <w:rPr>
                <w:sz w:val="18"/>
                <w:szCs w:val="18"/>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22,106</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24,145</w:t>
            </w: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Other</w:t>
            </w:r>
          </w:p>
        </w:tc>
        <w:tc>
          <w:tcPr>
            <w:tcW w:w="2180" w:type="dxa"/>
            <w:vAlign w:val="bottom"/>
            <w:gridSpan w:val="6"/>
          </w:tcPr>
          <w:p>
            <w:pPr>
              <w:jc w:val="right"/>
              <w:ind w:right="140"/>
              <w:spacing w:after="0"/>
              <w:rPr>
                <w:sz w:val="20"/>
                <w:szCs w:val="20"/>
                <w:color w:val="auto"/>
              </w:rPr>
            </w:pPr>
            <w:r>
              <w:rPr>
                <w:rFonts w:ascii="Arial" w:cs="Arial" w:eastAsia="Arial" w:hAnsi="Arial"/>
                <w:sz w:val="18"/>
                <w:szCs w:val="18"/>
                <w:color w:val="auto"/>
              </w:rPr>
              <w:t>11,135</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12,451</w:t>
            </w:r>
          </w:p>
        </w:tc>
        <w:tc>
          <w:tcPr>
            <w:tcW w:w="2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18,820</w:t>
            </w:r>
          </w:p>
        </w:tc>
        <w:tc>
          <w:tcPr>
            <w:tcW w:w="120" w:type="dxa"/>
            <w:vAlign w:val="bottom"/>
          </w:tcPr>
          <w:p>
            <w:pPr>
              <w:spacing w:after="0"/>
              <w:rPr>
                <w:sz w:val="18"/>
                <w:szCs w:val="18"/>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22,916</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31,271</w:t>
            </w:r>
          </w:p>
        </w:tc>
      </w:tr>
      <w:tr>
        <w:trPr>
          <w:trHeight w:val="184"/>
        </w:trPr>
        <w:tc>
          <w:tcPr>
            <w:tcW w:w="4820" w:type="dxa"/>
            <w:vAlign w:val="bottom"/>
            <w:gridSpan w:val="3"/>
          </w:tcPr>
          <w:p>
            <w:pPr>
              <w:spacing w:after="0" w:line="184" w:lineRule="exact"/>
              <w:rPr>
                <w:sz w:val="20"/>
                <w:szCs w:val="20"/>
                <w:color w:val="auto"/>
              </w:rPr>
            </w:pPr>
            <w:r>
              <w:rPr>
                <w:rFonts w:ascii="Arial" w:cs="Arial" w:eastAsia="Arial" w:hAnsi="Arial"/>
                <w:sz w:val="18"/>
                <w:szCs w:val="18"/>
                <w:color w:val="auto"/>
              </w:rPr>
              <w:t>Merger costs</w:t>
            </w:r>
          </w:p>
        </w:tc>
        <w:tc>
          <w:tcPr>
            <w:tcW w:w="2040" w:type="dxa"/>
            <w:vAlign w:val="bottom"/>
            <w:gridSpan w:val="5"/>
          </w:tcPr>
          <w:p>
            <w:pPr>
              <w:jc w:val="right"/>
              <w:ind w:right="40"/>
              <w:spacing w:after="0" w:line="184"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5"/>
                <w:szCs w:val="15"/>
                <w:color w:val="auto"/>
              </w:rPr>
            </w:pPr>
          </w:p>
        </w:tc>
        <w:tc>
          <w:tcPr>
            <w:tcW w:w="102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15,465</w:t>
            </w:r>
          </w:p>
        </w:tc>
        <w:tc>
          <w:tcPr>
            <w:tcW w:w="220" w:type="dxa"/>
            <w:vAlign w:val="bottom"/>
          </w:tcPr>
          <w:p>
            <w:pPr>
              <w:spacing w:after="0"/>
              <w:rPr>
                <w:sz w:val="15"/>
                <w:szCs w:val="15"/>
                <w:color w:val="auto"/>
              </w:rPr>
            </w:pPr>
          </w:p>
        </w:tc>
        <w:tc>
          <w:tcPr>
            <w:tcW w:w="92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2,022</w:t>
            </w:r>
          </w:p>
        </w:tc>
        <w:tc>
          <w:tcPr>
            <w:tcW w:w="120" w:type="dxa"/>
            <w:vAlign w:val="bottom"/>
          </w:tcPr>
          <w:p>
            <w:pPr>
              <w:spacing w:after="0"/>
              <w:rPr>
                <w:sz w:val="15"/>
                <w:szCs w:val="15"/>
                <w:color w:val="auto"/>
              </w:rPr>
            </w:pPr>
          </w:p>
        </w:tc>
        <w:tc>
          <w:tcPr>
            <w:tcW w:w="1000" w:type="dxa"/>
            <w:vAlign w:val="bottom"/>
            <w:gridSpan w:val="4"/>
          </w:tcPr>
          <w:p>
            <w:pPr>
              <w:jc w:val="right"/>
              <w:ind w:right="40"/>
              <w:spacing w:after="0" w:line="184"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5"/>
                <w:szCs w:val="15"/>
                <w:color w:val="auto"/>
              </w:rPr>
            </w:pPr>
          </w:p>
        </w:tc>
        <w:tc>
          <w:tcPr>
            <w:tcW w:w="100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17,487</w:t>
            </w:r>
          </w:p>
        </w:tc>
      </w:tr>
      <w:tr>
        <w:trPr>
          <w:trHeight w:val="20"/>
        </w:trPr>
        <w:tc>
          <w:tcPr>
            <w:tcW w:w="2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r>
      <w:tr>
        <w:trPr>
          <w:trHeight w:val="196"/>
        </w:trPr>
        <w:tc>
          <w:tcPr>
            <w:tcW w:w="2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40" w:type="dxa"/>
            <w:vAlign w:val="bottom"/>
            <w:gridSpan w:val="5"/>
          </w:tcPr>
          <w:p>
            <w:pPr>
              <w:jc w:val="right"/>
              <w:spacing w:after="0" w:line="196" w:lineRule="exact"/>
              <w:rPr>
                <w:sz w:val="20"/>
                <w:szCs w:val="20"/>
                <w:color w:val="auto"/>
              </w:rPr>
            </w:pPr>
            <w:r>
              <w:rPr>
                <w:rFonts w:ascii="Arial" w:cs="Arial" w:eastAsia="Arial" w:hAnsi="Arial"/>
                <w:sz w:val="18"/>
                <w:szCs w:val="18"/>
                <w:color w:val="auto"/>
              </w:rPr>
              <w:t>100,480</w:t>
            </w:r>
          </w:p>
        </w:tc>
        <w:tc>
          <w:tcPr>
            <w:tcW w:w="140" w:type="dxa"/>
            <w:vAlign w:val="bottom"/>
          </w:tcPr>
          <w:p>
            <w:pPr>
              <w:spacing w:after="0"/>
              <w:rPr>
                <w:sz w:val="17"/>
                <w:szCs w:val="17"/>
                <w:color w:val="auto"/>
              </w:rPr>
            </w:pPr>
          </w:p>
        </w:tc>
        <w:tc>
          <w:tcPr>
            <w:tcW w:w="10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124,562</w:t>
            </w:r>
          </w:p>
        </w:tc>
        <w:tc>
          <w:tcPr>
            <w:tcW w:w="220" w:type="dxa"/>
            <w:vAlign w:val="bottom"/>
          </w:tcPr>
          <w:p>
            <w:pPr>
              <w:spacing w:after="0"/>
              <w:rPr>
                <w:sz w:val="17"/>
                <w:szCs w:val="17"/>
                <w:color w:val="auto"/>
              </w:rPr>
            </w:pPr>
          </w:p>
        </w:tc>
        <w:tc>
          <w:tcPr>
            <w:tcW w:w="1040" w:type="dxa"/>
            <w:vAlign w:val="bottom"/>
            <w:gridSpan w:val="5"/>
          </w:tcPr>
          <w:p>
            <w:pPr>
              <w:jc w:val="right"/>
              <w:ind w:right="120"/>
              <w:spacing w:after="0" w:line="196" w:lineRule="exact"/>
              <w:rPr>
                <w:sz w:val="20"/>
                <w:szCs w:val="20"/>
                <w:color w:val="auto"/>
              </w:rPr>
            </w:pPr>
            <w:r>
              <w:rPr>
                <w:rFonts w:ascii="Arial" w:cs="Arial" w:eastAsia="Arial" w:hAnsi="Arial"/>
                <w:sz w:val="18"/>
                <w:szCs w:val="18"/>
                <w:color w:val="auto"/>
              </w:rPr>
              <w:t>114,379</w:t>
            </w:r>
          </w:p>
        </w:tc>
        <w:tc>
          <w:tcPr>
            <w:tcW w:w="1140" w:type="dxa"/>
            <w:vAlign w:val="bottom"/>
            <w:gridSpan w:val="5"/>
          </w:tcPr>
          <w:p>
            <w:pPr>
              <w:jc w:val="right"/>
              <w:ind w:right="140"/>
              <w:spacing w:after="0" w:line="196" w:lineRule="exact"/>
              <w:rPr>
                <w:sz w:val="20"/>
                <w:szCs w:val="20"/>
                <w:color w:val="auto"/>
              </w:rPr>
            </w:pPr>
            <w:r>
              <w:rPr>
                <w:rFonts w:ascii="Arial" w:cs="Arial" w:eastAsia="Arial" w:hAnsi="Arial"/>
                <w:sz w:val="18"/>
                <w:szCs w:val="18"/>
                <w:color w:val="auto"/>
              </w:rPr>
              <w:t>200,996</w:t>
            </w:r>
          </w:p>
        </w:tc>
        <w:tc>
          <w:tcPr>
            <w:tcW w:w="100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238,941</w:t>
            </w:r>
          </w:p>
        </w:tc>
      </w:tr>
      <w:tr>
        <w:trPr>
          <w:trHeight w:val="20"/>
        </w:trPr>
        <w:tc>
          <w:tcPr>
            <w:tcW w:w="48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r>
      <w:tr>
        <w:trPr>
          <w:trHeight w:val="478"/>
        </w:trPr>
        <w:tc>
          <w:tcPr>
            <w:tcW w:w="4820" w:type="dxa"/>
            <w:vAlign w:val="bottom"/>
            <w:gridSpan w:val="3"/>
          </w:tcPr>
          <w:p>
            <w:pPr>
              <w:spacing w:after="0"/>
              <w:rPr>
                <w:sz w:val="20"/>
                <w:szCs w:val="20"/>
                <w:color w:val="auto"/>
              </w:rPr>
            </w:pPr>
            <w:r>
              <w:rPr>
                <w:rFonts w:ascii="Arial" w:cs="Arial" w:eastAsia="Arial" w:hAnsi="Arial"/>
                <w:sz w:val="18"/>
                <w:szCs w:val="18"/>
                <w:color w:val="auto"/>
              </w:rPr>
              <w:t>Translation result</w:t>
            </w:r>
          </w:p>
        </w:tc>
        <w:tc>
          <w:tcPr>
            <w:tcW w:w="1480" w:type="dxa"/>
            <w:vAlign w:val="bottom"/>
          </w:tcPr>
          <w:p>
            <w:pPr>
              <w:spacing w:after="0"/>
              <w:rPr>
                <w:sz w:val="24"/>
                <w:szCs w:val="24"/>
                <w:color w:val="auto"/>
              </w:rPr>
            </w:pPr>
          </w:p>
        </w:tc>
        <w:tc>
          <w:tcPr>
            <w:tcW w:w="700" w:type="dxa"/>
            <w:vAlign w:val="bottom"/>
            <w:gridSpan w:val="5"/>
          </w:tcPr>
          <w:p>
            <w:pPr>
              <w:jc w:val="right"/>
              <w:ind w:right="140"/>
              <w:spacing w:after="0"/>
              <w:rPr>
                <w:sz w:val="20"/>
                <w:szCs w:val="20"/>
                <w:color w:val="auto"/>
              </w:rPr>
            </w:pPr>
            <w:r>
              <w:rPr>
                <w:rFonts w:ascii="Arial" w:cs="Arial" w:eastAsia="Arial" w:hAnsi="Arial"/>
                <w:sz w:val="18"/>
                <w:szCs w:val="18"/>
                <w:color w:val="auto"/>
              </w:rPr>
              <w:t>(59)</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(6,723)</w:t>
            </w: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2,605</w:t>
            </w:r>
          </w:p>
        </w:tc>
        <w:tc>
          <w:tcPr>
            <w:tcW w:w="120" w:type="dxa"/>
            <w:vAlign w:val="bottom"/>
          </w:tcPr>
          <w:p>
            <w:pPr>
              <w:spacing w:after="0"/>
              <w:rPr>
                <w:sz w:val="24"/>
                <w:szCs w:val="24"/>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(1,966)</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(4,118)</w:t>
            </w:r>
          </w:p>
        </w:tc>
      </w:tr>
      <w:tr>
        <w:trPr>
          <w:trHeight w:val="459"/>
        </w:trPr>
        <w:tc>
          <w:tcPr>
            <w:tcW w:w="4820" w:type="dxa"/>
            <w:vAlign w:val="bottom"/>
            <w:gridSpan w:val="3"/>
          </w:tcPr>
          <w:p>
            <w:pPr>
              <w:spacing w:after="0"/>
              <w:rPr>
                <w:sz w:val="20"/>
                <w:szCs w:val="20"/>
                <w:color w:val="auto"/>
              </w:rPr>
            </w:pPr>
            <w:r>
              <w:rPr>
                <w:rFonts w:ascii="Arial" w:cs="Arial" w:eastAsia="Arial" w:hAnsi="Arial"/>
                <w:sz w:val="18"/>
                <w:szCs w:val="18"/>
                <w:b w:val="1"/>
                <w:bCs w:val="1"/>
                <w:color w:val="auto"/>
              </w:rPr>
              <w:t>Income before income tax, and minority interest</w:t>
            </w:r>
          </w:p>
        </w:tc>
        <w:tc>
          <w:tcPr>
            <w:tcW w:w="2040" w:type="dxa"/>
            <w:vAlign w:val="bottom"/>
            <w:gridSpan w:val="5"/>
          </w:tcPr>
          <w:p>
            <w:pPr>
              <w:jc w:val="right"/>
              <w:spacing w:after="0"/>
              <w:rPr>
                <w:sz w:val="20"/>
                <w:szCs w:val="20"/>
                <w:color w:val="auto"/>
              </w:rPr>
            </w:pPr>
            <w:r>
              <w:rPr>
                <w:rFonts w:ascii="Arial" w:cs="Arial" w:eastAsia="Arial" w:hAnsi="Arial"/>
                <w:sz w:val="18"/>
                <w:szCs w:val="18"/>
                <w:b w:val="1"/>
                <w:bCs w:val="1"/>
                <w:color w:val="auto"/>
              </w:rPr>
              <w:t>22,173</w:t>
            </w:r>
          </w:p>
        </w:tc>
        <w:tc>
          <w:tcPr>
            <w:tcW w:w="14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b w:val="1"/>
                <w:bCs w:val="1"/>
                <w:color w:val="auto"/>
              </w:rPr>
              <w:t>10,638</w:t>
            </w: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b w:val="1"/>
                <w:bCs w:val="1"/>
                <w:color w:val="auto"/>
              </w:rPr>
              <w:t>40,732</w:t>
            </w:r>
          </w:p>
        </w:tc>
        <w:tc>
          <w:tcPr>
            <w:tcW w:w="120" w:type="dxa"/>
            <w:vAlign w:val="bottom"/>
          </w:tcPr>
          <w:p>
            <w:pPr>
              <w:spacing w:after="0"/>
              <w:rPr>
                <w:sz w:val="24"/>
                <w:szCs w:val="24"/>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49,024</w:t>
            </w:r>
          </w:p>
        </w:tc>
        <w:tc>
          <w:tcPr>
            <w:tcW w:w="1000" w:type="dxa"/>
            <w:vAlign w:val="bottom"/>
            <w:gridSpan w:val="4"/>
          </w:tcPr>
          <w:p>
            <w:pPr>
              <w:jc w:val="right"/>
              <w:spacing w:after="0"/>
              <w:rPr>
                <w:sz w:val="20"/>
                <w:szCs w:val="20"/>
                <w:color w:val="auto"/>
              </w:rPr>
            </w:pPr>
            <w:r>
              <w:rPr>
                <w:rFonts w:ascii="Arial" w:cs="Arial" w:eastAsia="Arial" w:hAnsi="Arial"/>
                <w:sz w:val="18"/>
                <w:szCs w:val="18"/>
                <w:b w:val="1"/>
                <w:bCs w:val="1"/>
                <w:color w:val="auto"/>
              </w:rPr>
              <w:t>51,370</w:t>
            </w:r>
          </w:p>
        </w:tc>
      </w:tr>
      <w:tr>
        <w:trPr>
          <w:trHeight w:val="453"/>
        </w:trPr>
        <w:tc>
          <w:tcPr>
            <w:tcW w:w="4820" w:type="dxa"/>
            <w:vAlign w:val="bottom"/>
            <w:gridSpan w:val="3"/>
          </w:tcPr>
          <w:p>
            <w:pPr>
              <w:spacing w:after="0"/>
              <w:rPr>
                <w:sz w:val="20"/>
                <w:szCs w:val="20"/>
                <w:color w:val="auto"/>
              </w:rPr>
            </w:pPr>
            <w:r>
              <w:rPr>
                <w:rFonts w:ascii="Arial" w:cs="Arial" w:eastAsia="Arial" w:hAnsi="Arial"/>
                <w:sz w:val="18"/>
                <w:szCs w:val="18"/>
                <w:color w:val="auto"/>
              </w:rPr>
              <w:t>Income Tax</w:t>
            </w:r>
          </w:p>
        </w:tc>
        <w:tc>
          <w:tcPr>
            <w:tcW w:w="2180" w:type="dxa"/>
            <w:vAlign w:val="bottom"/>
            <w:gridSpan w:val="6"/>
          </w:tcPr>
          <w:p>
            <w:pPr>
              <w:jc w:val="right"/>
              <w:ind w:right="140"/>
              <w:spacing w:after="0"/>
              <w:rPr>
                <w:sz w:val="20"/>
                <w:szCs w:val="20"/>
                <w:color w:val="auto"/>
              </w:rPr>
            </w:pPr>
            <w:r>
              <w:rPr>
                <w:rFonts w:ascii="Arial" w:cs="Arial" w:eastAsia="Arial" w:hAnsi="Arial"/>
                <w:sz w:val="18"/>
                <w:szCs w:val="18"/>
                <w:color w:val="auto"/>
              </w:rPr>
              <w:t>(9,075)</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(6,789)</w:t>
            </w:r>
          </w:p>
        </w:tc>
        <w:tc>
          <w:tcPr>
            <w:tcW w:w="220" w:type="dxa"/>
            <w:vAlign w:val="bottom"/>
          </w:tcPr>
          <w:p>
            <w:pPr>
              <w:spacing w:after="0"/>
              <w:rPr>
                <w:sz w:val="24"/>
                <w:szCs w:val="24"/>
                <w:color w:val="auto"/>
              </w:rPr>
            </w:pPr>
          </w:p>
        </w:tc>
        <w:tc>
          <w:tcPr>
            <w:tcW w:w="1040" w:type="dxa"/>
            <w:vAlign w:val="bottom"/>
            <w:gridSpan w:val="5"/>
          </w:tcPr>
          <w:p>
            <w:pPr>
              <w:jc w:val="right"/>
              <w:ind w:right="120"/>
              <w:spacing w:after="0"/>
              <w:rPr>
                <w:sz w:val="20"/>
                <w:szCs w:val="20"/>
                <w:color w:val="auto"/>
              </w:rPr>
            </w:pPr>
            <w:r>
              <w:rPr>
                <w:rFonts w:ascii="Arial" w:cs="Arial" w:eastAsia="Arial" w:hAnsi="Arial"/>
                <w:sz w:val="18"/>
                <w:szCs w:val="18"/>
                <w:color w:val="auto"/>
              </w:rPr>
              <w:t>(9,821)</w:t>
            </w: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(17,832)</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(16,610)</w:t>
            </w:r>
          </w:p>
        </w:tc>
      </w:tr>
      <w:tr>
        <w:trPr>
          <w:trHeight w:val="222"/>
        </w:trPr>
        <w:tc>
          <w:tcPr>
            <w:tcW w:w="4820" w:type="dxa"/>
            <w:vAlign w:val="bottom"/>
            <w:gridSpan w:val="3"/>
          </w:tcPr>
          <w:p>
            <w:pPr>
              <w:spacing w:after="0"/>
              <w:rPr>
                <w:sz w:val="20"/>
                <w:szCs w:val="20"/>
                <w:color w:val="auto"/>
              </w:rPr>
            </w:pPr>
            <w:r>
              <w:rPr>
                <w:rFonts w:ascii="Arial" w:cs="Arial" w:eastAsia="Arial" w:hAnsi="Arial"/>
                <w:sz w:val="18"/>
                <w:szCs w:val="18"/>
                <w:color w:val="auto"/>
              </w:rPr>
              <w:t>Minority Interest</w:t>
            </w:r>
          </w:p>
        </w:tc>
        <w:tc>
          <w:tcPr>
            <w:tcW w:w="2180" w:type="dxa"/>
            <w:vAlign w:val="bottom"/>
            <w:gridSpan w:val="6"/>
          </w:tcPr>
          <w:p>
            <w:pPr>
              <w:jc w:val="right"/>
              <w:ind w:right="140"/>
              <w:spacing w:after="0"/>
              <w:rPr>
                <w:sz w:val="20"/>
                <w:szCs w:val="20"/>
                <w:color w:val="auto"/>
              </w:rPr>
            </w:pPr>
            <w:r>
              <w:rPr>
                <w:rFonts w:ascii="Arial" w:cs="Arial" w:eastAsia="Arial" w:hAnsi="Arial"/>
                <w:sz w:val="18"/>
                <w:szCs w:val="18"/>
                <w:color w:val="auto"/>
              </w:rPr>
              <w:t>(2,075)</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(1,357)</w:t>
            </w:r>
          </w:p>
        </w:tc>
        <w:tc>
          <w:tcPr>
            <w:tcW w:w="220" w:type="dxa"/>
            <w:vAlign w:val="bottom"/>
          </w:tcPr>
          <w:p>
            <w:pPr>
              <w:spacing w:after="0"/>
              <w:rPr>
                <w:sz w:val="19"/>
                <w:szCs w:val="19"/>
                <w:color w:val="auto"/>
              </w:rPr>
            </w:pPr>
          </w:p>
        </w:tc>
        <w:tc>
          <w:tcPr>
            <w:tcW w:w="1040" w:type="dxa"/>
            <w:vAlign w:val="bottom"/>
            <w:gridSpan w:val="5"/>
          </w:tcPr>
          <w:p>
            <w:pPr>
              <w:jc w:val="right"/>
              <w:ind w:right="120"/>
              <w:spacing w:after="0"/>
              <w:rPr>
                <w:sz w:val="20"/>
                <w:szCs w:val="20"/>
                <w:color w:val="auto"/>
              </w:rPr>
            </w:pPr>
            <w:r>
              <w:rPr>
                <w:rFonts w:ascii="Arial" w:cs="Arial" w:eastAsia="Arial" w:hAnsi="Arial"/>
                <w:sz w:val="18"/>
                <w:szCs w:val="18"/>
                <w:color w:val="auto"/>
              </w:rPr>
              <w:t>(2,602)</w:t>
            </w: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(5,406)</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(3,959)</w:t>
            </w:r>
          </w:p>
        </w:tc>
      </w:tr>
      <w:tr>
        <w:trPr>
          <w:trHeight w:val="459"/>
        </w:trPr>
        <w:tc>
          <w:tcPr>
            <w:tcW w:w="2160" w:type="dxa"/>
            <w:vAlign w:val="bottom"/>
          </w:tcPr>
          <w:p>
            <w:pPr>
              <w:spacing w:after="0"/>
              <w:rPr>
                <w:sz w:val="24"/>
                <w:szCs w:val="24"/>
                <w:color w:val="auto"/>
              </w:rPr>
            </w:pPr>
          </w:p>
        </w:tc>
        <w:tc>
          <w:tcPr>
            <w:tcW w:w="266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rPr>
              <w:t>NET INCOME</w:t>
            </w:r>
          </w:p>
        </w:tc>
        <w:tc>
          <w:tcPr>
            <w:tcW w:w="218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11,023</w:t>
            </w:r>
          </w:p>
        </w:tc>
        <w:tc>
          <w:tcPr>
            <w:tcW w:w="1020" w:type="dxa"/>
            <w:vAlign w:val="bottom"/>
            <w:gridSpan w:val="4"/>
          </w:tcPr>
          <w:p>
            <w:pPr>
              <w:jc w:val="right"/>
              <w:spacing w:after="0"/>
              <w:rPr>
                <w:sz w:val="20"/>
                <w:szCs w:val="20"/>
                <w:color w:val="auto"/>
              </w:rPr>
            </w:pPr>
            <w:r>
              <w:rPr>
                <w:rFonts w:ascii="Arial" w:cs="Arial" w:eastAsia="Arial" w:hAnsi="Arial"/>
                <w:sz w:val="18"/>
                <w:szCs w:val="18"/>
                <w:b w:val="1"/>
                <w:bCs w:val="1"/>
                <w:color w:val="auto"/>
              </w:rPr>
              <w:t>2,492</w:t>
            </w:r>
          </w:p>
        </w:tc>
        <w:tc>
          <w:tcPr>
            <w:tcW w:w="22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b w:val="1"/>
                <w:bCs w:val="1"/>
                <w:color w:val="auto"/>
              </w:rPr>
              <w:t>28,309</w:t>
            </w:r>
          </w:p>
        </w:tc>
        <w:tc>
          <w:tcPr>
            <w:tcW w:w="120" w:type="dxa"/>
            <w:vAlign w:val="bottom"/>
          </w:tcPr>
          <w:p>
            <w:pPr>
              <w:spacing w:after="0"/>
              <w:rPr>
                <w:sz w:val="24"/>
                <w:szCs w:val="24"/>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25,786</w:t>
            </w:r>
          </w:p>
        </w:tc>
        <w:tc>
          <w:tcPr>
            <w:tcW w:w="1000" w:type="dxa"/>
            <w:vAlign w:val="bottom"/>
            <w:gridSpan w:val="4"/>
          </w:tcPr>
          <w:p>
            <w:pPr>
              <w:jc w:val="right"/>
              <w:spacing w:after="0"/>
              <w:rPr>
                <w:sz w:val="20"/>
                <w:szCs w:val="20"/>
                <w:color w:val="auto"/>
              </w:rPr>
            </w:pPr>
            <w:r>
              <w:rPr>
                <w:rFonts w:ascii="Arial" w:cs="Arial" w:eastAsia="Arial" w:hAnsi="Arial"/>
                <w:sz w:val="18"/>
                <w:szCs w:val="18"/>
                <w:b w:val="1"/>
                <w:bCs w:val="1"/>
                <w:color w:val="auto"/>
              </w:rPr>
              <w:t>30,801</w:t>
            </w:r>
          </w:p>
        </w:tc>
      </w:tr>
      <w:tr>
        <w:trPr>
          <w:trHeight w:val="110"/>
        </w:trPr>
        <w:tc>
          <w:tcPr>
            <w:tcW w:w="21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3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Table 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SELECTED FINANCIAL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38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Three months ended</w:t>
            </w:r>
          </w:p>
        </w:tc>
        <w:tc>
          <w:tcPr>
            <w:tcW w:w="1040" w:type="dxa"/>
            <w:vAlign w:val="bottom"/>
          </w:tcPr>
          <w:p>
            <w:pPr>
              <w:spacing w:after="0"/>
              <w:rPr>
                <w:sz w:val="19"/>
                <w:szCs w:val="19"/>
                <w:color w:val="auto"/>
              </w:rPr>
            </w:pPr>
          </w:p>
        </w:tc>
        <w:tc>
          <w:tcPr>
            <w:tcW w:w="2040" w:type="dxa"/>
            <w:vAlign w:val="bottom"/>
            <w:gridSpan w:val="2"/>
          </w:tcPr>
          <w:p>
            <w:pPr>
              <w:ind w:left="24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160" w:type="dxa"/>
            <w:vAlign w:val="bottom"/>
          </w:tcPr>
          <w:p>
            <w:pPr>
              <w:jc w:val="right"/>
              <w:ind w:right="212"/>
              <w:spacing w:after="0"/>
              <w:rPr>
                <w:sz w:val="20"/>
                <w:szCs w:val="20"/>
                <w:color w:val="auto"/>
              </w:rPr>
            </w:pPr>
            <w:r>
              <w:rPr>
                <w:rFonts w:ascii="Arial" w:cs="Arial" w:eastAsia="Arial" w:hAnsi="Arial"/>
                <w:sz w:val="18"/>
                <w:szCs w:val="18"/>
                <w:b w:val="1"/>
                <w:bCs w:val="1"/>
                <w:color w:val="auto"/>
              </w:rPr>
              <w:t>30.06.02</w:t>
            </w:r>
          </w:p>
        </w:tc>
        <w:tc>
          <w:tcPr>
            <w:tcW w:w="1220" w:type="dxa"/>
            <w:vAlign w:val="bottom"/>
          </w:tcPr>
          <w:p>
            <w:pPr>
              <w:jc w:val="right"/>
              <w:ind w:right="272"/>
              <w:spacing w:after="0"/>
              <w:rPr>
                <w:sz w:val="20"/>
                <w:szCs w:val="20"/>
                <w:color w:val="auto"/>
              </w:rPr>
            </w:pPr>
            <w:r>
              <w:rPr>
                <w:rFonts w:ascii="Arial" w:cs="Arial" w:eastAsia="Arial" w:hAnsi="Arial"/>
                <w:sz w:val="18"/>
                <w:szCs w:val="18"/>
                <w:b w:val="1"/>
                <w:bCs w:val="1"/>
                <w:color w:val="auto"/>
              </w:rPr>
              <w:t>31.03.03</w:t>
            </w: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rPr>
              <w:t>30.06.03</w:t>
            </w:r>
          </w:p>
        </w:tc>
        <w:tc>
          <w:tcPr>
            <w:tcW w:w="1160" w:type="dxa"/>
            <w:vAlign w:val="bottom"/>
          </w:tcPr>
          <w:p>
            <w:pPr>
              <w:ind w:left="240"/>
              <w:spacing w:after="0"/>
              <w:rPr>
                <w:sz w:val="20"/>
                <w:szCs w:val="20"/>
                <w:color w:val="auto"/>
              </w:rPr>
            </w:pPr>
            <w:r>
              <w:rPr>
                <w:rFonts w:ascii="Arial" w:cs="Arial" w:eastAsia="Arial" w:hAnsi="Arial"/>
                <w:sz w:val="18"/>
                <w:szCs w:val="18"/>
                <w:b w:val="1"/>
                <w:bCs w:val="1"/>
                <w:color w:val="auto"/>
              </w:rPr>
              <w:t>30.06.02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30.06.03</w:t>
            </w:r>
          </w:p>
        </w:tc>
      </w:tr>
      <w:tr>
        <w:trPr>
          <w:trHeight w:val="110"/>
        </w:trPr>
        <w:tc>
          <w:tcPr>
            <w:tcW w:w="9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r>
      <w:tr>
        <w:trPr>
          <w:trHeight w:val="277"/>
        </w:trPr>
        <w:tc>
          <w:tcPr>
            <w:tcW w:w="4960" w:type="dxa"/>
            <w:vAlign w:val="bottom"/>
            <w:gridSpan w:val="6"/>
          </w:tcPr>
          <w:p>
            <w:pPr>
              <w:spacing w:after="0"/>
              <w:rPr>
                <w:sz w:val="20"/>
                <w:szCs w:val="20"/>
                <w:color w:val="auto"/>
              </w:rPr>
            </w:pPr>
            <w:r>
              <w:rPr>
                <w:rFonts w:ascii="Arial" w:cs="Arial" w:eastAsia="Arial" w:hAnsi="Arial"/>
                <w:sz w:val="18"/>
                <w:szCs w:val="18"/>
                <w:b w:val="1"/>
                <w:bCs w:val="1"/>
                <w:color w:val="auto"/>
              </w:rPr>
              <w:t>Profitability</w:t>
            </w: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8"/>
        </w:trPr>
        <w:tc>
          <w:tcPr>
            <w:tcW w:w="4960" w:type="dxa"/>
            <w:vAlign w:val="bottom"/>
            <w:gridSpan w:val="6"/>
          </w:tcPr>
          <w:p>
            <w:pPr>
              <w:spacing w:after="0"/>
              <w:rPr>
                <w:sz w:val="20"/>
                <w:szCs w:val="20"/>
                <w:color w:val="auto"/>
              </w:rPr>
            </w:pPr>
            <w:r>
              <w:rPr>
                <w:rFonts w:ascii="Arial" w:cs="Arial" w:eastAsia="Arial" w:hAnsi="Arial"/>
                <w:sz w:val="18"/>
                <w:szCs w:val="18"/>
                <w:color w:val="auto"/>
              </w:rPr>
              <w:t>Net income per common share (US$ per share)(1)</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0.138</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0.031</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0.355</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0.323</w:t>
            </w:r>
          </w:p>
        </w:tc>
        <w:tc>
          <w:tcPr>
            <w:tcW w:w="880" w:type="dxa"/>
            <w:vAlign w:val="bottom"/>
          </w:tcPr>
          <w:p>
            <w:pPr>
              <w:jc w:val="right"/>
              <w:spacing w:after="0"/>
              <w:rPr>
                <w:sz w:val="20"/>
                <w:szCs w:val="20"/>
                <w:color w:val="auto"/>
              </w:rPr>
            </w:pPr>
            <w:r>
              <w:rPr>
                <w:rFonts w:ascii="Arial" w:cs="Arial" w:eastAsia="Arial" w:hAnsi="Arial"/>
                <w:sz w:val="18"/>
                <w:szCs w:val="18"/>
                <w:color w:val="auto"/>
              </w:rPr>
              <w:t>0.386</w:t>
            </w:r>
          </w:p>
        </w:tc>
      </w:tr>
      <w:tr>
        <w:trPr>
          <w:trHeight w:val="216"/>
        </w:trPr>
        <w:tc>
          <w:tcPr>
            <w:tcW w:w="4960" w:type="dxa"/>
            <w:vAlign w:val="bottom"/>
            <w:gridSpan w:val="6"/>
          </w:tcPr>
          <w:p>
            <w:pPr>
              <w:spacing w:after="0"/>
              <w:rPr>
                <w:sz w:val="20"/>
                <w:szCs w:val="20"/>
                <w:color w:val="auto"/>
              </w:rPr>
            </w:pPr>
            <w:r>
              <w:rPr>
                <w:rFonts w:ascii="Arial" w:cs="Arial" w:eastAsia="Arial" w:hAnsi="Arial"/>
                <w:sz w:val="18"/>
                <w:szCs w:val="18"/>
                <w:color w:val="auto"/>
              </w:rPr>
              <w:t>Net interest margin on interest earning assets (2)</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6.00%</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5.17%</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5.32%</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5.88%</w:t>
            </w:r>
          </w:p>
        </w:tc>
        <w:tc>
          <w:tcPr>
            <w:tcW w:w="88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16"/>
        </w:trPr>
        <w:tc>
          <w:tcPr>
            <w:tcW w:w="4960" w:type="dxa"/>
            <w:vAlign w:val="bottom"/>
            <w:gridSpan w:val="6"/>
          </w:tcPr>
          <w:p>
            <w:pPr>
              <w:spacing w:after="0"/>
              <w:rPr>
                <w:sz w:val="20"/>
                <w:szCs w:val="20"/>
                <w:color w:val="auto"/>
              </w:rPr>
            </w:pPr>
            <w:r>
              <w:rPr>
                <w:rFonts w:ascii="Arial" w:cs="Arial" w:eastAsia="Arial" w:hAnsi="Arial"/>
                <w:sz w:val="18"/>
                <w:szCs w:val="18"/>
                <w:color w:val="auto"/>
              </w:rPr>
              <w:t>Return on average total assets (2)(3)</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0.60%</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0.12%</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1.35%</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0.69%</w:t>
            </w:r>
          </w:p>
        </w:tc>
        <w:tc>
          <w:tcPr>
            <w:tcW w:w="88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216"/>
        </w:trPr>
        <w:tc>
          <w:tcPr>
            <w:tcW w:w="4960" w:type="dxa"/>
            <w:vAlign w:val="bottom"/>
            <w:gridSpan w:val="6"/>
          </w:tcPr>
          <w:p>
            <w:pPr>
              <w:spacing w:after="0"/>
              <w:rPr>
                <w:sz w:val="20"/>
                <w:szCs w:val="20"/>
                <w:color w:val="auto"/>
              </w:rPr>
            </w:pPr>
            <w:r>
              <w:rPr>
                <w:rFonts w:ascii="Arial" w:cs="Arial" w:eastAsia="Arial" w:hAnsi="Arial"/>
                <w:sz w:val="18"/>
                <w:szCs w:val="18"/>
                <w:color w:val="auto"/>
              </w:rPr>
              <w:t>Return on average shareholders' equity (2)(3)</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5.50%</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1.22%</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13.61%</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6.45%</w:t>
            </w:r>
          </w:p>
        </w:tc>
        <w:tc>
          <w:tcPr>
            <w:tcW w:w="880" w:type="dxa"/>
            <w:vAlign w:val="bottom"/>
          </w:tcPr>
          <w:p>
            <w:pPr>
              <w:jc w:val="right"/>
              <w:spacing w:after="0"/>
              <w:rPr>
                <w:sz w:val="20"/>
                <w:szCs w:val="20"/>
                <w:color w:val="auto"/>
              </w:rPr>
            </w:pPr>
            <w:r>
              <w:rPr>
                <w:rFonts w:ascii="Arial" w:cs="Arial" w:eastAsia="Arial" w:hAnsi="Arial"/>
                <w:sz w:val="18"/>
                <w:szCs w:val="18"/>
                <w:color w:val="auto"/>
              </w:rPr>
              <w:t>7.34%</w:t>
            </w:r>
          </w:p>
        </w:tc>
      </w:tr>
      <w:tr>
        <w:trPr>
          <w:trHeight w:val="222"/>
        </w:trPr>
        <w:tc>
          <w:tcPr>
            <w:tcW w:w="4960" w:type="dxa"/>
            <w:vAlign w:val="bottom"/>
            <w:gridSpan w:val="6"/>
          </w:tcPr>
          <w:p>
            <w:pPr>
              <w:spacing w:after="0"/>
              <w:rPr>
                <w:sz w:val="20"/>
                <w:szCs w:val="20"/>
                <w:color w:val="auto"/>
              </w:rPr>
            </w:pPr>
            <w:r>
              <w:rPr>
                <w:rFonts w:ascii="Arial" w:cs="Arial" w:eastAsia="Arial" w:hAnsi="Arial"/>
                <w:sz w:val="18"/>
                <w:szCs w:val="18"/>
                <w:color w:val="auto"/>
              </w:rPr>
              <w:t>No. of outstanding shares (millions)(4)</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79.75</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79.75</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79.75</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79.75</w:t>
            </w:r>
          </w:p>
        </w:tc>
        <w:tc>
          <w:tcPr>
            <w:tcW w:w="880" w:type="dxa"/>
            <w:vAlign w:val="bottom"/>
          </w:tcPr>
          <w:p>
            <w:pPr>
              <w:jc w:val="right"/>
              <w:spacing w:after="0"/>
              <w:rPr>
                <w:sz w:val="20"/>
                <w:szCs w:val="20"/>
                <w:color w:val="auto"/>
              </w:rPr>
            </w:pPr>
            <w:r>
              <w:rPr>
                <w:rFonts w:ascii="Arial" w:cs="Arial" w:eastAsia="Arial" w:hAnsi="Arial"/>
                <w:sz w:val="18"/>
                <w:szCs w:val="18"/>
                <w:color w:val="auto"/>
              </w:rPr>
              <w:t>79.75</w:t>
            </w:r>
          </w:p>
        </w:tc>
      </w:tr>
      <w:tr>
        <w:trPr>
          <w:trHeight w:val="421"/>
        </w:trPr>
        <w:tc>
          <w:tcPr>
            <w:tcW w:w="4960" w:type="dxa"/>
            <w:vAlign w:val="bottom"/>
            <w:gridSpan w:val="6"/>
          </w:tcPr>
          <w:p>
            <w:pPr>
              <w:spacing w:after="0"/>
              <w:rPr>
                <w:sz w:val="20"/>
                <w:szCs w:val="20"/>
                <w:color w:val="auto"/>
              </w:rPr>
            </w:pPr>
            <w:r>
              <w:rPr>
                <w:rFonts w:ascii="Arial" w:cs="Arial" w:eastAsia="Arial" w:hAnsi="Arial"/>
                <w:sz w:val="18"/>
                <w:szCs w:val="18"/>
                <w:b w:val="1"/>
                <w:bCs w:val="1"/>
                <w:color w:val="auto"/>
              </w:rPr>
              <w:t>Quality of loan portfolio</w:t>
            </w: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13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8"/>
        </w:trPr>
        <w:tc>
          <w:tcPr>
            <w:tcW w:w="4960" w:type="dxa"/>
            <w:vAlign w:val="bottom"/>
            <w:gridSpan w:val="6"/>
          </w:tcPr>
          <w:p>
            <w:pPr>
              <w:spacing w:after="0"/>
              <w:rPr>
                <w:sz w:val="20"/>
                <w:szCs w:val="20"/>
                <w:color w:val="auto"/>
              </w:rPr>
            </w:pPr>
            <w:r>
              <w:rPr>
                <w:rFonts w:ascii="Arial" w:cs="Arial" w:eastAsia="Arial" w:hAnsi="Arial"/>
                <w:sz w:val="18"/>
                <w:szCs w:val="18"/>
                <w:color w:val="auto"/>
              </w:rPr>
              <w:t>Past due loans as a percentage of total loans</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7.82%</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8.28%</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7.86%</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7.82%</w:t>
            </w:r>
          </w:p>
        </w:tc>
        <w:tc>
          <w:tcPr>
            <w:tcW w:w="880" w:type="dxa"/>
            <w:vAlign w:val="bottom"/>
          </w:tcPr>
          <w:p>
            <w:pPr>
              <w:jc w:val="right"/>
              <w:spacing w:after="0"/>
              <w:rPr>
                <w:sz w:val="20"/>
                <w:szCs w:val="20"/>
                <w:color w:val="auto"/>
              </w:rPr>
            </w:pPr>
            <w:r>
              <w:rPr>
                <w:rFonts w:ascii="Arial" w:cs="Arial" w:eastAsia="Arial" w:hAnsi="Arial"/>
                <w:sz w:val="18"/>
                <w:szCs w:val="18"/>
                <w:color w:val="auto"/>
              </w:rPr>
              <w:t>7.86%</w:t>
            </w:r>
          </w:p>
        </w:tc>
      </w:tr>
      <w:tr>
        <w:trPr>
          <w:trHeight w:val="216"/>
        </w:trPr>
        <w:tc>
          <w:tcPr>
            <w:tcW w:w="4960" w:type="dxa"/>
            <w:vAlign w:val="bottom"/>
            <w:gridSpan w:val="6"/>
          </w:tcPr>
          <w:p>
            <w:pPr>
              <w:spacing w:after="0"/>
              <w:rPr>
                <w:sz w:val="20"/>
                <w:szCs w:val="20"/>
                <w:color w:val="auto"/>
              </w:rPr>
            </w:pPr>
            <w:r>
              <w:rPr>
                <w:rFonts w:ascii="Arial" w:cs="Arial" w:eastAsia="Arial" w:hAnsi="Arial"/>
                <w:sz w:val="18"/>
                <w:szCs w:val="18"/>
                <w:color w:val="auto"/>
              </w:rPr>
              <w:t>Reserves for loan losses as a percentage of</w:t>
            </w: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960" w:type="dxa"/>
            <w:vAlign w:val="bottom"/>
            <w:gridSpan w:val="6"/>
          </w:tcPr>
          <w:p>
            <w:pPr>
              <w:spacing w:after="0"/>
              <w:rPr>
                <w:sz w:val="20"/>
                <w:szCs w:val="20"/>
                <w:color w:val="auto"/>
              </w:rPr>
            </w:pPr>
            <w:r>
              <w:rPr>
                <w:rFonts w:ascii="Arial" w:cs="Arial" w:eastAsia="Arial" w:hAnsi="Arial"/>
                <w:sz w:val="18"/>
                <w:szCs w:val="18"/>
                <w:color w:val="auto"/>
              </w:rPr>
              <w:t>total past due loans</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99.30%</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112.15%</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113.07%</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99.30%</w:t>
            </w:r>
          </w:p>
        </w:tc>
        <w:tc>
          <w:tcPr>
            <w:tcW w:w="880" w:type="dxa"/>
            <w:vAlign w:val="bottom"/>
          </w:tcPr>
          <w:p>
            <w:pPr>
              <w:jc w:val="right"/>
              <w:spacing w:after="0"/>
              <w:rPr>
                <w:sz w:val="20"/>
                <w:szCs w:val="20"/>
                <w:color w:val="auto"/>
              </w:rPr>
            </w:pPr>
            <w:r>
              <w:rPr>
                <w:rFonts w:ascii="Arial" w:cs="Arial" w:eastAsia="Arial" w:hAnsi="Arial"/>
                <w:sz w:val="18"/>
                <w:szCs w:val="18"/>
                <w:color w:val="auto"/>
              </w:rPr>
              <w:t>113.07%</w:t>
            </w:r>
          </w:p>
        </w:tc>
      </w:tr>
      <w:tr>
        <w:trPr>
          <w:trHeight w:val="216"/>
        </w:trPr>
        <w:tc>
          <w:tcPr>
            <w:tcW w:w="4960" w:type="dxa"/>
            <w:vAlign w:val="bottom"/>
            <w:gridSpan w:val="6"/>
          </w:tcPr>
          <w:p>
            <w:pPr>
              <w:spacing w:after="0"/>
              <w:rPr>
                <w:sz w:val="20"/>
                <w:szCs w:val="20"/>
                <w:color w:val="auto"/>
              </w:rPr>
            </w:pPr>
            <w:r>
              <w:rPr>
                <w:rFonts w:ascii="Arial" w:cs="Arial" w:eastAsia="Arial" w:hAnsi="Arial"/>
                <w:sz w:val="18"/>
                <w:szCs w:val="18"/>
                <w:color w:val="auto"/>
              </w:rPr>
              <w:t>Reserves for loan losses as a percentage of</w:t>
            </w: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960" w:type="dxa"/>
            <w:vAlign w:val="bottom"/>
            <w:gridSpan w:val="6"/>
          </w:tcPr>
          <w:p>
            <w:pPr>
              <w:spacing w:after="0"/>
              <w:rPr>
                <w:sz w:val="20"/>
                <w:szCs w:val="20"/>
                <w:color w:val="auto"/>
              </w:rPr>
            </w:pPr>
            <w:r>
              <w:rPr>
                <w:rFonts w:ascii="Arial" w:cs="Arial" w:eastAsia="Arial" w:hAnsi="Arial"/>
                <w:sz w:val="18"/>
                <w:szCs w:val="18"/>
                <w:color w:val="auto"/>
              </w:rPr>
              <w:t>total loans</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7.76%</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9.28%</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8.89%</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7.76%</w:t>
            </w:r>
          </w:p>
        </w:tc>
        <w:tc>
          <w:tcPr>
            <w:tcW w:w="88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16"/>
        </w:trPr>
        <w:tc>
          <w:tcPr>
            <w:tcW w:w="4960" w:type="dxa"/>
            <w:vAlign w:val="bottom"/>
            <w:gridSpan w:val="6"/>
          </w:tcPr>
          <w:p>
            <w:pPr>
              <w:spacing w:after="0"/>
              <w:rPr>
                <w:sz w:val="20"/>
                <w:szCs w:val="20"/>
                <w:color w:val="auto"/>
              </w:rPr>
            </w:pPr>
            <w:r>
              <w:rPr>
                <w:rFonts w:ascii="Arial" w:cs="Arial" w:eastAsia="Arial" w:hAnsi="Arial"/>
                <w:sz w:val="18"/>
                <w:szCs w:val="18"/>
                <w:color w:val="auto"/>
              </w:rPr>
              <w:t>Reserves for loan losses as a percentage of</w:t>
            </w: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960" w:type="dxa"/>
            <w:vAlign w:val="bottom"/>
            <w:gridSpan w:val="6"/>
          </w:tcPr>
          <w:p>
            <w:pPr>
              <w:spacing w:after="0"/>
              <w:rPr>
                <w:sz w:val="20"/>
                <w:szCs w:val="20"/>
                <w:color w:val="auto"/>
              </w:rPr>
            </w:pPr>
            <w:r>
              <w:rPr>
                <w:rFonts w:ascii="Arial" w:cs="Arial" w:eastAsia="Arial" w:hAnsi="Arial"/>
                <w:sz w:val="18"/>
                <w:szCs w:val="18"/>
                <w:color w:val="auto"/>
              </w:rPr>
              <w:t>substandard loans (C+D+E)</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42.88%</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55.57%</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52.53%</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42.88%</w:t>
            </w:r>
          </w:p>
        </w:tc>
        <w:tc>
          <w:tcPr>
            <w:tcW w:w="880" w:type="dxa"/>
            <w:vAlign w:val="bottom"/>
          </w:tcPr>
          <w:p>
            <w:pPr>
              <w:jc w:val="right"/>
              <w:spacing w:after="0"/>
              <w:rPr>
                <w:sz w:val="20"/>
                <w:szCs w:val="20"/>
                <w:color w:val="auto"/>
              </w:rPr>
            </w:pPr>
            <w:r>
              <w:rPr>
                <w:rFonts w:ascii="Arial" w:cs="Arial" w:eastAsia="Arial" w:hAnsi="Arial"/>
                <w:sz w:val="18"/>
                <w:szCs w:val="18"/>
                <w:color w:val="auto"/>
              </w:rPr>
              <w:t>52.53%</w:t>
            </w:r>
          </w:p>
        </w:tc>
      </w:tr>
      <w:tr>
        <w:trPr>
          <w:trHeight w:val="216"/>
        </w:trPr>
        <w:tc>
          <w:tcPr>
            <w:tcW w:w="4960" w:type="dxa"/>
            <w:vAlign w:val="bottom"/>
            <w:gridSpan w:val="6"/>
          </w:tcPr>
          <w:p>
            <w:pPr>
              <w:spacing w:after="0"/>
              <w:rPr>
                <w:sz w:val="20"/>
                <w:szCs w:val="20"/>
                <w:color w:val="auto"/>
              </w:rPr>
            </w:pPr>
            <w:r>
              <w:rPr>
                <w:rFonts w:ascii="Arial" w:cs="Arial" w:eastAsia="Arial" w:hAnsi="Arial"/>
                <w:sz w:val="18"/>
                <w:szCs w:val="18"/>
                <w:color w:val="auto"/>
              </w:rPr>
              <w:t>Past due loans - reserves for loan losses as a</w:t>
            </w: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2"/>
        </w:trPr>
        <w:tc>
          <w:tcPr>
            <w:tcW w:w="4960" w:type="dxa"/>
            <w:vAlign w:val="bottom"/>
            <w:gridSpan w:val="6"/>
          </w:tcPr>
          <w:p>
            <w:pPr>
              <w:spacing w:after="0"/>
              <w:rPr>
                <w:sz w:val="20"/>
                <w:szCs w:val="20"/>
                <w:color w:val="auto"/>
              </w:rPr>
            </w:pPr>
            <w:r>
              <w:rPr>
                <w:rFonts w:ascii="Arial" w:cs="Arial" w:eastAsia="Arial" w:hAnsi="Arial"/>
                <w:sz w:val="18"/>
                <w:szCs w:val="18"/>
                <w:color w:val="auto"/>
              </w:rPr>
              <w:t>percentage of shareholders' equity</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0.28%</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-5.77%</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-5.50%</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0.28%</w:t>
            </w:r>
          </w:p>
        </w:tc>
        <w:tc>
          <w:tcPr>
            <w:tcW w:w="88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421"/>
        </w:trPr>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Operating efficiency</w:t>
            </w:r>
          </w:p>
        </w:tc>
        <w:tc>
          <w:tcPr>
            <w:tcW w:w="3420" w:type="dxa"/>
            <w:vAlign w:val="bottom"/>
            <w:gridSpan w:val="3"/>
          </w:tcPr>
          <w:p>
            <w:pPr>
              <w:spacing w:after="0"/>
              <w:rPr>
                <w:sz w:val="24"/>
                <w:szCs w:val="24"/>
                <w:color w:val="auto"/>
              </w:rPr>
            </w:pP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8"/>
        </w:trPr>
        <w:tc>
          <w:tcPr>
            <w:tcW w:w="4960" w:type="dxa"/>
            <w:vAlign w:val="bottom"/>
            <w:gridSpan w:val="6"/>
          </w:tcPr>
          <w:p>
            <w:pPr>
              <w:spacing w:after="0"/>
              <w:rPr>
                <w:sz w:val="20"/>
                <w:szCs w:val="20"/>
                <w:color w:val="auto"/>
              </w:rPr>
            </w:pPr>
            <w:r>
              <w:rPr>
                <w:rFonts w:ascii="Arial" w:cs="Arial" w:eastAsia="Arial" w:hAnsi="Arial"/>
                <w:sz w:val="18"/>
                <w:szCs w:val="18"/>
                <w:color w:val="auto"/>
              </w:rPr>
              <w:t>Oper. expense as a percent. of total income (5)</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50.21%</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50.79%</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53.36%</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51.54%</w:t>
            </w:r>
          </w:p>
        </w:tc>
        <w:tc>
          <w:tcPr>
            <w:tcW w:w="880" w:type="dxa"/>
            <w:vAlign w:val="bottom"/>
          </w:tcPr>
          <w:p>
            <w:pPr>
              <w:jc w:val="right"/>
              <w:spacing w:after="0"/>
              <w:rPr>
                <w:sz w:val="20"/>
                <w:szCs w:val="20"/>
                <w:color w:val="auto"/>
              </w:rPr>
            </w:pPr>
            <w:r>
              <w:rPr>
                <w:rFonts w:ascii="Arial" w:cs="Arial" w:eastAsia="Arial" w:hAnsi="Arial"/>
                <w:sz w:val="18"/>
                <w:szCs w:val="18"/>
                <w:color w:val="auto"/>
              </w:rPr>
              <w:t>52.07%</w:t>
            </w:r>
          </w:p>
        </w:tc>
      </w:tr>
      <w:tr>
        <w:trPr>
          <w:trHeight w:val="222"/>
        </w:trPr>
        <w:tc>
          <w:tcPr>
            <w:tcW w:w="4960" w:type="dxa"/>
            <w:vAlign w:val="bottom"/>
            <w:gridSpan w:val="6"/>
          </w:tcPr>
          <w:p>
            <w:pPr>
              <w:spacing w:after="0"/>
              <w:rPr>
                <w:sz w:val="20"/>
                <w:szCs w:val="20"/>
                <w:color w:val="auto"/>
              </w:rPr>
            </w:pPr>
            <w:r>
              <w:rPr>
                <w:rFonts w:ascii="Arial" w:cs="Arial" w:eastAsia="Arial" w:hAnsi="Arial"/>
                <w:sz w:val="18"/>
                <w:szCs w:val="18"/>
                <w:color w:val="auto"/>
              </w:rPr>
              <w:t>Oper. expense as a percent. of av. tot. assets(2)(3)(5)</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4.91%</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4.62%</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4.89%</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4.93%</w:t>
            </w:r>
          </w:p>
        </w:tc>
        <w:tc>
          <w:tcPr>
            <w:tcW w:w="88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421"/>
        </w:trPr>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Capital adequacy</w:t>
            </w:r>
          </w:p>
        </w:tc>
        <w:tc>
          <w:tcPr>
            <w:tcW w:w="3640" w:type="dxa"/>
            <w:vAlign w:val="bottom"/>
            <w:gridSpan w:val="4"/>
          </w:tcPr>
          <w:p>
            <w:pPr>
              <w:spacing w:after="0"/>
              <w:rPr>
                <w:sz w:val="24"/>
                <w:szCs w:val="24"/>
                <w:color w:val="auto"/>
              </w:rPr>
            </w:pP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8"/>
        </w:trPr>
        <w:tc>
          <w:tcPr>
            <w:tcW w:w="4960" w:type="dxa"/>
            <w:vAlign w:val="bottom"/>
            <w:gridSpan w:val="6"/>
          </w:tcPr>
          <w:p>
            <w:pPr>
              <w:spacing w:after="0"/>
              <w:rPr>
                <w:sz w:val="20"/>
                <w:szCs w:val="20"/>
                <w:color w:val="auto"/>
              </w:rPr>
            </w:pPr>
            <w:r>
              <w:rPr>
                <w:rFonts w:ascii="Arial" w:cs="Arial" w:eastAsia="Arial" w:hAnsi="Arial"/>
                <w:sz w:val="18"/>
                <w:szCs w:val="18"/>
                <w:color w:val="auto"/>
              </w:rPr>
              <w:t>Total Regulatory Capital (US$Mn)</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718.7</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742.3</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723.4</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718.7</w:t>
            </w:r>
          </w:p>
        </w:tc>
        <w:tc>
          <w:tcPr>
            <w:tcW w:w="880" w:type="dxa"/>
            <w:vAlign w:val="bottom"/>
          </w:tcPr>
          <w:p>
            <w:pPr>
              <w:jc w:val="right"/>
              <w:spacing w:after="0"/>
              <w:rPr>
                <w:sz w:val="20"/>
                <w:szCs w:val="20"/>
                <w:color w:val="auto"/>
              </w:rPr>
            </w:pPr>
            <w:r>
              <w:rPr>
                <w:rFonts w:ascii="Arial" w:cs="Arial" w:eastAsia="Arial" w:hAnsi="Arial"/>
                <w:sz w:val="18"/>
                <w:szCs w:val="18"/>
                <w:color w:val="auto"/>
              </w:rPr>
              <w:t>723.4</w:t>
            </w:r>
          </w:p>
        </w:tc>
      </w:tr>
      <w:tr>
        <w:trPr>
          <w:trHeight w:val="216"/>
        </w:trPr>
        <w:tc>
          <w:tcPr>
            <w:tcW w:w="4960" w:type="dxa"/>
            <w:vAlign w:val="bottom"/>
            <w:gridSpan w:val="6"/>
          </w:tcPr>
          <w:p>
            <w:pPr>
              <w:spacing w:after="0"/>
              <w:rPr>
                <w:sz w:val="20"/>
                <w:szCs w:val="20"/>
                <w:color w:val="auto"/>
              </w:rPr>
            </w:pPr>
            <w:r>
              <w:rPr>
                <w:rFonts w:ascii="Arial" w:cs="Arial" w:eastAsia="Arial" w:hAnsi="Arial"/>
                <w:sz w:val="18"/>
                <w:szCs w:val="18"/>
                <w:color w:val="auto"/>
              </w:rPr>
              <w:t>Tier I Capital (US$Mn)</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608.8</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608.8</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608.8</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608.8</w:t>
            </w:r>
          </w:p>
        </w:tc>
        <w:tc>
          <w:tcPr>
            <w:tcW w:w="880" w:type="dxa"/>
            <w:vAlign w:val="bottom"/>
          </w:tcPr>
          <w:p>
            <w:pPr>
              <w:jc w:val="right"/>
              <w:spacing w:after="0"/>
              <w:rPr>
                <w:sz w:val="20"/>
                <w:szCs w:val="20"/>
                <w:color w:val="auto"/>
              </w:rPr>
            </w:pPr>
            <w:r>
              <w:rPr>
                <w:rFonts w:ascii="Arial" w:cs="Arial" w:eastAsia="Arial" w:hAnsi="Arial"/>
                <w:sz w:val="18"/>
                <w:szCs w:val="18"/>
                <w:color w:val="auto"/>
              </w:rPr>
              <w:t>608.8</w:t>
            </w:r>
          </w:p>
        </w:tc>
      </w:tr>
      <w:tr>
        <w:trPr>
          <w:trHeight w:val="222"/>
        </w:trPr>
        <w:tc>
          <w:tcPr>
            <w:tcW w:w="4960" w:type="dxa"/>
            <w:vAlign w:val="bottom"/>
            <w:gridSpan w:val="6"/>
          </w:tcPr>
          <w:p>
            <w:pPr>
              <w:spacing w:after="0"/>
              <w:rPr>
                <w:sz w:val="20"/>
                <w:szCs w:val="20"/>
                <w:color w:val="auto"/>
              </w:rPr>
            </w:pPr>
            <w:r>
              <w:rPr>
                <w:rFonts w:ascii="Arial" w:cs="Arial" w:eastAsia="Arial" w:hAnsi="Arial"/>
                <w:sz w:val="18"/>
                <w:szCs w:val="18"/>
                <w:color w:val="auto"/>
              </w:rPr>
              <w:t>Regulatory capital / risk-weighted assets (6)</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12.03%</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11.65%</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11.43%</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12.03%</w:t>
            </w:r>
          </w:p>
        </w:tc>
        <w:tc>
          <w:tcPr>
            <w:tcW w:w="880" w:type="dxa"/>
            <w:vAlign w:val="bottom"/>
          </w:tcPr>
          <w:p>
            <w:pPr>
              <w:jc w:val="right"/>
              <w:spacing w:after="0"/>
              <w:rPr>
                <w:sz w:val="20"/>
                <w:szCs w:val="20"/>
                <w:color w:val="auto"/>
              </w:rPr>
            </w:pPr>
            <w:r>
              <w:rPr>
                <w:rFonts w:ascii="Arial" w:cs="Arial" w:eastAsia="Arial" w:hAnsi="Arial"/>
                <w:sz w:val="18"/>
                <w:szCs w:val="18"/>
                <w:color w:val="auto"/>
              </w:rPr>
              <w:t>11.43%</w:t>
            </w:r>
          </w:p>
        </w:tc>
      </w:tr>
      <w:tr>
        <w:trPr>
          <w:trHeight w:val="421"/>
        </w:trPr>
        <w:tc>
          <w:tcPr>
            <w:tcW w:w="23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8"/>
              </w:rPr>
              <w:t xml:space="preserve">Average balances </w:t>
            </w:r>
            <w:r>
              <w:rPr>
                <w:rFonts w:ascii="Arial" w:cs="Arial" w:eastAsia="Arial" w:hAnsi="Arial"/>
                <w:sz w:val="18"/>
                <w:szCs w:val="18"/>
                <w:b w:val="1"/>
                <w:bCs w:val="1"/>
                <w:u w:val="single" w:color="auto"/>
                <w:color w:val="auto"/>
                <w:w w:val="88"/>
              </w:rPr>
              <w:t>(US$</w:t>
            </w:r>
            <w:r>
              <w:rPr>
                <w:rFonts w:ascii="Arial" w:cs="Arial" w:eastAsia="Arial" w:hAnsi="Arial"/>
                <w:sz w:val="18"/>
                <w:szCs w:val="18"/>
                <w:b w:val="1"/>
                <w:bCs w:val="1"/>
                <w:color w:val="auto"/>
                <w:w w:val="88"/>
              </w:rPr>
              <w:t>Mn) (3)</w:t>
            </w:r>
          </w:p>
        </w:tc>
        <w:tc>
          <w:tcPr>
            <w:tcW w:w="2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8"/>
        </w:trPr>
        <w:tc>
          <w:tcPr>
            <w:tcW w:w="4960" w:type="dxa"/>
            <w:vAlign w:val="bottom"/>
            <w:gridSpan w:val="6"/>
          </w:tcPr>
          <w:p>
            <w:pPr>
              <w:spacing w:after="0"/>
              <w:rPr>
                <w:sz w:val="20"/>
                <w:szCs w:val="20"/>
                <w:color w:val="auto"/>
              </w:rPr>
            </w:pPr>
            <w:r>
              <w:rPr>
                <w:rFonts w:ascii="Arial" w:cs="Arial" w:eastAsia="Arial" w:hAnsi="Arial"/>
                <w:sz w:val="18"/>
                <w:szCs w:val="18"/>
                <w:color w:val="auto"/>
              </w:rPr>
              <w:t>Interest earning assets</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5,741.3</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6,882.3</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6,697.1</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5,796.1</w:t>
            </w:r>
          </w:p>
        </w:tc>
        <w:tc>
          <w:tcPr>
            <w:tcW w:w="880" w:type="dxa"/>
            <w:vAlign w:val="bottom"/>
          </w:tcPr>
          <w:p>
            <w:pPr>
              <w:jc w:val="right"/>
              <w:spacing w:after="0"/>
              <w:rPr>
                <w:sz w:val="20"/>
                <w:szCs w:val="20"/>
                <w:color w:val="auto"/>
              </w:rPr>
            </w:pPr>
            <w:r>
              <w:rPr>
                <w:rFonts w:ascii="Arial" w:cs="Arial" w:eastAsia="Arial" w:hAnsi="Arial"/>
                <w:sz w:val="18"/>
                <w:szCs w:val="18"/>
                <w:color w:val="auto"/>
              </w:rPr>
              <w:t>6,762.5</w:t>
            </w:r>
          </w:p>
        </w:tc>
      </w:tr>
      <w:tr>
        <w:trPr>
          <w:trHeight w:val="216"/>
        </w:trPr>
        <w:tc>
          <w:tcPr>
            <w:tcW w:w="4960" w:type="dxa"/>
            <w:vAlign w:val="bottom"/>
            <w:gridSpan w:val="6"/>
          </w:tcPr>
          <w:p>
            <w:pPr>
              <w:spacing w:after="0"/>
              <w:rPr>
                <w:sz w:val="20"/>
                <w:szCs w:val="20"/>
                <w:color w:val="auto"/>
              </w:rPr>
            </w:pPr>
            <w:r>
              <w:rPr>
                <w:rFonts w:ascii="Arial" w:cs="Arial" w:eastAsia="Arial" w:hAnsi="Arial"/>
                <w:sz w:val="18"/>
                <w:szCs w:val="18"/>
                <w:color w:val="auto"/>
              </w:rPr>
              <w:t>Total Assets</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7,362.4</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8,598.4</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8,405.6</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7,440.1</w:t>
            </w:r>
          </w:p>
        </w:tc>
        <w:tc>
          <w:tcPr>
            <w:tcW w:w="880" w:type="dxa"/>
            <w:vAlign w:val="bottom"/>
          </w:tcPr>
          <w:p>
            <w:pPr>
              <w:jc w:val="right"/>
              <w:spacing w:after="0"/>
              <w:rPr>
                <w:sz w:val="20"/>
                <w:szCs w:val="20"/>
                <w:color w:val="auto"/>
              </w:rPr>
            </w:pPr>
            <w:r>
              <w:rPr>
                <w:rFonts w:ascii="Arial" w:cs="Arial" w:eastAsia="Arial" w:hAnsi="Arial"/>
                <w:sz w:val="18"/>
                <w:szCs w:val="18"/>
                <w:color w:val="auto"/>
              </w:rPr>
              <w:t>8,426.9</w:t>
            </w:r>
          </w:p>
        </w:tc>
      </w:tr>
      <w:tr>
        <w:trPr>
          <w:trHeight w:val="222"/>
        </w:trPr>
        <w:tc>
          <w:tcPr>
            <w:tcW w:w="4960" w:type="dxa"/>
            <w:vAlign w:val="bottom"/>
            <w:gridSpan w:val="6"/>
          </w:tcPr>
          <w:p>
            <w:pPr>
              <w:spacing w:after="0"/>
              <w:rPr>
                <w:sz w:val="20"/>
                <w:szCs w:val="20"/>
                <w:color w:val="auto"/>
              </w:rPr>
            </w:pPr>
            <w:r>
              <w:rPr>
                <w:rFonts w:ascii="Arial" w:cs="Arial" w:eastAsia="Arial" w:hAnsi="Arial"/>
                <w:sz w:val="18"/>
                <w:szCs w:val="18"/>
                <w:color w:val="auto"/>
              </w:rPr>
              <w:t>Net equity</w:t>
            </w:r>
          </w:p>
        </w:tc>
        <w:tc>
          <w:tcPr>
            <w:tcW w:w="2160" w:type="dxa"/>
            <w:vAlign w:val="bottom"/>
          </w:tcPr>
          <w:p>
            <w:pPr>
              <w:jc w:val="right"/>
              <w:ind w:right="172"/>
              <w:spacing w:after="0"/>
              <w:rPr>
                <w:sz w:val="20"/>
                <w:szCs w:val="20"/>
                <w:color w:val="auto"/>
              </w:rPr>
            </w:pPr>
            <w:r>
              <w:rPr>
                <w:rFonts w:ascii="Arial" w:cs="Arial" w:eastAsia="Arial" w:hAnsi="Arial"/>
                <w:sz w:val="18"/>
                <w:szCs w:val="18"/>
                <w:color w:val="auto"/>
              </w:rPr>
              <w:t>801.4</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816.1</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832.0</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799.1</w:t>
            </w:r>
          </w:p>
        </w:tc>
        <w:tc>
          <w:tcPr>
            <w:tcW w:w="880" w:type="dxa"/>
            <w:vAlign w:val="bottom"/>
          </w:tcPr>
          <w:p>
            <w:pPr>
              <w:jc w:val="right"/>
              <w:spacing w:after="0"/>
              <w:rPr>
                <w:sz w:val="20"/>
                <w:szCs w:val="20"/>
                <w:color w:val="auto"/>
              </w:rPr>
            </w:pPr>
            <w:r>
              <w:rPr>
                <w:rFonts w:ascii="Arial" w:cs="Arial" w:eastAsia="Arial" w:hAnsi="Arial"/>
                <w:sz w:val="18"/>
                <w:szCs w:val="18"/>
                <w:color w:val="auto"/>
              </w:rPr>
              <w:t>839.7</w:t>
            </w:r>
          </w:p>
        </w:tc>
      </w:tr>
      <w:tr>
        <w:trPr>
          <w:trHeight w:val="110"/>
        </w:trPr>
        <w:tc>
          <w:tcPr>
            <w:tcW w:w="9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(1)Number of shares outstanding of 79.8 million in all periods.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(2)Ratios are annualized.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(3)Averages are determined as the average of period-beginning and period-ending balances.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(4)Net of treasury shares. The total number of shares was of 94.38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(5)Total income includes net interest income and other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 is net of provisions for other assets received in lieu of loan repayment and mandatory employee profit sharing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(6)Risk-weighted assets include market risk assets.</w:t>
      </w:r>
    </w:p>
    <w:p>
      <w:pPr>
        <w:sectPr>
          <w:pgSz w:w="11900" w:h="16838" w:orient="portrait"/>
          <w:cols w:equalWidth="0" w:num="1">
            <w:col w:w="11420"/>
          </w:cols>
          <w:pgMar w:left="240" w:top="13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Table 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(Constant Nuevos Soles, as of June 30, 2003, and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0" w:type="dxa"/>
            <w:vAlign w:val="bottom"/>
            <w:gridSpan w:val="4"/>
          </w:tcPr>
          <w:p>
            <w:pPr>
              <w:jc w:val="center"/>
              <w:ind w:right="960"/>
              <w:spacing w:after="0"/>
              <w:rPr>
                <w:sz w:val="20"/>
                <w:szCs w:val="20"/>
                <w:color w:val="auto"/>
              </w:rPr>
            </w:pPr>
            <w:r>
              <w:rPr>
                <w:rFonts w:ascii="Arial" w:cs="Arial" w:eastAsia="Arial" w:hAnsi="Arial"/>
                <w:sz w:val="18"/>
                <w:szCs w:val="18"/>
                <w:b w:val="1"/>
                <w:bCs w:val="1"/>
                <w:color w:val="auto"/>
                <w:w w:val="88"/>
              </w:rPr>
              <w:t>ASSETS</w:t>
            </w:r>
          </w:p>
        </w:tc>
        <w:tc>
          <w:tcPr>
            <w:tcW w:w="1380" w:type="dxa"/>
            <w:vAlign w:val="bottom"/>
            <w:gridSpan w:val="3"/>
          </w:tcPr>
          <w:p>
            <w:pPr>
              <w:jc w:val="right"/>
              <w:ind w:right="312"/>
              <w:spacing w:after="0"/>
              <w:rPr>
                <w:sz w:val="20"/>
                <w:szCs w:val="20"/>
                <w:color w:val="auto"/>
              </w:rPr>
            </w:pPr>
            <w:r>
              <w:rPr>
                <w:rFonts w:ascii="Arial" w:cs="Arial" w:eastAsia="Arial" w:hAnsi="Arial"/>
                <w:sz w:val="18"/>
                <w:szCs w:val="18"/>
                <w:b w:val="1"/>
                <w:bCs w:val="1"/>
                <w:color w:val="auto"/>
              </w:rPr>
              <w:t>30.06.02</w:t>
            </w:r>
          </w:p>
        </w:tc>
        <w:tc>
          <w:tcPr>
            <w:tcW w:w="136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31.12.02</w:t>
            </w:r>
          </w:p>
        </w:tc>
        <w:tc>
          <w:tcPr>
            <w:tcW w:w="180" w:type="dxa"/>
            <w:vAlign w:val="bottom"/>
          </w:tcPr>
          <w:p>
            <w:pPr>
              <w:spacing w:after="0"/>
              <w:rPr>
                <w:sz w:val="19"/>
                <w:szCs w:val="19"/>
                <w:color w:val="auto"/>
              </w:rPr>
            </w:pPr>
          </w:p>
        </w:tc>
        <w:tc>
          <w:tcPr>
            <w:tcW w:w="1200" w:type="dxa"/>
            <w:vAlign w:val="bottom"/>
            <w:gridSpan w:val="3"/>
          </w:tcPr>
          <w:p>
            <w:pPr>
              <w:jc w:val="right"/>
              <w:ind w:right="312"/>
              <w:spacing w:after="0"/>
              <w:rPr>
                <w:sz w:val="20"/>
                <w:szCs w:val="20"/>
                <w:color w:val="auto"/>
              </w:rPr>
            </w:pPr>
            <w:r>
              <w:rPr>
                <w:rFonts w:ascii="Arial" w:cs="Arial" w:eastAsia="Arial" w:hAnsi="Arial"/>
                <w:sz w:val="18"/>
                <w:szCs w:val="18"/>
                <w:b w:val="1"/>
                <w:bCs w:val="1"/>
                <w:color w:val="auto"/>
              </w:rPr>
              <w:t>31.03.03</w:t>
            </w:r>
          </w:p>
        </w:tc>
        <w:tc>
          <w:tcPr>
            <w:tcW w:w="160" w:type="dxa"/>
            <w:vAlign w:val="bottom"/>
          </w:tcPr>
          <w:p>
            <w:pPr>
              <w:spacing w:after="0"/>
              <w:rPr>
                <w:sz w:val="19"/>
                <w:szCs w:val="19"/>
                <w:color w:val="auto"/>
              </w:rPr>
            </w:pPr>
          </w:p>
        </w:tc>
        <w:tc>
          <w:tcPr>
            <w:tcW w:w="1200" w:type="dxa"/>
            <w:vAlign w:val="bottom"/>
            <w:gridSpan w:val="3"/>
          </w:tcPr>
          <w:p>
            <w:pPr>
              <w:jc w:val="right"/>
              <w:ind w:right="312"/>
              <w:spacing w:after="0"/>
              <w:rPr>
                <w:sz w:val="20"/>
                <w:szCs w:val="20"/>
                <w:color w:val="auto"/>
              </w:rPr>
            </w:pPr>
            <w:r>
              <w:rPr>
                <w:rFonts w:ascii="Arial" w:cs="Arial" w:eastAsia="Arial" w:hAnsi="Arial"/>
                <w:sz w:val="18"/>
                <w:szCs w:val="18"/>
                <w:b w:val="1"/>
                <w:bCs w:val="1"/>
                <w:color w:val="auto"/>
              </w:rPr>
              <w:t>30.06.03</w:t>
            </w:r>
          </w:p>
        </w:tc>
        <w:tc>
          <w:tcPr>
            <w:tcW w:w="140" w:type="dxa"/>
            <w:vAlign w:val="bottom"/>
          </w:tcPr>
          <w:p>
            <w:pPr>
              <w:spacing w:after="0"/>
              <w:rPr>
                <w:sz w:val="19"/>
                <w:szCs w:val="19"/>
                <w:color w:val="auto"/>
              </w:rPr>
            </w:pPr>
          </w:p>
        </w:tc>
        <w:tc>
          <w:tcPr>
            <w:tcW w:w="122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30.06.03</w:t>
            </w:r>
          </w:p>
        </w:tc>
      </w:tr>
      <w:tr>
        <w:trPr>
          <w:trHeight w:val="110"/>
        </w:trPr>
        <w:tc>
          <w:tcPr>
            <w:tcW w:w="6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r>
        <w:trPr>
          <w:trHeight w:val="309"/>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US$000(1)</w:t>
            </w:r>
          </w:p>
        </w:tc>
      </w:tr>
      <w:tr>
        <w:trPr>
          <w:trHeight w:val="184"/>
        </w:trPr>
        <w:tc>
          <w:tcPr>
            <w:tcW w:w="4580" w:type="dxa"/>
            <w:vAlign w:val="bottom"/>
            <w:gridSpan w:val="6"/>
          </w:tcPr>
          <w:p>
            <w:pPr>
              <w:spacing w:after="0" w:line="184" w:lineRule="exact"/>
              <w:rPr>
                <w:sz w:val="20"/>
                <w:szCs w:val="20"/>
                <w:color w:val="auto"/>
              </w:rPr>
            </w:pPr>
            <w:r>
              <w:rPr>
                <w:rFonts w:ascii="Arial" w:cs="Arial" w:eastAsia="Arial" w:hAnsi="Arial"/>
                <w:sz w:val="18"/>
                <w:szCs w:val="18"/>
                <w:color w:val="auto"/>
              </w:rPr>
              <w:t>CASH AND DUE FROM BANKS</w:t>
            </w:r>
          </w:p>
        </w:tc>
        <w:tc>
          <w:tcPr>
            <w:tcW w:w="13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5,819.</w:t>
            </w:r>
            <w:r>
              <w:rPr>
                <w:rFonts w:ascii="Arial" w:cs="Arial" w:eastAsia="Arial" w:hAnsi="Arial"/>
                <w:sz w:val="18"/>
                <w:szCs w:val="18"/>
                <w:u w:val="single" w:color="auto"/>
                <w:color w:val="auto"/>
              </w:rPr>
              <w:t>582</w:t>
            </w:r>
          </w:p>
        </w:tc>
        <w:tc>
          <w:tcPr>
            <w:tcW w:w="13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7,325.</w:t>
            </w:r>
            <w:r>
              <w:rPr>
                <w:rFonts w:ascii="Arial" w:cs="Arial" w:eastAsia="Arial" w:hAnsi="Arial"/>
                <w:sz w:val="18"/>
                <w:szCs w:val="18"/>
                <w:u w:val="single" w:color="auto"/>
                <w:color w:val="auto"/>
              </w:rPr>
              <w:t>345</w:t>
            </w:r>
          </w:p>
        </w:tc>
        <w:tc>
          <w:tcPr>
            <w:tcW w:w="180" w:type="dxa"/>
            <w:vAlign w:val="bottom"/>
          </w:tcPr>
          <w:p>
            <w:pPr>
              <w:spacing w:after="0"/>
              <w:rPr>
                <w:sz w:val="15"/>
                <w:szCs w:val="15"/>
                <w:color w:val="auto"/>
              </w:rPr>
            </w:pPr>
          </w:p>
        </w:tc>
        <w:tc>
          <w:tcPr>
            <w:tcW w:w="1360" w:type="dxa"/>
            <w:vAlign w:val="bottom"/>
            <w:gridSpan w:val="4"/>
          </w:tcPr>
          <w:p>
            <w:pPr>
              <w:jc w:val="right"/>
              <w:ind w:right="160"/>
              <w:spacing w:after="0" w:line="184" w:lineRule="exact"/>
              <w:rPr>
                <w:sz w:val="20"/>
                <w:szCs w:val="20"/>
                <w:color w:val="auto"/>
              </w:rPr>
            </w:pPr>
            <w:r>
              <w:rPr>
                <w:rFonts w:ascii="Arial" w:cs="Arial" w:eastAsia="Arial" w:hAnsi="Arial"/>
                <w:sz w:val="18"/>
                <w:szCs w:val="18"/>
                <w:color w:val="auto"/>
              </w:rPr>
              <w:t>6,929.</w:t>
            </w:r>
            <w:r>
              <w:rPr>
                <w:rFonts w:ascii="Arial" w:cs="Arial" w:eastAsia="Arial" w:hAnsi="Arial"/>
                <w:sz w:val="18"/>
                <w:szCs w:val="18"/>
                <w:u w:val="single" w:color="auto"/>
                <w:color w:val="auto"/>
              </w:rPr>
              <w:t>199</w:t>
            </w:r>
          </w:p>
        </w:tc>
        <w:tc>
          <w:tcPr>
            <w:tcW w:w="1340" w:type="dxa"/>
            <w:vAlign w:val="bottom"/>
            <w:gridSpan w:val="4"/>
          </w:tcPr>
          <w:p>
            <w:pPr>
              <w:jc w:val="right"/>
              <w:ind w:right="140"/>
              <w:spacing w:after="0" w:line="184" w:lineRule="exact"/>
              <w:rPr>
                <w:sz w:val="20"/>
                <w:szCs w:val="20"/>
                <w:color w:val="auto"/>
              </w:rPr>
            </w:pPr>
            <w:r>
              <w:rPr>
                <w:rFonts w:ascii="Arial" w:cs="Arial" w:eastAsia="Arial" w:hAnsi="Arial"/>
                <w:sz w:val="18"/>
                <w:szCs w:val="18"/>
                <w:color w:val="auto"/>
              </w:rPr>
              <w:t>6,049.</w:t>
            </w:r>
            <w:r>
              <w:rPr>
                <w:rFonts w:ascii="Arial" w:cs="Arial" w:eastAsia="Arial" w:hAnsi="Arial"/>
                <w:sz w:val="18"/>
                <w:szCs w:val="18"/>
                <w:u w:val="single" w:color="auto"/>
                <w:color w:val="auto"/>
              </w:rPr>
              <w:t>523</w:t>
            </w:r>
          </w:p>
        </w:tc>
        <w:tc>
          <w:tcPr>
            <w:tcW w:w="1220" w:type="dxa"/>
            <w:vAlign w:val="bottom"/>
            <w:gridSpan w:val="4"/>
          </w:tcPr>
          <w:p>
            <w:pPr>
              <w:jc w:val="right"/>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1,742.876</w:t>
            </w:r>
          </w:p>
        </w:tc>
      </w:tr>
      <w:tr>
        <w:trPr>
          <w:trHeight w:val="228"/>
        </w:trPr>
        <w:tc>
          <w:tcPr>
            <w:tcW w:w="24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Cash and Checks</w:t>
            </w:r>
          </w:p>
        </w:tc>
        <w:tc>
          <w:tcPr>
            <w:tcW w:w="2100" w:type="dxa"/>
            <w:vAlign w:val="bottom"/>
            <w:gridSpan w:val="2"/>
          </w:tcPr>
          <w:p>
            <w:pPr>
              <w:spacing w:after="0"/>
              <w:rPr>
                <w:sz w:val="19"/>
                <w:szCs w:val="19"/>
                <w:color w:val="auto"/>
              </w:rPr>
            </w:pPr>
          </w:p>
        </w:tc>
        <w:tc>
          <w:tcPr>
            <w:tcW w:w="680" w:type="dxa"/>
            <w:vAlign w:val="bottom"/>
            <w:gridSpan w:val="2"/>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827.703</w:t>
            </w:r>
          </w:p>
        </w:tc>
        <w:tc>
          <w:tcPr>
            <w:tcW w:w="660" w:type="dxa"/>
            <w:vAlign w:val="bottom"/>
            <w:gridSpan w:val="2"/>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1,086.141</w:t>
            </w:r>
          </w:p>
        </w:tc>
        <w:tc>
          <w:tcPr>
            <w:tcW w:w="18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812.038</w:t>
            </w:r>
          </w:p>
        </w:tc>
        <w:tc>
          <w:tcPr>
            <w:tcW w:w="16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868.317</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$250.163</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Deposits in Central Bank of Peru</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3,876.959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4,786.098</w:t>
            </w:r>
          </w:p>
        </w:tc>
        <w:tc>
          <w:tcPr>
            <w:tcW w:w="18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5,258.485</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4,369.756</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$1,258.933</w:t>
            </w: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Deposits with local and foreign banks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1,114.920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1,453.106</w:t>
            </w:r>
          </w:p>
        </w:tc>
        <w:tc>
          <w:tcPr>
            <w:tcW w:w="180" w:type="dxa"/>
            <w:vAlign w:val="bottom"/>
          </w:tcPr>
          <w:p>
            <w:pPr>
              <w:spacing w:after="0"/>
              <w:rPr>
                <w:sz w:val="19"/>
                <w:szCs w:val="19"/>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858.676</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811.450</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$233.780</w:t>
            </w:r>
          </w:p>
        </w:tc>
      </w:tr>
      <w:tr>
        <w:trPr>
          <w:trHeight w:val="459"/>
        </w:trPr>
        <w:tc>
          <w:tcPr>
            <w:tcW w:w="4580" w:type="dxa"/>
            <w:vAlign w:val="bottom"/>
            <w:gridSpan w:val="6"/>
          </w:tcPr>
          <w:p>
            <w:pPr>
              <w:spacing w:after="0"/>
              <w:rPr>
                <w:sz w:val="20"/>
                <w:szCs w:val="20"/>
                <w:color w:val="auto"/>
              </w:rPr>
            </w:pPr>
            <w:r>
              <w:rPr>
                <w:rFonts w:ascii="Arial" w:cs="Arial" w:eastAsia="Arial" w:hAnsi="Arial"/>
                <w:sz w:val="18"/>
                <w:szCs w:val="18"/>
                <w:color w:val="auto"/>
              </w:rPr>
              <w:t>MARKETABLE SECURITIES. net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1,474.146</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1,946.167</w:t>
            </w:r>
          </w:p>
        </w:tc>
        <w:tc>
          <w:tcPr>
            <w:tcW w:w="180" w:type="dxa"/>
            <w:vAlign w:val="bottom"/>
          </w:tcPr>
          <w:p>
            <w:pPr>
              <w:spacing w:after="0"/>
              <w:rPr>
                <w:sz w:val="24"/>
                <w:szCs w:val="2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2,250.304</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2,203.559</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$634.848</w:t>
            </w:r>
          </w:p>
        </w:tc>
      </w:tr>
      <w:tr>
        <w:trPr>
          <w:trHeight w:val="421"/>
        </w:trPr>
        <w:tc>
          <w:tcPr>
            <w:tcW w:w="600" w:type="dxa"/>
            <w:vAlign w:val="bottom"/>
          </w:tcPr>
          <w:p>
            <w:pPr>
              <w:spacing w:after="0"/>
              <w:rPr>
                <w:sz w:val="20"/>
                <w:szCs w:val="20"/>
                <w:color w:val="auto"/>
              </w:rPr>
            </w:pPr>
            <w:r>
              <w:rPr>
                <w:rFonts w:ascii="Arial" w:cs="Arial" w:eastAsia="Arial" w:hAnsi="Arial"/>
                <w:sz w:val="18"/>
                <w:szCs w:val="18"/>
                <w:color w:val="auto"/>
                <w:w w:val="94"/>
              </w:rPr>
              <w:t>LOANS</w:t>
            </w:r>
          </w:p>
        </w:tc>
        <w:tc>
          <w:tcPr>
            <w:tcW w:w="3980" w:type="dxa"/>
            <w:vAlign w:val="bottom"/>
            <w:gridSpan w:val="5"/>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13,037.</w:t>
            </w:r>
            <w:r>
              <w:rPr>
                <w:rFonts w:ascii="Arial" w:cs="Arial" w:eastAsia="Arial" w:hAnsi="Arial"/>
                <w:sz w:val="18"/>
                <w:szCs w:val="18"/>
                <w:u w:val="single" w:color="auto"/>
                <w:color w:val="auto"/>
              </w:rPr>
              <w:t>795</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15,715.</w:t>
            </w:r>
            <w:r>
              <w:rPr>
                <w:rFonts w:ascii="Arial" w:cs="Arial" w:eastAsia="Arial" w:hAnsi="Arial"/>
                <w:sz w:val="18"/>
                <w:szCs w:val="18"/>
                <w:u w:val="single" w:color="auto"/>
                <w:color w:val="auto"/>
              </w:rPr>
              <w:t>461</w:t>
            </w:r>
          </w:p>
        </w:tc>
        <w:tc>
          <w:tcPr>
            <w:tcW w:w="180" w:type="dxa"/>
            <w:vAlign w:val="bottom"/>
          </w:tcPr>
          <w:p>
            <w:pPr>
              <w:spacing w:after="0"/>
              <w:rPr>
                <w:sz w:val="24"/>
                <w:szCs w:val="2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14,745.</w:t>
            </w:r>
            <w:r>
              <w:rPr>
                <w:rFonts w:ascii="Arial" w:cs="Arial" w:eastAsia="Arial" w:hAnsi="Arial"/>
                <w:sz w:val="18"/>
                <w:szCs w:val="18"/>
                <w:u w:val="single" w:color="auto"/>
                <w:color w:val="auto"/>
              </w:rPr>
              <w:t>791</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14,618.</w:t>
            </w:r>
            <w:r>
              <w:rPr>
                <w:rFonts w:ascii="Arial" w:cs="Arial" w:eastAsia="Arial" w:hAnsi="Arial"/>
                <w:sz w:val="18"/>
                <w:szCs w:val="18"/>
                <w:u w:val="single" w:color="auto"/>
                <w:color w:val="auto"/>
              </w:rPr>
              <w:t>228</w:t>
            </w:r>
          </w:p>
        </w:tc>
        <w:tc>
          <w:tcPr>
            <w:tcW w:w="12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4,211.532</w:t>
            </w:r>
          </w:p>
        </w:tc>
      </w:tr>
      <w:tr>
        <w:trPr>
          <w:trHeight w:val="20"/>
        </w:trPr>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28"/>
        </w:trPr>
        <w:tc>
          <w:tcPr>
            <w:tcW w:w="600" w:type="dxa"/>
            <w:vAlign w:val="bottom"/>
          </w:tcPr>
          <w:p>
            <w:pPr>
              <w:spacing w:after="0"/>
              <w:rPr>
                <w:sz w:val="20"/>
                <w:szCs w:val="20"/>
                <w:color w:val="auto"/>
              </w:rPr>
            </w:pPr>
            <w:r>
              <w:rPr>
                <w:rFonts w:ascii="Arial" w:cs="Arial" w:eastAsia="Arial" w:hAnsi="Arial"/>
                <w:sz w:val="18"/>
                <w:szCs w:val="18"/>
                <w:color w:val="auto"/>
                <w:w w:val="96"/>
              </w:rPr>
              <w:t>Current</w:t>
            </w:r>
          </w:p>
        </w:tc>
        <w:tc>
          <w:tcPr>
            <w:tcW w:w="3980" w:type="dxa"/>
            <w:vAlign w:val="bottom"/>
            <w:gridSpan w:val="5"/>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12,003.998</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14,370.529</w:t>
            </w:r>
          </w:p>
        </w:tc>
        <w:tc>
          <w:tcPr>
            <w:tcW w:w="180" w:type="dxa"/>
            <w:vAlign w:val="bottom"/>
          </w:tcPr>
          <w:p>
            <w:pPr>
              <w:spacing w:after="0"/>
              <w:rPr>
                <w:sz w:val="19"/>
                <w:szCs w:val="19"/>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13,479.445</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13,394.275</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$3,858.910</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Past Due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1,033.798</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1,344.932</w:t>
            </w:r>
          </w:p>
        </w:tc>
        <w:tc>
          <w:tcPr>
            <w:tcW w:w="18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1,266.346</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1,223.953</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$352.623</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Less - Reserve for possible loan losses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(1,106.901</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(1,462.632</w:t>
            </w:r>
          </w:p>
        </w:tc>
        <w:tc>
          <w:tcPr>
            <w:tcW w:w="18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(1,479.836</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(1,441.540</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($415.310)</w:t>
            </w:r>
          </w:p>
        </w:tc>
      </w:tr>
      <w:tr>
        <w:trPr>
          <w:trHeight w:val="184"/>
        </w:trPr>
        <w:tc>
          <w:tcPr>
            <w:tcW w:w="980" w:type="dxa"/>
            <w:vAlign w:val="bottom"/>
            <w:gridSpan w:val="2"/>
          </w:tcPr>
          <w:p>
            <w:pPr>
              <w:spacing w:after="0" w:line="184" w:lineRule="exact"/>
              <w:rPr>
                <w:sz w:val="20"/>
                <w:szCs w:val="20"/>
                <w:color w:val="auto"/>
              </w:rPr>
            </w:pPr>
            <w:r>
              <w:rPr>
                <w:rFonts w:ascii="Arial" w:cs="Arial" w:eastAsia="Arial" w:hAnsi="Arial"/>
                <w:sz w:val="18"/>
                <w:szCs w:val="18"/>
                <w:color w:val="auto"/>
                <w:w w:val="94"/>
              </w:rPr>
              <w:t>LOANS NET</w:t>
            </w:r>
          </w:p>
        </w:tc>
        <w:tc>
          <w:tcPr>
            <w:tcW w:w="3600" w:type="dxa"/>
            <w:vAlign w:val="bottom"/>
            <w:gridSpan w:val="4"/>
          </w:tcPr>
          <w:p>
            <w:pPr>
              <w:spacing w:after="0"/>
              <w:rPr>
                <w:sz w:val="15"/>
                <w:szCs w:val="15"/>
                <w:color w:val="auto"/>
              </w:rPr>
            </w:pPr>
          </w:p>
        </w:tc>
        <w:tc>
          <w:tcPr>
            <w:tcW w:w="13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11,930.</w:t>
            </w:r>
            <w:r>
              <w:rPr>
                <w:rFonts w:ascii="Arial" w:cs="Arial" w:eastAsia="Arial" w:hAnsi="Arial"/>
                <w:sz w:val="18"/>
                <w:szCs w:val="18"/>
                <w:u w:val="single" w:color="auto"/>
                <w:color w:val="auto"/>
              </w:rPr>
              <w:t>894</w:t>
            </w:r>
          </w:p>
        </w:tc>
        <w:tc>
          <w:tcPr>
            <w:tcW w:w="13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14,252.</w:t>
            </w:r>
            <w:r>
              <w:rPr>
                <w:rFonts w:ascii="Arial" w:cs="Arial" w:eastAsia="Arial" w:hAnsi="Arial"/>
                <w:sz w:val="18"/>
                <w:szCs w:val="18"/>
                <w:u w:val="single" w:color="auto"/>
                <w:color w:val="auto"/>
              </w:rPr>
              <w:t>829</w:t>
            </w:r>
          </w:p>
        </w:tc>
        <w:tc>
          <w:tcPr>
            <w:tcW w:w="180" w:type="dxa"/>
            <w:vAlign w:val="bottom"/>
          </w:tcPr>
          <w:p>
            <w:pPr>
              <w:spacing w:after="0"/>
              <w:rPr>
                <w:sz w:val="15"/>
                <w:szCs w:val="15"/>
                <w:color w:val="auto"/>
              </w:rPr>
            </w:pPr>
          </w:p>
        </w:tc>
        <w:tc>
          <w:tcPr>
            <w:tcW w:w="1360" w:type="dxa"/>
            <w:vAlign w:val="bottom"/>
            <w:gridSpan w:val="4"/>
          </w:tcPr>
          <w:p>
            <w:pPr>
              <w:jc w:val="right"/>
              <w:ind w:right="160"/>
              <w:spacing w:after="0" w:line="184" w:lineRule="exact"/>
              <w:rPr>
                <w:sz w:val="20"/>
                <w:szCs w:val="20"/>
                <w:color w:val="auto"/>
              </w:rPr>
            </w:pPr>
            <w:r>
              <w:rPr>
                <w:rFonts w:ascii="Arial" w:cs="Arial" w:eastAsia="Arial" w:hAnsi="Arial"/>
                <w:sz w:val="18"/>
                <w:szCs w:val="18"/>
                <w:color w:val="auto"/>
              </w:rPr>
              <w:t>13,265.</w:t>
            </w:r>
            <w:r>
              <w:rPr>
                <w:rFonts w:ascii="Arial" w:cs="Arial" w:eastAsia="Arial" w:hAnsi="Arial"/>
                <w:sz w:val="18"/>
                <w:szCs w:val="18"/>
                <w:u w:val="single" w:color="auto"/>
                <w:color w:val="auto"/>
              </w:rPr>
              <w:t>955</w:t>
            </w:r>
          </w:p>
        </w:tc>
        <w:tc>
          <w:tcPr>
            <w:tcW w:w="1340" w:type="dxa"/>
            <w:vAlign w:val="bottom"/>
            <w:gridSpan w:val="4"/>
          </w:tcPr>
          <w:p>
            <w:pPr>
              <w:jc w:val="right"/>
              <w:ind w:right="140"/>
              <w:spacing w:after="0" w:line="184" w:lineRule="exact"/>
              <w:rPr>
                <w:sz w:val="20"/>
                <w:szCs w:val="20"/>
                <w:color w:val="auto"/>
              </w:rPr>
            </w:pPr>
            <w:r>
              <w:rPr>
                <w:rFonts w:ascii="Arial" w:cs="Arial" w:eastAsia="Arial" w:hAnsi="Arial"/>
                <w:sz w:val="18"/>
                <w:szCs w:val="18"/>
                <w:color w:val="auto"/>
              </w:rPr>
              <w:t>13,176.</w:t>
            </w:r>
            <w:r>
              <w:rPr>
                <w:rFonts w:ascii="Arial" w:cs="Arial" w:eastAsia="Arial" w:hAnsi="Arial"/>
                <w:sz w:val="18"/>
                <w:szCs w:val="18"/>
                <w:u w:val="single" w:color="auto"/>
                <w:color w:val="auto"/>
              </w:rPr>
              <w:t>688</w:t>
            </w:r>
          </w:p>
        </w:tc>
        <w:tc>
          <w:tcPr>
            <w:tcW w:w="1220" w:type="dxa"/>
            <w:vAlign w:val="bottom"/>
            <w:gridSpan w:val="4"/>
          </w:tcPr>
          <w:p>
            <w:pPr>
              <w:jc w:val="right"/>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3,796.222</w:t>
            </w:r>
          </w:p>
        </w:tc>
      </w:tr>
      <w:tr>
        <w:trPr>
          <w:trHeight w:val="20"/>
        </w:trPr>
        <w:tc>
          <w:tcPr>
            <w:tcW w:w="98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471"/>
        </w:trPr>
        <w:tc>
          <w:tcPr>
            <w:tcW w:w="4580" w:type="dxa"/>
            <w:vAlign w:val="bottom"/>
            <w:gridSpan w:val="6"/>
          </w:tcPr>
          <w:p>
            <w:pPr>
              <w:spacing w:after="0"/>
              <w:rPr>
                <w:sz w:val="20"/>
                <w:szCs w:val="20"/>
                <w:color w:val="auto"/>
              </w:rPr>
            </w:pPr>
            <w:r>
              <w:rPr>
                <w:rFonts w:ascii="Arial" w:cs="Arial" w:eastAsia="Arial" w:hAnsi="Arial"/>
                <w:sz w:val="18"/>
                <w:szCs w:val="18"/>
                <w:color w:val="auto"/>
              </w:rPr>
              <w:t>INVESTMENT SECURITIES AVAILABLE FOR SALE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374.305</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417.936</w:t>
            </w:r>
          </w:p>
        </w:tc>
        <w:tc>
          <w:tcPr>
            <w:tcW w:w="180" w:type="dxa"/>
            <w:vAlign w:val="bottom"/>
          </w:tcPr>
          <w:p>
            <w:pPr>
              <w:spacing w:after="0"/>
              <w:rPr>
                <w:sz w:val="24"/>
                <w:szCs w:val="2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358.741</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313.130</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$90.213</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PROPERTY, PLANT and EQUIPMENT, net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627.588</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782.320</w:t>
            </w:r>
          </w:p>
        </w:tc>
        <w:tc>
          <w:tcPr>
            <w:tcW w:w="18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760.401</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737.099</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$212.359</w:t>
            </w: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OTHER ASSETS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856.784</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894.176</w:t>
            </w:r>
          </w:p>
        </w:tc>
        <w:tc>
          <w:tcPr>
            <w:tcW w:w="180" w:type="dxa"/>
            <w:vAlign w:val="bottom"/>
          </w:tcPr>
          <w:p>
            <w:pPr>
              <w:spacing w:after="0"/>
              <w:rPr>
                <w:sz w:val="19"/>
                <w:szCs w:val="19"/>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1,090.121</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905.598</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$260.904</w:t>
            </w:r>
          </w:p>
        </w:tc>
      </w:tr>
      <w:tr>
        <w:trPr>
          <w:trHeight w:val="459"/>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0" w:type="dxa"/>
            <w:vAlign w:val="bottom"/>
            <w:gridSpan w:val="4"/>
          </w:tcPr>
          <w:p>
            <w:pPr>
              <w:jc w:val="center"/>
              <w:ind w:right="980"/>
              <w:spacing w:after="0"/>
              <w:rPr>
                <w:sz w:val="20"/>
                <w:szCs w:val="20"/>
                <w:color w:val="auto"/>
              </w:rPr>
            </w:pPr>
            <w:r>
              <w:rPr>
                <w:rFonts w:ascii="Arial" w:cs="Arial" w:eastAsia="Arial" w:hAnsi="Arial"/>
                <w:sz w:val="18"/>
                <w:szCs w:val="18"/>
                <w:b w:val="1"/>
                <w:bCs w:val="1"/>
                <w:color w:val="auto"/>
                <w:w w:val="94"/>
              </w:rPr>
              <w:t>TOTAL ASSETS</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21,083.299</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25,618.773</w:t>
            </w:r>
          </w:p>
        </w:tc>
        <w:tc>
          <w:tcPr>
            <w:tcW w:w="180" w:type="dxa"/>
            <w:vAlign w:val="bottom"/>
          </w:tcPr>
          <w:p>
            <w:pPr>
              <w:spacing w:after="0"/>
              <w:rPr>
                <w:sz w:val="24"/>
                <w:szCs w:val="2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24,654.721</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23,385.597</w:t>
            </w: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rPr>
              <w:t>$6,737.424</w:t>
            </w:r>
          </w:p>
        </w:tc>
      </w:tr>
      <w:tr>
        <w:trPr>
          <w:trHeight w:val="459"/>
        </w:trPr>
        <w:tc>
          <w:tcPr>
            <w:tcW w:w="4580" w:type="dxa"/>
            <w:vAlign w:val="bottom"/>
            <w:gridSpan w:val="6"/>
          </w:tcPr>
          <w:p>
            <w:pPr>
              <w:jc w:val="center"/>
              <w:spacing w:after="0"/>
              <w:rPr>
                <w:sz w:val="20"/>
                <w:szCs w:val="20"/>
                <w:color w:val="auto"/>
              </w:rPr>
            </w:pPr>
            <w:r>
              <w:rPr>
                <w:rFonts w:ascii="Arial" w:cs="Arial" w:eastAsia="Arial" w:hAnsi="Arial"/>
                <w:sz w:val="18"/>
                <w:szCs w:val="18"/>
                <w:b w:val="1"/>
                <w:bCs w:val="1"/>
                <w:color w:val="auto"/>
              </w:rPr>
              <w:t>LIABILITIES AND SHAREHOLDERS' EQUITY</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21"/>
        </w:trPr>
        <w:tc>
          <w:tcPr>
            <w:tcW w:w="4580" w:type="dxa"/>
            <w:vAlign w:val="bottom"/>
            <w:gridSpan w:val="6"/>
          </w:tcPr>
          <w:p>
            <w:pPr>
              <w:spacing w:after="0"/>
              <w:rPr>
                <w:sz w:val="20"/>
                <w:szCs w:val="20"/>
                <w:color w:val="auto"/>
              </w:rPr>
            </w:pPr>
            <w:r>
              <w:rPr>
                <w:rFonts w:ascii="Arial" w:cs="Arial" w:eastAsia="Arial" w:hAnsi="Arial"/>
                <w:sz w:val="18"/>
                <w:szCs w:val="18"/>
                <w:color w:val="auto"/>
              </w:rPr>
              <w:t>DEPOSITS AND OBLIGATIONS: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17,672.</w:t>
            </w:r>
            <w:r>
              <w:rPr>
                <w:rFonts w:ascii="Arial" w:cs="Arial" w:eastAsia="Arial" w:hAnsi="Arial"/>
                <w:sz w:val="18"/>
                <w:szCs w:val="18"/>
                <w:u w:val="single" w:color="auto"/>
                <w:color w:val="auto"/>
              </w:rPr>
              <w:t>782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21,889.</w:t>
            </w:r>
            <w:r>
              <w:rPr>
                <w:rFonts w:ascii="Arial" w:cs="Arial" w:eastAsia="Arial" w:hAnsi="Arial"/>
                <w:sz w:val="18"/>
                <w:szCs w:val="18"/>
                <w:u w:val="single" w:color="auto"/>
                <w:color w:val="auto"/>
              </w:rPr>
              <w:t>148</w:t>
            </w:r>
          </w:p>
        </w:tc>
        <w:tc>
          <w:tcPr>
            <w:tcW w:w="180" w:type="dxa"/>
            <w:vAlign w:val="bottom"/>
          </w:tcPr>
          <w:p>
            <w:pPr>
              <w:spacing w:after="0"/>
              <w:rPr>
                <w:sz w:val="24"/>
                <w:szCs w:val="2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20,985.</w:t>
            </w:r>
            <w:r>
              <w:rPr>
                <w:rFonts w:ascii="Arial" w:cs="Arial" w:eastAsia="Arial" w:hAnsi="Arial"/>
                <w:sz w:val="18"/>
                <w:szCs w:val="18"/>
                <w:u w:val="single" w:color="auto"/>
                <w:color w:val="auto"/>
              </w:rPr>
              <w:t>489</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20,013.</w:t>
            </w:r>
            <w:r>
              <w:rPr>
                <w:rFonts w:ascii="Arial" w:cs="Arial" w:eastAsia="Arial" w:hAnsi="Arial"/>
                <w:sz w:val="18"/>
                <w:szCs w:val="18"/>
                <w:u w:val="single" w:color="auto"/>
                <w:color w:val="auto"/>
              </w:rPr>
              <w:t>547</w:t>
            </w:r>
          </w:p>
        </w:tc>
        <w:tc>
          <w:tcPr>
            <w:tcW w:w="12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5,765.931</w:t>
            </w:r>
          </w:p>
        </w:tc>
      </w:tr>
      <w:tr>
        <w:trPr>
          <w:trHeight w:val="228"/>
        </w:trPr>
        <w:tc>
          <w:tcPr>
            <w:tcW w:w="25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Demand deposits</w:t>
            </w:r>
          </w:p>
        </w:tc>
        <w:tc>
          <w:tcPr>
            <w:tcW w:w="2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3,776.471</w:t>
            </w:r>
          </w:p>
        </w:tc>
        <w:tc>
          <w:tcPr>
            <w:tcW w:w="580" w:type="dxa"/>
            <w:vAlign w:val="bottom"/>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4,918.243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4,649.755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4,448.206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6"/>
              </w:rPr>
              <w:t>$1,281.534</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Saving accounts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5,181.509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5,878.684</w:t>
            </w:r>
          </w:p>
        </w:tc>
        <w:tc>
          <w:tcPr>
            <w:tcW w:w="18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5,501.384</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5,444.522</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$1,568.574</w:t>
            </w: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Time deposits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8,714.802</w:t>
            </w:r>
          </w:p>
        </w:tc>
        <w:tc>
          <w:tcPr>
            <w:tcW w:w="1540" w:type="dxa"/>
            <w:vAlign w:val="bottom"/>
            <w:gridSpan w:val="4"/>
          </w:tcPr>
          <w:p>
            <w:pPr>
              <w:jc w:val="right"/>
              <w:ind w:right="180"/>
              <w:spacing w:after="0"/>
              <w:rPr>
                <w:sz w:val="20"/>
                <w:szCs w:val="20"/>
                <w:color w:val="auto"/>
              </w:rPr>
            </w:pPr>
            <w:r>
              <w:rPr>
                <w:rFonts w:ascii="Arial" w:cs="Arial" w:eastAsia="Arial" w:hAnsi="Arial"/>
                <w:sz w:val="18"/>
                <w:szCs w:val="18"/>
                <w:color w:val="auto"/>
              </w:rPr>
              <w:t>11,092.221</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10,834.350</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10,120.819</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$2,915.822</w:t>
            </w:r>
          </w:p>
        </w:tc>
      </w:tr>
      <w:tr>
        <w:trPr>
          <w:trHeight w:val="453"/>
        </w:trPr>
        <w:tc>
          <w:tcPr>
            <w:tcW w:w="4580" w:type="dxa"/>
            <w:vAlign w:val="bottom"/>
            <w:gridSpan w:val="6"/>
          </w:tcPr>
          <w:p>
            <w:pPr>
              <w:spacing w:after="0"/>
              <w:rPr>
                <w:sz w:val="20"/>
                <w:szCs w:val="20"/>
                <w:color w:val="auto"/>
              </w:rPr>
            </w:pPr>
            <w:r>
              <w:rPr>
                <w:rFonts w:ascii="Arial" w:cs="Arial" w:eastAsia="Arial" w:hAnsi="Arial"/>
                <w:sz w:val="18"/>
                <w:szCs w:val="18"/>
                <w:color w:val="auto"/>
              </w:rPr>
              <w:t>DUE TO BANKS AND CORRESPONDENTS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389.005</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557.447</w:t>
            </w:r>
          </w:p>
        </w:tc>
        <w:tc>
          <w:tcPr>
            <w:tcW w:w="180" w:type="dxa"/>
            <w:vAlign w:val="bottom"/>
          </w:tcPr>
          <w:p>
            <w:pPr>
              <w:spacing w:after="0"/>
              <w:rPr>
                <w:sz w:val="24"/>
                <w:szCs w:val="2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507.873</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498.840</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$143.717</w:t>
            </w: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OTHER LIABILITIES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1,121.202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1,169.546</w:t>
            </w:r>
          </w:p>
        </w:tc>
        <w:tc>
          <w:tcPr>
            <w:tcW w:w="180" w:type="dxa"/>
            <w:vAlign w:val="bottom"/>
          </w:tcPr>
          <w:p>
            <w:pPr>
              <w:spacing w:after="0"/>
              <w:rPr>
                <w:sz w:val="19"/>
                <w:szCs w:val="19"/>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1,255.540</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865.335</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$249.304</w:t>
            </w:r>
          </w:p>
        </w:tc>
      </w:tr>
      <w:tr>
        <w:trPr>
          <w:trHeight w:val="421"/>
        </w:trPr>
        <w:tc>
          <w:tcPr>
            <w:tcW w:w="4580" w:type="dxa"/>
            <w:vAlign w:val="bottom"/>
            <w:gridSpan w:val="6"/>
          </w:tcPr>
          <w:p>
            <w:pPr>
              <w:spacing w:after="0"/>
              <w:rPr>
                <w:sz w:val="20"/>
                <w:szCs w:val="20"/>
                <w:color w:val="auto"/>
              </w:rPr>
            </w:pPr>
            <w:r>
              <w:rPr>
                <w:rFonts w:ascii="Arial" w:cs="Arial" w:eastAsia="Arial" w:hAnsi="Arial"/>
                <w:sz w:val="18"/>
                <w:szCs w:val="18"/>
                <w:color w:val="auto"/>
              </w:rPr>
              <w:t>SHAREHOLDERS EQUITY:</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1,900.</w:t>
            </w:r>
            <w:r>
              <w:rPr>
                <w:rFonts w:ascii="Arial" w:cs="Arial" w:eastAsia="Arial" w:hAnsi="Arial"/>
                <w:sz w:val="18"/>
                <w:szCs w:val="18"/>
                <w:u w:val="single" w:color="auto"/>
                <w:color w:val="auto"/>
              </w:rPr>
              <w:t>310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2,002.</w:t>
            </w:r>
            <w:r>
              <w:rPr>
                <w:rFonts w:ascii="Arial" w:cs="Arial" w:eastAsia="Arial" w:hAnsi="Arial"/>
                <w:sz w:val="18"/>
                <w:szCs w:val="18"/>
                <w:u w:val="single" w:color="auto"/>
                <w:color w:val="auto"/>
              </w:rPr>
              <w:t>632</w:t>
            </w:r>
          </w:p>
        </w:tc>
        <w:tc>
          <w:tcPr>
            <w:tcW w:w="180" w:type="dxa"/>
            <w:vAlign w:val="bottom"/>
          </w:tcPr>
          <w:p>
            <w:pPr>
              <w:spacing w:after="0"/>
              <w:rPr>
                <w:sz w:val="24"/>
                <w:szCs w:val="2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1,905.</w:t>
            </w:r>
            <w:r>
              <w:rPr>
                <w:rFonts w:ascii="Arial" w:cs="Arial" w:eastAsia="Arial" w:hAnsi="Arial"/>
                <w:sz w:val="18"/>
                <w:szCs w:val="18"/>
                <w:u w:val="single" w:color="auto"/>
                <w:color w:val="auto"/>
              </w:rPr>
              <w:t>819</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2,007.</w:t>
            </w:r>
            <w:r>
              <w:rPr>
                <w:rFonts w:ascii="Arial" w:cs="Arial" w:eastAsia="Arial" w:hAnsi="Arial"/>
                <w:sz w:val="18"/>
                <w:szCs w:val="18"/>
                <w:u w:val="single" w:color="auto"/>
                <w:color w:val="auto"/>
              </w:rPr>
              <w:t>875</w:t>
            </w:r>
          </w:p>
        </w:tc>
        <w:tc>
          <w:tcPr>
            <w:tcW w:w="12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578.472</w:t>
            </w:r>
          </w:p>
        </w:tc>
      </w:tr>
      <w:tr>
        <w:trPr>
          <w:trHeight w:val="20"/>
        </w:trPr>
        <w:tc>
          <w:tcPr>
            <w:tcW w:w="2120" w:type="dxa"/>
            <w:vAlign w:val="bottom"/>
            <w:gridSpan w:val="3"/>
            <w:shd w:val="clear" w:color="auto" w:fill="000000"/>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28"/>
        </w:trPr>
        <w:tc>
          <w:tcPr>
            <w:tcW w:w="2120" w:type="dxa"/>
            <w:vAlign w:val="bottom"/>
            <w:gridSpan w:val="3"/>
          </w:tcPr>
          <w:p>
            <w:pPr>
              <w:spacing w:after="0"/>
              <w:rPr>
                <w:sz w:val="20"/>
                <w:szCs w:val="20"/>
                <w:color w:val="auto"/>
              </w:rPr>
            </w:pPr>
            <w:r>
              <w:rPr>
                <w:rFonts w:ascii="Arial" w:cs="Arial" w:eastAsia="Arial" w:hAnsi="Arial"/>
                <w:sz w:val="18"/>
                <w:szCs w:val="18"/>
                <w:color w:val="auto"/>
              </w:rPr>
              <w:t>Capital stock</w:t>
            </w:r>
          </w:p>
        </w:tc>
        <w:tc>
          <w:tcPr>
            <w:tcW w:w="2460" w:type="dxa"/>
            <w:vAlign w:val="bottom"/>
            <w:gridSpan w:val="3"/>
          </w:tcPr>
          <w:p>
            <w:pPr>
              <w:spacing w:after="0"/>
              <w:rPr>
                <w:sz w:val="19"/>
                <w:szCs w:val="19"/>
                <w:color w:val="auto"/>
              </w:rPr>
            </w:pPr>
          </w:p>
        </w:tc>
        <w:tc>
          <w:tcPr>
            <w:tcW w:w="680" w:type="dxa"/>
            <w:vAlign w:val="bottom"/>
            <w:gridSpan w:val="2"/>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1,100.101</w:t>
            </w:r>
          </w:p>
        </w:tc>
        <w:tc>
          <w:tcPr>
            <w:tcW w:w="660" w:type="dxa"/>
            <w:vAlign w:val="bottom"/>
            <w:gridSpan w:val="2"/>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1,099.056</w:t>
            </w:r>
          </w:p>
        </w:tc>
        <w:tc>
          <w:tcPr>
            <w:tcW w:w="18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1,205.918</w:t>
            </w:r>
          </w:p>
        </w:tc>
        <w:tc>
          <w:tcPr>
            <w:tcW w:w="160" w:type="dxa"/>
            <w:vAlign w:val="bottom"/>
          </w:tcPr>
          <w:p>
            <w:pPr>
              <w:spacing w:after="0"/>
              <w:rPr>
                <w:sz w:val="19"/>
                <w:szCs w:val="19"/>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1,207.195</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$347.795</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Legal reserve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650.747</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650.128</w:t>
            </w:r>
          </w:p>
        </w:tc>
        <w:tc>
          <w:tcPr>
            <w:tcW w:w="18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686.681</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687.408</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$198.043</w:t>
            </w: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Retained earnings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149.462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253.448</w:t>
            </w:r>
          </w:p>
        </w:tc>
        <w:tc>
          <w:tcPr>
            <w:tcW w:w="180" w:type="dxa"/>
            <w:vAlign w:val="bottom"/>
          </w:tcPr>
          <w:p>
            <w:pPr>
              <w:spacing w:after="0"/>
              <w:rPr>
                <w:sz w:val="19"/>
                <w:szCs w:val="19"/>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13.220</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113.272</w:t>
            </w: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$32.634</w:t>
            </w:r>
          </w:p>
        </w:tc>
      </w:tr>
      <w:tr>
        <w:trPr>
          <w:trHeight w:val="459"/>
        </w:trPr>
        <w:tc>
          <w:tcPr>
            <w:tcW w:w="600" w:type="dxa"/>
            <w:vAlign w:val="bottom"/>
          </w:tcPr>
          <w:p>
            <w:pPr>
              <w:spacing w:after="0"/>
              <w:rPr>
                <w:sz w:val="24"/>
                <w:szCs w:val="24"/>
                <w:color w:val="auto"/>
              </w:rPr>
            </w:pPr>
          </w:p>
        </w:tc>
        <w:tc>
          <w:tcPr>
            <w:tcW w:w="398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rPr>
              <w:t>TOTAL LIABILITIES AND EQUITY</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21,083.299</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25,618.773</w:t>
            </w:r>
          </w:p>
        </w:tc>
        <w:tc>
          <w:tcPr>
            <w:tcW w:w="180" w:type="dxa"/>
            <w:vAlign w:val="bottom"/>
          </w:tcPr>
          <w:p>
            <w:pPr>
              <w:spacing w:after="0"/>
              <w:rPr>
                <w:sz w:val="24"/>
                <w:szCs w:val="2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24,654.721</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23,385.597</w:t>
            </w: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rPr>
              <w:t>$6,737.424</w:t>
            </w:r>
          </w:p>
        </w:tc>
      </w:tr>
      <w:tr>
        <w:trPr>
          <w:trHeight w:val="459"/>
        </w:trPr>
        <w:tc>
          <w:tcPr>
            <w:tcW w:w="4580" w:type="dxa"/>
            <w:vAlign w:val="bottom"/>
            <w:gridSpan w:val="6"/>
          </w:tcPr>
          <w:p>
            <w:pPr>
              <w:spacing w:after="0"/>
              <w:rPr>
                <w:sz w:val="20"/>
                <w:szCs w:val="20"/>
                <w:color w:val="auto"/>
              </w:rPr>
            </w:pPr>
            <w:r>
              <w:rPr>
                <w:rFonts w:ascii="Arial" w:cs="Arial" w:eastAsia="Arial" w:hAnsi="Arial"/>
                <w:sz w:val="18"/>
                <w:szCs w:val="18"/>
                <w:b w:val="1"/>
                <w:bCs w:val="1"/>
                <w:color w:val="auto"/>
              </w:rPr>
              <w:t>Contingent Credits</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4,348.510</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5,487.103</w:t>
            </w:r>
          </w:p>
        </w:tc>
        <w:tc>
          <w:tcPr>
            <w:tcW w:w="180" w:type="dxa"/>
            <w:vAlign w:val="bottom"/>
          </w:tcPr>
          <w:p>
            <w:pPr>
              <w:spacing w:after="0"/>
              <w:rPr>
                <w:sz w:val="24"/>
                <w:szCs w:val="24"/>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4,900.248</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4,930.784</w:t>
            </w: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rPr>
              <w:t>$1,420.566</w:t>
            </w:r>
          </w:p>
        </w:tc>
      </w:tr>
      <w:tr>
        <w:trPr>
          <w:trHeight w:val="110"/>
        </w:trPr>
        <w:tc>
          <w:tcPr>
            <w:tcW w:w="6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(1)Translated at S/.3.471 per US$1.00.</w:t>
      </w:r>
    </w:p>
    <w:p>
      <w:pPr>
        <w:sectPr>
          <w:pgSz w:w="11900" w:h="16838" w:orient="portrait"/>
          <w:cols w:equalWidth="0" w:num="1">
            <w:col w:w="11420"/>
          </w:cols>
          <w:pgMar w:left="240" w:top="131" w:right="23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Table 5</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(Constant Nuevos Soles, as of June 30, 2003 and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00" w:type="dxa"/>
            <w:vAlign w:val="bottom"/>
            <w:gridSpan w:val="7"/>
          </w:tcPr>
          <w:p>
            <w:pPr>
              <w:jc w:val="right"/>
              <w:ind w:right="292"/>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60" w:type="dxa"/>
            <w:vAlign w:val="bottom"/>
            <w:gridSpan w:val="8"/>
          </w:tcPr>
          <w:p>
            <w:pPr>
              <w:jc w:val="right"/>
              <w:ind w:right="560"/>
              <w:spacing w:after="0"/>
              <w:rPr>
                <w:sz w:val="20"/>
                <w:szCs w:val="20"/>
                <w:color w:val="auto"/>
              </w:rPr>
            </w:pPr>
            <w:r>
              <w:rPr>
                <w:rFonts w:ascii="Arial" w:cs="Arial" w:eastAsia="Arial" w:hAnsi="Arial"/>
                <w:sz w:val="18"/>
                <w:szCs w:val="18"/>
                <w:b w:val="1"/>
                <w:bCs w:val="1"/>
                <w:color w:val="auto"/>
              </w:rPr>
              <w:t>Six months ended</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30.06.02</w:t>
            </w: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31.03.03</w:t>
            </w:r>
          </w:p>
        </w:tc>
        <w:tc>
          <w:tcPr>
            <w:tcW w:w="1140" w:type="dxa"/>
            <w:vAlign w:val="bottom"/>
            <w:gridSpan w:val="4"/>
          </w:tcPr>
          <w:p>
            <w:pPr>
              <w:jc w:val="right"/>
              <w:spacing w:after="0"/>
              <w:rPr>
                <w:sz w:val="20"/>
                <w:szCs w:val="20"/>
                <w:color w:val="auto"/>
              </w:rPr>
            </w:pPr>
            <w:r>
              <w:rPr>
                <w:rFonts w:ascii="Arial" w:cs="Arial" w:eastAsia="Arial" w:hAnsi="Arial"/>
                <w:sz w:val="18"/>
                <w:szCs w:val="18"/>
                <w:b w:val="1"/>
                <w:bCs w:val="1"/>
                <w:color w:val="auto"/>
              </w:rPr>
              <w:t>30.06.03</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30.06.03</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30.06.02</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30.06.03</w:t>
            </w:r>
          </w:p>
        </w:tc>
        <w:tc>
          <w:tcPr>
            <w:tcW w:w="100" w:type="dxa"/>
            <w:vAlign w:val="bottom"/>
          </w:tcPr>
          <w:p>
            <w:pPr>
              <w:spacing w:after="0"/>
              <w:rPr>
                <w:sz w:val="24"/>
                <w:szCs w:val="24"/>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30.06.03</w:t>
            </w:r>
          </w:p>
        </w:tc>
        <w:tc>
          <w:tcPr>
            <w:tcW w:w="0" w:type="dxa"/>
            <w:vAlign w:val="bottom"/>
          </w:tcPr>
          <w:p>
            <w:pPr>
              <w:spacing w:after="0"/>
              <w:rPr>
                <w:sz w:val="1"/>
                <w:szCs w:val="1"/>
                <w:color w:val="auto"/>
              </w:rPr>
            </w:pPr>
          </w:p>
        </w:tc>
      </w:tr>
      <w:tr>
        <w:trPr>
          <w:trHeight w:val="110"/>
        </w:trPr>
        <w:tc>
          <w:tcPr>
            <w:tcW w:w="4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460" w:type="dxa"/>
            <w:vAlign w:val="bottom"/>
            <w:gridSpan w:val="5"/>
          </w:tcPr>
          <w:p>
            <w:pPr>
              <w:spacing w:after="0"/>
              <w:rPr>
                <w:sz w:val="20"/>
                <w:szCs w:val="20"/>
                <w:color w:val="auto"/>
              </w:rPr>
            </w:pPr>
            <w:r>
              <w:rPr>
                <w:rFonts w:ascii="Arial" w:cs="Arial" w:eastAsia="Arial" w:hAnsi="Arial"/>
                <w:sz w:val="18"/>
                <w:szCs w:val="18"/>
                <w:b w:val="1"/>
                <w:bCs w:val="1"/>
                <w:color w:val="auto"/>
              </w:rPr>
              <w:t>Interest income and expense</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gridSpan w:val="3"/>
          </w:tcPr>
          <w:p>
            <w:pPr>
              <w:jc w:val="right"/>
              <w:ind w:right="92"/>
              <w:spacing w:after="0"/>
              <w:rPr>
                <w:sz w:val="20"/>
                <w:szCs w:val="20"/>
                <w:color w:val="auto"/>
              </w:rPr>
            </w:pPr>
            <w:r>
              <w:rPr>
                <w:rFonts w:ascii="Arial" w:cs="Arial" w:eastAsia="Arial" w:hAnsi="Arial"/>
                <w:sz w:val="18"/>
                <w:szCs w:val="18"/>
                <w:b w:val="1"/>
                <w:bCs w:val="1"/>
                <w:color w:val="auto"/>
              </w:rPr>
              <w:t>US$000(1)</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US$000(1)</w:t>
            </w:r>
          </w:p>
        </w:tc>
        <w:tc>
          <w:tcPr>
            <w:tcW w:w="0" w:type="dxa"/>
            <w:vAlign w:val="bottom"/>
          </w:tcPr>
          <w:p>
            <w:pPr>
              <w:spacing w:after="0"/>
              <w:rPr>
                <w:sz w:val="1"/>
                <w:szCs w:val="1"/>
                <w:color w:val="auto"/>
              </w:rPr>
            </w:pPr>
          </w:p>
        </w:tc>
      </w:tr>
      <w:tr>
        <w:trPr>
          <w:trHeight w:val="216"/>
        </w:trPr>
        <w:tc>
          <w:tcPr>
            <w:tcW w:w="3460" w:type="dxa"/>
            <w:vAlign w:val="bottom"/>
            <w:gridSpan w:val="5"/>
          </w:tcPr>
          <w:p>
            <w:pPr>
              <w:spacing w:after="0"/>
              <w:rPr>
                <w:sz w:val="20"/>
                <w:szCs w:val="20"/>
                <w:color w:val="auto"/>
              </w:rPr>
            </w:pPr>
            <w:r>
              <w:rPr>
                <w:rFonts w:ascii="Arial" w:cs="Arial" w:eastAsia="Arial" w:hAnsi="Arial"/>
                <w:sz w:val="18"/>
                <w:szCs w:val="18"/>
                <w:color w:val="auto"/>
              </w:rPr>
              <w:t>Interest income</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403.324</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412.491</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402.937</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$116.087</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812.073</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815.428</w:t>
            </w:r>
          </w:p>
        </w:tc>
        <w:tc>
          <w:tcPr>
            <w:tcW w:w="1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$234.926</w:t>
            </w:r>
          </w:p>
        </w:tc>
        <w:tc>
          <w:tcPr>
            <w:tcW w:w="0" w:type="dxa"/>
            <w:vAlign w:val="bottom"/>
          </w:tcPr>
          <w:p>
            <w:pPr>
              <w:spacing w:after="0"/>
              <w:rPr>
                <w:sz w:val="1"/>
                <w:szCs w:val="1"/>
                <w:color w:val="auto"/>
              </w:rPr>
            </w:pPr>
          </w:p>
        </w:tc>
      </w:tr>
      <w:tr>
        <w:trPr>
          <w:trHeight w:val="184"/>
        </w:trPr>
        <w:tc>
          <w:tcPr>
            <w:tcW w:w="3460" w:type="dxa"/>
            <w:vAlign w:val="bottom"/>
            <w:gridSpan w:val="5"/>
          </w:tcPr>
          <w:p>
            <w:pPr>
              <w:spacing w:after="0" w:line="184" w:lineRule="exact"/>
              <w:rPr>
                <w:sz w:val="20"/>
                <w:szCs w:val="20"/>
                <w:color w:val="auto"/>
              </w:rPr>
            </w:pPr>
            <w:r>
              <w:rPr>
                <w:rFonts w:ascii="Arial" w:cs="Arial" w:eastAsia="Arial" w:hAnsi="Arial"/>
                <w:sz w:val="18"/>
                <w:szCs w:val="18"/>
                <w:color w:val="auto"/>
              </w:rPr>
              <w:t>Less - Interest expense</w:t>
            </w:r>
          </w:p>
        </w:tc>
        <w:tc>
          <w:tcPr>
            <w:tcW w:w="11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124.</w:t>
            </w:r>
            <w:r>
              <w:rPr>
                <w:rFonts w:ascii="Arial" w:cs="Arial" w:eastAsia="Arial" w:hAnsi="Arial"/>
                <w:sz w:val="18"/>
                <w:szCs w:val="18"/>
                <w:u w:val="single" w:color="auto"/>
                <w:color w:val="auto"/>
              </w:rPr>
              <w:t>640</w:t>
            </w:r>
          </w:p>
        </w:tc>
        <w:tc>
          <w:tcPr>
            <w:tcW w:w="11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130.</w:t>
            </w:r>
            <w:r>
              <w:rPr>
                <w:rFonts w:ascii="Arial" w:cs="Arial" w:eastAsia="Arial" w:hAnsi="Arial"/>
                <w:sz w:val="18"/>
                <w:szCs w:val="18"/>
                <w:u w:val="single" w:color="auto"/>
                <w:color w:val="auto"/>
              </w:rPr>
              <w:t>764</w:t>
            </w:r>
          </w:p>
        </w:tc>
        <w:tc>
          <w:tcPr>
            <w:tcW w:w="114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118.</w:t>
            </w:r>
            <w:r>
              <w:rPr>
                <w:rFonts w:ascii="Arial" w:cs="Arial" w:eastAsia="Arial" w:hAnsi="Arial"/>
                <w:sz w:val="18"/>
                <w:szCs w:val="18"/>
                <w:u w:val="single" w:color="auto"/>
                <w:color w:val="auto"/>
              </w:rPr>
              <w:t>540</w:t>
            </w:r>
          </w:p>
        </w:tc>
        <w:tc>
          <w:tcPr>
            <w:tcW w:w="1140" w:type="dxa"/>
            <w:vAlign w:val="bottom"/>
            <w:gridSpan w:val="3"/>
          </w:tcPr>
          <w:p>
            <w:pPr>
              <w:jc w:val="right"/>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34.152</w:t>
            </w:r>
          </w:p>
        </w:tc>
        <w:tc>
          <w:tcPr>
            <w:tcW w:w="1140" w:type="dxa"/>
            <w:vAlign w:val="bottom"/>
            <w:gridSpan w:val="4"/>
          </w:tcPr>
          <w:p>
            <w:pPr>
              <w:jc w:val="right"/>
              <w:ind w:right="60"/>
              <w:spacing w:after="0" w:line="184" w:lineRule="exact"/>
              <w:rPr>
                <w:sz w:val="20"/>
                <w:szCs w:val="20"/>
                <w:color w:val="auto"/>
              </w:rPr>
            </w:pPr>
            <w:r>
              <w:rPr>
                <w:rFonts w:ascii="Arial" w:cs="Arial" w:eastAsia="Arial" w:hAnsi="Arial"/>
                <w:sz w:val="18"/>
                <w:szCs w:val="18"/>
                <w:color w:val="auto"/>
              </w:rPr>
              <w:t>254.</w:t>
            </w:r>
            <w:r>
              <w:rPr>
                <w:rFonts w:ascii="Arial" w:cs="Arial" w:eastAsia="Arial" w:hAnsi="Arial"/>
                <w:sz w:val="18"/>
                <w:szCs w:val="18"/>
                <w:u w:val="single" w:color="auto"/>
                <w:color w:val="auto"/>
              </w:rPr>
              <w:t>910</w:t>
            </w:r>
          </w:p>
        </w:tc>
        <w:tc>
          <w:tcPr>
            <w:tcW w:w="1120" w:type="dxa"/>
            <w:vAlign w:val="bottom"/>
            <w:gridSpan w:val="3"/>
          </w:tcPr>
          <w:p>
            <w:pPr>
              <w:jc w:val="right"/>
              <w:ind w:right="40"/>
              <w:spacing w:after="0" w:line="184" w:lineRule="exact"/>
              <w:rPr>
                <w:sz w:val="20"/>
                <w:szCs w:val="20"/>
                <w:color w:val="auto"/>
              </w:rPr>
            </w:pPr>
            <w:r>
              <w:rPr>
                <w:rFonts w:ascii="Arial" w:cs="Arial" w:eastAsia="Arial" w:hAnsi="Arial"/>
                <w:sz w:val="18"/>
                <w:szCs w:val="18"/>
                <w:color w:val="auto"/>
              </w:rPr>
              <w:t>249.</w:t>
            </w:r>
            <w:r>
              <w:rPr>
                <w:rFonts w:ascii="Arial" w:cs="Arial" w:eastAsia="Arial" w:hAnsi="Arial"/>
                <w:sz w:val="18"/>
                <w:szCs w:val="18"/>
                <w:u w:val="single" w:color="auto"/>
                <w:color w:val="auto"/>
              </w:rPr>
              <w:t>304</w:t>
            </w:r>
          </w:p>
        </w:tc>
        <w:tc>
          <w:tcPr>
            <w:tcW w:w="100" w:type="dxa"/>
            <w:vAlign w:val="bottom"/>
          </w:tcPr>
          <w:p>
            <w:pPr>
              <w:spacing w:after="0"/>
              <w:rPr>
                <w:sz w:val="15"/>
                <w:szCs w:val="15"/>
                <w:color w:val="auto"/>
              </w:rPr>
            </w:pPr>
          </w:p>
        </w:tc>
        <w:tc>
          <w:tcPr>
            <w:tcW w:w="1040" w:type="dxa"/>
            <w:vAlign w:val="bottom"/>
            <w:gridSpan w:val="3"/>
          </w:tcPr>
          <w:p>
            <w:pPr>
              <w:jc w:val="right"/>
              <w:ind w:right="40"/>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71.825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88"/>
              </w:rPr>
              <w:t>Net interest income</w:t>
            </w:r>
          </w:p>
        </w:tc>
        <w:tc>
          <w:tcPr>
            <w:tcW w:w="1040" w:type="dxa"/>
            <w:vAlign w:val="bottom"/>
            <w:gridSpan w:val="2"/>
          </w:tcPr>
          <w:p>
            <w:pPr>
              <w:spacing w:after="0"/>
              <w:rPr>
                <w:sz w:val="17"/>
                <w:szCs w:val="17"/>
                <w:color w:val="auto"/>
              </w:rPr>
            </w:pPr>
          </w:p>
        </w:tc>
        <w:tc>
          <w:tcPr>
            <w:tcW w:w="1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278.</w:t>
            </w:r>
            <w:r>
              <w:rPr>
                <w:rFonts w:ascii="Arial" w:cs="Arial" w:eastAsia="Arial" w:hAnsi="Arial"/>
                <w:sz w:val="18"/>
                <w:szCs w:val="18"/>
                <w:u w:val="single" w:color="auto"/>
                <w:color w:val="auto"/>
              </w:rPr>
              <w:t>684</w:t>
            </w:r>
          </w:p>
        </w:tc>
        <w:tc>
          <w:tcPr>
            <w:tcW w:w="11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281.</w:t>
            </w:r>
            <w:r>
              <w:rPr>
                <w:rFonts w:ascii="Arial" w:cs="Arial" w:eastAsia="Arial" w:hAnsi="Arial"/>
                <w:sz w:val="18"/>
                <w:szCs w:val="18"/>
                <w:u w:val="single" w:color="auto"/>
                <w:color w:val="auto"/>
              </w:rPr>
              <w:t>727</w:t>
            </w:r>
          </w:p>
        </w:tc>
        <w:tc>
          <w:tcPr>
            <w:tcW w:w="11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284.</w:t>
            </w:r>
            <w:r>
              <w:rPr>
                <w:rFonts w:ascii="Arial" w:cs="Arial" w:eastAsia="Arial" w:hAnsi="Arial"/>
                <w:sz w:val="18"/>
                <w:szCs w:val="18"/>
                <w:u w:val="single" w:color="auto"/>
                <w:color w:val="auto"/>
              </w:rPr>
              <w:t>397</w:t>
            </w:r>
          </w:p>
        </w:tc>
        <w:tc>
          <w:tcPr>
            <w:tcW w:w="1140" w:type="dxa"/>
            <w:vAlign w:val="bottom"/>
            <w:gridSpan w:val="3"/>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81.935</w:t>
            </w:r>
          </w:p>
        </w:tc>
        <w:tc>
          <w:tcPr>
            <w:tcW w:w="1140" w:type="dxa"/>
            <w:vAlign w:val="bottom"/>
            <w:gridSpan w:val="4"/>
          </w:tcPr>
          <w:p>
            <w:pPr>
              <w:jc w:val="right"/>
              <w:ind w:right="60"/>
              <w:spacing w:after="0" w:line="196" w:lineRule="exact"/>
              <w:rPr>
                <w:sz w:val="20"/>
                <w:szCs w:val="20"/>
                <w:color w:val="auto"/>
              </w:rPr>
            </w:pPr>
            <w:r>
              <w:rPr>
                <w:rFonts w:ascii="Arial" w:cs="Arial" w:eastAsia="Arial" w:hAnsi="Arial"/>
                <w:sz w:val="18"/>
                <w:szCs w:val="18"/>
                <w:color w:val="auto"/>
              </w:rPr>
              <w:t>557.</w:t>
            </w:r>
            <w:r>
              <w:rPr>
                <w:rFonts w:ascii="Arial" w:cs="Arial" w:eastAsia="Arial" w:hAnsi="Arial"/>
                <w:sz w:val="18"/>
                <w:szCs w:val="18"/>
                <w:u w:val="single" w:color="auto"/>
                <w:color w:val="auto"/>
              </w:rPr>
              <w:t>163</w:t>
            </w:r>
          </w:p>
        </w:tc>
        <w:tc>
          <w:tcPr>
            <w:tcW w:w="11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566.</w:t>
            </w:r>
            <w:r>
              <w:rPr>
                <w:rFonts w:ascii="Arial" w:cs="Arial" w:eastAsia="Arial" w:hAnsi="Arial"/>
                <w:sz w:val="18"/>
                <w:szCs w:val="18"/>
                <w:u w:val="single" w:color="auto"/>
                <w:color w:val="auto"/>
              </w:rPr>
              <w:t>124</w:t>
            </w:r>
          </w:p>
        </w:tc>
        <w:tc>
          <w:tcPr>
            <w:tcW w:w="100" w:type="dxa"/>
            <w:vAlign w:val="bottom"/>
          </w:tcPr>
          <w:p>
            <w:pPr>
              <w:spacing w:after="0"/>
              <w:rPr>
                <w:sz w:val="17"/>
                <w:szCs w:val="17"/>
                <w:color w:val="auto"/>
              </w:rPr>
            </w:pPr>
          </w:p>
        </w:tc>
        <w:tc>
          <w:tcPr>
            <w:tcW w:w="1040" w:type="dxa"/>
            <w:vAlign w:val="bottom"/>
            <w:gridSpan w:val="3"/>
          </w:tcPr>
          <w:p>
            <w:pPr>
              <w:jc w:val="right"/>
              <w:ind w:right="40"/>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163.101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460" w:type="dxa"/>
            <w:vAlign w:val="bottom"/>
            <w:gridSpan w:val="5"/>
          </w:tcPr>
          <w:p>
            <w:pPr>
              <w:spacing w:after="0"/>
              <w:rPr>
                <w:sz w:val="20"/>
                <w:szCs w:val="20"/>
                <w:color w:val="auto"/>
              </w:rPr>
            </w:pPr>
            <w:r>
              <w:rPr>
                <w:rFonts w:ascii="Arial" w:cs="Arial" w:eastAsia="Arial" w:hAnsi="Arial"/>
                <w:sz w:val="18"/>
                <w:szCs w:val="18"/>
                <w:color w:val="auto"/>
              </w:rPr>
              <w:t>Provisions for possible loan losses, net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103.910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115.293</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66.302</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$19.102</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191.556</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181.595</w:t>
            </w:r>
          </w:p>
        </w:tc>
        <w:tc>
          <w:tcPr>
            <w:tcW w:w="100" w:type="dxa"/>
            <w:vAlign w:val="bottom"/>
          </w:tcPr>
          <w:p>
            <w:pPr>
              <w:spacing w:after="0"/>
              <w:rPr>
                <w:sz w:val="24"/>
                <w:szCs w:val="24"/>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$52.318</w:t>
            </w:r>
          </w:p>
        </w:tc>
        <w:tc>
          <w:tcPr>
            <w:tcW w:w="0" w:type="dxa"/>
            <w:vAlign w:val="bottom"/>
          </w:tcPr>
          <w:p>
            <w:pPr>
              <w:spacing w:after="0"/>
              <w:rPr>
                <w:sz w:val="1"/>
                <w:szCs w:val="1"/>
                <w:color w:val="auto"/>
              </w:rPr>
            </w:pPr>
          </w:p>
        </w:tc>
      </w:tr>
      <w:tr>
        <w:trPr>
          <w:trHeight w:val="421"/>
        </w:trPr>
        <w:tc>
          <w:tcPr>
            <w:tcW w:w="460" w:type="dxa"/>
            <w:vAlign w:val="bottom"/>
          </w:tcPr>
          <w:p>
            <w:pPr>
              <w:spacing w:after="0"/>
              <w:rPr>
                <w:sz w:val="24"/>
                <w:szCs w:val="24"/>
                <w:color w:val="auto"/>
              </w:rPr>
            </w:pPr>
          </w:p>
        </w:tc>
        <w:tc>
          <w:tcPr>
            <w:tcW w:w="3000" w:type="dxa"/>
            <w:vAlign w:val="bottom"/>
            <w:gridSpan w:val="4"/>
          </w:tcPr>
          <w:p>
            <w:pPr>
              <w:jc w:val="center"/>
              <w:ind w:right="480"/>
              <w:spacing w:after="0"/>
              <w:rPr>
                <w:sz w:val="20"/>
                <w:szCs w:val="20"/>
                <w:color w:val="auto"/>
              </w:rPr>
            </w:pPr>
            <w:r>
              <w:rPr>
                <w:rFonts w:ascii="Arial" w:cs="Arial" w:eastAsia="Arial" w:hAnsi="Arial"/>
                <w:sz w:val="18"/>
                <w:szCs w:val="18"/>
                <w:color w:val="auto"/>
                <w:w w:val="89"/>
              </w:rPr>
              <w:t>Net interest income after provisions</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174.</w:t>
            </w:r>
            <w:r>
              <w:rPr>
                <w:rFonts w:ascii="Arial" w:cs="Arial" w:eastAsia="Arial" w:hAnsi="Arial"/>
                <w:sz w:val="18"/>
                <w:szCs w:val="18"/>
                <w:u w:val="single" w:color="auto"/>
                <w:color w:val="auto"/>
              </w:rPr>
              <w:t>774</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166.</w:t>
            </w:r>
            <w:r>
              <w:rPr>
                <w:rFonts w:ascii="Arial" w:cs="Arial" w:eastAsia="Arial" w:hAnsi="Arial"/>
                <w:sz w:val="18"/>
                <w:szCs w:val="18"/>
                <w:u w:val="single" w:color="auto"/>
                <w:color w:val="auto"/>
              </w:rPr>
              <w:t>434</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218.</w:t>
            </w:r>
            <w:r>
              <w:rPr>
                <w:rFonts w:ascii="Arial" w:cs="Arial" w:eastAsia="Arial" w:hAnsi="Arial"/>
                <w:sz w:val="18"/>
                <w:szCs w:val="18"/>
                <w:u w:val="single" w:color="auto"/>
                <w:color w:val="auto"/>
              </w:rPr>
              <w:t>095</w:t>
            </w:r>
          </w:p>
        </w:tc>
        <w:tc>
          <w:tcPr>
            <w:tcW w:w="11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62.833</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365.</w:t>
            </w:r>
            <w:r>
              <w:rPr>
                <w:rFonts w:ascii="Arial" w:cs="Arial" w:eastAsia="Arial" w:hAnsi="Arial"/>
                <w:sz w:val="18"/>
                <w:szCs w:val="18"/>
                <w:u w:val="single" w:color="auto"/>
                <w:color w:val="auto"/>
              </w:rPr>
              <w:t>607</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384.</w:t>
            </w:r>
            <w:r>
              <w:rPr>
                <w:rFonts w:ascii="Arial" w:cs="Arial" w:eastAsia="Arial" w:hAnsi="Arial"/>
                <w:sz w:val="18"/>
                <w:szCs w:val="18"/>
                <w:u w:val="single" w:color="auto"/>
                <w:color w:val="auto"/>
              </w:rPr>
              <w:t>529</w:t>
            </w:r>
          </w:p>
        </w:tc>
        <w:tc>
          <w:tcPr>
            <w:tcW w:w="100" w:type="dxa"/>
            <w:vAlign w:val="bottom"/>
          </w:tcPr>
          <w:p>
            <w:pPr>
              <w:spacing w:after="0"/>
              <w:rPr>
                <w:sz w:val="24"/>
                <w:szCs w:val="24"/>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110.783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520" w:type="dxa"/>
            <w:vAlign w:val="bottom"/>
            <w:gridSpan w:val="3"/>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460" w:type="dxa"/>
            <w:vAlign w:val="bottom"/>
            <w:gridSpan w:val="5"/>
          </w:tcPr>
          <w:p>
            <w:pPr>
              <w:spacing w:after="0"/>
              <w:rPr>
                <w:sz w:val="20"/>
                <w:szCs w:val="20"/>
                <w:color w:val="auto"/>
              </w:rPr>
            </w:pPr>
            <w:r>
              <w:rPr>
                <w:rFonts w:ascii="Arial" w:cs="Arial" w:eastAsia="Arial" w:hAnsi="Arial"/>
                <w:sz w:val="18"/>
                <w:szCs w:val="18"/>
                <w:b w:val="1"/>
                <w:bCs w:val="1"/>
                <w:color w:val="auto"/>
              </w:rPr>
              <w:t>Other Income</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60" w:type="dxa"/>
            <w:vAlign w:val="bottom"/>
            <w:gridSpan w:val="5"/>
          </w:tcPr>
          <w:p>
            <w:pPr>
              <w:spacing w:after="0"/>
              <w:rPr>
                <w:sz w:val="20"/>
                <w:szCs w:val="20"/>
                <w:color w:val="auto"/>
              </w:rPr>
            </w:pPr>
            <w:r>
              <w:rPr>
                <w:rFonts w:ascii="Arial" w:cs="Arial" w:eastAsia="Arial" w:hAnsi="Arial"/>
                <w:sz w:val="18"/>
                <w:szCs w:val="18"/>
                <w:color w:val="auto"/>
              </w:rPr>
              <w:t>Fees and commissions from services</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138.534</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154.857</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158.653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$45.708</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270.603</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313.510</w:t>
            </w:r>
          </w:p>
        </w:tc>
        <w:tc>
          <w:tcPr>
            <w:tcW w:w="1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$90.323</w:t>
            </w:r>
          </w:p>
        </w:tc>
        <w:tc>
          <w:tcPr>
            <w:tcW w:w="0" w:type="dxa"/>
            <w:vAlign w:val="bottom"/>
          </w:tcPr>
          <w:p>
            <w:pPr>
              <w:spacing w:after="0"/>
              <w:rPr>
                <w:sz w:val="1"/>
                <w:szCs w:val="1"/>
                <w:color w:val="auto"/>
              </w:rPr>
            </w:pPr>
          </w:p>
        </w:tc>
      </w:tr>
      <w:tr>
        <w:trPr>
          <w:trHeight w:val="216"/>
        </w:trPr>
        <w:tc>
          <w:tcPr>
            <w:tcW w:w="3460" w:type="dxa"/>
            <w:vAlign w:val="bottom"/>
            <w:gridSpan w:val="5"/>
          </w:tcPr>
          <w:p>
            <w:pPr>
              <w:spacing w:after="0"/>
              <w:rPr>
                <w:sz w:val="20"/>
                <w:szCs w:val="20"/>
                <w:color w:val="auto"/>
              </w:rPr>
            </w:pPr>
            <w:r>
              <w:rPr>
                <w:rFonts w:ascii="Arial" w:cs="Arial" w:eastAsia="Arial" w:hAnsi="Arial"/>
                <w:sz w:val="18"/>
                <w:szCs w:val="18"/>
                <w:color w:val="auto"/>
              </w:rPr>
              <w:t>Net gains from sales of securities</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8.934</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4.475</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8.183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$2.358</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24.763</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12.658</w:t>
            </w:r>
          </w:p>
        </w:tc>
        <w:tc>
          <w:tcPr>
            <w:tcW w:w="1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16"/>
        </w:trPr>
        <w:tc>
          <w:tcPr>
            <w:tcW w:w="3460" w:type="dxa"/>
            <w:vAlign w:val="bottom"/>
            <w:gridSpan w:val="5"/>
          </w:tcPr>
          <w:p>
            <w:pPr>
              <w:spacing w:after="0"/>
              <w:rPr>
                <w:sz w:val="20"/>
                <w:szCs w:val="20"/>
                <w:color w:val="auto"/>
              </w:rPr>
            </w:pPr>
            <w:r>
              <w:rPr>
                <w:rFonts w:ascii="Arial" w:cs="Arial" w:eastAsia="Arial" w:hAnsi="Arial"/>
                <w:sz w:val="18"/>
                <w:szCs w:val="18"/>
                <w:color w:val="auto"/>
              </w:rPr>
              <w:t>Net gains on foreing exchg. transacts,</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18.250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21.237</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18.888</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$5.442</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34.114</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40.125</w:t>
            </w:r>
          </w:p>
        </w:tc>
        <w:tc>
          <w:tcPr>
            <w:tcW w:w="1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$11.560</w:t>
            </w:r>
          </w:p>
        </w:tc>
        <w:tc>
          <w:tcPr>
            <w:tcW w:w="0" w:type="dxa"/>
            <w:vAlign w:val="bottom"/>
          </w:tcPr>
          <w:p>
            <w:pPr>
              <w:spacing w:after="0"/>
              <w:rPr>
                <w:sz w:val="1"/>
                <w:szCs w:val="1"/>
                <w:color w:val="auto"/>
              </w:rPr>
            </w:pPr>
          </w:p>
        </w:tc>
      </w:tr>
      <w:tr>
        <w:trPr>
          <w:trHeight w:val="184"/>
        </w:trPr>
        <w:tc>
          <w:tcPr>
            <w:tcW w:w="3460" w:type="dxa"/>
            <w:vAlign w:val="bottom"/>
            <w:gridSpan w:val="5"/>
          </w:tcPr>
          <w:p>
            <w:pPr>
              <w:spacing w:after="0" w:line="184" w:lineRule="exact"/>
              <w:rPr>
                <w:sz w:val="20"/>
                <w:szCs w:val="20"/>
                <w:color w:val="auto"/>
              </w:rPr>
            </w:pPr>
            <w:r>
              <w:rPr>
                <w:rFonts w:ascii="Arial" w:cs="Arial" w:eastAsia="Arial" w:hAnsi="Arial"/>
                <w:sz w:val="18"/>
                <w:szCs w:val="18"/>
                <w:color w:val="auto"/>
              </w:rPr>
              <w:t>Other income</w:t>
            </w:r>
          </w:p>
        </w:tc>
        <w:tc>
          <w:tcPr>
            <w:tcW w:w="11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908</w:t>
            </w:r>
          </w:p>
        </w:tc>
        <w:tc>
          <w:tcPr>
            <w:tcW w:w="11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67.</w:t>
            </w:r>
            <w:r>
              <w:rPr>
                <w:rFonts w:ascii="Arial" w:cs="Arial" w:eastAsia="Arial" w:hAnsi="Arial"/>
                <w:sz w:val="18"/>
                <w:szCs w:val="18"/>
                <w:u w:val="single" w:color="auto"/>
                <w:color w:val="auto"/>
              </w:rPr>
              <w:t>795</w:t>
            </w:r>
          </w:p>
        </w:tc>
        <w:tc>
          <w:tcPr>
            <w:tcW w:w="114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26.</w:t>
            </w:r>
            <w:r>
              <w:rPr>
                <w:rFonts w:ascii="Arial" w:cs="Arial" w:eastAsia="Arial" w:hAnsi="Arial"/>
                <w:sz w:val="18"/>
                <w:szCs w:val="18"/>
                <w:u w:val="single" w:color="auto"/>
                <w:color w:val="auto"/>
              </w:rPr>
              <w:t>610</w:t>
            </w:r>
          </w:p>
        </w:tc>
        <w:tc>
          <w:tcPr>
            <w:tcW w:w="1140" w:type="dxa"/>
            <w:vAlign w:val="bottom"/>
            <w:gridSpan w:val="3"/>
          </w:tcPr>
          <w:p>
            <w:pPr>
              <w:jc w:val="right"/>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7.666</w:t>
            </w:r>
          </w:p>
        </w:tc>
        <w:tc>
          <w:tcPr>
            <w:tcW w:w="1140" w:type="dxa"/>
            <w:vAlign w:val="bottom"/>
            <w:gridSpan w:val="4"/>
          </w:tcPr>
          <w:p>
            <w:pPr>
              <w:jc w:val="right"/>
              <w:ind w:right="60"/>
              <w:spacing w:after="0" w:line="184" w:lineRule="exact"/>
              <w:rPr>
                <w:sz w:val="20"/>
                <w:szCs w:val="20"/>
                <w:color w:val="auto"/>
              </w:rPr>
            </w:pPr>
            <w:r>
              <w:rPr>
                <w:rFonts w:ascii="Arial" w:cs="Arial" w:eastAsia="Arial" w:hAnsi="Arial"/>
                <w:sz w:val="18"/>
                <w:szCs w:val="18"/>
                <w:color w:val="auto"/>
              </w:rPr>
              <w:t>43.</w:t>
            </w:r>
            <w:r>
              <w:rPr>
                <w:rFonts w:ascii="Arial" w:cs="Arial" w:eastAsia="Arial" w:hAnsi="Arial"/>
                <w:sz w:val="18"/>
                <w:szCs w:val="18"/>
                <w:u w:val="single" w:color="auto"/>
                <w:color w:val="auto"/>
              </w:rPr>
              <w:t>223</w:t>
            </w:r>
          </w:p>
        </w:tc>
        <w:tc>
          <w:tcPr>
            <w:tcW w:w="1120" w:type="dxa"/>
            <w:vAlign w:val="bottom"/>
            <w:gridSpan w:val="3"/>
          </w:tcPr>
          <w:p>
            <w:pPr>
              <w:jc w:val="right"/>
              <w:ind w:right="40"/>
              <w:spacing w:after="0" w:line="184" w:lineRule="exact"/>
              <w:rPr>
                <w:sz w:val="20"/>
                <w:szCs w:val="20"/>
                <w:color w:val="auto"/>
              </w:rPr>
            </w:pPr>
            <w:r>
              <w:rPr>
                <w:rFonts w:ascii="Arial" w:cs="Arial" w:eastAsia="Arial" w:hAnsi="Arial"/>
                <w:sz w:val="18"/>
                <w:szCs w:val="18"/>
                <w:color w:val="auto"/>
              </w:rPr>
              <w:t>94.</w:t>
            </w:r>
            <w:r>
              <w:rPr>
                <w:rFonts w:ascii="Arial" w:cs="Arial" w:eastAsia="Arial" w:hAnsi="Arial"/>
                <w:sz w:val="18"/>
                <w:szCs w:val="18"/>
                <w:u w:val="single" w:color="auto"/>
                <w:color w:val="auto"/>
              </w:rPr>
              <w:t>405</w:t>
            </w:r>
          </w:p>
        </w:tc>
        <w:tc>
          <w:tcPr>
            <w:tcW w:w="100" w:type="dxa"/>
            <w:vAlign w:val="bottom"/>
          </w:tcPr>
          <w:p>
            <w:pPr>
              <w:spacing w:after="0"/>
              <w:rPr>
                <w:sz w:val="15"/>
                <w:szCs w:val="15"/>
                <w:color w:val="auto"/>
              </w:rPr>
            </w:pPr>
          </w:p>
        </w:tc>
        <w:tc>
          <w:tcPr>
            <w:tcW w:w="1040" w:type="dxa"/>
            <w:vAlign w:val="bottom"/>
            <w:gridSpan w:val="3"/>
          </w:tcPr>
          <w:p>
            <w:pPr>
              <w:jc w:val="right"/>
              <w:ind w:right="40"/>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27.198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189.</w:t>
            </w:r>
            <w:r>
              <w:rPr>
                <w:rFonts w:ascii="Arial" w:cs="Arial" w:eastAsia="Arial" w:hAnsi="Arial"/>
                <w:sz w:val="18"/>
                <w:szCs w:val="18"/>
                <w:u w:val="single" w:color="auto"/>
                <w:color w:val="auto"/>
              </w:rPr>
              <w:t>626</w:t>
            </w:r>
          </w:p>
        </w:tc>
        <w:tc>
          <w:tcPr>
            <w:tcW w:w="11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248.</w:t>
            </w:r>
            <w:r>
              <w:rPr>
                <w:rFonts w:ascii="Arial" w:cs="Arial" w:eastAsia="Arial" w:hAnsi="Arial"/>
                <w:sz w:val="18"/>
                <w:szCs w:val="18"/>
                <w:u w:val="single" w:color="auto"/>
                <w:color w:val="auto"/>
              </w:rPr>
              <w:t>364</w:t>
            </w:r>
          </w:p>
        </w:tc>
        <w:tc>
          <w:tcPr>
            <w:tcW w:w="11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212.</w:t>
            </w:r>
            <w:r>
              <w:rPr>
                <w:rFonts w:ascii="Arial" w:cs="Arial" w:eastAsia="Arial" w:hAnsi="Arial"/>
                <w:sz w:val="18"/>
                <w:szCs w:val="18"/>
                <w:u w:val="single" w:color="auto"/>
                <w:color w:val="auto"/>
              </w:rPr>
              <w:t>334</w:t>
            </w:r>
          </w:p>
        </w:tc>
        <w:tc>
          <w:tcPr>
            <w:tcW w:w="1140" w:type="dxa"/>
            <w:vAlign w:val="bottom"/>
            <w:gridSpan w:val="3"/>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61.174</w:t>
            </w:r>
          </w:p>
        </w:tc>
        <w:tc>
          <w:tcPr>
            <w:tcW w:w="1140" w:type="dxa"/>
            <w:vAlign w:val="bottom"/>
            <w:gridSpan w:val="4"/>
          </w:tcPr>
          <w:p>
            <w:pPr>
              <w:jc w:val="right"/>
              <w:ind w:right="60"/>
              <w:spacing w:after="0" w:line="196" w:lineRule="exact"/>
              <w:rPr>
                <w:sz w:val="20"/>
                <w:szCs w:val="20"/>
                <w:color w:val="auto"/>
              </w:rPr>
            </w:pPr>
            <w:r>
              <w:rPr>
                <w:rFonts w:ascii="Arial" w:cs="Arial" w:eastAsia="Arial" w:hAnsi="Arial"/>
                <w:sz w:val="18"/>
                <w:szCs w:val="18"/>
                <w:color w:val="auto"/>
              </w:rPr>
              <w:t>372.</w:t>
            </w:r>
            <w:r>
              <w:rPr>
                <w:rFonts w:ascii="Arial" w:cs="Arial" w:eastAsia="Arial" w:hAnsi="Arial"/>
                <w:sz w:val="18"/>
                <w:szCs w:val="18"/>
                <w:u w:val="single" w:color="auto"/>
                <w:color w:val="auto"/>
              </w:rPr>
              <w:t>703</w:t>
            </w:r>
          </w:p>
        </w:tc>
        <w:tc>
          <w:tcPr>
            <w:tcW w:w="11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460.</w:t>
            </w:r>
            <w:r>
              <w:rPr>
                <w:rFonts w:ascii="Arial" w:cs="Arial" w:eastAsia="Arial" w:hAnsi="Arial"/>
                <w:sz w:val="18"/>
                <w:szCs w:val="18"/>
                <w:u w:val="single" w:color="auto"/>
                <w:color w:val="auto"/>
              </w:rPr>
              <w:t>698</w:t>
            </w:r>
          </w:p>
        </w:tc>
        <w:tc>
          <w:tcPr>
            <w:tcW w:w="100" w:type="dxa"/>
            <w:vAlign w:val="bottom"/>
          </w:tcPr>
          <w:p>
            <w:pPr>
              <w:spacing w:after="0"/>
              <w:rPr>
                <w:sz w:val="17"/>
                <w:szCs w:val="17"/>
                <w:color w:val="auto"/>
              </w:rPr>
            </w:pPr>
          </w:p>
        </w:tc>
        <w:tc>
          <w:tcPr>
            <w:tcW w:w="1040" w:type="dxa"/>
            <w:vAlign w:val="bottom"/>
            <w:gridSpan w:val="3"/>
          </w:tcPr>
          <w:p>
            <w:pPr>
              <w:jc w:val="right"/>
              <w:ind w:right="40"/>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132.728</w:t>
            </w:r>
          </w:p>
        </w:tc>
        <w:tc>
          <w:tcPr>
            <w:tcW w:w="0" w:type="dxa"/>
            <w:vAlign w:val="bottom"/>
          </w:tcPr>
          <w:p>
            <w:pPr>
              <w:spacing w:after="0"/>
              <w:rPr>
                <w:sz w:val="1"/>
                <w:szCs w:val="1"/>
                <w:color w:val="auto"/>
              </w:rPr>
            </w:pPr>
          </w:p>
        </w:tc>
      </w:tr>
      <w:tr>
        <w:trPr>
          <w:trHeight w:val="471"/>
        </w:trPr>
        <w:tc>
          <w:tcPr>
            <w:tcW w:w="3460" w:type="dxa"/>
            <w:vAlign w:val="bottom"/>
            <w:gridSpan w:val="5"/>
          </w:tcPr>
          <w:p>
            <w:pPr>
              <w:spacing w:after="0"/>
              <w:rPr>
                <w:sz w:val="20"/>
                <w:szCs w:val="20"/>
                <w:color w:val="auto"/>
              </w:rPr>
            </w:pPr>
            <w:r>
              <w:rPr>
                <w:rFonts w:ascii="Arial" w:cs="Arial" w:eastAsia="Arial" w:hAnsi="Arial"/>
                <w:sz w:val="18"/>
                <w:szCs w:val="18"/>
                <w:b w:val="1"/>
                <w:bCs w:val="1"/>
                <w:color w:val="auto"/>
              </w:rPr>
              <w:t>Other Expenses</w:t>
            </w:r>
          </w:p>
        </w:tc>
        <w:tc>
          <w:tcPr>
            <w:tcW w:w="6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60" w:type="dxa"/>
            <w:vAlign w:val="bottom"/>
            <w:gridSpan w:val="5"/>
          </w:tcPr>
          <w:p>
            <w:pPr>
              <w:spacing w:after="0"/>
              <w:rPr>
                <w:sz w:val="20"/>
                <w:szCs w:val="20"/>
                <w:color w:val="auto"/>
              </w:rPr>
            </w:pPr>
            <w:r>
              <w:rPr>
                <w:rFonts w:ascii="Arial" w:cs="Arial" w:eastAsia="Arial" w:hAnsi="Arial"/>
                <w:sz w:val="18"/>
                <w:szCs w:val="18"/>
                <w:color w:val="auto"/>
              </w:rPr>
              <w:t>Salaries and employee benefits</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129.643</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132.704</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124.695</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$35.925</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259.397</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257.399</w:t>
            </w:r>
          </w:p>
        </w:tc>
        <w:tc>
          <w:tcPr>
            <w:tcW w:w="1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$74.157</w:t>
            </w:r>
          </w:p>
        </w:tc>
        <w:tc>
          <w:tcPr>
            <w:tcW w:w="0" w:type="dxa"/>
            <w:vAlign w:val="bottom"/>
          </w:tcPr>
          <w:p>
            <w:pPr>
              <w:spacing w:after="0"/>
              <w:rPr>
                <w:sz w:val="1"/>
                <w:szCs w:val="1"/>
                <w:color w:val="auto"/>
              </w:rPr>
            </w:pPr>
          </w:p>
        </w:tc>
      </w:tr>
      <w:tr>
        <w:trPr>
          <w:trHeight w:val="216"/>
        </w:trPr>
        <w:tc>
          <w:tcPr>
            <w:tcW w:w="3460" w:type="dxa"/>
            <w:vAlign w:val="bottom"/>
            <w:gridSpan w:val="5"/>
          </w:tcPr>
          <w:p>
            <w:pPr>
              <w:spacing w:after="0"/>
              <w:rPr>
                <w:sz w:val="20"/>
                <w:szCs w:val="20"/>
                <w:color w:val="auto"/>
              </w:rPr>
            </w:pPr>
            <w:r>
              <w:rPr>
                <w:rFonts w:ascii="Arial" w:cs="Arial" w:eastAsia="Arial" w:hAnsi="Arial"/>
                <w:sz w:val="18"/>
                <w:szCs w:val="18"/>
                <w:color w:val="auto"/>
              </w:rPr>
              <w:t>General and administrative</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91.090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104.832</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98.979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$28.516</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176.308</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203.811</w:t>
            </w:r>
          </w:p>
        </w:tc>
        <w:tc>
          <w:tcPr>
            <w:tcW w:w="1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$58.718</w:t>
            </w:r>
          </w:p>
        </w:tc>
        <w:tc>
          <w:tcPr>
            <w:tcW w:w="0" w:type="dxa"/>
            <w:vAlign w:val="bottom"/>
          </w:tcPr>
          <w:p>
            <w:pPr>
              <w:spacing w:after="0"/>
              <w:rPr>
                <w:sz w:val="1"/>
                <w:szCs w:val="1"/>
                <w:color w:val="auto"/>
              </w:rPr>
            </w:pPr>
          </w:p>
        </w:tc>
      </w:tr>
      <w:tr>
        <w:trPr>
          <w:trHeight w:val="216"/>
        </w:trPr>
        <w:tc>
          <w:tcPr>
            <w:tcW w:w="3460" w:type="dxa"/>
            <w:vAlign w:val="bottom"/>
            <w:gridSpan w:val="5"/>
          </w:tcPr>
          <w:p>
            <w:pPr>
              <w:spacing w:after="0"/>
              <w:rPr>
                <w:sz w:val="20"/>
                <w:szCs w:val="20"/>
                <w:color w:val="auto"/>
              </w:rPr>
            </w:pPr>
            <w:r>
              <w:rPr>
                <w:rFonts w:ascii="Arial" w:cs="Arial" w:eastAsia="Arial" w:hAnsi="Arial"/>
                <w:sz w:val="18"/>
                <w:szCs w:val="18"/>
                <w:color w:val="auto"/>
              </w:rPr>
              <w:t>Depreciation and amortization</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29.671</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33.331</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34.498</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$9.939</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59.318</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67.829</w:t>
            </w:r>
          </w:p>
        </w:tc>
        <w:tc>
          <w:tcPr>
            <w:tcW w:w="1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$19.542</w:t>
            </w:r>
          </w:p>
        </w:tc>
        <w:tc>
          <w:tcPr>
            <w:tcW w:w="0" w:type="dxa"/>
            <w:vAlign w:val="bottom"/>
          </w:tcPr>
          <w:p>
            <w:pPr>
              <w:spacing w:after="0"/>
              <w:rPr>
                <w:sz w:val="1"/>
                <w:szCs w:val="1"/>
                <w:color w:val="auto"/>
              </w:rPr>
            </w:pPr>
          </w:p>
        </w:tc>
      </w:tr>
      <w:tr>
        <w:trPr>
          <w:trHeight w:val="216"/>
        </w:trPr>
        <w:tc>
          <w:tcPr>
            <w:tcW w:w="3460" w:type="dxa"/>
            <w:vAlign w:val="bottom"/>
            <w:gridSpan w:val="5"/>
          </w:tcPr>
          <w:p>
            <w:pPr>
              <w:spacing w:after="0"/>
              <w:rPr>
                <w:sz w:val="20"/>
                <w:szCs w:val="20"/>
                <w:color w:val="auto"/>
              </w:rPr>
            </w:pPr>
            <w:r>
              <w:rPr>
                <w:rFonts w:ascii="Arial" w:cs="Arial" w:eastAsia="Arial" w:hAnsi="Arial"/>
                <w:sz w:val="18"/>
                <w:szCs w:val="18"/>
                <w:color w:val="auto"/>
              </w:rPr>
              <w:t>Taxes other than income tax</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8.300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11.180</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10.284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$2.963</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16.741</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21.464</w:t>
            </w:r>
          </w:p>
        </w:tc>
        <w:tc>
          <w:tcPr>
            <w:tcW w:w="1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$6.184</w:t>
            </w:r>
          </w:p>
        </w:tc>
        <w:tc>
          <w:tcPr>
            <w:tcW w:w="0" w:type="dxa"/>
            <w:vAlign w:val="bottom"/>
          </w:tcPr>
          <w:p>
            <w:pPr>
              <w:spacing w:after="0"/>
              <w:rPr>
                <w:sz w:val="1"/>
                <w:szCs w:val="1"/>
                <w:color w:val="auto"/>
              </w:rPr>
            </w:pPr>
          </w:p>
        </w:tc>
      </w:tr>
      <w:tr>
        <w:trPr>
          <w:trHeight w:val="216"/>
        </w:trPr>
        <w:tc>
          <w:tcPr>
            <w:tcW w:w="3460" w:type="dxa"/>
            <w:vAlign w:val="bottom"/>
            <w:gridSpan w:val="5"/>
          </w:tcPr>
          <w:p>
            <w:pPr>
              <w:spacing w:after="0"/>
              <w:rPr>
                <w:sz w:val="20"/>
                <w:szCs w:val="20"/>
                <w:color w:val="auto"/>
              </w:rPr>
            </w:pPr>
            <w:r>
              <w:rPr>
                <w:rFonts w:ascii="Arial" w:cs="Arial" w:eastAsia="Arial" w:hAnsi="Arial"/>
                <w:sz w:val="18"/>
                <w:szCs w:val="18"/>
                <w:color w:val="auto"/>
              </w:rPr>
              <w:t>Other</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36.546</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29.639</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29.015</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$8.359</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74.734</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58.654</w:t>
            </w:r>
          </w:p>
        </w:tc>
        <w:tc>
          <w:tcPr>
            <w:tcW w:w="1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$16.898</w:t>
            </w:r>
          </w:p>
        </w:tc>
        <w:tc>
          <w:tcPr>
            <w:tcW w:w="0" w:type="dxa"/>
            <w:vAlign w:val="bottom"/>
          </w:tcPr>
          <w:p>
            <w:pPr>
              <w:spacing w:after="0"/>
              <w:rPr>
                <w:sz w:val="1"/>
                <w:szCs w:val="1"/>
                <w:color w:val="auto"/>
              </w:rPr>
            </w:pPr>
          </w:p>
        </w:tc>
      </w:tr>
      <w:tr>
        <w:trPr>
          <w:trHeight w:val="184"/>
        </w:trPr>
        <w:tc>
          <w:tcPr>
            <w:tcW w:w="3460" w:type="dxa"/>
            <w:vAlign w:val="bottom"/>
            <w:gridSpan w:val="5"/>
          </w:tcPr>
          <w:p>
            <w:pPr>
              <w:spacing w:after="0" w:line="184" w:lineRule="exact"/>
              <w:rPr>
                <w:sz w:val="20"/>
                <w:szCs w:val="20"/>
                <w:color w:val="auto"/>
              </w:rPr>
            </w:pPr>
            <w:r>
              <w:rPr>
                <w:rFonts w:ascii="Arial" w:cs="Arial" w:eastAsia="Arial" w:hAnsi="Arial"/>
                <w:sz w:val="18"/>
                <w:szCs w:val="18"/>
                <w:color w:val="auto"/>
              </w:rPr>
              <w:t>Merger costs</w:t>
            </w:r>
          </w:p>
        </w:tc>
        <w:tc>
          <w:tcPr>
            <w:tcW w:w="680" w:type="dxa"/>
            <w:vAlign w:val="bottom"/>
            <w:gridSpan w:val="2"/>
          </w:tcPr>
          <w:p>
            <w:pPr>
              <w:spacing w:after="0"/>
              <w:rPr>
                <w:sz w:val="15"/>
                <w:szCs w:val="15"/>
                <w:color w:val="auto"/>
              </w:rPr>
            </w:pPr>
          </w:p>
        </w:tc>
        <w:tc>
          <w:tcPr>
            <w:tcW w:w="440" w:type="dxa"/>
            <w:vAlign w:val="bottom"/>
          </w:tcPr>
          <w:p>
            <w:pPr>
              <w:jc w:val="right"/>
              <w:spacing w:after="0" w:line="184" w:lineRule="exact"/>
              <w:rPr>
                <w:sz w:val="20"/>
                <w:szCs w:val="20"/>
                <w:color w:val="auto"/>
              </w:rPr>
            </w:pPr>
            <w:r>
              <w:rPr>
                <w:rFonts w:ascii="Arial" w:cs="Arial" w:eastAsia="Arial" w:hAnsi="Arial"/>
                <w:sz w:val="18"/>
                <w:szCs w:val="18"/>
                <w:color w:val="auto"/>
                <w:w w:val="84"/>
              </w:rPr>
              <w:t>0.</w:t>
            </w:r>
            <w:r>
              <w:rPr>
                <w:rFonts w:ascii="Arial" w:cs="Arial" w:eastAsia="Arial" w:hAnsi="Arial"/>
                <w:sz w:val="18"/>
                <w:szCs w:val="18"/>
                <w:u w:val="single" w:color="auto"/>
                <w:color w:val="auto"/>
                <w:w w:val="84"/>
              </w:rPr>
              <w:t>000</w:t>
            </w:r>
          </w:p>
        </w:tc>
        <w:tc>
          <w:tcPr>
            <w:tcW w:w="620" w:type="dxa"/>
            <w:vAlign w:val="bottom"/>
            <w:gridSpan w:val="2"/>
          </w:tcPr>
          <w:p>
            <w:pPr>
              <w:spacing w:after="0"/>
              <w:rPr>
                <w:sz w:val="15"/>
                <w:szCs w:val="15"/>
                <w:color w:val="auto"/>
              </w:rPr>
            </w:pPr>
          </w:p>
        </w:tc>
        <w:tc>
          <w:tcPr>
            <w:tcW w:w="540" w:type="dxa"/>
            <w:vAlign w:val="bottom"/>
          </w:tcPr>
          <w:p>
            <w:pPr>
              <w:jc w:val="right"/>
              <w:spacing w:after="0" w:line="184" w:lineRule="exact"/>
              <w:rPr>
                <w:sz w:val="20"/>
                <w:szCs w:val="20"/>
                <w:color w:val="auto"/>
              </w:rPr>
            </w:pPr>
            <w:r>
              <w:rPr>
                <w:rFonts w:ascii="Arial" w:cs="Arial" w:eastAsia="Arial" w:hAnsi="Arial"/>
                <w:sz w:val="18"/>
                <w:szCs w:val="18"/>
                <w:color w:val="auto"/>
                <w:w w:val="87"/>
              </w:rPr>
              <w:t>53.</w:t>
            </w:r>
            <w:r>
              <w:rPr>
                <w:rFonts w:ascii="Arial" w:cs="Arial" w:eastAsia="Arial" w:hAnsi="Arial"/>
                <w:sz w:val="18"/>
                <w:szCs w:val="18"/>
                <w:u w:val="single" w:color="auto"/>
                <w:color w:val="auto"/>
                <w:w w:val="87"/>
              </w:rPr>
              <w:t>350</w:t>
            </w:r>
          </w:p>
        </w:tc>
        <w:tc>
          <w:tcPr>
            <w:tcW w:w="700" w:type="dxa"/>
            <w:vAlign w:val="bottom"/>
            <w:gridSpan w:val="3"/>
          </w:tcPr>
          <w:p>
            <w:pPr>
              <w:spacing w:after="0"/>
              <w:rPr>
                <w:sz w:val="15"/>
                <w:szCs w:val="15"/>
                <w:color w:val="auto"/>
              </w:rPr>
            </w:pPr>
          </w:p>
        </w:tc>
        <w:tc>
          <w:tcPr>
            <w:tcW w:w="440" w:type="dxa"/>
            <w:vAlign w:val="bottom"/>
          </w:tcPr>
          <w:p>
            <w:pPr>
              <w:jc w:val="right"/>
              <w:spacing w:after="0" w:line="184" w:lineRule="exact"/>
              <w:rPr>
                <w:sz w:val="20"/>
                <w:szCs w:val="20"/>
                <w:color w:val="auto"/>
              </w:rPr>
            </w:pPr>
            <w:r>
              <w:rPr>
                <w:rFonts w:ascii="Arial" w:cs="Arial" w:eastAsia="Arial" w:hAnsi="Arial"/>
                <w:sz w:val="18"/>
                <w:szCs w:val="18"/>
                <w:color w:val="auto"/>
                <w:w w:val="84"/>
              </w:rPr>
              <w:t>6.</w:t>
            </w:r>
            <w:r>
              <w:rPr>
                <w:rFonts w:ascii="Arial" w:cs="Arial" w:eastAsia="Arial" w:hAnsi="Arial"/>
                <w:sz w:val="18"/>
                <w:szCs w:val="18"/>
                <w:u w:val="single" w:color="auto"/>
                <w:color w:val="auto"/>
                <w:w w:val="84"/>
              </w:rPr>
              <w:t>960</w:t>
            </w:r>
          </w:p>
        </w:tc>
        <w:tc>
          <w:tcPr>
            <w:tcW w:w="600" w:type="dxa"/>
            <w:vAlign w:val="bottom"/>
            <w:gridSpan w:val="2"/>
          </w:tcPr>
          <w:p>
            <w:pPr>
              <w:spacing w:after="0"/>
              <w:rPr>
                <w:sz w:val="15"/>
                <w:szCs w:val="15"/>
                <w:color w:val="auto"/>
              </w:rPr>
            </w:pPr>
          </w:p>
        </w:tc>
        <w:tc>
          <w:tcPr>
            <w:tcW w:w="540" w:type="dxa"/>
            <w:vAlign w:val="bottom"/>
          </w:tcPr>
          <w:p>
            <w:pPr>
              <w:jc w:val="right"/>
              <w:spacing w:after="0" w:line="184"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2.005</w:t>
            </w:r>
          </w:p>
        </w:tc>
        <w:tc>
          <w:tcPr>
            <w:tcW w:w="1140" w:type="dxa"/>
            <w:vAlign w:val="bottom"/>
            <w:gridSpan w:val="4"/>
          </w:tcPr>
          <w:p>
            <w:pPr>
              <w:jc w:val="right"/>
              <w:ind w:right="60"/>
              <w:spacing w:after="0" w:line="184"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000</w:t>
            </w:r>
          </w:p>
        </w:tc>
        <w:tc>
          <w:tcPr>
            <w:tcW w:w="1120" w:type="dxa"/>
            <w:vAlign w:val="bottom"/>
            <w:gridSpan w:val="3"/>
          </w:tcPr>
          <w:p>
            <w:pPr>
              <w:jc w:val="right"/>
              <w:ind w:right="40"/>
              <w:spacing w:after="0" w:line="184" w:lineRule="exact"/>
              <w:rPr>
                <w:sz w:val="20"/>
                <w:szCs w:val="20"/>
                <w:color w:val="auto"/>
              </w:rPr>
            </w:pPr>
            <w:r>
              <w:rPr>
                <w:rFonts w:ascii="Arial" w:cs="Arial" w:eastAsia="Arial" w:hAnsi="Arial"/>
                <w:sz w:val="18"/>
                <w:szCs w:val="18"/>
                <w:color w:val="auto"/>
              </w:rPr>
              <w:t>60.</w:t>
            </w:r>
            <w:r>
              <w:rPr>
                <w:rFonts w:ascii="Arial" w:cs="Arial" w:eastAsia="Arial" w:hAnsi="Arial"/>
                <w:sz w:val="18"/>
                <w:szCs w:val="18"/>
                <w:u w:val="single" w:color="auto"/>
                <w:color w:val="auto"/>
              </w:rPr>
              <w:t>310</w:t>
            </w:r>
          </w:p>
        </w:tc>
        <w:tc>
          <w:tcPr>
            <w:tcW w:w="100" w:type="dxa"/>
            <w:vAlign w:val="bottom"/>
          </w:tcPr>
          <w:p>
            <w:pPr>
              <w:spacing w:after="0"/>
              <w:rPr>
                <w:sz w:val="15"/>
                <w:szCs w:val="15"/>
                <w:color w:val="auto"/>
              </w:rPr>
            </w:pPr>
          </w:p>
        </w:tc>
        <w:tc>
          <w:tcPr>
            <w:tcW w:w="1040" w:type="dxa"/>
            <w:vAlign w:val="bottom"/>
            <w:gridSpan w:val="3"/>
          </w:tcPr>
          <w:p>
            <w:pPr>
              <w:jc w:val="right"/>
              <w:ind w:right="40"/>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17.375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295.</w:t>
            </w:r>
            <w:r>
              <w:rPr>
                <w:rFonts w:ascii="Arial" w:cs="Arial" w:eastAsia="Arial" w:hAnsi="Arial"/>
                <w:sz w:val="18"/>
                <w:szCs w:val="18"/>
                <w:u w:val="single" w:color="auto"/>
                <w:color w:val="auto"/>
              </w:rPr>
              <w:t>250</w:t>
            </w:r>
          </w:p>
        </w:tc>
        <w:tc>
          <w:tcPr>
            <w:tcW w:w="116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365.</w:t>
            </w:r>
            <w:r>
              <w:rPr>
                <w:rFonts w:ascii="Arial" w:cs="Arial" w:eastAsia="Arial" w:hAnsi="Arial"/>
                <w:sz w:val="18"/>
                <w:szCs w:val="18"/>
                <w:u w:val="single" w:color="auto"/>
                <w:color w:val="auto"/>
              </w:rPr>
              <w:t>035</w:t>
            </w:r>
          </w:p>
        </w:tc>
        <w:tc>
          <w:tcPr>
            <w:tcW w:w="11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304.</w:t>
            </w:r>
            <w:r>
              <w:rPr>
                <w:rFonts w:ascii="Arial" w:cs="Arial" w:eastAsia="Arial" w:hAnsi="Arial"/>
                <w:sz w:val="18"/>
                <w:szCs w:val="18"/>
                <w:u w:val="single" w:color="auto"/>
                <w:color w:val="auto"/>
              </w:rPr>
              <w:t>432</w:t>
            </w:r>
          </w:p>
        </w:tc>
        <w:tc>
          <w:tcPr>
            <w:tcW w:w="1140" w:type="dxa"/>
            <w:vAlign w:val="bottom"/>
            <w:gridSpan w:val="3"/>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87.707</w:t>
            </w:r>
          </w:p>
        </w:tc>
        <w:tc>
          <w:tcPr>
            <w:tcW w:w="1140" w:type="dxa"/>
            <w:vAlign w:val="bottom"/>
            <w:gridSpan w:val="4"/>
          </w:tcPr>
          <w:p>
            <w:pPr>
              <w:jc w:val="right"/>
              <w:ind w:right="60"/>
              <w:spacing w:after="0" w:line="196" w:lineRule="exact"/>
              <w:rPr>
                <w:sz w:val="20"/>
                <w:szCs w:val="20"/>
                <w:color w:val="auto"/>
              </w:rPr>
            </w:pPr>
            <w:r>
              <w:rPr>
                <w:rFonts w:ascii="Arial" w:cs="Arial" w:eastAsia="Arial" w:hAnsi="Arial"/>
                <w:sz w:val="18"/>
                <w:szCs w:val="18"/>
                <w:color w:val="auto"/>
              </w:rPr>
              <w:t>586.</w:t>
            </w:r>
            <w:r>
              <w:rPr>
                <w:rFonts w:ascii="Arial" w:cs="Arial" w:eastAsia="Arial" w:hAnsi="Arial"/>
                <w:sz w:val="18"/>
                <w:szCs w:val="18"/>
                <w:u w:val="single" w:color="auto"/>
                <w:color w:val="auto"/>
              </w:rPr>
              <w:t>498</w:t>
            </w:r>
          </w:p>
        </w:tc>
        <w:tc>
          <w:tcPr>
            <w:tcW w:w="112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669.</w:t>
            </w:r>
            <w:r>
              <w:rPr>
                <w:rFonts w:ascii="Arial" w:cs="Arial" w:eastAsia="Arial" w:hAnsi="Arial"/>
                <w:sz w:val="18"/>
                <w:szCs w:val="18"/>
                <w:u w:val="single" w:color="auto"/>
                <w:color w:val="auto"/>
              </w:rPr>
              <w:t>467</w:t>
            </w:r>
          </w:p>
        </w:tc>
        <w:tc>
          <w:tcPr>
            <w:tcW w:w="100" w:type="dxa"/>
            <w:vAlign w:val="bottom"/>
          </w:tcPr>
          <w:p>
            <w:pPr>
              <w:spacing w:after="0"/>
              <w:rPr>
                <w:sz w:val="17"/>
                <w:szCs w:val="17"/>
                <w:color w:val="auto"/>
              </w:rPr>
            </w:pPr>
          </w:p>
        </w:tc>
        <w:tc>
          <w:tcPr>
            <w:tcW w:w="1040" w:type="dxa"/>
            <w:vAlign w:val="bottom"/>
            <w:gridSpan w:val="3"/>
          </w:tcPr>
          <w:p>
            <w:pPr>
              <w:jc w:val="right"/>
              <w:ind w:right="40"/>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192.874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000" w:type="dxa"/>
            <w:vAlign w:val="bottom"/>
            <w:gridSpan w:val="4"/>
            <w:vMerge w:val="restart"/>
          </w:tcPr>
          <w:p>
            <w:pPr>
              <w:jc w:val="center"/>
              <w:ind w:right="480"/>
              <w:spacing w:after="0"/>
              <w:rPr>
                <w:sz w:val="20"/>
                <w:szCs w:val="20"/>
                <w:color w:val="auto"/>
              </w:rPr>
            </w:pPr>
            <w:r>
              <w:rPr>
                <w:rFonts w:ascii="Arial" w:cs="Arial" w:eastAsia="Arial" w:hAnsi="Arial"/>
                <w:sz w:val="18"/>
                <w:szCs w:val="18"/>
                <w:b w:val="1"/>
                <w:bCs w:val="1"/>
                <w:color w:val="auto"/>
                <w:w w:val="87"/>
              </w:rPr>
              <w:t>Result from exposure to inflation</w:t>
            </w:r>
          </w:p>
        </w:tc>
        <w:tc>
          <w:tcPr>
            <w:tcW w:w="60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460" w:type="dxa"/>
            <w:vAlign w:val="bottom"/>
          </w:tcPr>
          <w:p>
            <w:pPr>
              <w:spacing w:after="0"/>
              <w:rPr>
                <w:sz w:val="24"/>
                <w:szCs w:val="24"/>
                <w:color w:val="auto"/>
              </w:rPr>
            </w:pPr>
          </w:p>
        </w:tc>
        <w:tc>
          <w:tcPr>
            <w:tcW w:w="3000" w:type="dxa"/>
            <w:vAlign w:val="bottom"/>
            <w:gridSpan w:val="4"/>
            <w:vMerge w:val="continue"/>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23.880</w:t>
            </w:r>
          </w:p>
        </w:tc>
        <w:tc>
          <w:tcPr>
            <w:tcW w:w="5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(24.886)</w:t>
            </w:r>
          </w:p>
        </w:tc>
        <w:tc>
          <w:tcPr>
            <w:tcW w:w="54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3.724</w:t>
            </w:r>
          </w:p>
        </w:tc>
        <w:tc>
          <w:tcPr>
            <w:tcW w:w="5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$1.073</w:t>
            </w:r>
          </w:p>
        </w:tc>
        <w:tc>
          <w:tcPr>
            <w:tcW w:w="520" w:type="dxa"/>
            <w:vAlign w:val="bottom"/>
          </w:tcPr>
          <w:p>
            <w:pPr>
              <w:spacing w:after="0"/>
              <w:rPr>
                <w:sz w:val="24"/>
                <w:szCs w:val="24"/>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24.247</w:t>
            </w:r>
          </w:p>
        </w:tc>
        <w:tc>
          <w:tcPr>
            <w:tcW w:w="520" w:type="dxa"/>
            <w:vAlign w:val="bottom"/>
          </w:tcPr>
          <w:p>
            <w:pPr>
              <w:spacing w:after="0"/>
              <w:rPr>
                <w:sz w:val="24"/>
                <w:szCs w:val="2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(21.162)</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300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86"/>
              </w:rPr>
              <w:t>Income before income tax</w:t>
            </w: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93.030</w:t>
            </w: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24.877</w:t>
            </w:r>
          </w:p>
        </w:tc>
        <w:tc>
          <w:tcPr>
            <w:tcW w:w="1140" w:type="dxa"/>
            <w:vAlign w:val="bottom"/>
            <w:gridSpan w:val="4"/>
          </w:tcPr>
          <w:p>
            <w:pPr>
              <w:jc w:val="right"/>
              <w:spacing w:after="0"/>
              <w:rPr>
                <w:sz w:val="20"/>
                <w:szCs w:val="20"/>
                <w:color w:val="auto"/>
              </w:rPr>
            </w:pPr>
            <w:r>
              <w:rPr>
                <w:rFonts w:ascii="Arial" w:cs="Arial" w:eastAsia="Arial" w:hAnsi="Arial"/>
                <w:sz w:val="18"/>
                <w:szCs w:val="18"/>
                <w:b w:val="1"/>
                <w:bCs w:val="1"/>
                <w:color w:val="auto"/>
              </w:rPr>
              <w:t>129.721</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$37.373</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176.059</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154.598</w:t>
            </w:r>
          </w:p>
        </w:tc>
        <w:tc>
          <w:tcPr>
            <w:tcW w:w="100" w:type="dxa"/>
            <w:vAlign w:val="bottom"/>
          </w:tcPr>
          <w:p>
            <w:pPr>
              <w:spacing w:after="0"/>
              <w:rPr>
                <w:sz w:val="24"/>
                <w:szCs w:val="24"/>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$44.540</w:t>
            </w:r>
          </w:p>
        </w:tc>
        <w:tc>
          <w:tcPr>
            <w:tcW w:w="0" w:type="dxa"/>
            <w:vAlign w:val="bottom"/>
          </w:tcPr>
          <w:p>
            <w:pPr>
              <w:spacing w:after="0"/>
              <w:rPr>
                <w:sz w:val="1"/>
                <w:szCs w:val="1"/>
                <w:color w:val="auto"/>
              </w:rPr>
            </w:pPr>
          </w:p>
        </w:tc>
      </w:tr>
      <w:tr>
        <w:trPr>
          <w:trHeight w:val="459"/>
        </w:trPr>
        <w:tc>
          <w:tcPr>
            <w:tcW w:w="3460" w:type="dxa"/>
            <w:vAlign w:val="bottom"/>
            <w:gridSpan w:val="5"/>
          </w:tcPr>
          <w:p>
            <w:pPr>
              <w:spacing w:after="0"/>
              <w:rPr>
                <w:sz w:val="20"/>
                <w:szCs w:val="20"/>
                <w:color w:val="auto"/>
              </w:rPr>
            </w:pPr>
            <w:r>
              <w:rPr>
                <w:rFonts w:ascii="Arial" w:cs="Arial" w:eastAsia="Arial" w:hAnsi="Arial"/>
                <w:sz w:val="18"/>
                <w:szCs w:val="18"/>
                <w:color w:val="auto"/>
              </w:rPr>
              <w:t>Income Tax</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26.949</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12.727</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29.674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$8.549</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51.064</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42.401</w:t>
            </w:r>
          </w:p>
        </w:tc>
        <w:tc>
          <w:tcPr>
            <w:tcW w:w="100" w:type="dxa"/>
            <w:vAlign w:val="bottom"/>
          </w:tcPr>
          <w:p>
            <w:pPr>
              <w:spacing w:after="0"/>
              <w:rPr>
                <w:sz w:val="24"/>
                <w:szCs w:val="24"/>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$12.216</w:t>
            </w: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2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rPr>
              <w:t>NET INCOME</w:t>
            </w: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66.081</w:t>
            </w: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12.150</w:t>
            </w:r>
          </w:p>
        </w:tc>
        <w:tc>
          <w:tcPr>
            <w:tcW w:w="1140" w:type="dxa"/>
            <w:vAlign w:val="bottom"/>
            <w:gridSpan w:val="4"/>
          </w:tcPr>
          <w:p>
            <w:pPr>
              <w:jc w:val="right"/>
              <w:spacing w:after="0"/>
              <w:rPr>
                <w:sz w:val="20"/>
                <w:szCs w:val="20"/>
                <w:color w:val="auto"/>
              </w:rPr>
            </w:pPr>
            <w:r>
              <w:rPr>
                <w:rFonts w:ascii="Arial" w:cs="Arial" w:eastAsia="Arial" w:hAnsi="Arial"/>
                <w:sz w:val="18"/>
                <w:szCs w:val="18"/>
                <w:b w:val="1"/>
                <w:bCs w:val="1"/>
                <w:color w:val="auto"/>
              </w:rPr>
              <w:t>100.047</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$28.824</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124.995</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112.197</w:t>
            </w:r>
          </w:p>
        </w:tc>
        <w:tc>
          <w:tcPr>
            <w:tcW w:w="100" w:type="dxa"/>
            <w:vAlign w:val="bottom"/>
          </w:tcPr>
          <w:p>
            <w:pPr>
              <w:spacing w:after="0"/>
              <w:rPr>
                <w:sz w:val="24"/>
                <w:szCs w:val="24"/>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$32.324</w:t>
            </w:r>
          </w:p>
        </w:tc>
        <w:tc>
          <w:tcPr>
            <w:tcW w:w="0" w:type="dxa"/>
            <w:vAlign w:val="bottom"/>
          </w:tcPr>
          <w:p>
            <w:pPr>
              <w:spacing w:after="0"/>
              <w:rPr>
                <w:sz w:val="1"/>
                <w:szCs w:val="1"/>
                <w:color w:val="auto"/>
              </w:rPr>
            </w:pPr>
          </w:p>
        </w:tc>
      </w:tr>
      <w:tr>
        <w:trPr>
          <w:trHeight w:val="110"/>
        </w:trPr>
        <w:tc>
          <w:tcPr>
            <w:tcW w:w="4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(1)Translated at S/.3.471 per US$1.00.</w:t>
      </w:r>
    </w:p>
    <w:p>
      <w:pPr>
        <w:sectPr>
          <w:pgSz w:w="11900" w:h="16838" w:orient="portrait"/>
          <w:cols w:equalWidth="0" w:num="1">
            <w:col w:w="11420"/>
          </w:cols>
          <w:pgMar w:left="240" w:top="131" w:right="239" w:bottom="1440" w:gutter="0" w:footer="0" w:header="0"/>
        </w:sectPr>
      </w:pPr>
    </w:p>
    <w:bookmarkStart w:id="17" w:name="page18"/>
    <w:bookmarkEnd w:id="17"/>
    <w:p>
      <w:pPr>
        <w:jc w:val="center"/>
        <w:ind w:right="40"/>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Table 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SELECTED FINANCIAL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320" w:type="dxa"/>
            <w:vAlign w:val="bottom"/>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tcPr>
          <w:p>
            <w:pPr>
              <w:spacing w:after="0"/>
              <w:rPr>
                <w:sz w:val="18"/>
                <w:szCs w:val="18"/>
                <w:color w:val="auto"/>
              </w:rPr>
            </w:pPr>
          </w:p>
        </w:tc>
        <w:tc>
          <w:tcPr>
            <w:tcW w:w="2340" w:type="dxa"/>
            <w:vAlign w:val="bottom"/>
            <w:gridSpan w:val="2"/>
          </w:tcPr>
          <w:p>
            <w:pPr>
              <w:jc w:val="right"/>
              <w:ind w:right="492"/>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0" w:type="dxa"/>
            <w:vAlign w:val="bottom"/>
          </w:tcPr>
          <w:p>
            <w:pPr>
              <w:jc w:val="right"/>
              <w:ind w:right="412"/>
              <w:spacing w:after="0"/>
              <w:rPr>
                <w:sz w:val="20"/>
                <w:szCs w:val="20"/>
                <w:color w:val="auto"/>
              </w:rPr>
            </w:pPr>
            <w:r>
              <w:rPr>
                <w:rFonts w:ascii="Arial" w:cs="Arial" w:eastAsia="Arial" w:hAnsi="Arial"/>
                <w:sz w:val="18"/>
                <w:szCs w:val="18"/>
                <w:b w:val="1"/>
                <w:bCs w:val="1"/>
                <w:color w:val="auto"/>
              </w:rPr>
              <w:t>30.06.02</w:t>
            </w:r>
          </w:p>
        </w:tc>
        <w:tc>
          <w:tcPr>
            <w:tcW w:w="1320" w:type="dxa"/>
            <w:vAlign w:val="bottom"/>
          </w:tcPr>
          <w:p>
            <w:pPr>
              <w:jc w:val="right"/>
              <w:ind w:right="472"/>
              <w:spacing w:after="0"/>
              <w:rPr>
                <w:sz w:val="20"/>
                <w:szCs w:val="20"/>
                <w:color w:val="auto"/>
              </w:rPr>
            </w:pPr>
            <w:r>
              <w:rPr>
                <w:rFonts w:ascii="Arial" w:cs="Arial" w:eastAsia="Arial" w:hAnsi="Arial"/>
                <w:sz w:val="18"/>
                <w:szCs w:val="18"/>
                <w:b w:val="1"/>
                <w:bCs w:val="1"/>
                <w:color w:val="auto"/>
              </w:rPr>
              <w:t>31.03.03</w:t>
            </w:r>
          </w:p>
        </w:tc>
        <w:tc>
          <w:tcPr>
            <w:tcW w:w="1200" w:type="dxa"/>
            <w:vAlign w:val="bottom"/>
          </w:tcPr>
          <w:p>
            <w:pPr>
              <w:jc w:val="right"/>
              <w:ind w:right="412"/>
              <w:spacing w:after="0"/>
              <w:rPr>
                <w:sz w:val="20"/>
                <w:szCs w:val="20"/>
                <w:color w:val="auto"/>
              </w:rPr>
            </w:pPr>
            <w:r>
              <w:rPr>
                <w:rFonts w:ascii="Arial" w:cs="Arial" w:eastAsia="Arial" w:hAnsi="Arial"/>
                <w:sz w:val="18"/>
                <w:szCs w:val="18"/>
                <w:b w:val="1"/>
                <w:bCs w:val="1"/>
                <w:color w:val="auto"/>
                <w:w w:val="96"/>
              </w:rPr>
              <w:t>30.06.03</w:t>
            </w:r>
          </w:p>
        </w:tc>
        <w:tc>
          <w:tcPr>
            <w:tcW w:w="1240" w:type="dxa"/>
            <w:vAlign w:val="bottom"/>
          </w:tcPr>
          <w:p>
            <w:pPr>
              <w:jc w:val="right"/>
              <w:ind w:right="392"/>
              <w:spacing w:after="0"/>
              <w:rPr>
                <w:sz w:val="20"/>
                <w:szCs w:val="20"/>
                <w:color w:val="auto"/>
              </w:rPr>
            </w:pPr>
            <w:r>
              <w:rPr>
                <w:rFonts w:ascii="Arial" w:cs="Arial" w:eastAsia="Arial" w:hAnsi="Arial"/>
                <w:sz w:val="18"/>
                <w:szCs w:val="18"/>
                <w:b w:val="1"/>
                <w:bCs w:val="1"/>
                <w:color w:val="auto"/>
              </w:rPr>
              <w:t>30.06.02</w:t>
            </w:r>
          </w:p>
        </w:tc>
        <w:tc>
          <w:tcPr>
            <w:tcW w:w="1100" w:type="dxa"/>
            <w:vAlign w:val="bottom"/>
          </w:tcPr>
          <w:p>
            <w:pPr>
              <w:jc w:val="right"/>
              <w:ind w:right="252"/>
              <w:spacing w:after="0"/>
              <w:rPr>
                <w:sz w:val="20"/>
                <w:szCs w:val="20"/>
                <w:color w:val="auto"/>
              </w:rPr>
            </w:pPr>
            <w:r>
              <w:rPr>
                <w:rFonts w:ascii="Arial" w:cs="Arial" w:eastAsia="Arial" w:hAnsi="Arial"/>
                <w:sz w:val="18"/>
                <w:szCs w:val="18"/>
                <w:b w:val="1"/>
                <w:bCs w:val="1"/>
                <w:color w:val="auto"/>
              </w:rPr>
              <w:t>30.06.03</w:t>
            </w:r>
          </w:p>
        </w:tc>
      </w:tr>
      <w:tr>
        <w:trPr>
          <w:trHeight w:val="110"/>
        </w:trPr>
        <w:tc>
          <w:tcPr>
            <w:tcW w:w="9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r>
        <w:trPr>
          <w:trHeight w:val="277"/>
        </w:trPr>
        <w:tc>
          <w:tcPr>
            <w:tcW w:w="4560" w:type="dxa"/>
            <w:vAlign w:val="bottom"/>
            <w:gridSpan w:val="6"/>
          </w:tcPr>
          <w:p>
            <w:pPr>
              <w:spacing w:after="0"/>
              <w:rPr>
                <w:sz w:val="20"/>
                <w:szCs w:val="20"/>
                <w:color w:val="auto"/>
              </w:rPr>
            </w:pPr>
            <w:r>
              <w:rPr>
                <w:rFonts w:ascii="Arial" w:cs="Arial" w:eastAsia="Arial" w:hAnsi="Arial"/>
                <w:sz w:val="18"/>
                <w:szCs w:val="18"/>
                <w:b w:val="1"/>
                <w:bCs w:val="1"/>
                <w:color w:val="auto"/>
              </w:rPr>
              <w:t>Profitability</w:t>
            </w: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8"/>
        </w:trPr>
        <w:tc>
          <w:tcPr>
            <w:tcW w:w="4560" w:type="dxa"/>
            <w:vAlign w:val="bottom"/>
            <w:gridSpan w:val="6"/>
          </w:tcPr>
          <w:p>
            <w:pPr>
              <w:spacing w:after="0"/>
              <w:rPr>
                <w:sz w:val="20"/>
                <w:szCs w:val="20"/>
                <w:color w:val="auto"/>
              </w:rPr>
            </w:pPr>
            <w:r>
              <w:rPr>
                <w:rFonts w:ascii="Arial" w:cs="Arial" w:eastAsia="Arial" w:hAnsi="Arial"/>
                <w:sz w:val="18"/>
                <w:szCs w:val="18"/>
                <w:color w:val="auto"/>
              </w:rPr>
              <w:t>Net income per common share (S/. per share)(1)</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0.055</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0.010</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0.083</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0.104</w:t>
            </w:r>
          </w:p>
        </w:tc>
        <w:tc>
          <w:tcPr>
            <w:tcW w:w="1100" w:type="dxa"/>
            <w:vAlign w:val="bottom"/>
          </w:tcPr>
          <w:p>
            <w:pPr>
              <w:jc w:val="right"/>
              <w:spacing w:after="0"/>
              <w:rPr>
                <w:sz w:val="20"/>
                <w:szCs w:val="20"/>
                <w:color w:val="auto"/>
              </w:rPr>
            </w:pPr>
            <w:r>
              <w:rPr>
                <w:rFonts w:ascii="Arial" w:cs="Arial" w:eastAsia="Arial" w:hAnsi="Arial"/>
                <w:sz w:val="18"/>
                <w:szCs w:val="18"/>
                <w:color w:val="auto"/>
              </w:rPr>
              <w:t>0.093</w:t>
            </w:r>
          </w:p>
        </w:tc>
      </w:tr>
      <w:tr>
        <w:trPr>
          <w:trHeight w:val="216"/>
        </w:trPr>
        <w:tc>
          <w:tcPr>
            <w:tcW w:w="4560" w:type="dxa"/>
            <w:vAlign w:val="bottom"/>
            <w:gridSpan w:val="6"/>
          </w:tcPr>
          <w:p>
            <w:pPr>
              <w:spacing w:after="0"/>
              <w:rPr>
                <w:sz w:val="20"/>
                <w:szCs w:val="20"/>
                <w:color w:val="auto"/>
              </w:rPr>
            </w:pPr>
            <w:r>
              <w:rPr>
                <w:rFonts w:ascii="Arial" w:cs="Arial" w:eastAsia="Arial" w:hAnsi="Arial"/>
                <w:sz w:val="18"/>
                <w:szCs w:val="18"/>
                <w:color w:val="auto"/>
              </w:rPr>
              <w:t>Net interest margin on interest earning assets (2)</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6.04%</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5.08%</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5.34%</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6.03%</w:t>
            </w:r>
          </w:p>
        </w:tc>
        <w:tc>
          <w:tcPr>
            <w:tcW w:w="110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4560" w:type="dxa"/>
            <w:vAlign w:val="bottom"/>
            <w:gridSpan w:val="6"/>
          </w:tcPr>
          <w:p>
            <w:pPr>
              <w:spacing w:after="0"/>
              <w:rPr>
                <w:sz w:val="20"/>
                <w:szCs w:val="20"/>
                <w:color w:val="auto"/>
              </w:rPr>
            </w:pPr>
            <w:r>
              <w:rPr>
                <w:rFonts w:ascii="Arial" w:cs="Arial" w:eastAsia="Arial" w:hAnsi="Arial"/>
                <w:sz w:val="18"/>
                <w:szCs w:val="18"/>
                <w:color w:val="auto"/>
              </w:rPr>
              <w:t>Return on average total assets (2)(3)</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1.25%</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0.19%</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1.67%</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1.18%</w:t>
            </w:r>
          </w:p>
        </w:tc>
        <w:tc>
          <w:tcPr>
            <w:tcW w:w="110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22"/>
        </w:trPr>
        <w:tc>
          <w:tcPr>
            <w:tcW w:w="4560" w:type="dxa"/>
            <w:vAlign w:val="bottom"/>
            <w:gridSpan w:val="6"/>
          </w:tcPr>
          <w:p>
            <w:pPr>
              <w:spacing w:after="0"/>
              <w:rPr>
                <w:sz w:val="20"/>
                <w:szCs w:val="20"/>
                <w:color w:val="auto"/>
              </w:rPr>
            </w:pPr>
            <w:r>
              <w:rPr>
                <w:rFonts w:ascii="Arial" w:cs="Arial" w:eastAsia="Arial" w:hAnsi="Arial"/>
                <w:sz w:val="18"/>
                <w:szCs w:val="18"/>
                <w:color w:val="auto"/>
              </w:rPr>
              <w:t>Return on average shareholders' equity (2)(3)</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14.13%</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2.49%</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20.45%</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13.27%</w:t>
            </w:r>
          </w:p>
        </w:tc>
        <w:tc>
          <w:tcPr>
            <w:tcW w:w="1100" w:type="dxa"/>
            <w:vAlign w:val="bottom"/>
          </w:tcPr>
          <w:p>
            <w:pPr>
              <w:jc w:val="right"/>
              <w:spacing w:after="0"/>
              <w:rPr>
                <w:sz w:val="20"/>
                <w:szCs w:val="20"/>
                <w:color w:val="auto"/>
              </w:rPr>
            </w:pPr>
            <w:r>
              <w:rPr>
                <w:rFonts w:ascii="Arial" w:cs="Arial" w:eastAsia="Arial" w:hAnsi="Arial"/>
                <w:sz w:val="18"/>
                <w:szCs w:val="18"/>
                <w:color w:val="auto"/>
              </w:rPr>
              <w:t>11.19%</w:t>
            </w:r>
          </w:p>
        </w:tc>
      </w:tr>
      <w:tr>
        <w:trPr>
          <w:trHeight w:val="421"/>
        </w:trPr>
        <w:tc>
          <w:tcPr>
            <w:tcW w:w="4560" w:type="dxa"/>
            <w:vAlign w:val="bottom"/>
            <w:gridSpan w:val="6"/>
          </w:tcPr>
          <w:p>
            <w:pPr>
              <w:spacing w:after="0"/>
              <w:rPr>
                <w:sz w:val="20"/>
                <w:szCs w:val="20"/>
                <w:color w:val="auto"/>
              </w:rPr>
            </w:pPr>
            <w:r>
              <w:rPr>
                <w:rFonts w:ascii="Arial" w:cs="Arial" w:eastAsia="Arial" w:hAnsi="Arial"/>
                <w:sz w:val="18"/>
                <w:szCs w:val="18"/>
                <w:b w:val="1"/>
                <w:bCs w:val="1"/>
                <w:color w:val="auto"/>
              </w:rPr>
              <w:t>Quality of loan portfolio</w:t>
            </w: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tcBorders>
              <w:left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8"/>
        </w:trPr>
        <w:tc>
          <w:tcPr>
            <w:tcW w:w="4560" w:type="dxa"/>
            <w:vAlign w:val="bottom"/>
            <w:gridSpan w:val="6"/>
          </w:tcPr>
          <w:p>
            <w:pPr>
              <w:spacing w:after="0"/>
              <w:rPr>
                <w:sz w:val="20"/>
                <w:szCs w:val="20"/>
                <w:color w:val="auto"/>
              </w:rPr>
            </w:pPr>
            <w:r>
              <w:rPr>
                <w:rFonts w:ascii="Arial" w:cs="Arial" w:eastAsia="Arial" w:hAnsi="Arial"/>
                <w:sz w:val="18"/>
                <w:szCs w:val="18"/>
                <w:color w:val="auto"/>
              </w:rPr>
              <w:t>Past due loans as a percentage of total loans</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7.93%</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8.59%</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8.37%</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7.93%</w:t>
            </w:r>
          </w:p>
        </w:tc>
        <w:tc>
          <w:tcPr>
            <w:tcW w:w="1100" w:type="dxa"/>
            <w:vAlign w:val="bottom"/>
          </w:tcPr>
          <w:p>
            <w:pPr>
              <w:jc w:val="right"/>
              <w:spacing w:after="0"/>
              <w:rPr>
                <w:sz w:val="20"/>
                <w:szCs w:val="20"/>
                <w:color w:val="auto"/>
              </w:rPr>
            </w:pPr>
            <w:r>
              <w:rPr>
                <w:rFonts w:ascii="Arial" w:cs="Arial" w:eastAsia="Arial" w:hAnsi="Arial"/>
                <w:sz w:val="18"/>
                <w:szCs w:val="18"/>
                <w:color w:val="auto"/>
              </w:rPr>
              <w:t>8.37%</w:t>
            </w:r>
          </w:p>
        </w:tc>
      </w:tr>
      <w:tr>
        <w:trPr>
          <w:trHeight w:val="216"/>
        </w:trPr>
        <w:tc>
          <w:tcPr>
            <w:tcW w:w="4560" w:type="dxa"/>
            <w:vAlign w:val="bottom"/>
            <w:gridSpan w:val="6"/>
          </w:tcPr>
          <w:p>
            <w:pPr>
              <w:spacing w:after="0"/>
              <w:rPr>
                <w:sz w:val="20"/>
                <w:szCs w:val="20"/>
                <w:color w:val="auto"/>
              </w:rPr>
            </w:pPr>
            <w:r>
              <w:rPr>
                <w:rFonts w:ascii="Arial" w:cs="Arial" w:eastAsia="Arial" w:hAnsi="Arial"/>
                <w:sz w:val="18"/>
                <w:szCs w:val="18"/>
                <w:color w:val="auto"/>
              </w:rPr>
              <w:t>Reserves for loan losses as a percentage of</w:t>
            </w: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560" w:type="dxa"/>
            <w:vAlign w:val="bottom"/>
            <w:gridSpan w:val="6"/>
          </w:tcPr>
          <w:p>
            <w:pPr>
              <w:spacing w:after="0"/>
              <w:rPr>
                <w:sz w:val="20"/>
                <w:szCs w:val="20"/>
                <w:color w:val="auto"/>
              </w:rPr>
            </w:pPr>
            <w:r>
              <w:rPr>
                <w:rFonts w:ascii="Arial" w:cs="Arial" w:eastAsia="Arial" w:hAnsi="Arial"/>
                <w:sz w:val="18"/>
                <w:szCs w:val="18"/>
                <w:color w:val="auto"/>
              </w:rPr>
              <w:t>total past due loans</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107.07%</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116.86%</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117.78%</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107.07%</w:t>
            </w:r>
          </w:p>
        </w:tc>
        <w:tc>
          <w:tcPr>
            <w:tcW w:w="1100" w:type="dxa"/>
            <w:vAlign w:val="bottom"/>
          </w:tcPr>
          <w:p>
            <w:pPr>
              <w:jc w:val="right"/>
              <w:spacing w:after="0"/>
              <w:rPr>
                <w:sz w:val="20"/>
                <w:szCs w:val="20"/>
                <w:color w:val="auto"/>
              </w:rPr>
            </w:pPr>
            <w:r>
              <w:rPr>
                <w:rFonts w:ascii="Arial" w:cs="Arial" w:eastAsia="Arial" w:hAnsi="Arial"/>
                <w:sz w:val="18"/>
                <w:szCs w:val="18"/>
                <w:color w:val="auto"/>
              </w:rPr>
              <w:t>117.78%</w:t>
            </w:r>
          </w:p>
        </w:tc>
      </w:tr>
      <w:tr>
        <w:trPr>
          <w:trHeight w:val="216"/>
        </w:trPr>
        <w:tc>
          <w:tcPr>
            <w:tcW w:w="4560" w:type="dxa"/>
            <w:vAlign w:val="bottom"/>
            <w:gridSpan w:val="6"/>
          </w:tcPr>
          <w:p>
            <w:pPr>
              <w:spacing w:after="0"/>
              <w:rPr>
                <w:sz w:val="20"/>
                <w:szCs w:val="20"/>
                <w:color w:val="auto"/>
              </w:rPr>
            </w:pPr>
            <w:r>
              <w:rPr>
                <w:rFonts w:ascii="Arial" w:cs="Arial" w:eastAsia="Arial" w:hAnsi="Arial"/>
                <w:sz w:val="18"/>
                <w:szCs w:val="18"/>
                <w:color w:val="auto"/>
              </w:rPr>
              <w:t>Reserves for loan losses as a percentage of</w:t>
            </w: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560" w:type="dxa"/>
            <w:vAlign w:val="bottom"/>
            <w:gridSpan w:val="6"/>
          </w:tcPr>
          <w:p>
            <w:pPr>
              <w:spacing w:after="0"/>
              <w:rPr>
                <w:sz w:val="20"/>
                <w:szCs w:val="20"/>
                <w:color w:val="auto"/>
              </w:rPr>
            </w:pPr>
            <w:r>
              <w:rPr>
                <w:rFonts w:ascii="Arial" w:cs="Arial" w:eastAsia="Arial" w:hAnsi="Arial"/>
                <w:sz w:val="18"/>
                <w:szCs w:val="18"/>
                <w:color w:val="auto"/>
              </w:rPr>
              <w:t>total loans</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8.49%</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10.04%</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9.86%</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8.49%</w:t>
            </w:r>
          </w:p>
        </w:tc>
        <w:tc>
          <w:tcPr>
            <w:tcW w:w="1100" w:type="dxa"/>
            <w:vAlign w:val="bottom"/>
          </w:tcPr>
          <w:p>
            <w:pPr>
              <w:jc w:val="right"/>
              <w:spacing w:after="0"/>
              <w:rPr>
                <w:sz w:val="20"/>
                <w:szCs w:val="20"/>
                <w:color w:val="auto"/>
              </w:rPr>
            </w:pPr>
            <w:r>
              <w:rPr>
                <w:rFonts w:ascii="Arial" w:cs="Arial" w:eastAsia="Arial" w:hAnsi="Arial"/>
                <w:sz w:val="18"/>
                <w:szCs w:val="18"/>
                <w:color w:val="auto"/>
              </w:rPr>
              <w:t>9.86%</w:t>
            </w:r>
          </w:p>
        </w:tc>
      </w:tr>
      <w:tr>
        <w:trPr>
          <w:trHeight w:val="216"/>
        </w:trPr>
        <w:tc>
          <w:tcPr>
            <w:tcW w:w="4560" w:type="dxa"/>
            <w:vAlign w:val="bottom"/>
            <w:gridSpan w:val="6"/>
          </w:tcPr>
          <w:p>
            <w:pPr>
              <w:spacing w:after="0"/>
              <w:rPr>
                <w:sz w:val="20"/>
                <w:szCs w:val="20"/>
                <w:color w:val="auto"/>
              </w:rPr>
            </w:pPr>
            <w:r>
              <w:rPr>
                <w:rFonts w:ascii="Arial" w:cs="Arial" w:eastAsia="Arial" w:hAnsi="Arial"/>
                <w:sz w:val="18"/>
                <w:szCs w:val="18"/>
                <w:color w:val="auto"/>
              </w:rPr>
              <w:t>Reserves for loan losses as a percentage of</w:t>
            </w: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560" w:type="dxa"/>
            <w:vAlign w:val="bottom"/>
            <w:gridSpan w:val="6"/>
          </w:tcPr>
          <w:p>
            <w:pPr>
              <w:spacing w:after="0"/>
              <w:rPr>
                <w:sz w:val="20"/>
                <w:szCs w:val="20"/>
                <w:color w:val="auto"/>
              </w:rPr>
            </w:pPr>
            <w:r>
              <w:rPr>
                <w:rFonts w:ascii="Arial" w:cs="Arial" w:eastAsia="Arial" w:hAnsi="Arial"/>
                <w:sz w:val="18"/>
                <w:szCs w:val="18"/>
                <w:color w:val="auto"/>
              </w:rPr>
              <w:t>substandard loans (C+D+E)</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43.51%</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56.18%</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54.41%</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43.51%</w:t>
            </w:r>
          </w:p>
        </w:tc>
        <w:tc>
          <w:tcPr>
            <w:tcW w:w="1100" w:type="dxa"/>
            <w:vAlign w:val="bottom"/>
          </w:tcPr>
          <w:p>
            <w:pPr>
              <w:jc w:val="right"/>
              <w:spacing w:after="0"/>
              <w:rPr>
                <w:sz w:val="20"/>
                <w:szCs w:val="20"/>
                <w:color w:val="auto"/>
              </w:rPr>
            </w:pPr>
            <w:r>
              <w:rPr>
                <w:rFonts w:ascii="Arial" w:cs="Arial" w:eastAsia="Arial" w:hAnsi="Arial"/>
                <w:sz w:val="18"/>
                <w:szCs w:val="18"/>
                <w:color w:val="auto"/>
              </w:rPr>
              <w:t>54.41%</w:t>
            </w:r>
          </w:p>
        </w:tc>
      </w:tr>
      <w:tr>
        <w:trPr>
          <w:trHeight w:val="216"/>
        </w:trPr>
        <w:tc>
          <w:tcPr>
            <w:tcW w:w="4560" w:type="dxa"/>
            <w:vAlign w:val="bottom"/>
            <w:gridSpan w:val="6"/>
          </w:tcPr>
          <w:p>
            <w:pPr>
              <w:spacing w:after="0"/>
              <w:rPr>
                <w:sz w:val="20"/>
                <w:szCs w:val="20"/>
                <w:color w:val="auto"/>
              </w:rPr>
            </w:pPr>
            <w:r>
              <w:rPr>
                <w:rFonts w:ascii="Arial" w:cs="Arial" w:eastAsia="Arial" w:hAnsi="Arial"/>
                <w:sz w:val="18"/>
                <w:szCs w:val="18"/>
                <w:color w:val="auto"/>
              </w:rPr>
              <w:t>Past due loans - reserves for loan losses as a</w:t>
            </w: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4560" w:type="dxa"/>
            <w:vAlign w:val="bottom"/>
            <w:gridSpan w:val="6"/>
          </w:tcPr>
          <w:p>
            <w:pPr>
              <w:spacing w:after="0"/>
              <w:rPr>
                <w:sz w:val="20"/>
                <w:szCs w:val="20"/>
                <w:color w:val="auto"/>
              </w:rPr>
            </w:pPr>
            <w:r>
              <w:rPr>
                <w:rFonts w:ascii="Arial" w:cs="Arial" w:eastAsia="Arial" w:hAnsi="Arial"/>
                <w:sz w:val="18"/>
                <w:szCs w:val="18"/>
                <w:color w:val="auto"/>
              </w:rPr>
              <w:t>percentage of shareholders' equity</w:t>
            </w:r>
          </w:p>
        </w:tc>
        <w:tc>
          <w:tcPr>
            <w:tcW w:w="2000" w:type="dxa"/>
            <w:vAlign w:val="bottom"/>
          </w:tcPr>
          <w:p>
            <w:pPr>
              <w:jc w:val="right"/>
              <w:ind w:right="112"/>
              <w:spacing w:after="0"/>
              <w:rPr>
                <w:sz w:val="20"/>
                <w:szCs w:val="20"/>
                <w:color w:val="auto"/>
              </w:rPr>
            </w:pPr>
            <w:r>
              <w:rPr>
                <w:rFonts w:ascii="Arial" w:cs="Arial" w:eastAsia="Arial" w:hAnsi="Arial"/>
                <w:sz w:val="18"/>
                <w:szCs w:val="18"/>
                <w:color w:val="auto"/>
              </w:rPr>
              <w:t>-3.85%</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-11.20%</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-10.84%</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-3.85%</w:t>
            </w:r>
          </w:p>
        </w:tc>
        <w:tc>
          <w:tcPr>
            <w:tcW w:w="1100" w:type="dxa"/>
            <w:vAlign w:val="bottom"/>
          </w:tcPr>
          <w:p>
            <w:pPr>
              <w:jc w:val="right"/>
              <w:spacing w:after="0"/>
              <w:rPr>
                <w:sz w:val="20"/>
                <w:szCs w:val="20"/>
                <w:color w:val="auto"/>
              </w:rPr>
            </w:pPr>
            <w:r>
              <w:rPr>
                <w:rFonts w:ascii="Arial" w:cs="Arial" w:eastAsia="Arial" w:hAnsi="Arial"/>
                <w:sz w:val="18"/>
                <w:szCs w:val="18"/>
                <w:color w:val="auto"/>
              </w:rPr>
              <w:t>-10.84%</w:t>
            </w:r>
          </w:p>
        </w:tc>
      </w:tr>
      <w:tr>
        <w:trPr>
          <w:trHeight w:val="421"/>
        </w:trPr>
        <w:tc>
          <w:tcPr>
            <w:tcW w:w="4560" w:type="dxa"/>
            <w:vAlign w:val="bottom"/>
            <w:gridSpan w:val="6"/>
          </w:tcPr>
          <w:p>
            <w:pPr>
              <w:spacing w:after="0"/>
              <w:rPr>
                <w:sz w:val="20"/>
                <w:szCs w:val="20"/>
                <w:color w:val="auto"/>
              </w:rPr>
            </w:pPr>
            <w:r>
              <w:rPr>
                <w:rFonts w:ascii="Arial" w:cs="Arial" w:eastAsia="Arial" w:hAnsi="Arial"/>
                <w:sz w:val="18"/>
                <w:szCs w:val="18"/>
                <w:b w:val="1"/>
                <w:bCs w:val="1"/>
                <w:color w:val="auto"/>
              </w:rPr>
              <w:t>Operating efficiency (5)</w:t>
            </w: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8"/>
        </w:trPr>
        <w:tc>
          <w:tcPr>
            <w:tcW w:w="4560" w:type="dxa"/>
            <w:vAlign w:val="bottom"/>
            <w:gridSpan w:val="6"/>
          </w:tcPr>
          <w:p>
            <w:pPr>
              <w:spacing w:after="0"/>
              <w:rPr>
                <w:sz w:val="20"/>
                <w:szCs w:val="20"/>
                <w:color w:val="auto"/>
              </w:rPr>
            </w:pPr>
            <w:r>
              <w:rPr>
                <w:rFonts w:ascii="Arial" w:cs="Arial" w:eastAsia="Arial" w:hAnsi="Arial"/>
                <w:sz w:val="18"/>
                <w:szCs w:val="18"/>
                <w:color w:val="auto"/>
              </w:rPr>
              <w:t>Oper. expense as a percent. of total income (4)</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54.83%</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54.40%</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53.02%</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56.25%</w:t>
            </w:r>
          </w:p>
        </w:tc>
        <w:tc>
          <w:tcPr>
            <w:tcW w:w="1100" w:type="dxa"/>
            <w:vAlign w:val="bottom"/>
          </w:tcPr>
          <w:p>
            <w:pPr>
              <w:jc w:val="right"/>
              <w:spacing w:after="0"/>
              <w:rPr>
                <w:sz w:val="20"/>
                <w:szCs w:val="20"/>
                <w:color w:val="auto"/>
              </w:rPr>
            </w:pPr>
            <w:r>
              <w:rPr>
                <w:rFonts w:ascii="Arial" w:cs="Arial" w:eastAsia="Arial" w:hAnsi="Arial"/>
                <w:sz w:val="18"/>
                <w:szCs w:val="18"/>
                <w:color w:val="auto"/>
              </w:rPr>
              <w:t>53.72%</w:t>
            </w:r>
          </w:p>
        </w:tc>
      </w:tr>
      <w:tr>
        <w:trPr>
          <w:trHeight w:val="222"/>
        </w:trPr>
        <w:tc>
          <w:tcPr>
            <w:tcW w:w="4560" w:type="dxa"/>
            <w:vAlign w:val="bottom"/>
            <w:gridSpan w:val="6"/>
          </w:tcPr>
          <w:p>
            <w:pPr>
              <w:spacing w:after="0"/>
              <w:rPr>
                <w:sz w:val="20"/>
                <w:szCs w:val="20"/>
                <w:color w:val="auto"/>
              </w:rPr>
            </w:pPr>
            <w:r>
              <w:rPr>
                <w:rFonts w:ascii="Arial" w:cs="Arial" w:eastAsia="Arial" w:hAnsi="Arial"/>
                <w:sz w:val="18"/>
                <w:szCs w:val="18"/>
                <w:color w:val="auto"/>
              </w:rPr>
              <w:t>Oper. expense as a percent. of av. tot. assets(2)(3)</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4.86%</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4.42%</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4.39%</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4.94%</w:t>
            </w:r>
          </w:p>
        </w:tc>
        <w:tc>
          <w:tcPr>
            <w:tcW w:w="110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421"/>
        </w:trPr>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Capital adequacy</w:t>
            </w:r>
          </w:p>
        </w:tc>
        <w:tc>
          <w:tcPr>
            <w:tcW w:w="3240" w:type="dxa"/>
            <w:vAlign w:val="bottom"/>
            <w:gridSpan w:val="3"/>
          </w:tcPr>
          <w:p>
            <w:pPr>
              <w:spacing w:after="0"/>
              <w:rPr>
                <w:sz w:val="24"/>
                <w:szCs w:val="24"/>
                <w:color w:val="auto"/>
              </w:rPr>
            </w:pP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4560" w:type="dxa"/>
            <w:vAlign w:val="bottom"/>
            <w:gridSpan w:val="6"/>
          </w:tcPr>
          <w:p>
            <w:pPr>
              <w:spacing w:after="0"/>
              <w:rPr>
                <w:sz w:val="20"/>
                <w:szCs w:val="20"/>
                <w:color w:val="auto"/>
              </w:rPr>
            </w:pPr>
            <w:r>
              <w:rPr>
                <w:rFonts w:ascii="Arial" w:cs="Arial" w:eastAsia="Arial" w:hAnsi="Arial"/>
                <w:sz w:val="18"/>
                <w:szCs w:val="18"/>
                <w:color w:val="auto"/>
              </w:rPr>
              <w:t>Total Regulatory capital (constant millions S/.)</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2,036.4</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2,185.9</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2,164.9</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2,036.4</w:t>
            </w:r>
          </w:p>
        </w:tc>
        <w:tc>
          <w:tcPr>
            <w:tcW w:w="1100" w:type="dxa"/>
            <w:vAlign w:val="bottom"/>
          </w:tcPr>
          <w:p>
            <w:pPr>
              <w:jc w:val="right"/>
              <w:spacing w:after="0"/>
              <w:rPr>
                <w:sz w:val="20"/>
                <w:szCs w:val="20"/>
                <w:color w:val="auto"/>
              </w:rPr>
            </w:pPr>
            <w:r>
              <w:rPr>
                <w:rFonts w:ascii="Arial" w:cs="Arial" w:eastAsia="Arial" w:hAnsi="Arial"/>
                <w:sz w:val="18"/>
                <w:szCs w:val="18"/>
                <w:color w:val="auto"/>
              </w:rPr>
              <w:t>2,164.9</w:t>
            </w:r>
          </w:p>
        </w:tc>
      </w:tr>
      <w:tr>
        <w:trPr>
          <w:trHeight w:val="216"/>
        </w:trPr>
        <w:tc>
          <w:tcPr>
            <w:tcW w:w="4560" w:type="dxa"/>
            <w:vAlign w:val="bottom"/>
            <w:gridSpan w:val="6"/>
          </w:tcPr>
          <w:p>
            <w:pPr>
              <w:spacing w:after="0"/>
              <w:rPr>
                <w:sz w:val="20"/>
                <w:szCs w:val="20"/>
                <w:color w:val="auto"/>
              </w:rPr>
            </w:pPr>
            <w:r>
              <w:rPr>
                <w:rFonts w:ascii="Arial" w:cs="Arial" w:eastAsia="Arial" w:hAnsi="Arial"/>
                <w:sz w:val="18"/>
                <w:szCs w:val="18"/>
                <w:color w:val="auto"/>
              </w:rPr>
              <w:t>Tier I Capital (constant millions S/.)</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1,750.8</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1,730.0</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1,742.2</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1,750.8</w:t>
            </w:r>
          </w:p>
        </w:tc>
        <w:tc>
          <w:tcPr>
            <w:tcW w:w="1100" w:type="dxa"/>
            <w:vAlign w:val="bottom"/>
          </w:tcPr>
          <w:p>
            <w:pPr>
              <w:jc w:val="right"/>
              <w:spacing w:after="0"/>
              <w:rPr>
                <w:sz w:val="20"/>
                <w:szCs w:val="20"/>
                <w:color w:val="auto"/>
              </w:rPr>
            </w:pPr>
            <w:r>
              <w:rPr>
                <w:rFonts w:ascii="Arial" w:cs="Arial" w:eastAsia="Arial" w:hAnsi="Arial"/>
                <w:sz w:val="18"/>
                <w:szCs w:val="18"/>
                <w:color w:val="auto"/>
              </w:rPr>
              <w:t>1,742.2</w:t>
            </w:r>
          </w:p>
        </w:tc>
      </w:tr>
      <w:tr>
        <w:trPr>
          <w:trHeight w:val="216"/>
        </w:trPr>
        <w:tc>
          <w:tcPr>
            <w:tcW w:w="4560" w:type="dxa"/>
            <w:vAlign w:val="bottom"/>
            <w:gridSpan w:val="6"/>
          </w:tcPr>
          <w:p>
            <w:pPr>
              <w:spacing w:after="0"/>
              <w:rPr>
                <w:sz w:val="20"/>
                <w:szCs w:val="20"/>
                <w:color w:val="auto"/>
              </w:rPr>
            </w:pPr>
            <w:r>
              <w:rPr>
                <w:rFonts w:ascii="Arial" w:cs="Arial" w:eastAsia="Arial" w:hAnsi="Arial"/>
                <w:sz w:val="18"/>
                <w:szCs w:val="18"/>
                <w:color w:val="auto"/>
              </w:rPr>
              <w:t>Net equity as a percentage of period end total assets</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9.01%</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7.73%</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8.59%</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9.01%</w:t>
            </w:r>
          </w:p>
        </w:tc>
        <w:tc>
          <w:tcPr>
            <w:tcW w:w="110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22"/>
        </w:trPr>
        <w:tc>
          <w:tcPr>
            <w:tcW w:w="4560" w:type="dxa"/>
            <w:vAlign w:val="bottom"/>
            <w:gridSpan w:val="6"/>
          </w:tcPr>
          <w:p>
            <w:pPr>
              <w:spacing w:after="0"/>
              <w:rPr>
                <w:sz w:val="20"/>
                <w:szCs w:val="20"/>
                <w:color w:val="auto"/>
              </w:rPr>
            </w:pPr>
            <w:r>
              <w:rPr>
                <w:rFonts w:ascii="Arial" w:cs="Arial" w:eastAsia="Arial" w:hAnsi="Arial"/>
                <w:sz w:val="18"/>
                <w:szCs w:val="18"/>
                <w:color w:val="auto"/>
              </w:rPr>
              <w:t>Regulatory capital / risk-weighted assets</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12.18%</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12.53%</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12.64%</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12.18%</w:t>
            </w:r>
          </w:p>
        </w:tc>
        <w:tc>
          <w:tcPr>
            <w:tcW w:w="1100" w:type="dxa"/>
            <w:vAlign w:val="bottom"/>
          </w:tcPr>
          <w:p>
            <w:pPr>
              <w:jc w:val="right"/>
              <w:spacing w:after="0"/>
              <w:rPr>
                <w:sz w:val="20"/>
                <w:szCs w:val="20"/>
                <w:color w:val="auto"/>
              </w:rPr>
            </w:pPr>
            <w:r>
              <w:rPr>
                <w:rFonts w:ascii="Arial" w:cs="Arial" w:eastAsia="Arial" w:hAnsi="Arial"/>
                <w:sz w:val="18"/>
                <w:szCs w:val="18"/>
                <w:color w:val="auto"/>
              </w:rPr>
              <w:t>12.64%</w:t>
            </w:r>
          </w:p>
        </w:tc>
      </w:tr>
      <w:tr>
        <w:trPr>
          <w:trHeight w:val="421"/>
        </w:trPr>
        <w:tc>
          <w:tcPr>
            <w:tcW w:w="4560" w:type="dxa"/>
            <w:vAlign w:val="bottom"/>
            <w:gridSpan w:val="6"/>
          </w:tcPr>
          <w:p>
            <w:pPr>
              <w:spacing w:after="0"/>
              <w:rPr>
                <w:sz w:val="20"/>
                <w:szCs w:val="20"/>
                <w:color w:val="auto"/>
              </w:rPr>
            </w:pPr>
            <w:r>
              <w:rPr>
                <w:rFonts w:ascii="Arial" w:cs="Arial" w:eastAsia="Arial" w:hAnsi="Arial"/>
                <w:sz w:val="18"/>
                <w:szCs w:val="18"/>
                <w:b w:val="1"/>
                <w:bCs w:val="1"/>
                <w:color w:val="auto"/>
              </w:rPr>
              <w:t>Average balances (constant millions S/.) (3)</w:t>
            </w: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32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Interest earning assets</w:t>
            </w:r>
          </w:p>
        </w:tc>
        <w:tc>
          <w:tcPr>
            <w:tcW w:w="1340" w:type="dxa"/>
            <w:vAlign w:val="bottom"/>
          </w:tcPr>
          <w:p>
            <w:pPr>
              <w:spacing w:after="0"/>
              <w:rPr>
                <w:sz w:val="19"/>
                <w:szCs w:val="19"/>
                <w:color w:val="auto"/>
              </w:rPr>
            </w:pP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18,453.4</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22,201.4</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21,313.0</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18,509.9</w:t>
            </w:r>
          </w:p>
        </w:tc>
        <w:tc>
          <w:tcPr>
            <w:tcW w:w="1100" w:type="dxa"/>
            <w:vAlign w:val="bottom"/>
          </w:tcPr>
          <w:p>
            <w:pPr>
              <w:jc w:val="right"/>
              <w:spacing w:after="0"/>
              <w:rPr>
                <w:sz w:val="20"/>
                <w:szCs w:val="20"/>
                <w:color w:val="auto"/>
              </w:rPr>
            </w:pPr>
            <w:r>
              <w:rPr>
                <w:rFonts w:ascii="Arial" w:cs="Arial" w:eastAsia="Arial" w:hAnsi="Arial"/>
                <w:sz w:val="18"/>
                <w:szCs w:val="18"/>
                <w:color w:val="auto"/>
              </w:rPr>
              <w:t>21,667.5</w:t>
            </w:r>
          </w:p>
        </w:tc>
      </w:tr>
      <w:tr>
        <w:trPr>
          <w:trHeight w:val="216"/>
        </w:trPr>
        <w:tc>
          <w:tcPr>
            <w:tcW w:w="4560" w:type="dxa"/>
            <w:vAlign w:val="bottom"/>
            <w:gridSpan w:val="6"/>
          </w:tcPr>
          <w:p>
            <w:pPr>
              <w:spacing w:after="0"/>
              <w:rPr>
                <w:sz w:val="20"/>
                <w:szCs w:val="20"/>
                <w:color w:val="auto"/>
              </w:rPr>
            </w:pPr>
            <w:r>
              <w:rPr>
                <w:rFonts w:ascii="Arial" w:cs="Arial" w:eastAsia="Arial" w:hAnsi="Arial"/>
                <w:sz w:val="18"/>
                <w:szCs w:val="18"/>
                <w:color w:val="auto"/>
              </w:rPr>
              <w:t>Total Assets</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21,122.4</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25,136.7</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24,020.2</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21,175.1</w:t>
            </w:r>
          </w:p>
        </w:tc>
        <w:tc>
          <w:tcPr>
            <w:tcW w:w="1100" w:type="dxa"/>
            <w:vAlign w:val="bottom"/>
          </w:tcPr>
          <w:p>
            <w:pPr>
              <w:jc w:val="right"/>
              <w:spacing w:after="0"/>
              <w:rPr>
                <w:sz w:val="20"/>
                <w:szCs w:val="20"/>
                <w:color w:val="auto"/>
              </w:rPr>
            </w:pPr>
            <w:r>
              <w:rPr>
                <w:rFonts w:ascii="Arial" w:cs="Arial" w:eastAsia="Arial" w:hAnsi="Arial"/>
                <w:sz w:val="18"/>
                <w:szCs w:val="18"/>
                <w:color w:val="auto"/>
              </w:rPr>
              <w:t>24,502.2</w:t>
            </w:r>
          </w:p>
        </w:tc>
      </w:tr>
      <w:tr>
        <w:trPr>
          <w:trHeight w:val="222"/>
        </w:trPr>
        <w:tc>
          <w:tcPr>
            <w:tcW w:w="4560" w:type="dxa"/>
            <w:vAlign w:val="bottom"/>
            <w:gridSpan w:val="6"/>
          </w:tcPr>
          <w:p>
            <w:pPr>
              <w:spacing w:after="0"/>
              <w:rPr>
                <w:sz w:val="20"/>
                <w:szCs w:val="20"/>
                <w:color w:val="auto"/>
              </w:rPr>
            </w:pPr>
            <w:r>
              <w:rPr>
                <w:rFonts w:ascii="Arial" w:cs="Arial" w:eastAsia="Arial" w:hAnsi="Arial"/>
                <w:sz w:val="18"/>
                <w:szCs w:val="18"/>
                <w:color w:val="auto"/>
              </w:rPr>
              <w:t>Net equity</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1,871.0</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1,954.2</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1,956.8</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1,884.4</w:t>
            </w:r>
          </w:p>
        </w:tc>
        <w:tc>
          <w:tcPr>
            <w:tcW w:w="1100" w:type="dxa"/>
            <w:vAlign w:val="bottom"/>
          </w:tcPr>
          <w:p>
            <w:pPr>
              <w:jc w:val="right"/>
              <w:spacing w:after="0"/>
              <w:rPr>
                <w:sz w:val="20"/>
                <w:szCs w:val="20"/>
                <w:color w:val="auto"/>
              </w:rPr>
            </w:pPr>
            <w:r>
              <w:rPr>
                <w:rFonts w:ascii="Arial" w:cs="Arial" w:eastAsia="Arial" w:hAnsi="Arial"/>
                <w:sz w:val="18"/>
                <w:szCs w:val="18"/>
                <w:color w:val="auto"/>
              </w:rPr>
              <w:t>2,005.3</w:t>
            </w:r>
          </w:p>
        </w:tc>
      </w:tr>
      <w:tr>
        <w:trPr>
          <w:trHeight w:val="421"/>
        </w:trPr>
        <w:tc>
          <w:tcPr>
            <w:tcW w:w="4560" w:type="dxa"/>
            <w:vAlign w:val="bottom"/>
            <w:gridSpan w:val="6"/>
          </w:tcPr>
          <w:p>
            <w:pPr>
              <w:spacing w:after="0"/>
              <w:rPr>
                <w:sz w:val="20"/>
                <w:szCs w:val="20"/>
                <w:color w:val="auto"/>
              </w:rPr>
            </w:pPr>
            <w:r>
              <w:rPr>
                <w:rFonts w:ascii="Arial" w:cs="Arial" w:eastAsia="Arial" w:hAnsi="Arial"/>
                <w:sz w:val="18"/>
                <w:szCs w:val="18"/>
                <w:b w:val="1"/>
                <w:bCs w:val="1"/>
                <w:color w:val="auto"/>
              </w:rPr>
              <w:t>Additional data</w:t>
            </w:r>
          </w:p>
        </w:tc>
        <w:tc>
          <w:tcPr>
            <w:tcW w:w="2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8"/>
        </w:trPr>
        <w:tc>
          <w:tcPr>
            <w:tcW w:w="4560" w:type="dxa"/>
            <w:vAlign w:val="bottom"/>
            <w:gridSpan w:val="6"/>
          </w:tcPr>
          <w:p>
            <w:pPr>
              <w:spacing w:after="0"/>
              <w:rPr>
                <w:sz w:val="20"/>
                <w:szCs w:val="20"/>
                <w:color w:val="auto"/>
              </w:rPr>
            </w:pPr>
            <w:r>
              <w:rPr>
                <w:rFonts w:ascii="Arial" w:cs="Arial" w:eastAsia="Arial" w:hAnsi="Arial"/>
                <w:sz w:val="18"/>
                <w:szCs w:val="18"/>
                <w:color w:val="auto"/>
              </w:rPr>
              <w:t>No. of outstanding shares (millions)</w:t>
            </w:r>
          </w:p>
        </w:tc>
        <w:tc>
          <w:tcPr>
            <w:tcW w:w="2000" w:type="dxa"/>
            <w:vAlign w:val="bottom"/>
          </w:tcPr>
          <w:p>
            <w:pPr>
              <w:jc w:val="right"/>
              <w:ind w:right="112"/>
              <w:spacing w:after="0"/>
              <w:rPr>
                <w:sz w:val="20"/>
                <w:szCs w:val="20"/>
                <w:color w:val="auto"/>
              </w:rPr>
            </w:pPr>
            <w:r>
              <w:rPr>
                <w:rFonts w:ascii="Arial" w:cs="Arial" w:eastAsia="Arial" w:hAnsi="Arial"/>
                <w:sz w:val="18"/>
                <w:szCs w:val="18"/>
                <w:color w:val="auto"/>
              </w:rPr>
              <w:t>1,076</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1,077</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1,202</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1,076</w:t>
            </w:r>
          </w:p>
        </w:tc>
        <w:tc>
          <w:tcPr>
            <w:tcW w:w="1100" w:type="dxa"/>
            <w:vAlign w:val="bottom"/>
          </w:tcPr>
          <w:p>
            <w:pPr>
              <w:jc w:val="right"/>
              <w:spacing w:after="0"/>
              <w:rPr>
                <w:sz w:val="20"/>
                <w:szCs w:val="20"/>
                <w:color w:val="auto"/>
              </w:rPr>
            </w:pPr>
            <w:r>
              <w:rPr>
                <w:rFonts w:ascii="Arial" w:cs="Arial" w:eastAsia="Arial" w:hAnsi="Arial"/>
                <w:sz w:val="18"/>
                <w:szCs w:val="18"/>
                <w:color w:val="auto"/>
              </w:rPr>
              <w:t>1,202</w:t>
            </w:r>
          </w:p>
        </w:tc>
      </w:tr>
      <w:tr>
        <w:trPr>
          <w:trHeight w:val="216"/>
        </w:trPr>
        <w:tc>
          <w:tcPr>
            <w:tcW w:w="4560" w:type="dxa"/>
            <w:vAlign w:val="bottom"/>
            <w:gridSpan w:val="6"/>
          </w:tcPr>
          <w:p>
            <w:pPr>
              <w:spacing w:after="0"/>
              <w:rPr>
                <w:sz w:val="20"/>
                <w:szCs w:val="20"/>
                <w:color w:val="auto"/>
              </w:rPr>
            </w:pPr>
            <w:r>
              <w:rPr>
                <w:rFonts w:ascii="Arial" w:cs="Arial" w:eastAsia="Arial" w:hAnsi="Arial"/>
                <w:sz w:val="18"/>
                <w:szCs w:val="18"/>
                <w:color w:val="auto"/>
              </w:rPr>
              <w:t>No. of employees</w:t>
            </w:r>
          </w:p>
        </w:tc>
        <w:tc>
          <w:tcPr>
            <w:tcW w:w="2000" w:type="dxa"/>
            <w:vAlign w:val="bottom"/>
          </w:tcPr>
          <w:p>
            <w:pPr>
              <w:jc w:val="right"/>
              <w:ind w:right="112"/>
              <w:spacing w:after="0"/>
              <w:rPr>
                <w:sz w:val="20"/>
                <w:szCs w:val="20"/>
                <w:color w:val="auto"/>
              </w:rPr>
            </w:pPr>
            <w:r>
              <w:rPr>
                <w:rFonts w:ascii="Arial" w:cs="Arial" w:eastAsia="Arial" w:hAnsi="Arial"/>
                <w:sz w:val="18"/>
                <w:szCs w:val="18"/>
                <w:color w:val="auto"/>
              </w:rPr>
              <w:t>7,821</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7,629</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7,595</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7,821</w:t>
            </w:r>
          </w:p>
        </w:tc>
        <w:tc>
          <w:tcPr>
            <w:tcW w:w="1100" w:type="dxa"/>
            <w:vAlign w:val="bottom"/>
          </w:tcPr>
          <w:p>
            <w:pPr>
              <w:jc w:val="right"/>
              <w:spacing w:after="0"/>
              <w:rPr>
                <w:sz w:val="20"/>
                <w:szCs w:val="20"/>
                <w:color w:val="auto"/>
              </w:rPr>
            </w:pPr>
            <w:r>
              <w:rPr>
                <w:rFonts w:ascii="Arial" w:cs="Arial" w:eastAsia="Arial" w:hAnsi="Arial"/>
                <w:sz w:val="18"/>
                <w:szCs w:val="18"/>
                <w:color w:val="auto"/>
              </w:rPr>
              <w:t>7,595</w:t>
            </w:r>
          </w:p>
        </w:tc>
      </w:tr>
      <w:tr>
        <w:trPr>
          <w:trHeight w:val="216"/>
        </w:trPr>
        <w:tc>
          <w:tcPr>
            <w:tcW w:w="4560" w:type="dxa"/>
            <w:vAlign w:val="bottom"/>
            <w:gridSpan w:val="6"/>
          </w:tcPr>
          <w:p>
            <w:pPr>
              <w:spacing w:after="0"/>
              <w:rPr>
                <w:sz w:val="20"/>
                <w:szCs w:val="20"/>
                <w:color w:val="auto"/>
              </w:rPr>
            </w:pPr>
            <w:r>
              <w:rPr>
                <w:rFonts w:ascii="Arial" w:cs="Arial" w:eastAsia="Arial" w:hAnsi="Arial"/>
                <w:sz w:val="18"/>
                <w:szCs w:val="18"/>
                <w:color w:val="auto"/>
              </w:rPr>
              <w:t>Inflation rate ( Wholesale price index)</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0.66%</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1.10%</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-0.66%</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0.15%</w:t>
            </w:r>
          </w:p>
        </w:tc>
        <w:tc>
          <w:tcPr>
            <w:tcW w:w="1100" w:type="dxa"/>
            <w:vAlign w:val="bottom"/>
          </w:tcPr>
          <w:p>
            <w:pPr>
              <w:jc w:val="right"/>
              <w:spacing w:after="0"/>
              <w:rPr>
                <w:sz w:val="20"/>
                <w:szCs w:val="20"/>
                <w:color w:val="auto"/>
              </w:rPr>
            </w:pPr>
            <w:r>
              <w:rPr>
                <w:rFonts w:ascii="Arial" w:cs="Arial" w:eastAsia="Arial" w:hAnsi="Arial"/>
                <w:sz w:val="18"/>
                <w:szCs w:val="18"/>
                <w:color w:val="auto"/>
              </w:rPr>
              <w:t>0.44%</w:t>
            </w:r>
          </w:p>
        </w:tc>
      </w:tr>
      <w:tr>
        <w:trPr>
          <w:trHeight w:val="222"/>
        </w:trPr>
        <w:tc>
          <w:tcPr>
            <w:tcW w:w="4560" w:type="dxa"/>
            <w:vAlign w:val="bottom"/>
            <w:gridSpan w:val="6"/>
          </w:tcPr>
          <w:p>
            <w:pPr>
              <w:spacing w:after="0"/>
              <w:rPr>
                <w:sz w:val="20"/>
                <w:szCs w:val="20"/>
                <w:color w:val="auto"/>
              </w:rPr>
            </w:pPr>
            <w:r>
              <w:rPr>
                <w:rFonts w:ascii="Arial" w:cs="Arial" w:eastAsia="Arial" w:hAnsi="Arial"/>
                <w:sz w:val="18"/>
                <w:szCs w:val="18"/>
                <w:color w:val="auto"/>
              </w:rPr>
              <w:t>Exchange rate (S/. per 1 U.S. Dollar)</w:t>
            </w:r>
          </w:p>
        </w:tc>
        <w:tc>
          <w:tcPr>
            <w:tcW w:w="2000" w:type="dxa"/>
            <w:vAlign w:val="bottom"/>
          </w:tcPr>
          <w:p>
            <w:pPr>
              <w:jc w:val="right"/>
              <w:ind w:right="72"/>
              <w:spacing w:after="0"/>
              <w:rPr>
                <w:sz w:val="20"/>
                <w:szCs w:val="20"/>
                <w:color w:val="auto"/>
              </w:rPr>
            </w:pPr>
            <w:r>
              <w:rPr>
                <w:rFonts w:ascii="Arial" w:cs="Arial" w:eastAsia="Arial" w:hAnsi="Arial"/>
                <w:sz w:val="18"/>
                <w:szCs w:val="18"/>
                <w:color w:val="auto"/>
              </w:rPr>
              <w:t>3.51</w:t>
            </w:r>
          </w:p>
        </w:tc>
        <w:tc>
          <w:tcPr>
            <w:tcW w:w="1320" w:type="dxa"/>
            <w:vAlign w:val="bottom"/>
          </w:tcPr>
          <w:p>
            <w:pPr>
              <w:jc w:val="right"/>
              <w:ind w:right="132"/>
              <w:spacing w:after="0"/>
              <w:rPr>
                <w:sz w:val="20"/>
                <w:szCs w:val="20"/>
                <w:color w:val="auto"/>
              </w:rPr>
            </w:pPr>
            <w:r>
              <w:rPr>
                <w:rFonts w:ascii="Arial" w:cs="Arial" w:eastAsia="Arial" w:hAnsi="Arial"/>
                <w:sz w:val="18"/>
                <w:szCs w:val="18"/>
                <w:color w:val="auto"/>
              </w:rPr>
              <w:t>3.47</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3.47</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3.51</w:t>
            </w:r>
          </w:p>
        </w:tc>
        <w:tc>
          <w:tcPr>
            <w:tcW w:w="1100" w:type="dxa"/>
            <w:vAlign w:val="bottom"/>
          </w:tcPr>
          <w:p>
            <w:pPr>
              <w:jc w:val="right"/>
              <w:spacing w:after="0"/>
              <w:rPr>
                <w:sz w:val="20"/>
                <w:szCs w:val="20"/>
                <w:color w:val="auto"/>
              </w:rPr>
            </w:pPr>
            <w:r>
              <w:rPr>
                <w:rFonts w:ascii="Arial" w:cs="Arial" w:eastAsia="Arial" w:hAnsi="Arial"/>
                <w:sz w:val="18"/>
                <w:szCs w:val="18"/>
                <w:color w:val="auto"/>
              </w:rPr>
              <w:t>3.47</w:t>
            </w:r>
          </w:p>
        </w:tc>
      </w:tr>
      <w:tr>
        <w:trPr>
          <w:trHeight w:val="110"/>
        </w:trPr>
        <w:tc>
          <w:tcPr>
            <w:tcW w:w="9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(1)Shares outstanding of 1,202 million is used for all periods since shares have been issued only for capitalization of profits and inflation adjustment.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(2)Ratios are annualized.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(3)Averages are determined as the average of period-beginning and period-ending balances.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(4)Total income includes net interest income and other income.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(5)Operating expense does not include mandatory employee profit sharing expense nor provisions for other assets received in lieu of loan repayment.</w:t>
      </w:r>
    </w:p>
    <w:p>
      <w:pPr>
        <w:sectPr>
          <w:pgSz w:w="11900" w:h="16838" w:orient="portrait"/>
          <w:cols w:equalWidth="0" w:num="1">
            <w:col w:w="11420"/>
          </w:cols>
          <w:pgMar w:left="240" w:top="131" w:right="23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18"/>
          <w:szCs w:val="18"/>
          <w:color w:val="auto"/>
        </w:rPr>
        <w:t>ATLANTIC SECURITY HOLDING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U.S. Dollars, except net income per share, and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400" w:type="dxa"/>
            <w:vAlign w:val="bottom"/>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40" w:type="dxa"/>
            <w:vAlign w:val="bottom"/>
          </w:tcPr>
          <w:p>
            <w:pPr>
              <w:spacing w:after="0"/>
              <w:rPr>
                <w:sz w:val="18"/>
                <w:szCs w:val="18"/>
                <w:color w:val="auto"/>
              </w:rPr>
            </w:pPr>
          </w:p>
        </w:tc>
        <w:tc>
          <w:tcPr>
            <w:tcW w:w="2140" w:type="dxa"/>
            <w:vAlign w:val="bottom"/>
            <w:gridSpan w:val="2"/>
          </w:tcPr>
          <w:p>
            <w:pPr>
              <w:jc w:val="right"/>
              <w:ind w:right="392"/>
              <w:spacing w:after="0"/>
              <w:rPr>
                <w:sz w:val="20"/>
                <w:szCs w:val="20"/>
                <w:color w:val="auto"/>
              </w:rPr>
            </w:pPr>
            <w:r>
              <w:rPr>
                <w:rFonts w:ascii="Arial" w:cs="Arial" w:eastAsia="Arial" w:hAnsi="Arial"/>
                <w:sz w:val="18"/>
                <w:szCs w:val="18"/>
                <w:b w:val="1"/>
                <w:bCs w:val="1"/>
                <w:color w:val="auto"/>
              </w:rPr>
              <w:t>Six months ended</w:t>
            </w:r>
          </w:p>
        </w:tc>
      </w:tr>
      <w:tr>
        <w:trPr>
          <w:trHeight w:val="228"/>
        </w:trPr>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160" w:type="dxa"/>
            <w:vAlign w:val="bottom"/>
          </w:tcPr>
          <w:p>
            <w:pPr>
              <w:jc w:val="right"/>
              <w:ind w:right="312"/>
              <w:spacing w:after="0"/>
              <w:rPr>
                <w:sz w:val="20"/>
                <w:szCs w:val="20"/>
                <w:color w:val="auto"/>
              </w:rPr>
            </w:pPr>
            <w:r>
              <w:rPr>
                <w:rFonts w:ascii="Arial" w:cs="Arial" w:eastAsia="Arial" w:hAnsi="Arial"/>
                <w:sz w:val="18"/>
                <w:szCs w:val="18"/>
                <w:b w:val="1"/>
                <w:bCs w:val="1"/>
                <w:color w:val="auto"/>
              </w:rPr>
              <w:t>30.06.02</w:t>
            </w:r>
          </w:p>
        </w:tc>
        <w:tc>
          <w:tcPr>
            <w:tcW w:w="1240" w:type="dxa"/>
            <w:vAlign w:val="bottom"/>
          </w:tcPr>
          <w:p>
            <w:pPr>
              <w:jc w:val="right"/>
              <w:ind w:right="392"/>
              <w:spacing w:after="0"/>
              <w:rPr>
                <w:sz w:val="20"/>
                <w:szCs w:val="20"/>
                <w:color w:val="auto"/>
              </w:rPr>
            </w:pPr>
            <w:r>
              <w:rPr>
                <w:rFonts w:ascii="Arial" w:cs="Arial" w:eastAsia="Arial" w:hAnsi="Arial"/>
                <w:sz w:val="18"/>
                <w:szCs w:val="18"/>
                <w:b w:val="1"/>
                <w:bCs w:val="1"/>
                <w:color w:val="auto"/>
              </w:rPr>
              <w:t>31.03.03</w:t>
            </w:r>
          </w:p>
        </w:tc>
        <w:tc>
          <w:tcPr>
            <w:tcW w:w="1040" w:type="dxa"/>
            <w:vAlign w:val="bottom"/>
          </w:tcPr>
          <w:p>
            <w:pPr>
              <w:jc w:val="right"/>
              <w:ind w:right="292"/>
              <w:spacing w:after="0"/>
              <w:rPr>
                <w:sz w:val="20"/>
                <w:szCs w:val="20"/>
                <w:color w:val="auto"/>
              </w:rPr>
            </w:pPr>
            <w:r>
              <w:rPr>
                <w:rFonts w:ascii="Arial" w:cs="Arial" w:eastAsia="Arial" w:hAnsi="Arial"/>
                <w:sz w:val="18"/>
                <w:szCs w:val="18"/>
                <w:b w:val="1"/>
                <w:bCs w:val="1"/>
                <w:color w:val="auto"/>
                <w:w w:val="91"/>
              </w:rPr>
              <w:t>30.06.03</w:t>
            </w:r>
          </w:p>
        </w:tc>
        <w:tc>
          <w:tcPr>
            <w:tcW w:w="1140" w:type="dxa"/>
            <w:vAlign w:val="bottom"/>
          </w:tcPr>
          <w:p>
            <w:pPr>
              <w:jc w:val="right"/>
              <w:ind w:right="312"/>
              <w:spacing w:after="0"/>
              <w:rPr>
                <w:sz w:val="20"/>
                <w:szCs w:val="20"/>
                <w:color w:val="auto"/>
              </w:rPr>
            </w:pPr>
            <w:r>
              <w:rPr>
                <w:rFonts w:ascii="Arial" w:cs="Arial" w:eastAsia="Arial" w:hAnsi="Arial"/>
                <w:sz w:val="18"/>
                <w:szCs w:val="18"/>
                <w:b w:val="1"/>
                <w:bCs w:val="1"/>
                <w:color w:val="auto"/>
              </w:rPr>
              <w:t>30.06.02</w:t>
            </w: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rPr>
              <w:t>30.06.03</w:t>
            </w:r>
          </w:p>
        </w:tc>
      </w:tr>
      <w:tr>
        <w:trPr>
          <w:trHeight w:val="110"/>
        </w:trPr>
        <w:tc>
          <w:tcPr>
            <w:tcW w:w="5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r>
        <w:trPr>
          <w:trHeight w:val="277"/>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2"/>
              </w:rPr>
              <w:t>Results</w:t>
            </w:r>
          </w:p>
        </w:tc>
        <w:tc>
          <w:tcPr>
            <w:tcW w:w="4280" w:type="dxa"/>
            <w:vAlign w:val="bottom"/>
            <w:gridSpan w:val="3"/>
          </w:tcPr>
          <w:p>
            <w:pPr>
              <w:spacing w:after="0"/>
              <w:rPr>
                <w:sz w:val="24"/>
                <w:szCs w:val="24"/>
                <w:color w:val="auto"/>
              </w:rPr>
            </w:pPr>
          </w:p>
        </w:tc>
        <w:tc>
          <w:tcPr>
            <w:tcW w:w="2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8"/>
        </w:trPr>
        <w:tc>
          <w:tcPr>
            <w:tcW w:w="4840" w:type="dxa"/>
            <w:vAlign w:val="bottom"/>
            <w:gridSpan w:val="4"/>
          </w:tcPr>
          <w:p>
            <w:pPr>
              <w:spacing w:after="0"/>
              <w:rPr>
                <w:sz w:val="20"/>
                <w:szCs w:val="20"/>
                <w:color w:val="auto"/>
              </w:rPr>
            </w:pPr>
            <w:r>
              <w:rPr>
                <w:rFonts w:ascii="Arial" w:cs="Arial" w:eastAsia="Arial" w:hAnsi="Arial"/>
                <w:sz w:val="18"/>
                <w:szCs w:val="18"/>
                <w:color w:val="auto"/>
              </w:rPr>
              <w:t>Net Interest Income (w/o dividends)</w:t>
            </w:r>
          </w:p>
        </w:tc>
        <w:tc>
          <w:tcPr>
            <w:tcW w:w="2160" w:type="dxa"/>
            <w:vAlign w:val="bottom"/>
          </w:tcPr>
          <w:p>
            <w:pPr>
              <w:jc w:val="right"/>
              <w:ind w:right="92"/>
              <w:spacing w:after="0"/>
              <w:rPr>
                <w:sz w:val="20"/>
                <w:szCs w:val="20"/>
                <w:color w:val="auto"/>
              </w:rPr>
            </w:pPr>
            <w:r>
              <w:rPr>
                <w:rFonts w:ascii="Arial" w:cs="Arial" w:eastAsia="Arial" w:hAnsi="Arial"/>
                <w:sz w:val="18"/>
                <w:szCs w:val="18"/>
                <w:color w:val="auto"/>
              </w:rPr>
              <w:t>4,648</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3,974</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3,669</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9,207</w:t>
            </w:r>
          </w:p>
        </w:tc>
        <w:tc>
          <w:tcPr>
            <w:tcW w:w="1000" w:type="dxa"/>
            <w:vAlign w:val="bottom"/>
          </w:tcPr>
          <w:p>
            <w:pPr>
              <w:jc w:val="right"/>
              <w:spacing w:after="0"/>
              <w:rPr>
                <w:sz w:val="20"/>
                <w:szCs w:val="20"/>
                <w:color w:val="auto"/>
              </w:rPr>
            </w:pPr>
            <w:r>
              <w:rPr>
                <w:rFonts w:ascii="Arial" w:cs="Arial" w:eastAsia="Arial" w:hAnsi="Arial"/>
                <w:sz w:val="18"/>
                <w:szCs w:val="18"/>
                <w:color w:val="auto"/>
              </w:rPr>
              <w:t>7,643</w:t>
            </w: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Dividend income</w:t>
            </w:r>
          </w:p>
        </w:tc>
        <w:tc>
          <w:tcPr>
            <w:tcW w:w="2160" w:type="dxa"/>
            <w:vAlign w:val="bottom"/>
          </w:tcPr>
          <w:p>
            <w:pPr>
              <w:jc w:val="right"/>
              <w:ind w:right="92"/>
              <w:spacing w:after="0"/>
              <w:rPr>
                <w:sz w:val="20"/>
                <w:szCs w:val="20"/>
                <w:color w:val="auto"/>
              </w:rPr>
            </w:pPr>
            <w:r>
              <w:rPr>
                <w:rFonts w:ascii="Arial" w:cs="Arial" w:eastAsia="Arial" w:hAnsi="Arial"/>
                <w:sz w:val="18"/>
                <w:szCs w:val="18"/>
                <w:color w:val="auto"/>
              </w:rPr>
              <w:t>2,099</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3,119</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97</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4,352</w:t>
            </w:r>
          </w:p>
        </w:tc>
        <w:tc>
          <w:tcPr>
            <w:tcW w:w="1000" w:type="dxa"/>
            <w:vAlign w:val="bottom"/>
          </w:tcPr>
          <w:p>
            <w:pPr>
              <w:jc w:val="right"/>
              <w:spacing w:after="0"/>
              <w:rPr>
                <w:sz w:val="20"/>
                <w:szCs w:val="20"/>
                <w:color w:val="auto"/>
              </w:rPr>
            </w:pPr>
            <w:r>
              <w:rPr>
                <w:rFonts w:ascii="Arial" w:cs="Arial" w:eastAsia="Arial" w:hAnsi="Arial"/>
                <w:sz w:val="18"/>
                <w:szCs w:val="18"/>
                <w:color w:val="auto"/>
              </w:rPr>
              <w:t>3,216</w:t>
            </w: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Provisions for credit and market risks</w:t>
            </w:r>
          </w:p>
        </w:tc>
        <w:tc>
          <w:tcPr>
            <w:tcW w:w="2160" w:type="dxa"/>
            <w:vAlign w:val="bottom"/>
          </w:tcPr>
          <w:p>
            <w:pPr>
              <w:jc w:val="right"/>
              <w:ind w:right="92"/>
              <w:spacing w:after="0"/>
              <w:rPr>
                <w:sz w:val="20"/>
                <w:szCs w:val="20"/>
                <w:color w:val="auto"/>
              </w:rPr>
            </w:pPr>
            <w:r>
              <w:rPr>
                <w:rFonts w:ascii="Arial" w:cs="Arial" w:eastAsia="Arial" w:hAnsi="Arial"/>
                <w:sz w:val="18"/>
                <w:szCs w:val="18"/>
                <w:color w:val="auto"/>
              </w:rPr>
              <w:t>898</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4,247</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4,459</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5,120</w:t>
            </w:r>
          </w:p>
        </w:tc>
        <w:tc>
          <w:tcPr>
            <w:tcW w:w="1000" w:type="dxa"/>
            <w:vAlign w:val="bottom"/>
          </w:tcPr>
          <w:p>
            <w:pPr>
              <w:jc w:val="right"/>
              <w:spacing w:after="0"/>
              <w:rPr>
                <w:sz w:val="20"/>
                <w:szCs w:val="20"/>
                <w:color w:val="auto"/>
              </w:rPr>
            </w:pPr>
            <w:r>
              <w:rPr>
                <w:rFonts w:ascii="Arial" w:cs="Arial" w:eastAsia="Arial" w:hAnsi="Arial"/>
                <w:sz w:val="18"/>
                <w:szCs w:val="18"/>
                <w:color w:val="auto"/>
              </w:rPr>
              <w:t>8,706</w:t>
            </w: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Commissions and fee income</w:t>
            </w:r>
          </w:p>
        </w:tc>
        <w:tc>
          <w:tcPr>
            <w:tcW w:w="2160" w:type="dxa"/>
            <w:vAlign w:val="bottom"/>
          </w:tcPr>
          <w:p>
            <w:pPr>
              <w:jc w:val="right"/>
              <w:ind w:right="92"/>
              <w:spacing w:after="0"/>
              <w:rPr>
                <w:sz w:val="20"/>
                <w:szCs w:val="20"/>
                <w:color w:val="auto"/>
              </w:rPr>
            </w:pPr>
            <w:r>
              <w:rPr>
                <w:rFonts w:ascii="Arial" w:cs="Arial" w:eastAsia="Arial" w:hAnsi="Arial"/>
                <w:sz w:val="18"/>
                <w:szCs w:val="18"/>
                <w:color w:val="auto"/>
              </w:rPr>
              <w:t>1,540</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957</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845</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3,054</w:t>
            </w:r>
          </w:p>
        </w:tc>
        <w:tc>
          <w:tcPr>
            <w:tcW w:w="1000" w:type="dxa"/>
            <w:vAlign w:val="bottom"/>
          </w:tcPr>
          <w:p>
            <w:pPr>
              <w:jc w:val="right"/>
              <w:spacing w:after="0"/>
              <w:rPr>
                <w:sz w:val="20"/>
                <w:szCs w:val="20"/>
                <w:color w:val="auto"/>
              </w:rPr>
            </w:pPr>
            <w:r>
              <w:rPr>
                <w:rFonts w:ascii="Arial" w:cs="Arial" w:eastAsia="Arial" w:hAnsi="Arial"/>
                <w:sz w:val="18"/>
                <w:szCs w:val="18"/>
                <w:color w:val="auto"/>
              </w:rPr>
              <w:t>1,802</w:t>
            </w: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Other Income(1)</w:t>
            </w:r>
          </w:p>
        </w:tc>
        <w:tc>
          <w:tcPr>
            <w:tcW w:w="2160" w:type="dxa"/>
            <w:vAlign w:val="bottom"/>
          </w:tcPr>
          <w:p>
            <w:pPr>
              <w:jc w:val="right"/>
              <w:ind w:right="52"/>
              <w:spacing w:after="0"/>
              <w:rPr>
                <w:sz w:val="20"/>
                <w:szCs w:val="20"/>
                <w:color w:val="auto"/>
              </w:rPr>
            </w:pPr>
            <w:r>
              <w:rPr>
                <w:rFonts w:ascii="Arial" w:cs="Arial" w:eastAsia="Arial" w:hAnsi="Arial"/>
                <w:sz w:val="18"/>
                <w:szCs w:val="18"/>
                <w:color w:val="auto"/>
              </w:rPr>
              <w:t>(2,869)</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1,451</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3,066</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(1,120)</w:t>
            </w:r>
          </w:p>
        </w:tc>
        <w:tc>
          <w:tcPr>
            <w:tcW w:w="1000" w:type="dxa"/>
            <w:vAlign w:val="bottom"/>
          </w:tcPr>
          <w:p>
            <w:pPr>
              <w:jc w:val="right"/>
              <w:spacing w:after="0"/>
              <w:rPr>
                <w:sz w:val="20"/>
                <w:szCs w:val="20"/>
                <w:color w:val="auto"/>
              </w:rPr>
            </w:pPr>
            <w:r>
              <w:rPr>
                <w:rFonts w:ascii="Arial" w:cs="Arial" w:eastAsia="Arial" w:hAnsi="Arial"/>
                <w:sz w:val="18"/>
                <w:szCs w:val="18"/>
                <w:color w:val="auto"/>
              </w:rPr>
              <w:t>4,518</w:t>
            </w: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Operating Expense</w:t>
            </w:r>
          </w:p>
        </w:tc>
        <w:tc>
          <w:tcPr>
            <w:tcW w:w="2160" w:type="dxa"/>
            <w:vAlign w:val="bottom"/>
          </w:tcPr>
          <w:p>
            <w:pPr>
              <w:jc w:val="right"/>
              <w:ind w:right="92"/>
              <w:spacing w:after="0"/>
              <w:rPr>
                <w:sz w:val="20"/>
                <w:szCs w:val="20"/>
                <w:color w:val="auto"/>
              </w:rPr>
            </w:pPr>
            <w:r>
              <w:rPr>
                <w:rFonts w:ascii="Arial" w:cs="Arial" w:eastAsia="Arial" w:hAnsi="Arial"/>
                <w:sz w:val="18"/>
                <w:szCs w:val="18"/>
                <w:color w:val="auto"/>
              </w:rPr>
              <w:t>2,388</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1,494</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1,606</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4,833</w:t>
            </w:r>
          </w:p>
        </w:tc>
        <w:tc>
          <w:tcPr>
            <w:tcW w:w="1000" w:type="dxa"/>
            <w:vAlign w:val="bottom"/>
          </w:tcPr>
          <w:p>
            <w:pPr>
              <w:jc w:val="right"/>
              <w:spacing w:after="0"/>
              <w:rPr>
                <w:sz w:val="20"/>
                <w:szCs w:val="20"/>
                <w:color w:val="auto"/>
              </w:rPr>
            </w:pPr>
            <w:r>
              <w:rPr>
                <w:rFonts w:ascii="Arial" w:cs="Arial" w:eastAsia="Arial" w:hAnsi="Arial"/>
                <w:sz w:val="18"/>
                <w:szCs w:val="18"/>
                <w:color w:val="auto"/>
              </w:rPr>
              <w:t>3,100</w:t>
            </w: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2160" w:type="dxa"/>
            <w:vAlign w:val="bottom"/>
          </w:tcPr>
          <w:p>
            <w:pPr>
              <w:jc w:val="right"/>
              <w:ind w:right="92"/>
              <w:spacing w:after="0"/>
              <w:rPr>
                <w:sz w:val="20"/>
                <w:szCs w:val="20"/>
                <w:color w:val="auto"/>
              </w:rPr>
            </w:pPr>
            <w:r>
              <w:rPr>
                <w:rFonts w:ascii="Arial" w:cs="Arial" w:eastAsia="Arial" w:hAnsi="Arial"/>
                <w:sz w:val="18"/>
                <w:szCs w:val="18"/>
                <w:color w:val="auto"/>
              </w:rPr>
              <w:t>2,132</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3,761</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1,613</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5,541</w:t>
            </w:r>
          </w:p>
        </w:tc>
        <w:tc>
          <w:tcPr>
            <w:tcW w:w="1000" w:type="dxa"/>
            <w:vAlign w:val="bottom"/>
          </w:tcPr>
          <w:p>
            <w:pPr>
              <w:jc w:val="right"/>
              <w:spacing w:after="0"/>
              <w:rPr>
                <w:sz w:val="20"/>
                <w:szCs w:val="20"/>
                <w:color w:val="auto"/>
              </w:rPr>
            </w:pPr>
            <w:r>
              <w:rPr>
                <w:rFonts w:ascii="Arial" w:cs="Arial" w:eastAsia="Arial" w:hAnsi="Arial"/>
                <w:sz w:val="18"/>
                <w:szCs w:val="18"/>
                <w:color w:val="auto"/>
              </w:rPr>
              <w:t>5,374</w:t>
            </w:r>
          </w:p>
        </w:tc>
      </w:tr>
      <w:tr>
        <w:trPr>
          <w:trHeight w:val="222"/>
        </w:trPr>
        <w:tc>
          <w:tcPr>
            <w:tcW w:w="4840" w:type="dxa"/>
            <w:vAlign w:val="bottom"/>
            <w:gridSpan w:val="4"/>
          </w:tcPr>
          <w:p>
            <w:pPr>
              <w:spacing w:after="0"/>
              <w:rPr>
                <w:sz w:val="20"/>
                <w:szCs w:val="20"/>
                <w:color w:val="auto"/>
              </w:rPr>
            </w:pPr>
            <w:r>
              <w:rPr>
                <w:rFonts w:ascii="Arial" w:cs="Arial" w:eastAsia="Arial" w:hAnsi="Arial"/>
                <w:sz w:val="18"/>
                <w:szCs w:val="18"/>
                <w:color w:val="auto"/>
              </w:rPr>
              <w:t>Net Income per share (US$)</w:t>
            </w:r>
          </w:p>
        </w:tc>
        <w:tc>
          <w:tcPr>
            <w:tcW w:w="2160" w:type="dxa"/>
            <w:vAlign w:val="bottom"/>
          </w:tcPr>
          <w:p>
            <w:pPr>
              <w:jc w:val="right"/>
              <w:ind w:right="52"/>
              <w:spacing w:after="0"/>
              <w:rPr>
                <w:sz w:val="20"/>
                <w:szCs w:val="20"/>
                <w:color w:val="auto"/>
              </w:rPr>
            </w:pPr>
            <w:r>
              <w:rPr>
                <w:rFonts w:ascii="Arial" w:cs="Arial" w:eastAsia="Arial" w:hAnsi="Arial"/>
                <w:sz w:val="18"/>
                <w:szCs w:val="18"/>
                <w:color w:val="auto"/>
              </w:rPr>
              <w:t>0.05</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0.09</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0.04</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0.14</w:t>
            </w:r>
          </w:p>
        </w:tc>
        <w:tc>
          <w:tcPr>
            <w:tcW w:w="100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421"/>
        </w:trPr>
        <w:tc>
          <w:tcPr>
            <w:tcW w:w="4840" w:type="dxa"/>
            <w:vAlign w:val="bottom"/>
            <w:gridSpan w:val="4"/>
          </w:tcPr>
          <w:p>
            <w:pPr>
              <w:spacing w:after="0"/>
              <w:rPr>
                <w:sz w:val="20"/>
                <w:szCs w:val="20"/>
                <w:color w:val="auto"/>
              </w:rPr>
            </w:pPr>
            <w:r>
              <w:rPr>
                <w:rFonts w:ascii="Arial" w:cs="Arial" w:eastAsia="Arial" w:hAnsi="Arial"/>
                <w:sz w:val="18"/>
                <w:szCs w:val="18"/>
                <w:b w:val="1"/>
                <w:bCs w:val="1"/>
                <w:color w:val="auto"/>
              </w:rPr>
              <w:t>Balance Sheets (end of period)</w:t>
            </w:r>
          </w:p>
        </w:tc>
        <w:tc>
          <w:tcPr>
            <w:tcW w:w="2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8"/>
        </w:trPr>
        <w:tc>
          <w:tcPr>
            <w:tcW w:w="22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Total Assets</w:t>
            </w:r>
          </w:p>
        </w:tc>
        <w:tc>
          <w:tcPr>
            <w:tcW w:w="2560" w:type="dxa"/>
            <w:vAlign w:val="bottom"/>
          </w:tcPr>
          <w:p>
            <w:pPr>
              <w:spacing w:after="0"/>
              <w:rPr>
                <w:sz w:val="19"/>
                <w:szCs w:val="19"/>
                <w:color w:val="auto"/>
              </w:rPr>
            </w:pPr>
          </w:p>
        </w:tc>
        <w:tc>
          <w:tcPr>
            <w:tcW w:w="2160" w:type="dxa"/>
            <w:vAlign w:val="bottom"/>
          </w:tcPr>
          <w:p>
            <w:pPr>
              <w:jc w:val="right"/>
              <w:ind w:right="92"/>
              <w:spacing w:after="0"/>
              <w:rPr>
                <w:sz w:val="20"/>
                <w:szCs w:val="20"/>
                <w:color w:val="auto"/>
              </w:rPr>
            </w:pPr>
            <w:r>
              <w:rPr>
                <w:rFonts w:ascii="Arial" w:cs="Arial" w:eastAsia="Arial" w:hAnsi="Arial"/>
                <w:sz w:val="18"/>
                <w:szCs w:val="18"/>
                <w:color w:val="auto"/>
              </w:rPr>
              <w:t>632,867</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705,125</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725,774</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632,867</w:t>
            </w:r>
          </w:p>
        </w:tc>
        <w:tc>
          <w:tcPr>
            <w:tcW w:w="1000" w:type="dxa"/>
            <w:vAlign w:val="bottom"/>
          </w:tcPr>
          <w:p>
            <w:pPr>
              <w:jc w:val="right"/>
              <w:spacing w:after="0"/>
              <w:rPr>
                <w:sz w:val="20"/>
                <w:szCs w:val="20"/>
                <w:color w:val="auto"/>
              </w:rPr>
            </w:pPr>
            <w:r>
              <w:rPr>
                <w:rFonts w:ascii="Arial" w:cs="Arial" w:eastAsia="Arial" w:hAnsi="Arial"/>
                <w:sz w:val="18"/>
                <w:szCs w:val="18"/>
                <w:color w:val="auto"/>
              </w:rPr>
              <w:t>725,774</w:t>
            </w: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Loan portfolio, net</w:t>
            </w:r>
          </w:p>
        </w:tc>
        <w:tc>
          <w:tcPr>
            <w:tcW w:w="2160" w:type="dxa"/>
            <w:vAlign w:val="bottom"/>
          </w:tcPr>
          <w:p>
            <w:pPr>
              <w:jc w:val="right"/>
              <w:ind w:right="92"/>
              <w:spacing w:after="0"/>
              <w:rPr>
                <w:sz w:val="20"/>
                <w:szCs w:val="20"/>
                <w:color w:val="auto"/>
              </w:rPr>
            </w:pPr>
            <w:r>
              <w:rPr>
                <w:rFonts w:ascii="Arial" w:cs="Arial" w:eastAsia="Arial" w:hAnsi="Arial"/>
                <w:sz w:val="18"/>
                <w:szCs w:val="18"/>
                <w:color w:val="auto"/>
              </w:rPr>
              <w:t>167,235</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155,997</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156,683</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167,235</w:t>
            </w:r>
          </w:p>
        </w:tc>
        <w:tc>
          <w:tcPr>
            <w:tcW w:w="1000" w:type="dxa"/>
            <w:vAlign w:val="bottom"/>
          </w:tcPr>
          <w:p>
            <w:pPr>
              <w:jc w:val="right"/>
              <w:spacing w:after="0"/>
              <w:rPr>
                <w:sz w:val="20"/>
                <w:szCs w:val="20"/>
                <w:color w:val="auto"/>
              </w:rPr>
            </w:pPr>
            <w:r>
              <w:rPr>
                <w:rFonts w:ascii="Arial" w:cs="Arial" w:eastAsia="Arial" w:hAnsi="Arial"/>
                <w:sz w:val="18"/>
                <w:szCs w:val="18"/>
                <w:color w:val="auto"/>
              </w:rPr>
              <w:t>156,683</w:t>
            </w: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Marketable securities and investments</w:t>
            </w:r>
          </w:p>
        </w:tc>
        <w:tc>
          <w:tcPr>
            <w:tcW w:w="2160" w:type="dxa"/>
            <w:vAlign w:val="bottom"/>
          </w:tcPr>
          <w:p>
            <w:pPr>
              <w:jc w:val="right"/>
              <w:ind w:right="92"/>
              <w:spacing w:after="0"/>
              <w:rPr>
                <w:sz w:val="20"/>
                <w:szCs w:val="20"/>
                <w:color w:val="auto"/>
              </w:rPr>
            </w:pPr>
            <w:r>
              <w:rPr>
                <w:rFonts w:ascii="Arial" w:cs="Arial" w:eastAsia="Arial" w:hAnsi="Arial"/>
                <w:sz w:val="18"/>
                <w:szCs w:val="18"/>
                <w:color w:val="auto"/>
              </w:rPr>
              <w:t>312,297</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327,636</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359,762</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312,297</w:t>
            </w:r>
          </w:p>
        </w:tc>
        <w:tc>
          <w:tcPr>
            <w:tcW w:w="1000" w:type="dxa"/>
            <w:vAlign w:val="bottom"/>
          </w:tcPr>
          <w:p>
            <w:pPr>
              <w:jc w:val="right"/>
              <w:spacing w:after="0"/>
              <w:rPr>
                <w:sz w:val="20"/>
                <w:szCs w:val="20"/>
                <w:color w:val="auto"/>
              </w:rPr>
            </w:pPr>
            <w:r>
              <w:rPr>
                <w:rFonts w:ascii="Arial" w:cs="Arial" w:eastAsia="Arial" w:hAnsi="Arial"/>
                <w:sz w:val="18"/>
                <w:szCs w:val="18"/>
                <w:color w:val="auto"/>
              </w:rPr>
              <w:t>359,762</w:t>
            </w: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Total Deposits</w:t>
            </w:r>
          </w:p>
        </w:tc>
        <w:tc>
          <w:tcPr>
            <w:tcW w:w="2160" w:type="dxa"/>
            <w:vAlign w:val="bottom"/>
          </w:tcPr>
          <w:p>
            <w:pPr>
              <w:jc w:val="right"/>
              <w:ind w:right="92"/>
              <w:spacing w:after="0"/>
              <w:rPr>
                <w:sz w:val="20"/>
                <w:szCs w:val="20"/>
                <w:color w:val="auto"/>
              </w:rPr>
            </w:pPr>
            <w:r>
              <w:rPr>
                <w:rFonts w:ascii="Arial" w:cs="Arial" w:eastAsia="Arial" w:hAnsi="Arial"/>
                <w:sz w:val="18"/>
                <w:szCs w:val="18"/>
                <w:color w:val="auto"/>
              </w:rPr>
              <w:t>503,509</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573,046</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583,679</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503,509</w:t>
            </w:r>
          </w:p>
        </w:tc>
        <w:tc>
          <w:tcPr>
            <w:tcW w:w="1000" w:type="dxa"/>
            <w:vAlign w:val="bottom"/>
          </w:tcPr>
          <w:p>
            <w:pPr>
              <w:jc w:val="right"/>
              <w:spacing w:after="0"/>
              <w:rPr>
                <w:sz w:val="20"/>
                <w:szCs w:val="20"/>
                <w:color w:val="auto"/>
              </w:rPr>
            </w:pPr>
            <w:r>
              <w:rPr>
                <w:rFonts w:ascii="Arial" w:cs="Arial" w:eastAsia="Arial" w:hAnsi="Arial"/>
                <w:sz w:val="18"/>
                <w:szCs w:val="18"/>
                <w:color w:val="auto"/>
              </w:rPr>
              <w:t>583,679</w:t>
            </w: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Shareholders' equity</w:t>
            </w:r>
          </w:p>
        </w:tc>
        <w:tc>
          <w:tcPr>
            <w:tcW w:w="2160" w:type="dxa"/>
            <w:vAlign w:val="bottom"/>
          </w:tcPr>
          <w:p>
            <w:pPr>
              <w:jc w:val="right"/>
              <w:ind w:right="92"/>
              <w:spacing w:after="0"/>
              <w:rPr>
                <w:sz w:val="20"/>
                <w:szCs w:val="20"/>
                <w:color w:val="auto"/>
              </w:rPr>
            </w:pPr>
            <w:r>
              <w:rPr>
                <w:rFonts w:ascii="Arial" w:cs="Arial" w:eastAsia="Arial" w:hAnsi="Arial"/>
                <w:sz w:val="18"/>
                <w:szCs w:val="18"/>
                <w:color w:val="auto"/>
              </w:rPr>
              <w:t>104,655</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119,282</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128,687</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104,655</w:t>
            </w:r>
          </w:p>
        </w:tc>
        <w:tc>
          <w:tcPr>
            <w:tcW w:w="1000" w:type="dxa"/>
            <w:vAlign w:val="bottom"/>
          </w:tcPr>
          <w:p>
            <w:pPr>
              <w:jc w:val="right"/>
              <w:spacing w:after="0"/>
              <w:rPr>
                <w:sz w:val="20"/>
                <w:szCs w:val="20"/>
                <w:color w:val="auto"/>
              </w:rPr>
            </w:pPr>
            <w:r>
              <w:rPr>
                <w:rFonts w:ascii="Arial" w:cs="Arial" w:eastAsia="Arial" w:hAnsi="Arial"/>
                <w:sz w:val="18"/>
                <w:szCs w:val="18"/>
                <w:color w:val="auto"/>
              </w:rPr>
              <w:t>128,687</w:t>
            </w:r>
          </w:p>
        </w:tc>
      </w:tr>
      <w:tr>
        <w:trPr>
          <w:trHeight w:val="222"/>
        </w:trPr>
        <w:tc>
          <w:tcPr>
            <w:tcW w:w="4840" w:type="dxa"/>
            <w:vAlign w:val="bottom"/>
            <w:gridSpan w:val="4"/>
          </w:tcPr>
          <w:p>
            <w:pPr>
              <w:spacing w:after="0"/>
              <w:rPr>
                <w:sz w:val="20"/>
                <w:szCs w:val="20"/>
                <w:color w:val="auto"/>
              </w:rPr>
            </w:pPr>
            <w:r>
              <w:rPr>
                <w:rFonts w:ascii="Arial" w:cs="Arial" w:eastAsia="Arial" w:hAnsi="Arial"/>
                <w:sz w:val="18"/>
                <w:szCs w:val="18"/>
                <w:color w:val="auto"/>
              </w:rPr>
              <w:t>Funds under administration</w:t>
            </w:r>
          </w:p>
        </w:tc>
        <w:tc>
          <w:tcPr>
            <w:tcW w:w="2160" w:type="dxa"/>
            <w:vAlign w:val="bottom"/>
          </w:tcPr>
          <w:p>
            <w:pPr>
              <w:jc w:val="right"/>
              <w:ind w:right="92"/>
              <w:spacing w:after="0"/>
              <w:rPr>
                <w:sz w:val="20"/>
                <w:szCs w:val="20"/>
                <w:color w:val="auto"/>
              </w:rPr>
            </w:pPr>
            <w:r>
              <w:rPr>
                <w:rFonts w:ascii="Arial" w:cs="Arial" w:eastAsia="Arial" w:hAnsi="Arial"/>
                <w:sz w:val="18"/>
                <w:szCs w:val="18"/>
                <w:color w:val="auto"/>
              </w:rPr>
              <w:t>502,308</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542,156</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560,491</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502,308</w:t>
            </w:r>
          </w:p>
        </w:tc>
        <w:tc>
          <w:tcPr>
            <w:tcW w:w="1000" w:type="dxa"/>
            <w:vAlign w:val="bottom"/>
          </w:tcPr>
          <w:p>
            <w:pPr>
              <w:jc w:val="right"/>
              <w:spacing w:after="0"/>
              <w:rPr>
                <w:sz w:val="20"/>
                <w:szCs w:val="20"/>
                <w:color w:val="auto"/>
              </w:rPr>
            </w:pPr>
            <w:r>
              <w:rPr>
                <w:rFonts w:ascii="Arial" w:cs="Arial" w:eastAsia="Arial" w:hAnsi="Arial"/>
                <w:sz w:val="18"/>
                <w:szCs w:val="18"/>
                <w:color w:val="auto"/>
              </w:rPr>
              <w:t>560,491</w:t>
            </w:r>
          </w:p>
        </w:tc>
      </w:tr>
      <w:tr>
        <w:trPr>
          <w:trHeight w:val="421"/>
        </w:trPr>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Ratios (2)</w:t>
            </w:r>
          </w:p>
        </w:tc>
        <w:tc>
          <w:tcPr>
            <w:tcW w:w="4100" w:type="dxa"/>
            <w:vAlign w:val="bottom"/>
            <w:gridSpan w:val="2"/>
          </w:tcPr>
          <w:p>
            <w:pPr>
              <w:spacing w:after="0"/>
              <w:rPr>
                <w:sz w:val="24"/>
                <w:szCs w:val="24"/>
                <w:color w:val="auto"/>
              </w:rPr>
            </w:pPr>
          </w:p>
        </w:tc>
        <w:tc>
          <w:tcPr>
            <w:tcW w:w="2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8"/>
        </w:trPr>
        <w:tc>
          <w:tcPr>
            <w:tcW w:w="4840" w:type="dxa"/>
            <w:vAlign w:val="bottom"/>
            <w:gridSpan w:val="4"/>
          </w:tcPr>
          <w:p>
            <w:pPr>
              <w:spacing w:after="0"/>
              <w:rPr>
                <w:sz w:val="20"/>
                <w:szCs w:val="20"/>
                <w:color w:val="auto"/>
              </w:rPr>
            </w:pPr>
            <w:r>
              <w:rPr>
                <w:rFonts w:ascii="Arial" w:cs="Arial" w:eastAsia="Arial" w:hAnsi="Arial"/>
                <w:sz w:val="18"/>
                <w:szCs w:val="18"/>
                <w:color w:val="auto"/>
              </w:rPr>
              <w:t>Net interest margin / interest earning assets (3)(4)(5)</w:t>
            </w:r>
          </w:p>
        </w:tc>
        <w:tc>
          <w:tcPr>
            <w:tcW w:w="216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Return on average stockholders' equity(4)</w:t>
            </w:r>
          </w:p>
        </w:tc>
        <w:tc>
          <w:tcPr>
            <w:tcW w:w="2160" w:type="dxa"/>
            <w:vAlign w:val="bottom"/>
          </w:tcPr>
          <w:p>
            <w:pPr>
              <w:jc w:val="right"/>
              <w:ind w:right="52"/>
              <w:spacing w:after="0"/>
              <w:rPr>
                <w:sz w:val="20"/>
                <w:szCs w:val="20"/>
                <w:color w:val="auto"/>
              </w:rPr>
            </w:pPr>
            <w:r>
              <w:rPr>
                <w:rFonts w:ascii="Arial" w:cs="Arial" w:eastAsia="Arial" w:hAnsi="Arial"/>
                <w:sz w:val="18"/>
                <w:szCs w:val="18"/>
                <w:color w:val="auto"/>
              </w:rPr>
              <w:t>7.9%</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13.1%</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9.5%</w:t>
            </w: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Return on average total assets(4)</w:t>
            </w:r>
          </w:p>
        </w:tc>
        <w:tc>
          <w:tcPr>
            <w:tcW w:w="216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1.7%</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Past due loans as a percentage of total loans</w:t>
            </w:r>
          </w:p>
        </w:tc>
        <w:tc>
          <w:tcPr>
            <w:tcW w:w="2160" w:type="dxa"/>
            <w:vAlign w:val="bottom"/>
          </w:tcPr>
          <w:p>
            <w:pPr>
              <w:jc w:val="right"/>
              <w:ind w:right="52"/>
              <w:spacing w:after="0"/>
              <w:rPr>
                <w:sz w:val="20"/>
                <w:szCs w:val="20"/>
                <w:color w:val="auto"/>
              </w:rPr>
            </w:pPr>
            <w:r>
              <w:rPr>
                <w:rFonts w:ascii="Arial" w:cs="Arial" w:eastAsia="Arial" w:hAnsi="Arial"/>
                <w:sz w:val="18"/>
                <w:szCs w:val="18"/>
                <w:color w:val="auto"/>
              </w:rPr>
              <w:t>0.0%</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0.0%</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0.0%</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0.0%</w:t>
            </w:r>
          </w:p>
        </w:tc>
        <w:tc>
          <w:tcPr>
            <w:tcW w:w="100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Reserves for loan losses as a percentage</w:t>
            </w:r>
          </w:p>
        </w:tc>
        <w:tc>
          <w:tcPr>
            <w:tcW w:w="2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of total loans</w:t>
            </w:r>
          </w:p>
        </w:tc>
        <w:tc>
          <w:tcPr>
            <w:tcW w:w="216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1.6%</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0.1%</w:t>
            </w: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Operating expense / total</w:t>
            </w:r>
          </w:p>
        </w:tc>
        <w:tc>
          <w:tcPr>
            <w:tcW w:w="2160" w:type="dxa"/>
            <w:vAlign w:val="bottom"/>
          </w:tcPr>
          <w:p>
            <w:pPr>
              <w:jc w:val="right"/>
              <w:ind w:right="52"/>
              <w:spacing w:after="0"/>
              <w:rPr>
                <w:sz w:val="20"/>
                <w:szCs w:val="20"/>
                <w:color w:val="auto"/>
              </w:rPr>
            </w:pPr>
            <w:r>
              <w:rPr>
                <w:rFonts w:ascii="Arial" w:cs="Arial" w:eastAsia="Arial" w:hAnsi="Arial"/>
                <w:sz w:val="18"/>
                <w:szCs w:val="18"/>
                <w:color w:val="auto"/>
              </w:rPr>
              <w:t>44.1%</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15.7%</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20.9%</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31.2%</w:t>
            </w:r>
          </w:p>
        </w:tc>
        <w:tc>
          <w:tcPr>
            <w:tcW w:w="10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Operating expense / average total assets(4)</w:t>
            </w:r>
          </w:p>
        </w:tc>
        <w:tc>
          <w:tcPr>
            <w:tcW w:w="216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0.9%</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4840" w:type="dxa"/>
            <w:vAlign w:val="bottom"/>
            <w:gridSpan w:val="4"/>
          </w:tcPr>
          <w:p>
            <w:pPr>
              <w:spacing w:after="0"/>
              <w:rPr>
                <w:sz w:val="20"/>
                <w:szCs w:val="20"/>
                <w:color w:val="auto"/>
              </w:rPr>
            </w:pPr>
            <w:r>
              <w:rPr>
                <w:rFonts w:ascii="Arial" w:cs="Arial" w:eastAsia="Arial" w:hAnsi="Arial"/>
                <w:sz w:val="18"/>
                <w:szCs w:val="18"/>
                <w:color w:val="auto"/>
              </w:rPr>
              <w:t>Operating expense / average total assets +</w:t>
            </w:r>
          </w:p>
        </w:tc>
        <w:tc>
          <w:tcPr>
            <w:tcW w:w="2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2"/>
        </w:trPr>
        <w:tc>
          <w:tcPr>
            <w:tcW w:w="4840" w:type="dxa"/>
            <w:vAlign w:val="bottom"/>
            <w:gridSpan w:val="4"/>
          </w:tcPr>
          <w:p>
            <w:pPr>
              <w:spacing w:after="0"/>
              <w:rPr>
                <w:sz w:val="20"/>
                <w:szCs w:val="20"/>
                <w:color w:val="auto"/>
              </w:rPr>
            </w:pPr>
            <w:r>
              <w:rPr>
                <w:rFonts w:ascii="Arial" w:cs="Arial" w:eastAsia="Arial" w:hAnsi="Arial"/>
                <w:sz w:val="18"/>
                <w:szCs w:val="18"/>
                <w:color w:val="auto"/>
              </w:rPr>
              <w:t>funds under management(4)</w:t>
            </w:r>
          </w:p>
        </w:tc>
        <w:tc>
          <w:tcPr>
            <w:tcW w:w="2160" w:type="dxa"/>
            <w:vAlign w:val="bottom"/>
          </w:tcPr>
          <w:p>
            <w:pPr>
              <w:jc w:val="right"/>
              <w:ind w:right="52"/>
              <w:spacing w:after="0"/>
              <w:rPr>
                <w:sz w:val="20"/>
                <w:szCs w:val="20"/>
                <w:color w:val="auto"/>
              </w:rPr>
            </w:pPr>
            <w:r>
              <w:rPr>
                <w:rFonts w:ascii="Arial" w:cs="Arial" w:eastAsia="Arial" w:hAnsi="Arial"/>
                <w:sz w:val="18"/>
                <w:szCs w:val="18"/>
                <w:color w:val="auto"/>
              </w:rPr>
              <w:t>0.8%</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0.9%</w:t>
            </w: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110"/>
        </w:trPr>
        <w:tc>
          <w:tcPr>
            <w:tcW w:w="5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realized gains in securities.</w:t>
      </w:r>
    </w:p>
    <w:p>
      <w:pPr>
        <w:spacing w:after="0" w:line="15"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Averages determined from monthly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considering dividend income and dividend earning assets.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considering provisions for investments.</w:t>
      </w:r>
    </w:p>
    <w:p>
      <w:pPr>
        <w:sectPr>
          <w:pgSz w:w="11900" w:h="16838" w:orient="portrait"/>
          <w:cols w:equalWidth="0" w:num="1">
            <w:col w:w="11420"/>
          </w:cols>
          <w:pgMar w:left="240" w:top="131" w:right="239" w:bottom="1440" w:gutter="0" w:footer="0" w:header="0"/>
        </w:sectPr>
      </w:pPr>
    </w:p>
    <w:bookmarkStart w:id="19" w:name="page20"/>
    <w:bookmarkEnd w:id="19"/>
    <w:p>
      <w:pPr>
        <w:jc w:val="center"/>
        <w:ind w:right="-1039"/>
        <w:spacing w:after="0"/>
        <w:rPr>
          <w:sz w:val="20"/>
          <w:szCs w:val="20"/>
          <w:color w:val="auto"/>
        </w:rPr>
      </w:pPr>
      <w:r>
        <w:rPr>
          <w:rFonts w:ascii="Arial" w:cs="Arial" w:eastAsia="Arial" w:hAnsi="Arial"/>
          <w:sz w:val="18"/>
          <w:szCs w:val="18"/>
          <w:color w:val="auto"/>
        </w:rPr>
        <w:t>EL PACIFICO-PERUANO SUIZA AND SUBSIDIARIES</w:t>
      </w:r>
    </w:p>
    <w:p>
      <w:pPr>
        <w:spacing w:after="0" w:line="15"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Table 8</w:t>
      </w:r>
    </w:p>
    <w:p>
      <w:pPr>
        <w:spacing w:after="0" w:line="9"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SELECTED FINANCIAL DATA</w:t>
      </w:r>
    </w:p>
    <w:p>
      <w:pPr>
        <w:spacing w:after="0" w:line="9"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(Constant Nuevos Soles as of June 30, 2003, and U.S. Dollars in thousands, except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65862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20" w:type="dxa"/>
            <w:vAlign w:val="bottom"/>
            <w:gridSpan w:val="8"/>
          </w:tcPr>
          <w:p>
            <w:pPr>
              <w:jc w:val="center"/>
              <w:ind w:left="272"/>
              <w:spacing w:after="0"/>
              <w:rPr>
                <w:sz w:val="20"/>
                <w:szCs w:val="20"/>
                <w:color w:val="auto"/>
              </w:rPr>
            </w:pPr>
            <w:r>
              <w:rPr>
                <w:rFonts w:ascii="Arial" w:cs="Arial" w:eastAsia="Arial" w:hAnsi="Arial"/>
                <w:sz w:val="18"/>
                <w:szCs w:val="18"/>
                <w:b w:val="1"/>
                <w:bCs w:val="1"/>
                <w:color w:val="auto"/>
                <w:w w:val="88"/>
              </w:rPr>
              <w:t>As of and for the three month</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87"/>
              </w:rPr>
              <w:t>As of and for the six month</w:t>
            </w:r>
          </w:p>
        </w:tc>
      </w:tr>
      <w:tr>
        <w:trPr>
          <w:trHeight w:val="228"/>
        </w:trPr>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6"/>
              </w:rPr>
              <w:t>period ended</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6"/>
              </w:rPr>
              <w:t>period ended</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110"/>
        </w:trPr>
        <w:tc>
          <w:tcPr>
            <w:tcW w:w="4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r>
      <w:tr>
        <w:trPr>
          <w:trHeight w:val="316"/>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30.06.02</w:t>
            </w:r>
          </w:p>
        </w:tc>
        <w:tc>
          <w:tcPr>
            <w:tcW w:w="10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31.03.03</w:t>
            </w: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30.06.03</w:t>
            </w: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30.06.03</w:t>
            </w: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30.06.02</w:t>
            </w: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30.06.03</w:t>
            </w: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30.06.03</w:t>
            </w:r>
          </w:p>
        </w:tc>
      </w:tr>
      <w:tr>
        <w:trPr>
          <w:trHeight w:val="110"/>
        </w:trPr>
        <w:tc>
          <w:tcPr>
            <w:tcW w:w="4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r>
      <w:tr>
        <w:trPr>
          <w:trHeight w:val="277"/>
        </w:trPr>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2"/>
              </w:rPr>
              <w:t>Results</w:t>
            </w:r>
          </w:p>
        </w:tc>
        <w:tc>
          <w:tcPr>
            <w:tcW w:w="242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US$000(1)</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US$000(1)</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71"/>
        </w:trPr>
        <w:tc>
          <w:tcPr>
            <w:tcW w:w="2980" w:type="dxa"/>
            <w:vAlign w:val="bottom"/>
            <w:gridSpan w:val="5"/>
          </w:tcPr>
          <w:p>
            <w:pPr>
              <w:spacing w:after="0"/>
              <w:rPr>
                <w:sz w:val="20"/>
                <w:szCs w:val="20"/>
                <w:color w:val="auto"/>
              </w:rPr>
            </w:pPr>
            <w:r>
              <w:rPr>
                <w:rFonts w:ascii="Arial" w:cs="Arial" w:eastAsia="Arial" w:hAnsi="Arial"/>
                <w:sz w:val="18"/>
                <w:szCs w:val="18"/>
                <w:color w:val="auto"/>
              </w:rPr>
              <w:t>Total gross Premiums</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191,956</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240,256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266,711</w:t>
            </w:r>
          </w:p>
        </w:tc>
        <w:tc>
          <w:tcPr>
            <w:tcW w:w="100" w:type="dxa"/>
            <w:vAlign w:val="bottom"/>
          </w:tcPr>
          <w:p>
            <w:pPr>
              <w:spacing w:after="0"/>
              <w:rPr>
                <w:sz w:val="24"/>
                <w:szCs w:val="24"/>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$76,840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431,997</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506,967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$146,058</w:t>
            </w:r>
          </w:p>
        </w:tc>
      </w:tr>
      <w:tr>
        <w:trPr>
          <w:trHeight w:val="216"/>
        </w:trPr>
        <w:tc>
          <w:tcPr>
            <w:tcW w:w="2980" w:type="dxa"/>
            <w:vAlign w:val="bottom"/>
            <w:gridSpan w:val="5"/>
          </w:tcPr>
          <w:p>
            <w:pPr>
              <w:spacing w:after="0"/>
              <w:rPr>
                <w:sz w:val="20"/>
                <w:szCs w:val="20"/>
                <w:color w:val="auto"/>
              </w:rPr>
            </w:pPr>
            <w:r>
              <w:rPr>
                <w:rFonts w:ascii="Arial" w:cs="Arial" w:eastAsia="Arial" w:hAnsi="Arial"/>
                <w:sz w:val="18"/>
                <w:szCs w:val="18"/>
                <w:color w:val="auto"/>
              </w:rPr>
              <w:t>Net Premiums Earned</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116,562</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119,230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121,084</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$34,884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234,867</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240,314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$69,235</w:t>
            </w:r>
          </w:p>
        </w:tc>
      </w:tr>
      <w:tr>
        <w:trPr>
          <w:trHeight w:val="216"/>
        </w:trPr>
        <w:tc>
          <w:tcPr>
            <w:tcW w:w="2980" w:type="dxa"/>
            <w:vAlign w:val="bottom"/>
            <w:gridSpan w:val="5"/>
          </w:tcPr>
          <w:p>
            <w:pPr>
              <w:spacing w:after="0"/>
              <w:rPr>
                <w:sz w:val="20"/>
                <w:szCs w:val="20"/>
                <w:color w:val="auto"/>
              </w:rPr>
            </w:pPr>
            <w:r>
              <w:rPr>
                <w:rFonts w:ascii="Arial" w:cs="Arial" w:eastAsia="Arial" w:hAnsi="Arial"/>
                <w:sz w:val="18"/>
                <w:szCs w:val="18"/>
                <w:color w:val="auto"/>
              </w:rPr>
              <w:t>Change in Reserves</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24,290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49,653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75,993</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$21,894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63,333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125,647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$36,199</w:t>
            </w:r>
          </w:p>
        </w:tc>
      </w:tr>
      <w:tr>
        <w:trPr>
          <w:trHeight w:val="216"/>
        </w:trPr>
        <w:tc>
          <w:tcPr>
            <w:tcW w:w="2980" w:type="dxa"/>
            <w:vAlign w:val="bottom"/>
            <w:gridSpan w:val="5"/>
          </w:tcPr>
          <w:p>
            <w:pPr>
              <w:spacing w:after="0"/>
              <w:rPr>
                <w:sz w:val="20"/>
                <w:szCs w:val="20"/>
                <w:color w:val="auto"/>
              </w:rPr>
            </w:pPr>
            <w:r>
              <w:rPr>
                <w:rFonts w:ascii="Arial" w:cs="Arial" w:eastAsia="Arial" w:hAnsi="Arial"/>
                <w:sz w:val="18"/>
                <w:szCs w:val="18"/>
                <w:color w:val="auto"/>
              </w:rPr>
              <w:t>Net Underwriting Results</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9,909</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14,613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13,875</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$3,997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37,062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28,488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$8,207</w:t>
            </w:r>
          </w:p>
        </w:tc>
      </w:tr>
      <w:tr>
        <w:trPr>
          <w:trHeight w:val="216"/>
        </w:trPr>
        <w:tc>
          <w:tcPr>
            <w:tcW w:w="2980" w:type="dxa"/>
            <w:vAlign w:val="bottom"/>
            <w:gridSpan w:val="5"/>
          </w:tcPr>
          <w:p>
            <w:pPr>
              <w:spacing w:after="0"/>
              <w:rPr>
                <w:sz w:val="20"/>
                <w:szCs w:val="20"/>
                <w:color w:val="auto"/>
              </w:rPr>
            </w:pPr>
            <w:r>
              <w:rPr>
                <w:rFonts w:ascii="Arial" w:cs="Arial" w:eastAsia="Arial" w:hAnsi="Arial"/>
                <w:sz w:val="18"/>
                <w:szCs w:val="18"/>
                <w:color w:val="auto"/>
              </w:rPr>
              <w:t>Net Financial Income</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28,860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21,523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45,448</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$13,094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45,405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66,971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$19,294</w:t>
            </w:r>
          </w:p>
        </w:tc>
      </w:tr>
      <w:tr>
        <w:trPr>
          <w:trHeight w:val="216"/>
        </w:trPr>
        <w:tc>
          <w:tcPr>
            <w:tcW w:w="2980" w:type="dxa"/>
            <w:vAlign w:val="bottom"/>
            <w:gridSpan w:val="5"/>
          </w:tcPr>
          <w:p>
            <w:pPr>
              <w:spacing w:after="0"/>
              <w:rPr>
                <w:sz w:val="20"/>
                <w:szCs w:val="20"/>
                <w:color w:val="auto"/>
              </w:rPr>
            </w:pPr>
            <w:r>
              <w:rPr>
                <w:rFonts w:ascii="Arial" w:cs="Arial" w:eastAsia="Arial" w:hAnsi="Arial"/>
                <w:sz w:val="18"/>
                <w:szCs w:val="18"/>
                <w:color w:val="auto"/>
              </w:rPr>
              <w:t>General Expenses</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27,368</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25,541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29,840</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$8,597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54,046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55,381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$15,955</w:t>
            </w:r>
          </w:p>
        </w:tc>
      </w:tr>
      <w:tr>
        <w:trPr>
          <w:trHeight w:val="216"/>
        </w:trPr>
        <w:tc>
          <w:tcPr>
            <w:tcW w:w="298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9,933</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5,159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23,480</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$6,765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22,356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28,639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$8,251</w:t>
            </w:r>
          </w:p>
        </w:tc>
      </w:tr>
      <w:tr>
        <w:trPr>
          <w:trHeight w:val="222"/>
        </w:trPr>
        <w:tc>
          <w:tcPr>
            <w:tcW w:w="2980" w:type="dxa"/>
            <w:vAlign w:val="bottom"/>
            <w:gridSpan w:val="5"/>
          </w:tcPr>
          <w:p>
            <w:pPr>
              <w:spacing w:after="0"/>
              <w:rPr>
                <w:sz w:val="20"/>
                <w:szCs w:val="20"/>
                <w:color w:val="auto"/>
              </w:rPr>
            </w:pPr>
            <w:r>
              <w:rPr>
                <w:rFonts w:ascii="Arial" w:cs="Arial" w:eastAsia="Arial" w:hAnsi="Arial"/>
                <w:sz w:val="18"/>
                <w:szCs w:val="18"/>
                <w:color w:val="auto"/>
              </w:rPr>
              <w:t>Net Income per share (S/.)(2)</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0.42</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0.22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$0.29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0.94</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$0.35</w:t>
            </w:r>
          </w:p>
        </w:tc>
      </w:tr>
      <w:tr>
        <w:trPr>
          <w:trHeight w:val="421"/>
        </w:trPr>
        <w:tc>
          <w:tcPr>
            <w:tcW w:w="2980" w:type="dxa"/>
            <w:vAlign w:val="bottom"/>
            <w:gridSpan w:val="5"/>
          </w:tcPr>
          <w:p>
            <w:pPr>
              <w:spacing w:after="0"/>
              <w:rPr>
                <w:sz w:val="20"/>
                <w:szCs w:val="20"/>
                <w:color w:val="auto"/>
              </w:rPr>
            </w:pPr>
            <w:r>
              <w:rPr>
                <w:rFonts w:ascii="Arial" w:cs="Arial" w:eastAsia="Arial" w:hAnsi="Arial"/>
                <w:sz w:val="18"/>
                <w:szCs w:val="18"/>
                <w:b w:val="1"/>
                <w:bCs w:val="1"/>
                <w:color w:val="auto"/>
              </w:rPr>
              <w:t>Balance Sheets (end of period)</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8"/>
        </w:trPr>
        <w:tc>
          <w:tcPr>
            <w:tcW w:w="22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Total Assets</w:t>
            </w:r>
          </w:p>
        </w:tc>
        <w:tc>
          <w:tcPr>
            <w:tcW w:w="70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1,359,932</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1,464,142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1,600,149</w:t>
            </w:r>
          </w:p>
        </w:tc>
        <w:tc>
          <w:tcPr>
            <w:tcW w:w="10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$461,005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1,359,932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1,600,149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$461,005</w:t>
            </w:r>
          </w:p>
        </w:tc>
      </w:tr>
      <w:tr>
        <w:trPr>
          <w:trHeight w:val="216"/>
        </w:trPr>
        <w:tc>
          <w:tcPr>
            <w:tcW w:w="2980" w:type="dxa"/>
            <w:vAlign w:val="bottom"/>
            <w:gridSpan w:val="5"/>
          </w:tcPr>
          <w:p>
            <w:pPr>
              <w:spacing w:after="0"/>
              <w:rPr>
                <w:sz w:val="20"/>
                <w:szCs w:val="20"/>
                <w:color w:val="auto"/>
              </w:rPr>
            </w:pPr>
            <w:r>
              <w:rPr>
                <w:rFonts w:ascii="Arial" w:cs="Arial" w:eastAsia="Arial" w:hAnsi="Arial"/>
                <w:sz w:val="18"/>
                <w:szCs w:val="18"/>
                <w:color w:val="auto"/>
                <w:w w:val="97"/>
              </w:rPr>
              <w:t>Investments in Secur. and Real estate</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945,788</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1,102,618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1,175,360</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$338,623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945,788</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1,175,360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$338,623</w:t>
            </w:r>
          </w:p>
        </w:tc>
      </w:tr>
      <w:tr>
        <w:trPr>
          <w:trHeight w:val="216"/>
        </w:trPr>
        <w:tc>
          <w:tcPr>
            <w:tcW w:w="2980" w:type="dxa"/>
            <w:vAlign w:val="bottom"/>
            <w:gridSpan w:val="5"/>
          </w:tcPr>
          <w:p>
            <w:pPr>
              <w:spacing w:after="0"/>
              <w:rPr>
                <w:sz w:val="20"/>
                <w:szCs w:val="20"/>
                <w:color w:val="auto"/>
              </w:rPr>
            </w:pPr>
            <w:r>
              <w:rPr>
                <w:rFonts w:ascii="Arial" w:cs="Arial" w:eastAsia="Arial" w:hAnsi="Arial"/>
                <w:sz w:val="18"/>
                <w:szCs w:val="18"/>
                <w:color w:val="auto"/>
              </w:rPr>
              <w:t>Technical Reserves</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823,642</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954,992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1,054,448</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$303,788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823,642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1,054,448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$303,788</w:t>
            </w:r>
          </w:p>
        </w:tc>
      </w:tr>
      <w:tr>
        <w:trPr>
          <w:trHeight w:val="222"/>
        </w:trPr>
        <w:tc>
          <w:tcPr>
            <w:tcW w:w="2980" w:type="dxa"/>
            <w:vAlign w:val="bottom"/>
            <w:gridSpan w:val="5"/>
          </w:tcPr>
          <w:p>
            <w:pPr>
              <w:spacing w:after="0"/>
              <w:rPr>
                <w:sz w:val="20"/>
                <w:szCs w:val="20"/>
                <w:color w:val="auto"/>
              </w:rPr>
            </w:pPr>
            <w:r>
              <w:rPr>
                <w:rFonts w:ascii="Arial" w:cs="Arial" w:eastAsia="Arial" w:hAnsi="Arial"/>
                <w:sz w:val="18"/>
                <w:szCs w:val="18"/>
                <w:color w:val="auto"/>
              </w:rPr>
              <w:t>Net Equity</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340,195</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338,877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362,338</w:t>
            </w:r>
          </w:p>
        </w:tc>
        <w:tc>
          <w:tcPr>
            <w:tcW w:w="10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$104,390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340,195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362,338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$104,390</w:t>
            </w:r>
          </w:p>
        </w:tc>
      </w:tr>
      <w:tr>
        <w:trPr>
          <w:trHeight w:val="421"/>
        </w:trPr>
        <w:tc>
          <w:tcPr>
            <w:tcW w:w="2980" w:type="dxa"/>
            <w:vAlign w:val="bottom"/>
            <w:gridSpan w:val="5"/>
          </w:tcPr>
          <w:p>
            <w:pPr>
              <w:spacing w:after="0"/>
              <w:rPr>
                <w:sz w:val="20"/>
                <w:szCs w:val="20"/>
                <w:color w:val="auto"/>
              </w:rPr>
            </w:pPr>
            <w:r>
              <w:rPr>
                <w:rFonts w:ascii="Arial" w:cs="Arial" w:eastAsia="Arial" w:hAnsi="Arial"/>
                <w:sz w:val="18"/>
                <w:szCs w:val="18"/>
                <w:b w:val="1"/>
                <w:bCs w:val="1"/>
                <w:color w:val="auto"/>
              </w:rPr>
              <w:t>Ratios</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8"/>
        </w:trPr>
        <w:tc>
          <w:tcPr>
            <w:tcW w:w="2980" w:type="dxa"/>
            <w:vAlign w:val="bottom"/>
            <w:gridSpan w:val="5"/>
          </w:tcPr>
          <w:p>
            <w:pPr>
              <w:spacing w:after="0"/>
              <w:rPr>
                <w:sz w:val="20"/>
                <w:szCs w:val="20"/>
                <w:color w:val="auto"/>
              </w:rPr>
            </w:pPr>
            <w:r>
              <w:rPr>
                <w:rFonts w:ascii="Arial" w:cs="Arial" w:eastAsia="Arial" w:hAnsi="Arial"/>
                <w:sz w:val="18"/>
                <w:szCs w:val="18"/>
                <w:color w:val="auto"/>
              </w:rPr>
              <w:t>Net underwriting results</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5.2%</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980" w:type="dxa"/>
            <w:vAlign w:val="bottom"/>
            <w:gridSpan w:val="5"/>
          </w:tcPr>
          <w:p>
            <w:pPr>
              <w:spacing w:after="0"/>
              <w:rPr>
                <w:sz w:val="20"/>
                <w:szCs w:val="20"/>
                <w:color w:val="auto"/>
              </w:rPr>
            </w:pPr>
            <w:r>
              <w:rPr>
                <w:rFonts w:ascii="Arial" w:cs="Arial" w:eastAsia="Arial" w:hAnsi="Arial"/>
                <w:sz w:val="18"/>
                <w:szCs w:val="18"/>
                <w:color w:val="auto"/>
              </w:rPr>
              <w:t>Loss ratio</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51.4%</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38.9%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39.3%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39.1%</w:t>
            </w:r>
          </w:p>
        </w:tc>
      </w:tr>
      <w:tr>
        <w:trPr>
          <w:trHeight w:val="216"/>
        </w:trPr>
        <w:tc>
          <w:tcPr>
            <w:tcW w:w="2980" w:type="dxa"/>
            <w:vAlign w:val="bottom"/>
            <w:gridSpan w:val="5"/>
          </w:tcPr>
          <w:p>
            <w:pPr>
              <w:spacing w:after="0"/>
              <w:rPr>
                <w:sz w:val="20"/>
                <w:szCs w:val="20"/>
                <w:color w:val="auto"/>
              </w:rPr>
            </w:pPr>
            <w:r>
              <w:rPr>
                <w:rFonts w:ascii="Arial" w:cs="Arial" w:eastAsia="Arial" w:hAnsi="Arial"/>
                <w:sz w:val="18"/>
                <w:szCs w:val="18"/>
                <w:color w:val="auto"/>
              </w:rPr>
              <w:t>Return on avge. equity (3)(4)</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12.4%</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17.1%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2980" w:type="dxa"/>
            <w:vAlign w:val="bottom"/>
            <w:gridSpan w:val="5"/>
          </w:tcPr>
          <w:p>
            <w:pPr>
              <w:spacing w:after="0"/>
              <w:rPr>
                <w:sz w:val="20"/>
                <w:szCs w:val="20"/>
                <w:color w:val="auto"/>
              </w:rPr>
            </w:pPr>
            <w:r>
              <w:rPr>
                <w:rFonts w:ascii="Arial" w:cs="Arial" w:eastAsia="Arial" w:hAnsi="Arial"/>
                <w:sz w:val="18"/>
                <w:szCs w:val="18"/>
                <w:color w:val="auto"/>
              </w:rPr>
              <w:t>Return on total premiums</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5.2%</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8.8%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980" w:type="dxa"/>
            <w:vAlign w:val="bottom"/>
            <w:gridSpan w:val="5"/>
          </w:tcPr>
          <w:p>
            <w:pPr>
              <w:spacing w:after="0"/>
              <w:rPr>
                <w:sz w:val="20"/>
                <w:szCs w:val="20"/>
                <w:color w:val="auto"/>
              </w:rPr>
            </w:pPr>
            <w:r>
              <w:rPr>
                <w:rFonts w:ascii="Arial" w:cs="Arial" w:eastAsia="Arial" w:hAnsi="Arial"/>
                <w:sz w:val="18"/>
                <w:szCs w:val="18"/>
                <w:color w:val="auto"/>
              </w:rPr>
              <w:t>Shareholders' Equity / Total Assets</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25.0%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23.1%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22.6%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22.6%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2980" w:type="dxa"/>
            <w:vAlign w:val="bottom"/>
            <w:gridSpan w:val="5"/>
          </w:tcPr>
          <w:p>
            <w:pPr>
              <w:spacing w:after="0"/>
              <w:rPr>
                <w:sz w:val="20"/>
                <w:szCs w:val="20"/>
                <w:color w:val="auto"/>
              </w:rPr>
            </w:pPr>
            <w:r>
              <w:rPr>
                <w:rFonts w:ascii="Arial" w:cs="Arial" w:eastAsia="Arial" w:hAnsi="Arial"/>
                <w:sz w:val="18"/>
                <w:szCs w:val="18"/>
                <w:color w:val="auto"/>
              </w:rPr>
              <w:t>Increase in Risk Reserves</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17.2%</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29.4%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38.6%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34.3%</w:t>
            </w:r>
          </w:p>
        </w:tc>
      </w:tr>
      <w:tr>
        <w:trPr>
          <w:trHeight w:val="184"/>
        </w:trPr>
        <w:tc>
          <w:tcPr>
            <w:tcW w:w="2980" w:type="dxa"/>
            <w:vAlign w:val="bottom"/>
            <w:gridSpan w:val="5"/>
          </w:tcPr>
          <w:p>
            <w:pPr>
              <w:spacing w:after="0" w:line="184" w:lineRule="exact"/>
              <w:rPr>
                <w:sz w:val="20"/>
                <w:szCs w:val="20"/>
                <w:color w:val="auto"/>
              </w:rPr>
            </w:pPr>
            <w:r>
              <w:rPr>
                <w:rFonts w:ascii="Arial" w:cs="Arial" w:eastAsia="Arial" w:hAnsi="Arial"/>
                <w:sz w:val="18"/>
                <w:szCs w:val="18"/>
                <w:color w:val="auto"/>
              </w:rPr>
              <w:t>Combined Ratio</w:t>
            </w:r>
          </w:p>
        </w:tc>
        <w:tc>
          <w:tcPr>
            <w:tcW w:w="1280" w:type="dxa"/>
            <w:vAlign w:val="bottom"/>
            <w:gridSpan w:val="3"/>
          </w:tcPr>
          <w:p>
            <w:pPr>
              <w:jc w:val="right"/>
              <w:ind w:right="100"/>
              <w:spacing w:after="0" w:line="184" w:lineRule="exact"/>
              <w:rPr>
                <w:sz w:val="20"/>
                <w:szCs w:val="20"/>
                <w:color w:val="auto"/>
              </w:rPr>
            </w:pPr>
            <w:r>
              <w:rPr>
                <w:rFonts w:ascii="Arial" w:cs="Arial" w:eastAsia="Arial" w:hAnsi="Arial"/>
                <w:sz w:val="18"/>
                <w:szCs w:val="18"/>
                <w:color w:val="auto"/>
              </w:rPr>
              <w:t>91.</w:t>
            </w:r>
            <w:r>
              <w:rPr>
                <w:rFonts w:ascii="Arial" w:cs="Arial" w:eastAsia="Arial" w:hAnsi="Arial"/>
                <w:sz w:val="18"/>
                <w:szCs w:val="18"/>
                <w:u w:val="single" w:color="auto"/>
                <w:color w:val="auto"/>
              </w:rPr>
              <w:t>8%</w:t>
            </w:r>
          </w:p>
        </w:tc>
        <w:tc>
          <w:tcPr>
            <w:tcW w:w="1020" w:type="dxa"/>
            <w:vAlign w:val="bottom"/>
            <w:gridSpan w:val="3"/>
          </w:tcPr>
          <w:p>
            <w:pPr>
              <w:jc w:val="right"/>
              <w:ind w:right="100"/>
              <w:spacing w:after="0" w:line="184" w:lineRule="exact"/>
              <w:rPr>
                <w:sz w:val="20"/>
                <w:szCs w:val="20"/>
                <w:color w:val="auto"/>
              </w:rPr>
            </w:pPr>
            <w:r>
              <w:rPr>
                <w:rFonts w:ascii="Arial" w:cs="Arial" w:eastAsia="Arial" w:hAnsi="Arial"/>
                <w:sz w:val="18"/>
                <w:szCs w:val="18"/>
                <w:color w:val="auto"/>
              </w:rPr>
              <w:t>72.</w:t>
            </w:r>
            <w:r>
              <w:rPr>
                <w:rFonts w:ascii="Arial" w:cs="Arial" w:eastAsia="Arial" w:hAnsi="Arial"/>
                <w:sz w:val="18"/>
                <w:szCs w:val="18"/>
                <w:u w:val="single" w:color="auto"/>
                <w:color w:val="auto"/>
              </w:rPr>
              <w:t>6%</w:t>
            </w:r>
          </w:p>
        </w:tc>
        <w:tc>
          <w:tcPr>
            <w:tcW w:w="94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66.</w:t>
            </w:r>
            <w:r>
              <w:rPr>
                <w:rFonts w:ascii="Arial" w:cs="Arial" w:eastAsia="Arial" w:hAnsi="Arial"/>
                <w:sz w:val="18"/>
                <w:szCs w:val="18"/>
                <w:u w:val="single" w:color="auto"/>
                <w:color w:val="auto"/>
              </w:rPr>
              <w:t>6%</w:t>
            </w:r>
          </w:p>
        </w:tc>
        <w:tc>
          <w:tcPr>
            <w:tcW w:w="100" w:type="dxa"/>
            <w:vAlign w:val="bottom"/>
          </w:tcPr>
          <w:p>
            <w:pPr>
              <w:spacing w:after="0"/>
              <w:rPr>
                <w:sz w:val="15"/>
                <w:szCs w:val="15"/>
                <w:color w:val="auto"/>
              </w:rPr>
            </w:pPr>
          </w:p>
        </w:tc>
        <w:tc>
          <w:tcPr>
            <w:tcW w:w="1040" w:type="dxa"/>
            <w:vAlign w:val="bottom"/>
            <w:gridSpan w:val="3"/>
          </w:tcPr>
          <w:p>
            <w:pPr>
              <w:jc w:val="right"/>
              <w:ind w:right="100"/>
              <w:spacing w:after="0" w:line="184" w:lineRule="exact"/>
              <w:rPr>
                <w:sz w:val="20"/>
                <w:szCs w:val="20"/>
                <w:color w:val="auto"/>
              </w:rPr>
            </w:pPr>
            <w:r>
              <w:rPr>
                <w:rFonts w:ascii="Arial" w:cs="Arial" w:eastAsia="Arial" w:hAnsi="Arial"/>
                <w:sz w:val="18"/>
                <w:szCs w:val="18"/>
                <w:color w:val="auto"/>
              </w:rPr>
              <w:t>66.</w:t>
            </w:r>
            <w:r>
              <w:rPr>
                <w:rFonts w:ascii="Arial" w:cs="Arial" w:eastAsia="Arial" w:hAnsi="Arial"/>
                <w:sz w:val="18"/>
                <w:szCs w:val="18"/>
                <w:u w:val="single" w:color="auto"/>
                <w:color w:val="auto"/>
              </w:rPr>
              <w:t>6%</w:t>
            </w:r>
          </w:p>
        </w:tc>
        <w:tc>
          <w:tcPr>
            <w:tcW w:w="94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80.</w:t>
            </w:r>
            <w:r>
              <w:rPr>
                <w:rFonts w:ascii="Arial" w:cs="Arial" w:eastAsia="Arial" w:hAnsi="Arial"/>
                <w:sz w:val="18"/>
                <w:szCs w:val="18"/>
                <w:u w:val="single" w:color="auto"/>
                <w:color w:val="auto"/>
              </w:rPr>
              <w:t>9%</w:t>
            </w:r>
          </w:p>
        </w:tc>
        <w:tc>
          <w:tcPr>
            <w:tcW w:w="1140" w:type="dxa"/>
            <w:vAlign w:val="bottom"/>
            <w:gridSpan w:val="3"/>
          </w:tcPr>
          <w:p>
            <w:pPr>
              <w:jc w:val="right"/>
              <w:ind w:right="100"/>
              <w:spacing w:after="0" w:line="184" w:lineRule="exact"/>
              <w:rPr>
                <w:sz w:val="20"/>
                <w:szCs w:val="20"/>
                <w:color w:val="auto"/>
              </w:rPr>
            </w:pPr>
            <w:r>
              <w:rPr>
                <w:rFonts w:ascii="Arial" w:cs="Arial" w:eastAsia="Arial" w:hAnsi="Arial"/>
                <w:sz w:val="18"/>
                <w:szCs w:val="18"/>
                <w:color w:val="auto"/>
              </w:rPr>
              <w:t>69.</w:t>
            </w:r>
            <w:r>
              <w:rPr>
                <w:rFonts w:ascii="Arial" w:cs="Arial" w:eastAsia="Arial" w:hAnsi="Arial"/>
                <w:sz w:val="18"/>
                <w:szCs w:val="18"/>
                <w:u w:val="single" w:color="auto"/>
                <w:color w:val="auto"/>
              </w:rPr>
              <w:t>4%</w:t>
            </w:r>
          </w:p>
        </w:tc>
        <w:tc>
          <w:tcPr>
            <w:tcW w:w="94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69.</w:t>
            </w:r>
            <w:r>
              <w:rPr>
                <w:rFonts w:ascii="Arial" w:cs="Arial" w:eastAsia="Arial" w:hAnsi="Arial"/>
                <w:sz w:val="18"/>
                <w:szCs w:val="18"/>
                <w:u w:val="single" w:color="auto"/>
                <w:color w:val="auto"/>
              </w:rPr>
              <w:t>4%</w:t>
            </w:r>
          </w:p>
        </w:tc>
      </w:tr>
      <w:tr>
        <w:trPr>
          <w:trHeight w:val="20"/>
        </w:trPr>
        <w:tc>
          <w:tcPr>
            <w:tcW w:w="1160" w:type="dxa"/>
            <w:vAlign w:val="bottom"/>
            <w:gridSpan w:val="3"/>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28"/>
        </w:trPr>
        <w:tc>
          <w:tcPr>
            <w:tcW w:w="2980" w:type="dxa"/>
            <w:vAlign w:val="bottom"/>
            <w:gridSpan w:val="5"/>
          </w:tcPr>
          <w:p>
            <w:pPr>
              <w:spacing w:after="0"/>
              <w:rPr>
                <w:sz w:val="20"/>
                <w:szCs w:val="20"/>
                <w:color w:val="auto"/>
              </w:rPr>
            </w:pPr>
            <w:r>
              <w:rPr>
                <w:rFonts w:ascii="Arial" w:cs="Arial" w:eastAsia="Arial" w:hAnsi="Arial"/>
                <w:sz w:val="18"/>
                <w:szCs w:val="18"/>
                <w:color w:val="auto"/>
              </w:rPr>
              <w:t>- Net Claims / Net Premiums</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68.4%</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46.0%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48.4%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2980" w:type="dxa"/>
            <w:vAlign w:val="bottom"/>
            <w:gridSpan w:val="5"/>
          </w:tcPr>
          <w:p>
            <w:pPr>
              <w:spacing w:after="0"/>
              <w:rPr>
                <w:sz w:val="20"/>
                <w:szCs w:val="20"/>
                <w:color w:val="auto"/>
              </w:rPr>
            </w:pPr>
            <w:r>
              <w:rPr>
                <w:rFonts w:ascii="Arial" w:cs="Arial" w:eastAsia="Arial" w:hAnsi="Arial"/>
                <w:sz w:val="18"/>
                <w:szCs w:val="18"/>
                <w:color w:val="auto"/>
              </w:rPr>
              <w:t>- Op. Exp.+Comiss./Net Premiums</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23.4%</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21.4%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20.6%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2980" w:type="dxa"/>
            <w:vAlign w:val="bottom"/>
            <w:gridSpan w:val="5"/>
          </w:tcPr>
          <w:p>
            <w:pPr>
              <w:spacing w:after="0"/>
              <w:rPr>
                <w:sz w:val="20"/>
                <w:szCs w:val="20"/>
                <w:color w:val="auto"/>
              </w:rPr>
            </w:pPr>
            <w:r>
              <w:rPr>
                <w:rFonts w:ascii="Arial" w:cs="Arial" w:eastAsia="Arial" w:hAnsi="Arial"/>
                <w:sz w:val="18"/>
                <w:szCs w:val="18"/>
                <w:color w:val="auto"/>
              </w:rPr>
              <w:t>Operating expense/Net Premiums</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19.4%</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15.1%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15.1%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15.1%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15.1%</w:t>
            </w:r>
          </w:p>
        </w:tc>
      </w:tr>
      <w:tr>
        <w:trPr>
          <w:trHeight w:val="222"/>
        </w:trPr>
        <w:tc>
          <w:tcPr>
            <w:tcW w:w="2980" w:type="dxa"/>
            <w:vAlign w:val="bottom"/>
            <w:gridSpan w:val="5"/>
          </w:tcPr>
          <w:p>
            <w:pPr>
              <w:spacing w:after="0"/>
              <w:rPr>
                <w:sz w:val="20"/>
                <w:szCs w:val="20"/>
                <w:color w:val="auto"/>
              </w:rPr>
            </w:pPr>
            <w:r>
              <w:rPr>
                <w:rFonts w:ascii="Arial" w:cs="Arial" w:eastAsia="Arial" w:hAnsi="Arial"/>
                <w:sz w:val="18"/>
                <w:szCs w:val="18"/>
                <w:color w:val="auto"/>
              </w:rPr>
              <w:t>Oper. expense / Avge. assets (3)(4)</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8.4%</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110"/>
        </w:trPr>
        <w:tc>
          <w:tcPr>
            <w:tcW w:w="4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(1)Translated at S/.3.471 per US$1.00.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(2)Based on 23.7 million shares in all periods.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(3)Averages are determined as the average of period-beginning and period-ending balances.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(4)Annualized.</w:t>
      </w:r>
    </w:p>
    <w:p>
      <w:pPr>
        <w:sectPr>
          <w:pgSz w:w="11900" w:h="16838" w:orient="portrait"/>
          <w:cols w:equalWidth="0" w:num="1">
            <w:col w:w="10380"/>
          </w:cols>
          <w:pgMar w:left="240" w:top="131" w:right="127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September 3, 2003</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2019-12-12T00:44:24Z</dcterms:created>
  <dcterms:modified xsi:type="dcterms:W3CDTF">2019-12-12T00:44:24Z</dcterms:modified>
</cp:coreProperties>
</file>