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10)</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ind w:left="5120"/>
        <w:spacing w:after="0"/>
        <w:rPr>
          <w:sz w:val="20"/>
          <w:szCs w:val="20"/>
          <w:color w:val="auto"/>
        </w:rPr>
      </w:pPr>
      <w:r>
        <w:rPr>
          <w:rFonts w:ascii="Arial" w:cs="Arial" w:eastAsia="Arial" w:hAnsi="Arial"/>
          <w:sz w:val="18"/>
          <w:szCs w:val="18"/>
          <w:i w:val="1"/>
          <w:iCs w:val="1"/>
          <w:color w:val="auto"/>
        </w:rPr>
        <w:t>(Name of Issuer)</w:t>
      </w:r>
    </w:p>
    <w:p>
      <w:pPr>
        <w:spacing w:after="0" w:line="152"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(Title of Class of Securities)</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(CUSIP Number)</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18"/>
          <w:szCs w:val="18"/>
          <w:i w:val="1"/>
          <w:iCs w:val="1"/>
          <w:color w:val="auto"/>
        </w:rPr>
        <w:t>(Date of Event Which Requires Filing of this Statement)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158" w:lineRule="exact"/>
        <w:rPr>
          <w:sz w:val="24"/>
          <w:szCs w:val="24"/>
          <w:color w:val="auto"/>
        </w:rPr>
      </w:pPr>
    </w:p>
    <w:p>
      <w:pPr>
        <w:ind w:left="5720" w:hanging="566"/>
        <w:spacing w:after="0"/>
        <w:tabs>
          <w:tab w:leader="none" w:pos="57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Rule 13d-1(b)</w:t>
      </w:r>
    </w:p>
    <w:p>
      <w:pPr>
        <w:spacing w:after="0" w:line="21"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b w:val="1"/>
          <w:bCs w:val="1"/>
          <w:color w:val="auto"/>
        </w:rPr>
        <w:t>Rule 13d-1(c)</w:t>
      </w:r>
    </w:p>
    <w:p>
      <w:pPr>
        <w:spacing w:after="0" w:line="9" w:lineRule="exact"/>
        <w:rPr>
          <w:rFonts w:ascii="Arial" w:cs="Arial" w:eastAsia="Arial" w:hAnsi="Arial"/>
          <w:sz w:val="18"/>
          <w:szCs w:val="18"/>
          <w:color w:val="auto"/>
        </w:rPr>
      </w:pPr>
    </w:p>
    <w:p>
      <w:pPr>
        <w:ind w:left="5720" w:hanging="566"/>
        <w:spacing w:after="0"/>
        <w:tabs>
          <w:tab w:leader="none" w:pos="5720"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Rule 13d-1(d)</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right="60" w:firstLine="366"/>
        <w:spacing w:after="0" w:line="212" w:lineRule="auto"/>
        <w:rPr>
          <w:rFonts w:ascii="Arial" w:cs="Arial" w:eastAsia="Arial" w:hAnsi="Arial"/>
          <w:sz w:val="18"/>
          <w:szCs w:val="18"/>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3" w:lineRule="exact"/>
        <w:rPr>
          <w:sz w:val="24"/>
          <w:szCs w:val="24"/>
          <w:color w:val="auto"/>
        </w:rPr>
      </w:pPr>
    </w:p>
    <w:p>
      <w:pPr>
        <w:ind w:firstLine="436"/>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1" w:name="page2"/>
    <w:bookmarkEnd w:id="1"/>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Atlantic Security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6900" w:type="dxa"/>
            <w:vAlign w:val="bottom"/>
          </w:tcPr>
          <w:p>
            <w:pPr>
              <w:ind w:left="22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Pr>
          <w:p>
            <w:pPr>
              <w:ind w:left="3020"/>
              <w:spacing w:after="0"/>
              <w:rPr>
                <w:sz w:val="20"/>
                <w:szCs w:val="20"/>
                <w:color w:val="auto"/>
              </w:rPr>
            </w:pPr>
            <w:r>
              <w:rPr>
                <w:rFonts w:ascii="Arial" w:cs="Arial" w:eastAsia="Arial" w:hAnsi="Arial"/>
                <w:sz w:val="18"/>
                <w:szCs w:val="18"/>
                <w:color w:val="auto"/>
              </w:rPr>
              <w:t>(a)</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r>
        <w:trPr>
          <w:trHeight w:val="222"/>
        </w:trPr>
        <w:tc>
          <w:tcPr>
            <w:tcW w:w="36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3420" w:type="dxa"/>
            <w:vAlign w:val="bottom"/>
          </w:tcPr>
          <w:p>
            <w:pPr>
              <w:ind w:left="3020"/>
              <w:spacing w:after="0"/>
              <w:rPr>
                <w:sz w:val="20"/>
                <w:szCs w:val="20"/>
                <w:color w:val="auto"/>
              </w:rPr>
            </w:pPr>
            <w:r>
              <w:rPr>
                <w:rFonts w:ascii="Arial" w:cs="Arial" w:eastAsia="Arial" w:hAnsi="Arial"/>
                <w:sz w:val="18"/>
                <w:szCs w:val="18"/>
                <w:color w:val="auto"/>
              </w:rPr>
              <w:t>(b)</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5.</w:t>
            </w:r>
          </w:p>
        </w:tc>
        <w:tc>
          <w:tcPr>
            <w:tcW w:w="87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800" w:type="dxa"/>
            <w:vAlign w:val="bottom"/>
          </w:tcPr>
          <w:p>
            <w:pPr>
              <w:jc w:val="center"/>
              <w:ind w:right="392"/>
              <w:spacing w:after="0"/>
              <w:rPr>
                <w:sz w:val="20"/>
                <w:szCs w:val="20"/>
                <w:color w:val="auto"/>
              </w:rPr>
            </w:pPr>
            <w:r>
              <w:rPr>
                <w:rFonts w:ascii="Arial" w:cs="Arial" w:eastAsia="Arial" w:hAnsi="Arial"/>
                <w:sz w:val="18"/>
                <w:szCs w:val="18"/>
                <w:b w:val="1"/>
                <w:bCs w:val="1"/>
                <w:color w:val="auto"/>
                <w:w w:val="99"/>
              </w:rPr>
              <w:t>NUMBER OF</w:t>
            </w:r>
          </w:p>
        </w:tc>
        <w:tc>
          <w:tcPr>
            <w:tcW w:w="36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Arial" w:cs="Arial" w:eastAsia="Arial" w:hAnsi="Arial"/>
                <w:sz w:val="18"/>
                <w:szCs w:val="18"/>
                <w:b w:val="1"/>
                <w:bCs w:val="1"/>
                <w:color w:val="auto"/>
              </w:rPr>
              <w:t>14,620,845</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ind w:right="412"/>
              <w:spacing w:after="0"/>
              <w:rPr>
                <w:sz w:val="20"/>
                <w:szCs w:val="20"/>
                <w:color w:val="auto"/>
              </w:rPr>
            </w:pPr>
            <w:r>
              <w:rPr>
                <w:rFonts w:ascii="Arial" w:cs="Arial" w:eastAsia="Arial" w:hAnsi="Arial"/>
                <w:sz w:val="18"/>
                <w:szCs w:val="18"/>
                <w:b w:val="1"/>
                <w:bCs w:val="1"/>
                <w:color w:val="auto"/>
                <w:w w:val="93"/>
              </w:rPr>
              <w:t>SHARES</w:t>
            </w:r>
          </w:p>
        </w:tc>
        <w:tc>
          <w:tcPr>
            <w:tcW w:w="360" w:type="dxa"/>
            <w:vAlign w:val="bottom"/>
            <w:tcBorders>
              <w:bottom w:val="single" w:sz="8" w:color="auto"/>
            </w:tcBorders>
          </w:tcPr>
          <w:p>
            <w:pPr>
              <w:spacing w:after="0"/>
              <w:rPr>
                <w:sz w:val="9"/>
                <w:szCs w:val="9"/>
                <w:color w:val="auto"/>
              </w:rPr>
            </w:pPr>
          </w:p>
        </w:tc>
        <w:tc>
          <w:tcPr>
            <w:tcW w:w="8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ind w:right="392"/>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6.</w:t>
            </w:r>
          </w:p>
        </w:tc>
        <w:tc>
          <w:tcPr>
            <w:tcW w:w="87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00" w:type="dxa"/>
            <w:vAlign w:val="bottom"/>
          </w:tcPr>
          <w:p>
            <w:pPr>
              <w:jc w:val="center"/>
              <w:ind w:right="392"/>
              <w:spacing w:after="0"/>
              <w:rPr>
                <w:sz w:val="20"/>
                <w:szCs w:val="20"/>
                <w:color w:val="auto"/>
              </w:rPr>
            </w:pPr>
            <w:r>
              <w:rPr>
                <w:rFonts w:ascii="Arial" w:cs="Arial" w:eastAsia="Arial" w:hAnsi="Arial"/>
                <w:sz w:val="18"/>
                <w:szCs w:val="18"/>
                <w:b w:val="1"/>
                <w:bCs w:val="1"/>
                <w:color w:val="auto"/>
                <w:w w:val="96"/>
              </w:rPr>
              <w:t>OWNED BY</w:t>
            </w:r>
          </w:p>
        </w:tc>
        <w:tc>
          <w:tcPr>
            <w:tcW w:w="36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2"/>
        </w:trPr>
        <w:tc>
          <w:tcPr>
            <w:tcW w:w="1800" w:type="dxa"/>
            <w:vAlign w:val="bottom"/>
            <w:vMerge w:val="restart"/>
          </w:tcPr>
          <w:p>
            <w:pPr>
              <w:jc w:val="center"/>
              <w:ind w:right="412"/>
              <w:spacing w:after="0"/>
              <w:rPr>
                <w:sz w:val="20"/>
                <w:szCs w:val="20"/>
                <w:color w:val="auto"/>
              </w:rPr>
            </w:pPr>
            <w:r>
              <w:rPr>
                <w:rFonts w:ascii="Arial" w:cs="Arial" w:eastAsia="Arial" w:hAnsi="Arial"/>
                <w:sz w:val="18"/>
                <w:szCs w:val="18"/>
                <w:b w:val="1"/>
                <w:bCs w:val="1"/>
                <w:color w:val="auto"/>
                <w:w w:val="97"/>
              </w:rPr>
              <w:t>EACH</w:t>
            </w:r>
          </w:p>
        </w:tc>
        <w:tc>
          <w:tcPr>
            <w:tcW w:w="36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ind w:right="412"/>
              <w:spacing w:after="0"/>
              <w:rPr>
                <w:sz w:val="20"/>
                <w:szCs w:val="20"/>
                <w:color w:val="auto"/>
              </w:rPr>
            </w:pPr>
            <w:r>
              <w:rPr>
                <w:rFonts w:ascii="Arial" w:cs="Arial" w:eastAsia="Arial" w:hAnsi="Arial"/>
                <w:sz w:val="18"/>
                <w:szCs w:val="18"/>
                <w:b w:val="1"/>
                <w:bCs w:val="1"/>
                <w:color w:val="auto"/>
                <w:w w:val="99"/>
              </w:rPr>
              <w:t>REPORTING</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7.</w:t>
            </w:r>
          </w:p>
        </w:tc>
        <w:tc>
          <w:tcPr>
            <w:tcW w:w="87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800" w:type="dxa"/>
            <w:vAlign w:val="bottom"/>
          </w:tcPr>
          <w:p>
            <w:pPr>
              <w:jc w:val="center"/>
              <w:ind w:right="392"/>
              <w:spacing w:after="0"/>
              <w:rPr>
                <w:sz w:val="20"/>
                <w:szCs w:val="20"/>
                <w:color w:val="auto"/>
              </w:rPr>
            </w:pPr>
            <w:r>
              <w:rPr>
                <w:rFonts w:ascii="Arial" w:cs="Arial" w:eastAsia="Arial" w:hAnsi="Arial"/>
                <w:sz w:val="18"/>
                <w:szCs w:val="18"/>
                <w:b w:val="1"/>
                <w:bCs w:val="1"/>
                <w:color w:val="auto"/>
                <w:w w:val="94"/>
              </w:rPr>
              <w:t>PERSON</w:t>
            </w:r>
          </w:p>
        </w:tc>
        <w:tc>
          <w:tcPr>
            <w:tcW w:w="36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Arial" w:cs="Arial" w:eastAsia="Arial" w:hAnsi="Arial"/>
                <w:sz w:val="18"/>
                <w:szCs w:val="18"/>
                <w:b w:val="1"/>
                <w:bCs w:val="1"/>
                <w:color w:val="auto"/>
              </w:rPr>
              <w:t>14,620,845</w:t>
            </w:r>
          </w:p>
        </w:tc>
        <w:tc>
          <w:tcPr>
            <w:tcW w:w="0" w:type="dxa"/>
            <w:vAlign w:val="bottom"/>
          </w:tcPr>
          <w:p>
            <w:pPr>
              <w:spacing w:after="0"/>
              <w:rPr>
                <w:sz w:val="1"/>
                <w:szCs w:val="1"/>
                <w:color w:val="auto"/>
              </w:rPr>
            </w:pPr>
          </w:p>
        </w:tc>
      </w:tr>
      <w:tr>
        <w:trPr>
          <w:trHeight w:val="136"/>
        </w:trPr>
        <w:tc>
          <w:tcPr>
            <w:tcW w:w="1800" w:type="dxa"/>
            <w:vAlign w:val="bottom"/>
            <w:vMerge w:val="restart"/>
          </w:tcPr>
          <w:p>
            <w:pPr>
              <w:jc w:val="center"/>
              <w:ind w:right="412"/>
              <w:spacing w:after="0"/>
              <w:rPr>
                <w:sz w:val="20"/>
                <w:szCs w:val="20"/>
                <w:color w:val="auto"/>
              </w:rPr>
            </w:pPr>
            <w:r>
              <w:rPr>
                <w:rFonts w:ascii="Arial" w:cs="Arial" w:eastAsia="Arial" w:hAnsi="Arial"/>
                <w:sz w:val="18"/>
                <w:szCs w:val="18"/>
                <w:b w:val="1"/>
                <w:bCs w:val="1"/>
                <w:color w:val="auto"/>
              </w:rPr>
              <w:t>WITH</w:t>
            </w:r>
          </w:p>
        </w:tc>
        <w:tc>
          <w:tcPr>
            <w:tcW w:w="360" w:type="dxa"/>
            <w:vAlign w:val="bottom"/>
            <w:tcBorders>
              <w:bottom w:val="single" w:sz="8" w:color="auto"/>
            </w:tcBorders>
          </w:tcPr>
          <w:p>
            <w:pPr>
              <w:spacing w:after="0"/>
              <w:rPr>
                <w:sz w:val="11"/>
                <w:szCs w:val="11"/>
                <w:color w:val="auto"/>
              </w:rPr>
            </w:pPr>
          </w:p>
        </w:tc>
        <w:tc>
          <w:tcPr>
            <w:tcW w:w="8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8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880" w:hanging="576"/>
        <w:spacing w:after="0"/>
        <w:tabs>
          <w:tab w:leader="none" w:pos="2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5" w:lineRule="exact"/>
        <w:rPr>
          <w:rFonts w:ascii="Arial" w:cs="Arial" w:eastAsia="Arial" w:hAnsi="Arial"/>
          <w:sz w:val="18"/>
          <w:szCs w:val="18"/>
          <w:color w:val="auto"/>
        </w:rPr>
      </w:pPr>
    </w:p>
    <w:p>
      <w:pPr>
        <w:ind w:left="288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14,620,845</w:t>
      </w:r>
    </w:p>
    <w:p>
      <w:pPr>
        <w:spacing w:after="0" w:line="23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15.5%</w:t>
      </w:r>
    </w:p>
    <w:p>
      <w:pPr>
        <w:spacing w:after="0" w:line="232"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-1000125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jc w:val="center"/>
        <w:ind w:right="5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CUSIP No. G2519Y 10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 of 6</w:t>
      </w:r>
    </w:p>
    <w:p>
      <w:pPr>
        <w:spacing w:after="0" w:line="211" w:lineRule="exact"/>
        <w:rPr>
          <w:sz w:val="20"/>
          <w:szCs w:val="20"/>
          <w:color w:val="auto"/>
        </w:rPr>
      </w:pPr>
    </w:p>
    <w:p>
      <w:pPr>
        <w:sectPr>
          <w:pgSz w:w="11900" w:h="16838" w:orient="portrait"/>
          <w:cols w:equalWidth="0" w:num="2">
            <w:col w:w="9900" w:space="720"/>
            <w:col w:w="800"/>
          </w:cols>
          <w:pgMar w:left="240" w:top="374" w:right="2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186" w:lineRule="exact"/>
        <w:rPr>
          <w:sz w:val="20"/>
          <w:szCs w:val="20"/>
          <w:color w:val="auto"/>
        </w:rPr>
      </w:pPr>
    </w:p>
    <w:p>
      <w:pPr>
        <w:sectPr>
          <w:pgSz w:w="11900" w:h="16838" w:orient="portrait"/>
          <w:cols w:equalWidth="0" w:num="2">
            <w:col w:w="1000" w:space="720"/>
            <w:col w:w="9700"/>
          </w:cols>
          <w:pgMar w:left="240" w:top="374" w:right="239" w:bottom="1440" w:gutter="0" w:footer="0" w:header="0"/>
          <w:type w:val="continuous"/>
        </w:sectPr>
      </w:pPr>
    </w:p>
    <w:p>
      <w:pPr>
        <w:ind w:left="1720"/>
        <w:spacing w:after="0"/>
        <w:rPr>
          <w:sz w:val="20"/>
          <w:szCs w:val="20"/>
          <w:color w:val="auto"/>
        </w:rPr>
      </w:pPr>
      <w:r>
        <w:rPr>
          <w:rFonts w:ascii="Arial" w:cs="Arial" w:eastAsia="Arial" w:hAnsi="Arial"/>
          <w:sz w:val="18"/>
          <w:szCs w:val="18"/>
          <w:b w:val="1"/>
          <w:bCs w:val="1"/>
          <w:color w:val="auto"/>
        </w:rPr>
        <w:t>Credicorp Ltd.</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Hamilton HM11 Bermuda</w:t>
      </w:r>
    </w:p>
    <w:p>
      <w:pPr>
        <w:spacing w:after="0" w:line="15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Persons Filing:</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Atlantic Security Holding Corp.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Calle 50 y Aquilino de la Guardia</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Torre Banco Continental Pisos 28 29</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Panama, Republic of Panama</w:t>
      </w:r>
    </w:p>
    <w:p>
      <w:pPr>
        <w:spacing w:after="0" w:line="15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See Item 4 on Page 2</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Common Shares</w:t>
      </w:r>
    </w:p>
    <w:p>
      <w:pPr>
        <w:spacing w:after="0" w:line="16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G2519Y 10 8</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Item 3. If this statement is filed pursuant to Rules 13d-1(b), or 13d-2(b), check whether the person filing is a:</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Not Applicable.</w:t>
      </w:r>
    </w:p>
    <w:p>
      <w:pPr>
        <w:spacing w:after="0" w:line="164" w:lineRule="exact"/>
        <w:rPr>
          <w:sz w:val="20"/>
          <w:szCs w:val="20"/>
          <w:color w:val="auto"/>
        </w:rPr>
      </w:pPr>
    </w:p>
    <w:p>
      <w:pPr>
        <w:ind w:left="1720" w:hanging="564"/>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type w:val="continuous"/>
        </w:sectPr>
      </w:pPr>
    </w:p>
    <w:bookmarkStart w:id="3" w:name="page4"/>
    <w:bookmarkEnd w:id="3"/>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4 of 6</w:t>
      </w:r>
    </w:p>
    <w:p>
      <w:pPr>
        <w:spacing w:after="0" w:line="252" w:lineRule="exact"/>
        <w:rPr>
          <w:sz w:val="20"/>
          <w:szCs w:val="20"/>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§240.13d-1(b)(ii)(G)</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associations as defined in Section 3(b) of the Federal Deposit Insurance Act</w:t>
      </w:r>
    </w:p>
    <w:p>
      <w:pPr>
        <w:spacing w:after="0" w:line="157" w:lineRule="exact"/>
        <w:rPr>
          <w:rFonts w:ascii="Arial" w:cs="Arial" w:eastAsia="Arial" w:hAnsi="Arial"/>
          <w:sz w:val="18"/>
          <w:szCs w:val="18"/>
          <w:color w:val="auto"/>
        </w:rPr>
      </w:pPr>
    </w:p>
    <w:p>
      <w:pPr>
        <w:ind w:left="2280" w:right="120" w:hanging="1138"/>
        <w:spacing w:after="0" w:line="268" w:lineRule="auto"/>
        <w:tabs>
          <w:tab w:leader="none" w:pos="1713"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18" w:lineRule="exact"/>
        <w:rPr>
          <w:rFonts w:ascii="Arial" w:cs="Arial" w:eastAsia="Arial" w:hAnsi="Arial"/>
          <w:sz w:val="18"/>
          <w:szCs w:val="18"/>
          <w:color w:val="auto"/>
        </w:rPr>
      </w:pPr>
    </w:p>
    <w:p>
      <w:pPr>
        <w:ind w:left="1700" w:hanging="558"/>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64" w:lineRule="exact"/>
        <w:rPr>
          <w:sz w:val="20"/>
          <w:szCs w:val="20"/>
          <w:color w:val="auto"/>
        </w:rPr>
      </w:pPr>
    </w:p>
    <w:p>
      <w:pPr>
        <w:ind w:left="1700" w:right="7640" w:hanging="558"/>
        <w:spacing w:after="0" w:line="475" w:lineRule="auto"/>
        <w:tabs>
          <w:tab w:leader="none" w:pos="1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Beneficially Owned: See Item 9 on Page 2</w:t>
      </w:r>
    </w:p>
    <w:p>
      <w:pPr>
        <w:spacing w:after="0" w:line="1" w:lineRule="exact"/>
        <w:rPr>
          <w:rFonts w:ascii="Arial" w:cs="Arial" w:eastAsia="Arial" w:hAnsi="Arial"/>
          <w:sz w:val="16"/>
          <w:szCs w:val="16"/>
          <w:color w:val="auto"/>
        </w:rPr>
      </w:pPr>
    </w:p>
    <w:p>
      <w:pPr>
        <w:ind w:left="1700" w:hanging="558"/>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5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Item 11 on Page 2</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7" w:lineRule="exact"/>
        <w:rPr>
          <w:rFonts w:ascii="Arial" w:cs="Arial" w:eastAsia="Arial" w:hAnsi="Arial"/>
          <w:sz w:val="18"/>
          <w:szCs w:val="18"/>
          <w:color w:val="auto"/>
        </w:rPr>
      </w:pPr>
    </w:p>
    <w:p>
      <w:pPr>
        <w:ind w:left="2280" w:right="6360" w:hanging="570"/>
        <w:spacing w:after="0" w:line="422" w:lineRule="auto"/>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spacing w:after="0" w:line="1" w:lineRule="exact"/>
        <w:rPr>
          <w:rFonts w:ascii="Arial" w:cs="Arial" w:eastAsia="Arial" w:hAnsi="Arial"/>
          <w:sz w:val="18"/>
          <w:szCs w:val="18"/>
          <w:color w:val="auto"/>
        </w:rPr>
      </w:pPr>
    </w:p>
    <w:p>
      <w:pPr>
        <w:ind w:left="2280" w:right="6180" w:hanging="570"/>
        <w:spacing w:after="0" w:line="422" w:lineRule="auto"/>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on Page 2</w:t>
      </w:r>
    </w:p>
    <w:p>
      <w:pPr>
        <w:spacing w:after="0" w:line="1" w:lineRule="exact"/>
        <w:rPr>
          <w:rFonts w:ascii="Arial" w:cs="Arial" w:eastAsia="Arial" w:hAnsi="Arial"/>
          <w:sz w:val="18"/>
          <w:szCs w:val="18"/>
          <w:color w:val="auto"/>
        </w:rPr>
      </w:pPr>
    </w:p>
    <w:p>
      <w:pPr>
        <w:ind w:left="2280" w:right="5480" w:hanging="570"/>
        <w:spacing w:after="0" w:line="440" w:lineRule="auto"/>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2140" w:type="dxa"/>
            <w:vAlign w:val="bottom"/>
            <w:gridSpan w:val="2"/>
          </w:tcPr>
          <w:p>
            <w:pPr>
              <w:spacing w:after="0"/>
              <w:rPr>
                <w:sz w:val="20"/>
                <w:szCs w:val="20"/>
                <w:color w:val="auto"/>
              </w:rPr>
            </w:pPr>
            <w:r>
              <w:rPr>
                <w:rFonts w:ascii="Arial" w:cs="Arial" w:eastAsia="Arial" w:hAnsi="Arial"/>
                <w:sz w:val="18"/>
                <w:szCs w:val="18"/>
                <w:color w:val="auto"/>
              </w:rPr>
              <w:t>CUSIP No. G2519Y 10 8</w:t>
            </w:r>
          </w:p>
        </w:tc>
        <w:tc>
          <w:tcPr>
            <w:tcW w:w="9300" w:type="dxa"/>
            <w:vAlign w:val="bottom"/>
          </w:tcPr>
          <w:p>
            <w:pPr>
              <w:ind w:left="8480"/>
              <w:spacing w:after="0"/>
              <w:rPr>
                <w:sz w:val="20"/>
                <w:szCs w:val="20"/>
                <w:color w:val="auto"/>
              </w:rPr>
            </w:pPr>
            <w:r>
              <w:rPr>
                <w:rFonts w:ascii="Arial" w:cs="Arial" w:eastAsia="Arial" w:hAnsi="Arial"/>
                <w:sz w:val="18"/>
                <w:szCs w:val="18"/>
                <w:color w:val="auto"/>
                <w:w w:val="86"/>
              </w:rPr>
              <w:t>Page 5 of 6</w:t>
            </w:r>
          </w:p>
        </w:tc>
      </w:tr>
      <w:tr>
        <w:trPr>
          <w:trHeight w:val="459"/>
        </w:trPr>
        <w:tc>
          <w:tcPr>
            <w:tcW w:w="116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(iv)</w:t>
            </w:r>
          </w:p>
        </w:tc>
        <w:tc>
          <w:tcPr>
            <w:tcW w:w="9300" w:type="dxa"/>
            <w:vAlign w:val="bottom"/>
          </w:tcPr>
          <w:p>
            <w:pPr>
              <w:ind w:left="16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365"/>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See Item 8 on Page 2</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rPr>
              <w:t>Ownership of Five Percent or Less of a Class.</w:t>
            </w:r>
          </w:p>
        </w:tc>
      </w:tr>
      <w:tr>
        <w:trPr>
          <w:trHeight w:val="365"/>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365"/>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7.</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w w:val="93"/>
              </w:rPr>
              <w:t>Identification and Classification of the Subsidiary which Acquired the Security Being Reported on by the Parent Holding Company.</w:t>
            </w:r>
          </w:p>
        </w:tc>
      </w:tr>
      <w:tr>
        <w:trPr>
          <w:trHeight w:val="365"/>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8.</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365"/>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9.</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rPr>
              <w:t>Notice of Dissolution of Group.</w:t>
            </w:r>
          </w:p>
        </w:tc>
      </w:tr>
      <w:tr>
        <w:trPr>
          <w:trHeight w:val="365"/>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Not applicable.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10280" w:type="dxa"/>
            <w:vAlign w:val="bottom"/>
            <w:gridSpan w:val="2"/>
          </w:tcPr>
          <w:p>
            <w:pPr>
              <w:ind w:left="560"/>
              <w:spacing w:after="0"/>
              <w:rPr>
                <w:sz w:val="20"/>
                <w:szCs w:val="20"/>
                <w:color w:val="auto"/>
              </w:rPr>
            </w:pPr>
            <w:r>
              <w:rPr>
                <w:rFonts w:ascii="Arial" w:cs="Arial" w:eastAsia="Arial" w:hAnsi="Arial"/>
                <w:sz w:val="18"/>
                <w:szCs w:val="18"/>
                <w:color w:val="auto"/>
              </w:rPr>
              <w:t>Certifications.</w:t>
            </w:r>
          </w:p>
        </w:tc>
      </w:tr>
      <w:tr>
        <w:trPr>
          <w:trHeight w:val="352"/>
        </w:trPr>
        <w:tc>
          <w:tcPr>
            <w:tcW w:w="1160" w:type="dxa"/>
            <w:vAlign w:val="bottom"/>
          </w:tcPr>
          <w:p>
            <w:pPr>
              <w:spacing w:after="0"/>
              <w:rPr>
                <w:sz w:val="24"/>
                <w:szCs w:val="24"/>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w w:val="87"/>
              </w:rPr>
              <w:t>By signing below, I certify that, to the best of my knowledge and belief, the securities referred to above were not acquired and are</w:t>
            </w:r>
          </w:p>
        </w:tc>
      </w:tr>
      <w:tr>
        <w:trPr>
          <w:trHeight w:val="216"/>
        </w:trPr>
        <w:tc>
          <w:tcPr>
            <w:tcW w:w="1160" w:type="dxa"/>
            <w:vAlign w:val="bottom"/>
          </w:tcPr>
          <w:p>
            <w:pPr>
              <w:spacing w:after="0"/>
              <w:rPr>
                <w:sz w:val="18"/>
                <w:szCs w:val="18"/>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w w:val="89"/>
              </w:rPr>
              <w:t>not held for the purpose of or with the effect of changing or influencing the control of the issuer of the securities and were not</w:t>
            </w:r>
          </w:p>
        </w:tc>
      </w:tr>
      <w:tr>
        <w:trPr>
          <w:trHeight w:val="228"/>
        </w:trPr>
        <w:tc>
          <w:tcPr>
            <w:tcW w:w="1160" w:type="dxa"/>
            <w:vAlign w:val="bottom"/>
          </w:tcPr>
          <w:p>
            <w:pPr>
              <w:spacing w:after="0"/>
              <w:rPr>
                <w:sz w:val="19"/>
                <w:szCs w:val="19"/>
                <w:color w:val="auto"/>
              </w:rPr>
            </w:pPr>
          </w:p>
        </w:tc>
        <w:tc>
          <w:tcPr>
            <w:tcW w:w="10280" w:type="dxa"/>
            <w:vAlign w:val="bottom"/>
            <w:gridSpan w:val="2"/>
          </w:tcPr>
          <w:p>
            <w:pPr>
              <w:ind w:left="560"/>
              <w:spacing w:after="0"/>
              <w:rPr>
                <w:sz w:val="20"/>
                <w:szCs w:val="20"/>
                <w:color w:val="auto"/>
              </w:rPr>
            </w:pPr>
            <w:r>
              <w:rPr>
                <w:rFonts w:ascii="Arial" w:cs="Arial" w:eastAsia="Arial" w:hAnsi="Arial"/>
                <w:sz w:val="18"/>
                <w:szCs w:val="18"/>
                <w:b w:val="1"/>
                <w:bCs w:val="1"/>
                <w:color w:val="auto"/>
              </w:rPr>
              <w:t>acquired and are not held in connection with or as a participant in any transaction having that purpose or effect.</w:t>
            </w:r>
          </w:p>
        </w:tc>
      </w:tr>
      <w:tr>
        <w:trPr>
          <w:trHeight w:val="353"/>
        </w:trPr>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374" w:right="219" w:bottom="1440" w:gutter="0" w:footer="0" w:header="0"/>
        </w:sectPr>
      </w:pPr>
    </w:p>
    <w:bookmarkStart w:id="5" w:name="page6"/>
    <w:bookmarkEnd w:id="5"/>
    <w:p>
      <w:pPr>
        <w:spacing w:after="0"/>
        <w:tabs>
          <w:tab w:leader="none" w:pos="1060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13, 2007</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Atlantic Security Holding Corporation</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Carlos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Carlos Muñoz</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3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2019-12-14T06:09:38Z</dcterms:created>
  <dcterms:modified xsi:type="dcterms:W3CDTF">2019-12-14T06:09:38Z</dcterms:modified>
</cp:coreProperties>
</file>