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February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 Ltd. (the ‘Company’) notifies you, as a Material Event, that in its session held on February 27, 2019, the Company’s Board of Directors agreed unanimously on the following matters:</w:t>
      </w:r>
    </w:p>
    <w:p>
      <w:pPr>
        <w:spacing w:after="0" w:line="170" w:lineRule="exact"/>
        <w:rPr>
          <w:sz w:val="20"/>
          <w:szCs w:val="20"/>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Annual Report of the Company for the financial year ended December 31, 2018 that the Chairman will present at the Annual General Meeting of Shareholders on March 29, 2019.</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Approved the audited consolidated financial statements of the Company and its subsidiaries, for the financial year ended December 31, 2018, including the report of the external independent auditors Gaveglio, Aparicio y Asociados Sociedad de Responsabilidad Limitada, members of PricewaterhouseCoopers in Peru, to be submitted for evaluation and approval of the Annual General Meeting of Shareholders on March 29, 2019.</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Agreed to recommend (i) the reappointment of Gaveglio, Aparicio y Asociados Sociedad de Responsabilidad Limitada, members of PricewaterhouseCoopers in Peru, as the external independent auditors of the Company for the financial year 2019, with the previous authorization of the Audit Committee; and (ii) to assign to the Audit Committee the approval of the independent external auditor’s fees. The aforementioned agreements will be submitted for consideration at the Annual General Meeting of Shareholders on March 29, 2019.</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amount of the remuneration of the Board of Directors to be submitted for evaluation and approval of the Annual General Meeting of Shareholders on March 29, 2019, such remuneration to consist of: (i) annual remuneration of US$50,000 to each Director; (ii) additional annual remuneration of US$40,000 to each Director who is a member of the Audit Committee and to each Director of the Company’s subsidiaries who is appointed as an advisor to the Audit Committee of the Company; and (iii) a remuneration of US$1,500 for each session attended by each Director serving on the Executive Committee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Board of Directors also agreed unanimously the following:</w:t>
      </w:r>
    </w:p>
    <w:p>
      <w:pPr>
        <w:spacing w:after="0" w:line="225" w:lineRule="exact"/>
        <w:rPr>
          <w:sz w:val="20"/>
          <w:szCs w:val="20"/>
          <w:color w:val="auto"/>
        </w:rPr>
      </w:pPr>
    </w:p>
    <w:p>
      <w:pPr>
        <w:jc w:val="both"/>
        <w:ind w:left="34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pay its shareholders a cash dividend of S/1,887,646,340.00 for a total of 94,382,317 outstanding shares, which is equivalent to S/20.0000 per share. The cash dividend will be paid out on May 10, 2019, without withholding tax at source, to shareholders of record on April 16, 2019. The dividend will be paid in US Dollars using the weighted exchange rate registered by the Superintendency of Banks, Insurance and Pension Funds (</w:t>
      </w:r>
      <w:r>
        <w:rPr>
          <w:rFonts w:ascii="Arial" w:cs="Arial" w:eastAsia="Arial" w:hAnsi="Arial"/>
          <w:sz w:val="18"/>
          <w:szCs w:val="18"/>
          <w:i w:val="1"/>
          <w:iCs w:val="1"/>
          <w:color w:val="auto"/>
        </w:rPr>
        <w:t>Superintendencia de</w:t>
      </w:r>
      <w:r>
        <w:rPr>
          <w:rFonts w:ascii="Arial" w:cs="Arial" w:eastAsia="Arial" w:hAnsi="Arial"/>
          <w:sz w:val="18"/>
          <w:szCs w:val="18"/>
          <w:color w:val="auto"/>
        </w:rPr>
        <w:t xml:space="preserve"> </w:t>
      </w:r>
      <w:r>
        <w:rPr>
          <w:rFonts w:ascii="Arial" w:cs="Arial" w:eastAsia="Arial" w:hAnsi="Arial"/>
          <w:sz w:val="18"/>
          <w:szCs w:val="18"/>
          <w:i w:val="1"/>
          <w:iCs w:val="1"/>
          <w:color w:val="auto"/>
        </w:rPr>
        <w:t>Banca, Seguros y AFP</w:t>
      </w:r>
      <w:r>
        <w:rPr>
          <w:rFonts w:ascii="Arial" w:cs="Arial" w:eastAsia="Arial" w:hAnsi="Arial"/>
          <w:sz w:val="18"/>
          <w:szCs w:val="18"/>
          <w:color w:val="auto"/>
        </w:rPr>
        <w:t>) for the transactions at the close of business on May 8, 2019. The US Dollar dividend amount will be rounded up to four decimals.</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approved the distribution of dividend according to the Bye-Laws of the Company and considering a total net income attained in the financial year 2018 of S/3,983,865,263.06.</w:t>
      </w:r>
    </w:p>
    <w:p>
      <w:pPr>
        <w:spacing w:after="0" w:line="193"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transfer: (i) S/1,394,353,000.00 to restricted special reserves, and (ii) S/464,458,362.18 to special reserves; both amounts resulting from earnings corresponding to fiscal year 2018 (S/3,983,865,263.06) and to earnings of previous years accumulated as of December 31, 2018 (S/237,407,560.88). As a result, restricted special reserves will amount to S/13,465,315,766.47, which cannot be used without the authorization of the Superintendency of Banks, Insurance and Pension Fund Managers of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27, 2019</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2019-12-05T00:50:13Z</dcterms:created>
  <dcterms:modified xsi:type="dcterms:W3CDTF">2019-12-05T00:50:13Z</dcterms:modified>
</cp:coreProperties>
</file>