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6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5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35"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327025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464185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77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0891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8910" cy="325755"/>
                    </a:xfrm>
                    <a:prstGeom prst="rect">
                      <a:avLst/>
                    </a:prstGeom>
                    <a:noFill/>
                  </pic:spPr>
                </pic:pic>
              </a:graphicData>
            </a:graphic>
          </wp:anchor>
        </w:drawing>
        <w:t>June 8,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hereby notify you of the following Material Event:</w:t>
      </w:r>
    </w:p>
    <w:p>
      <w:pPr>
        <w:spacing w:after="0" w:line="239" w:lineRule="exact"/>
        <w:rPr>
          <w:sz w:val="20"/>
          <w:szCs w:val="20"/>
          <w:color w:val="auto"/>
        </w:rPr>
      </w:pPr>
    </w:p>
    <w:p>
      <w:pPr>
        <w:jc w:val="both"/>
        <w:ind w:left="500" w:hanging="492"/>
        <w:spacing w:after="0" w:line="25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exchange rate registered by the Peruvian Superintendence of Banking, Insurance and AFP (Superintendencia de Banca, Seguros y AFP) at the close of business on June 8, 2022, to be used for the calculation of the dividends to be paid by Credicorp Ltd. on June 10, 2022 is S/3.7560 per US Dollar.</w:t>
      </w:r>
    </w:p>
    <w:p>
      <w:pPr>
        <w:spacing w:after="0" w:line="19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regard, the dividend to be paid per share shall be US$3.9936, equivalent to S/15.0000 per share.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communication is related to the dividend distribution agreement adopted by the Board of Directors at its meeting held on April 28, 2022 and informed to the market as a Material Event.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36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2022-06-09T05:12:20Z</dcterms:created>
  <dcterms:modified xsi:type="dcterms:W3CDTF">2022-06-09T05:12:20Z</dcterms:modified>
</cp:coreProperties>
</file>