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20-F/A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5" w:lineRule="exact"/>
        <w:rPr>
          <w:sz w:val="24"/>
          <w:szCs w:val="24"/>
          <w:color w:val="auto"/>
        </w:rPr>
      </w:pPr>
    </w:p>
    <w:p>
      <w:pPr>
        <w:ind w:left="4060" w:right="2460" w:hanging="1592"/>
        <w:spacing w:after="0" w:line="261" w:lineRule="auto"/>
        <w:tabs>
          <w:tab w:leader="none" w:pos="26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REGISTRATION STATEMENT PURSUANT TO SECTION 12(b) OR (g) OF THE SECURITIES EXCHANGE ACT OF 1934</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9" w:lineRule="exact"/>
        <w:rPr>
          <w:rFonts w:ascii="MS PGothic" w:cs="MS PGothic" w:eastAsia="MS PGothic" w:hAnsi="MS PGothic"/>
          <w:sz w:val="18"/>
          <w:szCs w:val="18"/>
          <w:color w:val="auto"/>
        </w:rPr>
      </w:pPr>
    </w:p>
    <w:p>
      <w:pPr>
        <w:jc w:val="center"/>
        <w:ind w:left="4580" w:right="2380" w:hanging="2186"/>
        <w:spacing w:after="0" w:line="260" w:lineRule="auto"/>
        <w:tabs>
          <w:tab w:leader="none" w:pos="259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397" w:lineRule="exact"/>
        <w:rPr>
          <w:sz w:val="24"/>
          <w:szCs w:val="24"/>
          <w:color w:val="auto"/>
        </w:rPr>
      </w:pPr>
    </w:p>
    <w:p>
      <w:pPr>
        <w:jc w:val="center"/>
        <w:ind w:left="4580" w:right="2220" w:hanging="2346"/>
        <w:spacing w:after="0" w:line="261" w:lineRule="auto"/>
        <w:tabs>
          <w:tab w:leader="none" w:pos="2434"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9" w:lineRule="exact"/>
        <w:rPr>
          <w:rFonts w:ascii="MS PGothic" w:cs="MS PGothic" w:eastAsia="MS PGothic" w:hAnsi="MS PGothic"/>
          <w:sz w:val="18"/>
          <w:szCs w:val="18"/>
          <w:color w:val="auto"/>
        </w:rPr>
      </w:pPr>
    </w:p>
    <w:p>
      <w:pPr>
        <w:jc w:val="center"/>
        <w:ind w:left="4580" w:right="2000" w:hanging="2573"/>
        <w:spacing w:after="0" w:line="250" w:lineRule="auto"/>
        <w:tabs>
          <w:tab w:leader="none" w:pos="2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SHELL COMPANY REPORT PURSUANT TO SECTION 13 OR 15 (d) OF THE SECURITIES EXCHANGE ACT OF 1934</w:t>
      </w:r>
    </w:p>
    <w:p>
      <w:pPr>
        <w:spacing w:after="0" w:line="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Date of event requiring this shell company report ______________</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For the transition period from ________ to 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1-14014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charter)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Alejandro Pérez-Reyes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Phone (+511) 313 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8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2160" w:type="dxa"/>
            <w:vAlign w:val="bottom"/>
            <w:gridSpan w:val="4"/>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Symbol(s)</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60" w:type="dxa"/>
            <w:vAlign w:val="bottom"/>
            <w:gridSpan w:val="2"/>
          </w:tcPr>
          <w:p>
            <w:pPr>
              <w:jc w:val="center"/>
              <w:ind w:right="880"/>
              <w:spacing w:after="0" w:line="196" w:lineRule="exact"/>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6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Common Shares, par value $5.00 per share</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BAP</w:t>
            </w:r>
          </w:p>
        </w:tc>
        <w:tc>
          <w:tcPr>
            <w:tcW w:w="800" w:type="dxa"/>
            <w:vAlign w:val="bottom"/>
          </w:tcPr>
          <w:p>
            <w:pPr>
              <w:spacing w:after="0"/>
              <w:rPr>
                <w:sz w:val="24"/>
                <w:szCs w:val="24"/>
                <w:color w:val="auto"/>
              </w:rPr>
            </w:pPr>
          </w:p>
        </w:tc>
        <w:tc>
          <w:tcPr>
            <w:tcW w:w="2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r>
        <w:trPr>
          <w:trHeight w:val="432"/>
        </w:trPr>
        <w:tc>
          <w:tcPr>
            <w:tcW w:w="6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or to be registered pursuant to Section 12(g) of the Act.   </w:t>
            </w:r>
            <w:r>
              <w:rPr>
                <w:rFonts w:ascii="Times New Roman" w:cs="Times New Roman" w:eastAsia="Times New Roman" w:hAnsi="Times New Roman"/>
                <w:sz w:val="18"/>
                <w:szCs w:val="18"/>
                <w:color w:val="auto"/>
              </w:rPr>
              <w:t>None</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Securities for which there is a reporting obligation pursuant to Section 15(d) of the Act.</w:t>
            </w:r>
          </w:p>
        </w:tc>
        <w:tc>
          <w:tcPr>
            <w:tcW w:w="33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194"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Indicate the number of outstanding shares of each of the issuer’s classes of capital or common stock as of the close of the period covered by the annual report.</w:t>
      </w:r>
    </w:p>
    <w:p>
      <w:pPr>
        <w:spacing w:after="0" w:line="159" w:lineRule="exact"/>
        <w:rPr>
          <w:sz w:val="24"/>
          <w:szCs w:val="24"/>
          <w:color w:val="auto"/>
        </w:rPr>
      </w:pPr>
    </w:p>
    <w:p>
      <w:pPr>
        <w:spacing w:after="0"/>
        <w:tabs>
          <w:tab w:leader="none" w:pos="3400" w:val="left"/>
        </w:tabs>
        <w:rPr>
          <w:sz w:val="20"/>
          <w:szCs w:val="20"/>
          <w:color w:val="auto"/>
        </w:rPr>
      </w:pPr>
      <w:r>
        <w:rPr>
          <w:rFonts w:ascii="Times New Roman" w:cs="Times New Roman" w:eastAsia="Times New Roman" w:hAnsi="Times New Roman"/>
          <w:sz w:val="18"/>
          <w:szCs w:val="18"/>
          <w:color w:val="auto"/>
        </w:rPr>
        <w:t>Common Shares, par value $5.00 per share</w:t>
      </w:r>
      <w:r>
        <w:rPr>
          <w:sz w:val="20"/>
          <w:szCs w:val="20"/>
          <w:color w:val="auto"/>
        </w:rPr>
        <w:tab/>
      </w:r>
      <w:r>
        <w:rPr>
          <w:rFonts w:ascii="Times New Roman" w:cs="Times New Roman" w:eastAsia="Times New Roman" w:hAnsi="Times New Roman"/>
          <w:sz w:val="18"/>
          <w:szCs w:val="18"/>
          <w:color w:val="auto"/>
        </w:rPr>
        <w:t>94,382,317</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Indicate by check mark if the registrant is a well-known seasoned issuer, as defined in Rule 405 of the Securities Act.</w:t>
      </w:r>
    </w:p>
    <w:p>
      <w:pPr>
        <w:spacing w:after="0" w:line="188" w:lineRule="exact"/>
        <w:rPr>
          <w:sz w:val="24"/>
          <w:szCs w:val="24"/>
          <w:color w:val="auto"/>
        </w:rPr>
      </w:pPr>
    </w:p>
    <w:p>
      <w:pPr>
        <w:ind w:left="4400"/>
        <w:spacing w:after="0" w:line="207" w:lineRule="exact"/>
        <w:tabs>
          <w:tab w:leader="none" w:pos="5060" w:val="left"/>
          <w:tab w:leader="none" w:pos="6180" w:val="left"/>
          <w:tab w:leader="none" w:pos="6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62"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If this report is an annual or transition report, indicate by check mark if the registrant is not required to file reports pursuant to Section 13 or 15(d) of the Securities Exchange Act of 1934.</w:t>
      </w:r>
    </w:p>
    <w:p>
      <w:pPr>
        <w:sectPr>
          <w:pgSz w:w="11900" w:h="16862" w:orient="portrait"/>
          <w:cols w:equalWidth="0" w:num="1">
            <w:col w:w="11240"/>
          </w:cols>
          <w:pgMar w:left="320" w:top="508" w:right="339" w:bottom="0" w:gutter="0" w:footer="0" w:header="0"/>
        </w:sectPr>
      </w:pPr>
    </w:p>
    <w:bookmarkStart w:id="1" w:name="page2"/>
    <w:bookmarkEnd w:id="1"/>
    <w:p>
      <w:pPr>
        <w:ind w:left="4400"/>
        <w:spacing w:after="0" w:line="207" w:lineRule="exact"/>
        <w:tabs>
          <w:tab w:leader="none" w:pos="5060" w:val="left"/>
          <w:tab w:leader="none" w:pos="6180" w:val="left"/>
          <w:tab w:leader="none" w:pos="6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4" w:lineRule="exact"/>
        <w:rPr>
          <w:sz w:val="20"/>
          <w:szCs w:val="20"/>
          <w:color w:val="auto"/>
        </w:rPr>
      </w:pPr>
    </w:p>
    <w:p>
      <w:pPr>
        <w:ind w:left="4400"/>
        <w:spacing w:after="0" w:line="207" w:lineRule="exact"/>
        <w:tabs>
          <w:tab w:leader="none" w:pos="5060" w:val="left"/>
          <w:tab w:leader="none" w:pos="6180" w:val="left"/>
          <w:tab w:leader="none" w:pos="6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4" w:lineRule="exact"/>
        <w:rPr>
          <w:sz w:val="20"/>
          <w:szCs w:val="20"/>
          <w:color w:val="auto"/>
        </w:rPr>
      </w:pPr>
    </w:p>
    <w:p>
      <w:pPr>
        <w:ind w:left="4400"/>
        <w:spacing w:after="0" w:line="207" w:lineRule="exact"/>
        <w:tabs>
          <w:tab w:leader="none" w:pos="5060" w:val="left"/>
          <w:tab w:leader="none" w:pos="6180" w:val="left"/>
          <w:tab w:leader="none" w:pos="6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6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0"/>
          </w:cols>
          <w:pgMar w:left="320" w:top="297" w:right="339" w:bottom="1440" w:gutter="0" w:footer="0" w:header="0"/>
        </w:sectPr>
      </w:pPr>
    </w:p>
    <w:p>
      <w:pPr>
        <w:spacing w:after="0" w:line="17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1" w:lineRule="exact"/>
        <w:rPr>
          <w:sz w:val="20"/>
          <w:szCs w:val="20"/>
          <w:color w:val="auto"/>
        </w:rPr>
      </w:pPr>
    </w:p>
    <w:p>
      <w:pPr>
        <w:sectPr>
          <w:pgSz w:w="11900" w:h="16838" w:orient="portrait"/>
          <w:cols w:equalWidth="0" w:num="4">
            <w:col w:w="4920" w:space="720"/>
            <w:col w:w="960" w:space="720"/>
            <w:col w:w="2080" w:space="720"/>
            <w:col w:w="1120"/>
          </w:cols>
          <w:pgMar w:left="320" w:top="297" w:right="339" w:bottom="1440" w:gutter="0" w:footer="0" w:header="0"/>
          <w:type w:val="continuous"/>
        </w:sectPr>
      </w:pPr>
    </w:p>
    <w:p>
      <w:pPr>
        <w:spacing w:after="0" w:line="4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87" w:lineRule="exact"/>
        <w:rPr>
          <w:sz w:val="20"/>
          <w:szCs w:val="20"/>
          <w:color w:val="auto"/>
        </w:rPr>
      </w:pPr>
    </w:p>
    <w:p>
      <w:pPr>
        <w:sectPr>
          <w:pgSz w:w="11900" w:h="16838" w:orient="portrait"/>
          <w:cols w:equalWidth="0" w:num="4">
            <w:col w:w="4920" w:space="720"/>
            <w:col w:w="960" w:space="720"/>
            <w:col w:w="2080" w:space="720"/>
            <w:col w:w="1120"/>
          </w:cols>
          <w:pgMar w:left="320" w:top="297" w:right="339" w:bottom="1440" w:gutter="0" w:footer="0" w:header="0"/>
          <w:type w:val="continuous"/>
        </w:sectPr>
      </w:pPr>
    </w:p>
    <w:p>
      <w:pPr>
        <w:spacing w:after="0" w:line="2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provided pursuant to Section 13(a) of the Exchange Act. </w:t>
      </w:r>
      <w:r>
        <w:rPr>
          <w:rFonts w:ascii="MS PGothic" w:cs="MS PGothic" w:eastAsia="MS PGothic" w:hAnsi="MS PGothic"/>
          <w:sz w:val="18"/>
          <w:szCs w:val="18"/>
          <w:color w:val="auto"/>
        </w:rPr>
        <w:t>☐</w:t>
      </w:r>
    </w:p>
    <w:p>
      <w:pPr>
        <w:spacing w:after="0" w:line="172" w:lineRule="exact"/>
        <w:rPr>
          <w:sz w:val="20"/>
          <w:szCs w:val="20"/>
          <w:color w:val="auto"/>
        </w:rPr>
      </w:pPr>
    </w:p>
    <w:p>
      <w:pPr>
        <w:ind w:firstLine="8"/>
        <w:spacing w:after="0" w:line="282" w:lineRule="auto"/>
        <w:tabs>
          <w:tab w:leader="none" w:pos="1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5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highlight w:val="black"/>
        </w:rPr>
        <w:t>☒</w:t>
      </w:r>
    </w:p>
    <w:p>
      <w:pPr>
        <w:spacing w:after="0" w:line="168" w:lineRule="exact"/>
        <w:rPr>
          <w:sz w:val="20"/>
          <w:szCs w:val="20"/>
          <w:color w:val="auto"/>
        </w:rPr>
      </w:pPr>
    </w:p>
    <w:p>
      <w:pPr>
        <w:jc w:val="both"/>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highlight w:val="black"/>
        </w:rPr>
        <w:t>☐</w:t>
      </w:r>
    </w:p>
    <w:p>
      <w:pPr>
        <w:spacing w:after="0" w:line="167" w:lineRule="exact"/>
        <w:rPr>
          <w:sz w:val="20"/>
          <w:szCs w:val="20"/>
          <w:color w:val="auto"/>
        </w:rPr>
      </w:pPr>
    </w:p>
    <w:p>
      <w:pPr>
        <w:jc w:val="both"/>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297" w:right="3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International Financial Reporting Standards as issued</w:t>
      </w:r>
    </w:p>
    <w:p>
      <w:pPr>
        <w:spacing w:after="0" w:line="39"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Other </w:t>
      </w:r>
      <w:r>
        <w:rPr>
          <w:rFonts w:ascii="MS PGothic" w:cs="MS PGothic" w:eastAsia="MS PGothic" w:hAnsi="MS PGothic"/>
          <w:sz w:val="18"/>
          <w:szCs w:val="18"/>
          <w:color w:val="auto"/>
        </w:rPr>
        <w:t>☐</w:t>
      </w:r>
    </w:p>
    <w:p>
      <w:pPr>
        <w:spacing w:after="0" w:line="474" w:lineRule="exact"/>
        <w:rPr>
          <w:sz w:val="20"/>
          <w:szCs w:val="20"/>
          <w:color w:val="auto"/>
        </w:rPr>
      </w:pPr>
    </w:p>
    <w:p>
      <w:pPr>
        <w:sectPr>
          <w:pgSz w:w="11900" w:h="16838" w:orient="portrait"/>
          <w:cols w:equalWidth="0" w:num="4">
            <w:col w:w="860" w:space="80"/>
            <w:col w:w="2400" w:space="720"/>
            <w:col w:w="5500" w:space="720"/>
            <w:col w:w="960"/>
          </w:cols>
          <w:pgMar w:left="320" w:top="297" w:right="339" w:bottom="1440" w:gutter="0" w:footer="0" w:header="0"/>
          <w:type w:val="continuous"/>
        </w:sectPr>
      </w:pPr>
    </w:p>
    <w:p>
      <w:pPr>
        <w:spacing w:after="0" w:line="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“Other” has been checked in response to the previous question, indicate by check mark which financial statement item the registrant has elected to follow.</w:t>
      </w:r>
    </w:p>
    <w:p>
      <w:pPr>
        <w:spacing w:after="0" w:line="118" w:lineRule="exact"/>
        <w:rPr>
          <w:sz w:val="20"/>
          <w:szCs w:val="20"/>
          <w:color w:val="auto"/>
        </w:rPr>
      </w:pPr>
    </w:p>
    <w:p>
      <w:pPr>
        <w:ind w:left="4400"/>
        <w:spacing w:after="0" w:line="207" w:lineRule="exact"/>
        <w:tabs>
          <w:tab w:leader="none" w:pos="6180" w:val="left"/>
        </w:tabs>
        <w:rPr>
          <w:sz w:val="20"/>
          <w:szCs w:val="20"/>
          <w:color w:val="auto"/>
        </w:rPr>
      </w:pPr>
      <w:r>
        <w:rPr>
          <w:rFonts w:ascii="Times New Roman" w:cs="Times New Roman" w:eastAsia="Times New Roman" w:hAnsi="Times New Roman"/>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Item 18 </w:t>
      </w:r>
      <w:r>
        <w:rPr>
          <w:rFonts w:ascii="MS PGothic" w:cs="MS PGothic" w:eastAsia="MS PGothic" w:hAnsi="MS PGothic"/>
          <w:sz w:val="18"/>
          <w:szCs w:val="18"/>
          <w:color w:val="auto"/>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is an annual report, indicate by check mark whether the registrant is a shell company (as defined in Rule 12b-2 of the Exchange Act).</w:t>
      </w:r>
    </w:p>
    <w:p>
      <w:pPr>
        <w:spacing w:after="0" w:line="188" w:lineRule="exact"/>
        <w:rPr>
          <w:sz w:val="20"/>
          <w:szCs w:val="20"/>
          <w:color w:val="auto"/>
        </w:rPr>
      </w:pPr>
    </w:p>
    <w:p>
      <w:pPr>
        <w:ind w:left="4400"/>
        <w:spacing w:after="0" w:line="207" w:lineRule="exact"/>
        <w:tabs>
          <w:tab w:leader="none" w:pos="5060" w:val="left"/>
          <w:tab w:leader="none" w:pos="6180" w:val="left"/>
          <w:tab w:leader="none" w:pos="68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8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We are filing this Amendment No. 1 (“Form 20-F/A”) to our Annual Report on Form 20-F for the Fiscal Year Ended December 31, 2024, originally filed with the Securities and Exchange Commission (the “SEC”) on April 25, 2025 (the “Form 20-F”), to re-file Item 7. This amendment corrects the percentages we had calculated of Credicorp’s common shares owned by certain non-affiliated companies as presented in the table of holders of 5% or more of our total common shares in Item 7.A, as well as the description of that table. No other changes have been made to the data presented in this Item 7.</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Except as expressly set forth in this Form 20-F/A, we are not amending any other part of the Form 20-F. This Form 20-F/A does not reflect events occurring after the filing of the Form 20-F or modify or update any related or other disclosures, including forward-looking statements, unless expressly noted otherwise. Accordingly, this Form 20-F/A should be read in conjunction with the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7.A</w:t>
      </w:r>
      <w:r>
        <w:rPr>
          <w:sz w:val="20"/>
          <w:szCs w:val="20"/>
          <w:color w:val="auto"/>
        </w:rPr>
        <w:tab/>
      </w:r>
      <w:r>
        <w:rPr>
          <w:rFonts w:ascii="Times New Roman" w:cs="Times New Roman" w:eastAsia="Times New Roman" w:hAnsi="Times New Roman"/>
          <w:sz w:val="17"/>
          <w:szCs w:val="17"/>
          <w:b w:val="1"/>
          <w:bCs w:val="1"/>
          <w:color w:val="auto"/>
        </w:rPr>
        <w:t>Major Shareholders</w:t>
      </w:r>
    </w:p>
    <w:p>
      <w:pPr>
        <w:spacing w:after="0" w:line="22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As of December 31, 2024, Credicorp had issued 94,382,317 common shares, of which 14,620,846 were held by ASHC. Under Bermuda law, ASHC has voting rights on the common shares it holds. Until 2003, ASHC held 10,158,204 common shares. In April 2004, common shares held by BCP and Grupo Pacífico were transferred to ASHC, totaling 14,620,846 common shares. The table below provides details about the percentages of Credicorp’s common shares owned by holders of 5% or more of our total common shares based on available information.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significant changes in the percentages of ownership held by any major shareholders in the past three years.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340"/>
        </w:trPr>
        <w:tc>
          <w:tcPr>
            <w:tcW w:w="686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8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00" w:type="dxa"/>
            <w:vAlign w:val="bottom"/>
          </w:tcPr>
          <w:p>
            <w:pPr>
              <w:spacing w:after="0"/>
              <w:rPr>
                <w:sz w:val="24"/>
                <w:szCs w:val="24"/>
                <w:color w:val="auto"/>
              </w:rPr>
            </w:pPr>
          </w:p>
        </w:tc>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 xml:space="preserve">Percent of Class </w:t>
            </w:r>
            <w:r>
              <w:rPr>
                <w:rFonts w:ascii="Times New Roman" w:cs="Times New Roman" w:eastAsia="Times New Roman" w:hAnsi="Times New Roman"/>
                <w:sz w:val="29"/>
                <w:szCs w:val="29"/>
                <w:b w:val="1"/>
                <w:bCs w:val="1"/>
                <w:color w:val="auto"/>
                <w:w w:val="95"/>
                <w:vertAlign w:val="superscript"/>
              </w:rPr>
              <w:t>(1)</w:t>
            </w:r>
          </w:p>
        </w:tc>
        <w:tc>
          <w:tcPr>
            <w:tcW w:w="180" w:type="dxa"/>
            <w:vAlign w:val="bottom"/>
          </w:tcPr>
          <w:p>
            <w:pPr>
              <w:spacing w:after="0"/>
              <w:rPr>
                <w:sz w:val="24"/>
                <w:szCs w:val="24"/>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Atlantic Security Holding Corporation</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14,620,846</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15.49%</w:t>
            </w:r>
          </w:p>
        </w:tc>
      </w:tr>
      <w:tr>
        <w:trPr>
          <w:trHeight w:val="216"/>
        </w:trPr>
        <w:tc>
          <w:tcPr>
            <w:tcW w:w="68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Romero family </w:t>
            </w:r>
            <w:r>
              <w:rPr>
                <w:rFonts w:ascii="Times New Roman" w:cs="Times New Roman" w:eastAsia="Times New Roman" w:hAnsi="Times New Roman"/>
                <w:sz w:val="25"/>
                <w:szCs w:val="25"/>
                <w:b w:val="1"/>
                <w:bCs w:val="1"/>
                <w:color w:val="auto"/>
                <w:vertAlign w:val="superscript"/>
              </w:rPr>
              <w:t>(2)</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11,596,742</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Dodge &amp; Cox</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5,337,180</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r>
    </w:tbl>
    <w:p>
      <w:pPr>
        <w:spacing w:after="0" w:line="198" w:lineRule="exact"/>
        <w:rPr>
          <w:sz w:val="20"/>
          <w:szCs w:val="20"/>
          <w:color w:val="auto"/>
        </w:rPr>
      </w:pPr>
    </w:p>
    <w:p>
      <w:pPr>
        <w:ind w:left="1380" w:hanging="400"/>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percentage of all issued and outstanding shares (including shares held by ASHC).</w:t>
      </w:r>
    </w:p>
    <w:p>
      <w:pPr>
        <w:spacing w:after="0" w:line="27" w:lineRule="exact"/>
        <w:rPr>
          <w:rFonts w:ascii="Times New Roman" w:cs="Times New Roman" w:eastAsia="Times New Roman" w:hAnsi="Times New Roman"/>
          <w:sz w:val="18"/>
          <w:szCs w:val="18"/>
          <w:color w:val="auto"/>
        </w:rPr>
      </w:pPr>
    </w:p>
    <w:p>
      <w:pPr>
        <w:ind w:left="1380" w:right="20" w:hanging="400"/>
        <w:spacing w:after="0" w:line="260"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total includes common shares directly or indirectly owned by Luis Romero Belismelis and his family or companies owned or controlled by them. Mr. Romero B. is the Chairman of the Board.</w:t>
      </w:r>
    </w:p>
    <w:p>
      <w:pPr>
        <w:spacing w:after="0" w:line="181"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Voting rights of major shareholders are not different from voting rights of other shareholders. Each share has the right to one vote, including the shares owned by Atlantic Security Holding Corporation.</w:t>
      </w:r>
    </w:p>
    <w:p>
      <w:pPr>
        <w:spacing w:after="0" w:line="162"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Approximately 9.82% of Credicorp’s total issued and outstanding common shares are currently held in 3,504 individual accounts with Cavali, a Peruvian security clearing company.</w:t>
      </w:r>
    </w:p>
    <w:p>
      <w:pPr>
        <w:spacing w:after="0" w:line="162"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As of December 31, 2024, Credicorp had 79,435,680 floating common shares (excluding the 14,620,846 shares held by ASHC and 325,791 shares held by Credicorp’s subsidiaries that correspond to Credicorp’s long-term compensation program for its key employees). For more details regarding our treasury stock see Note 16 (b) to our consolidated financial statements. Approximately 89.64% of the 94,382,317 Credicorp’s issued common shares were held in the United States. There were approximately fifty registered holders of Credicorp’s common shares in the United States. Because many of these common shares were held by brokers or other nominees, and because of the impracticability of obtaining accurate residence information for all beneficial shareholders, the number of registered holders in the United States is not a representative figure of the beneficial holders or of the residence of beneficial holders. Credicorp is neither directly nor indirectly controlled by another corporation or by any foreign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7.B</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Under Bermuda law, Credicorp is not subject to any restrictions on transactions with affiliates, other than such restrictions as are applicable to Bermuda companies generally. Credicorp’s Bye-laws provide that a Director may not vote with respect to any contract or proposed contract or arrangement in which that Director has an interest or a conflict of interest. Credicorp has not engaged in any transactions with related parties except through our subsidiaries.</w:t>
      </w:r>
    </w:p>
    <w:p>
      <w:pPr>
        <w:spacing w:after="0" w:line="180"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Credicorp’s consolidated financial statements as of December 31, 2022, 2023 and 2024 include transactions with related parties, including (i) related companies such as associates or others, (ii) its Board of Directors, (iii) its senior management, (iv) close members of the families of its Directors or members of its senior management and (v) enterprises that are controlled by these individuals or entities through majority shareholding or their role as chairman or principal executive officer in those companies.</w:t>
      </w:r>
    </w:p>
    <w:p>
      <w:pPr>
        <w:spacing w:after="0" w:line="180"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Transactions between the Credicorp companies and those related to Credicorp that exceed US$1 million must have the approval either of the Board of Directors involved or of the body to which this Board has delegated the responsibility. The Finance Areas of each company are responsible of identifying these operations and escalating them to the Board of Directors.</w:t>
      </w:r>
    </w:p>
    <w:p>
      <w:pPr>
        <w:spacing w:after="0" w:line="176" w:lineRule="exact"/>
        <w:rPr>
          <w:sz w:val="20"/>
          <w:szCs w:val="20"/>
          <w:color w:val="auto"/>
        </w:rPr>
      </w:pPr>
    </w:p>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Transactions between Credicorp companies and between Credicorp companies and their employees (without being limited to banking, financial, securities brokerage, investment, other financial services, payments of tariffs and regulatory contributions) that are made in the normal course of its operations, at market prices and values, or in substantially the same terms, including yields, interest rates and collateral, as compared to those prevailing at the same time with third parties, and that do not imply a higher collectability risk and do not present any additional unfavorable terms for Credicorp company, are expressly exempted from this requirement. These transactions are considered pre-approved by Credicorp’s Board of Directors and may be reported to the Sustainability Committee in order to ensure good practices and detect potential conflicts of interest. For the daily approval of these transactions, the current policies and regulations of each Credicorp company will be followed.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shows Credicorp subsidiaries’ main transactions with related companies as of and for the years ended December 31, 2022, 2023 and 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7320" w:type="dxa"/>
            <w:vAlign w:val="bottom"/>
          </w:tcPr>
          <w:p>
            <w:pPr>
              <w:spacing w:after="0"/>
              <w:rPr>
                <w:sz w:val="24"/>
                <w:szCs w:val="24"/>
                <w:color w:val="auto"/>
              </w:rPr>
            </w:pPr>
          </w:p>
        </w:tc>
        <w:tc>
          <w:tcPr>
            <w:tcW w:w="3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Year ended December 31, </w:t>
            </w:r>
            <w:r>
              <w:rPr>
                <w:rFonts w:ascii="Times New Roman" w:cs="Times New Roman" w:eastAsia="Times New Roman" w:hAnsi="Times New Roman"/>
                <w:sz w:val="29"/>
                <w:szCs w:val="29"/>
                <w:b w:val="1"/>
                <w:bCs w:val="1"/>
                <w:color w:val="auto"/>
                <w:vertAlign w:val="superscript"/>
              </w:rPr>
              <w:t>(2)</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3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(in thousands of soles)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loans</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1,804,837</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2,063,739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2,472,179</w:t>
            </w: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Investments </w:t>
            </w:r>
            <w:r>
              <w:rPr>
                <w:rFonts w:ascii="Times New Roman" w:cs="Times New Roman" w:eastAsia="Times New Roman" w:hAnsi="Times New Roman"/>
                <w:sz w:val="25"/>
                <w:szCs w:val="25"/>
                <w:color w:val="auto"/>
                <w:vertAlign w:val="superscript"/>
              </w:rPr>
              <w:t>(1)</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800,021</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806,700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611,271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(1,138,115)</w:t>
            </w:r>
          </w:p>
        </w:tc>
        <w:tc>
          <w:tcPr>
            <w:tcW w:w="15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(713,503)</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(1,839,980)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Derivatives at fair value</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336,867</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516,292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280,624</w:t>
            </w:r>
          </w:p>
        </w:tc>
      </w:tr>
      <w:tr>
        <w:trPr>
          <w:trHeight w:val="216"/>
        </w:trPr>
        <w:tc>
          <w:tcPr>
            <w:tcW w:w="7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income -</w:t>
            </w: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related to loans – income</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38,896</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31,892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55,485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related to deposits – expense</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(24,143)</w:t>
            </w:r>
          </w:p>
        </w:tc>
        <w:tc>
          <w:tcPr>
            <w:tcW w:w="1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(30,914)</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(37,308)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1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13,232</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9,452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22,735</w:t>
            </w:r>
          </w:p>
        </w:tc>
      </w:tr>
      <w:tr>
        <w:trPr>
          <w:trHeight w:val="216"/>
        </w:trPr>
        <w:tc>
          <w:tcPr>
            <w:tcW w:w="7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Contingent risks and commitments</w:t>
            </w: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Indirect loans</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433,639</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584,463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746,992</w:t>
            </w:r>
          </w:p>
        </w:tc>
      </w:tr>
    </w:tbl>
    <w:p>
      <w:pPr>
        <w:spacing w:after="0" w:line="179" w:lineRule="exact"/>
        <w:rPr>
          <w:sz w:val="20"/>
          <w:szCs w:val="20"/>
          <w:color w:val="auto"/>
        </w:rPr>
      </w:pPr>
    </w:p>
    <w:p>
      <w:pPr>
        <w:jc w:val="both"/>
        <w:ind w:firstLine="518"/>
        <w:spacing w:after="0" w:line="254" w:lineRule="auto"/>
        <w:tabs>
          <w:tab w:leader="none" w:pos="7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balance includes mainly S/155.7 million of corporate bonds of Alicorp S.A.A., S/93.9 million of corporate bonds issued by Cementos Pacasmayo S.A., and S/104.2 million of shares of Inversiones Centenario. In 2023, the balance mainly S/166.8 million of corporate bonds of Alicorp S.A.A., S/146.5 million of Alicorp S.A.A. shares, S/135.9 million shares of Inversiones Centenario and S/120.5 million corporate bonds issued by Corporación Primax. In 2022, the balance includes mainly S/158.1 million of corporate bonds, S/157.0 million of Alicorp S.A.A. shares; S/155.3 million of corporate bonds issued by Cementos Pacasmayo S.A. and S/126.8 million of Inversiones Centenario shares.</w:t>
      </w:r>
    </w:p>
    <w:p>
      <w:pPr>
        <w:spacing w:after="0" w:line="3" w:lineRule="exact"/>
        <w:rPr>
          <w:rFonts w:ascii="Times New Roman" w:cs="Times New Roman" w:eastAsia="Times New Roman" w:hAnsi="Times New Roman"/>
          <w:sz w:val="18"/>
          <w:szCs w:val="18"/>
          <w:color w:val="auto"/>
        </w:rPr>
      </w:pPr>
    </w:p>
    <w:p>
      <w:pPr>
        <w:ind w:left="780" w:hanging="262"/>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transactions with subsidiaries.</w:t>
      </w:r>
    </w:p>
    <w:p>
      <w:pPr>
        <w:spacing w:after="0" w:line="207" w:lineRule="exact"/>
        <w:rPr>
          <w:sz w:val="20"/>
          <w:szCs w:val="20"/>
          <w:color w:val="auto"/>
        </w:rPr>
      </w:pPr>
    </w:p>
    <w:p>
      <w:pPr>
        <w:jc w:val="both"/>
        <w:ind w:firstLine="510"/>
        <w:spacing w:after="0" w:line="253" w:lineRule="auto"/>
        <w:rPr>
          <w:sz w:val="20"/>
          <w:szCs w:val="20"/>
          <w:color w:val="auto"/>
        </w:rPr>
      </w:pPr>
      <w:r>
        <w:rPr>
          <w:rFonts w:ascii="Times New Roman" w:cs="Times New Roman" w:eastAsia="Times New Roman" w:hAnsi="Times New Roman"/>
          <w:sz w:val="18"/>
          <w:szCs w:val="18"/>
          <w:color w:val="auto"/>
        </w:rPr>
        <w:t>Credicorp subsidiaries entered into these transactions with related parties in the ordinary course of business and in accordance with normal market terms, including interest rate and collateral, which were available to other customers for comparable transactions at that time, and they did not involve more than the normal risk of collectability or present other unfavorable features. Outstanding loan balances at year-end were guaranteed by the related party. The Peruvian financial system law prohibits us from giving more favorable conditions to related parties. On December 31, 2024, direct loans have guarantees and collateral provided by the related party, mature between January 2025 and December 2030, and accrue an average annual interest in soles of 10.78 percent and an average annual interest rate in foreign currency of 9.56 percent (as of December 31, 2023, they mature between January 2024 and August 2030, and accrued an average annual interest in soles of 13.31 percent and an average annual interest rate in foreign currency of 10.69 percent). Also, as of December 31, 2024, the Group maintains S/58.1 million of allowances for loan losses to related parties (as of December 31, 2023 it maintains S/15.2 million). The amount of this provision is adjusted on a continuous basis and based on the financial position of each related party and the market in which it operates.</w:t>
      </w:r>
    </w:p>
    <w:p>
      <w:pPr>
        <w:spacing w:after="0" w:line="194" w:lineRule="exact"/>
        <w:rPr>
          <w:sz w:val="20"/>
          <w:szCs w:val="20"/>
          <w:color w:val="auto"/>
        </w:rPr>
      </w:pPr>
    </w:p>
    <w:p>
      <w:pPr>
        <w:jc w:val="both"/>
        <w:ind w:firstLine="510"/>
        <w:spacing w:after="0" w:line="256" w:lineRule="auto"/>
        <w:rPr>
          <w:sz w:val="20"/>
          <w:szCs w:val="20"/>
          <w:color w:val="auto"/>
        </w:rPr>
      </w:pPr>
      <w:r>
        <w:rPr>
          <w:rFonts w:ascii="Times New Roman" w:cs="Times New Roman" w:eastAsia="Times New Roman" w:hAnsi="Times New Roman"/>
          <w:sz w:val="18"/>
          <w:szCs w:val="18"/>
          <w:color w:val="auto"/>
        </w:rPr>
        <w:t>As of December 31, 2024, the related company that had the largest debt balance of direct loans with Credicorp was in the cement sector with a total balance of S/540.8 million. This balance included short-term financing. Interest rates of the operations ranged from 5.82% to 26.68% in soles. As of December 31, 2023, the related company that had the largest debt balance of direct loans with Credicorp was in the cement sector with a total balance of S/428.9 million. This balance included short-term financing. Interest rates of the operations ranged from 5.82% to 9.44% in soles. As of December 31, 2022, the related company that had the largest debt balance of direct loans with Credicorp was in the cement sector with a total balance of S/300.5 million. This balance included short-term financing. Interest rates of the operations ranged from 5.82% to 8.93% in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ind w:firstLine="510"/>
        <w:spacing w:after="0" w:line="255" w:lineRule="auto"/>
        <w:rPr>
          <w:sz w:val="20"/>
          <w:szCs w:val="20"/>
          <w:color w:val="auto"/>
        </w:rPr>
      </w:pPr>
      <w:r>
        <w:rPr>
          <w:rFonts w:ascii="Times New Roman" w:cs="Times New Roman" w:eastAsia="Times New Roman" w:hAnsi="Times New Roman"/>
          <w:sz w:val="18"/>
          <w:szCs w:val="18"/>
          <w:color w:val="auto"/>
        </w:rPr>
        <w:t>As of December 31, 2022, 2023 and 2024, Credicorp’s Directors, officers and employees had been involved, directly and indirectly, in credit transactions with certain subsidiaries of the Group, as permitted by Peruvian Banking and Insurance Law No. 26702, which regulates and limits certain transactions with employees, Directors and officers of a bank and insurance company. On December 31, 2022, 2023 and 2024, direct loans to employees, Directors, senior management, and their family members amounted to S/1.2 billion, S/1.4 billion and S/1.4 billion, respectively. These loans have been granted in the ordinary course of business and on market terms as allowed by regulations promulgated under Section 402 of the Sarbanes-Oxley Act. Therefore, no privileged conditions have been granted on any type of loans to Directors and executive officers. These loans are paid monthly and earn interest at rates that are similar to market rates for comparable loans.</w:t>
      </w:r>
    </w:p>
    <w:p>
      <w:pPr>
        <w:spacing w:after="0" w:line="189"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In 2024, Credicorp and subsidiaries made payments totaling approximately US$32 million to the following related suppliers: Hermes Transportes Blindados SA, Grupo Romero and subsidiaries, Grupo Centenario and subsidiaries, Pluz Energía Peru SAA and Edenred Peru SA. This information is being disclosed in accordance with our Corporate Policy on Related Parties, which came into effect in December 2019.</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Subsidiaries Transactions</w:t>
      </w:r>
    </w:p>
    <w:p>
      <w:pPr>
        <w:spacing w:after="0" w:line="227" w:lineRule="exact"/>
        <w:rPr>
          <w:sz w:val="20"/>
          <w:szCs w:val="20"/>
          <w:color w:val="auto"/>
        </w:rPr>
      </w:pPr>
    </w:p>
    <w:p>
      <w:pPr>
        <w:jc w:val="both"/>
        <w:ind w:right="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shows Credicorp’s main transactions with subsidiaries companies as of and for the years ended December 31, 2022, 2023 and 2024 which does not consider related party transactions.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tc>
        <w:tc>
          <w:tcPr>
            <w:tcW w:w="2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(in thousands of soles)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Direct loans / receivables </w:t>
            </w:r>
            <w:r>
              <w:rPr>
                <w:rFonts w:ascii="Times New Roman" w:cs="Times New Roman" w:eastAsia="Times New Roman" w:hAnsi="Times New Roman"/>
                <w:sz w:val="25"/>
                <w:szCs w:val="25"/>
                <w:color w:val="auto"/>
                <w:vertAlign w:val="superscript"/>
              </w:rPr>
              <w:t>(1)</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3,067,625</w:t>
            </w:r>
          </w:p>
        </w:tc>
        <w:tc>
          <w:tcPr>
            <w:tcW w:w="1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1,132,893</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932,949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163,200</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199,503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883,659</w:t>
            </w: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Funds / Deposits </w:t>
            </w:r>
            <w:r>
              <w:rPr>
                <w:rFonts w:ascii="Times New Roman" w:cs="Times New Roman" w:eastAsia="Times New Roman" w:hAnsi="Times New Roman"/>
                <w:sz w:val="25"/>
                <w:szCs w:val="25"/>
                <w:color w:val="auto"/>
                <w:vertAlign w:val="superscript"/>
              </w:rPr>
              <w:t>(2)</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(1,359,011)</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(1,824,745)</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(2,455,731)</w:t>
            </w: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Derivatives at fair value receivable / payable </w:t>
            </w:r>
            <w:r>
              <w:rPr>
                <w:rFonts w:ascii="Times New Roman" w:cs="Times New Roman" w:eastAsia="Times New Roman" w:hAnsi="Times New Roman"/>
                <w:sz w:val="25"/>
                <w:szCs w:val="25"/>
                <w:color w:val="auto"/>
                <w:vertAlign w:val="superscript"/>
              </w:rPr>
              <w:t>(*)</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17,190</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8,841</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w:t>
            </w:r>
          </w:p>
        </w:tc>
        <w:tc>
          <w:tcPr>
            <w:tcW w:w="1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 income related to loans – income </w:t>
            </w:r>
            <w:r>
              <w:rPr>
                <w:rFonts w:ascii="Times New Roman" w:cs="Times New Roman" w:eastAsia="Times New Roman" w:hAnsi="Times New Roman"/>
                <w:sz w:val="25"/>
                <w:szCs w:val="25"/>
                <w:color w:val="auto"/>
                <w:vertAlign w:val="superscript"/>
              </w:rPr>
              <w:t>(**)</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118,627</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126,457</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88,592</w:t>
            </w:r>
          </w:p>
        </w:tc>
      </w:tr>
      <w:tr>
        <w:trPr>
          <w:trHeight w:val="216"/>
        </w:trPr>
        <w:tc>
          <w:tcPr>
            <w:tcW w:w="7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related to deposits – expense </w:t>
            </w:r>
            <w:r>
              <w:rPr>
                <w:rFonts w:ascii="Times New Roman" w:cs="Times New Roman" w:eastAsia="Times New Roman" w:hAnsi="Times New Roman"/>
                <w:sz w:val="25"/>
                <w:szCs w:val="25"/>
                <w:color w:val="auto"/>
                <w:vertAlign w:val="superscript"/>
              </w:rPr>
              <w:t>(**)</w:t>
            </w: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(12,972)</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(42,032)</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(60,313)</w:t>
            </w: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Non-interest income </w:t>
            </w:r>
            <w:r>
              <w:rPr>
                <w:rFonts w:ascii="Times New Roman" w:cs="Times New Roman" w:eastAsia="Times New Roman" w:hAnsi="Times New Roman"/>
                <w:sz w:val="25"/>
                <w:szCs w:val="25"/>
                <w:color w:val="auto"/>
                <w:vertAlign w:val="superscript"/>
              </w:rPr>
              <w:t>(**)</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79,743</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119,813</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112,198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Off-balance sheet</w:t>
            </w:r>
          </w:p>
        </w:tc>
        <w:tc>
          <w:tcPr>
            <w:tcW w:w="1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Indirect loans</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440,577</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450,799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1,209,529</w:t>
            </w:r>
          </w:p>
        </w:tc>
      </w:tr>
    </w:tbl>
    <w:p>
      <w:pPr>
        <w:spacing w:after="0" w:line="179" w:lineRule="exact"/>
        <w:rPr>
          <w:sz w:val="20"/>
          <w:szCs w:val="20"/>
          <w:color w:val="auto"/>
        </w:rPr>
      </w:pPr>
    </w:p>
    <w:p>
      <w:pPr>
        <w:ind w:left="500" w:hanging="6"/>
        <w:spacing w:after="0" w:line="261" w:lineRule="auto"/>
        <w:tabs>
          <w:tab w:leader="none" w:pos="7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granted by these companies are recognized as receivable by the group companies that received the placement. These transactions are eliminated from the Statement of Financial Position.</w:t>
      </w:r>
    </w:p>
    <w:p>
      <w:pPr>
        <w:ind w:left="500" w:hanging="6"/>
        <w:spacing w:after="0" w:line="250" w:lineRule="auto"/>
        <w:tabs>
          <w:tab w:leader="none" w:pos="7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available from various group companies are received by these subsidiaries as deposits. These operations are eliminated in the Statement of Financial Position.</w:t>
      </w:r>
    </w:p>
    <w:p>
      <w:pPr>
        <w:ind w:left="5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Accounts receivable for derivatives held by group companies will be accounts payable for the subsidiaries with which the derivative is agreed and vice versa. These transactions are eliminated from the Statement of Financial Position.</w:t>
      </w:r>
    </w:p>
    <w:p>
      <w:pPr>
        <w:ind w:left="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Income recognized by group companies will be an expense for the subsidiaries with which the transaction was agreed. These transactions are eliminated from the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color w:val="auto"/>
        </w:rPr>
        <w:t>The main direct loans and receivables between subsidiaries of the group 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20" w:type="dxa"/>
            <w:vAlign w:val="bottom"/>
            <w:tcBorders>
              <w:top w:val="single" w:sz="8" w:color="auto"/>
            </w:tcBorders>
          </w:tcPr>
          <w:p>
            <w:pPr>
              <w:spacing w:after="0"/>
              <w:rPr>
                <w:sz w:val="19"/>
                <w:szCs w:val="19"/>
                <w:color w:val="auto"/>
              </w:rPr>
            </w:pPr>
          </w:p>
        </w:tc>
        <w:tc>
          <w:tcPr>
            <w:tcW w:w="6260" w:type="dxa"/>
            <w:vAlign w:val="bottom"/>
            <w:tcBorders>
              <w:top w:val="single" w:sz="8" w:color="auto"/>
            </w:tcBorders>
          </w:tcPr>
          <w:p>
            <w:pPr>
              <w:spacing w:after="0"/>
              <w:rPr>
                <w:sz w:val="19"/>
                <w:szCs w:val="19"/>
                <w:color w:val="auto"/>
              </w:rPr>
            </w:pPr>
          </w:p>
        </w:tc>
        <w:tc>
          <w:tcPr>
            <w:tcW w:w="3060" w:type="dxa"/>
            <w:vAlign w:val="bottom"/>
            <w:tcBorders>
              <w:top w:val="single" w:sz="8" w:color="auto"/>
            </w:tcBorders>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At December 2024</w:t>
            </w:r>
          </w:p>
        </w:tc>
        <w:tc>
          <w:tcPr>
            <w:tcW w:w="100" w:type="dxa"/>
            <w:vAlign w:val="bottom"/>
          </w:tcPr>
          <w:p>
            <w:pPr>
              <w:spacing w:after="0"/>
              <w:rPr>
                <w:sz w:val="19"/>
                <w:szCs w:val="19"/>
                <w:color w:val="auto"/>
              </w:rPr>
            </w:pPr>
          </w:p>
        </w:tc>
      </w:tr>
      <w:tr>
        <w:trPr>
          <w:trHeight w:val="216"/>
        </w:trPr>
        <w:tc>
          <w:tcPr>
            <w:tcW w:w="18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Grant the Loan</w:t>
            </w:r>
          </w:p>
        </w:tc>
        <w:tc>
          <w:tcPr>
            <w:tcW w:w="6260" w:type="dxa"/>
            <w:vAlign w:val="bottom"/>
          </w:tcPr>
          <w:p>
            <w:pPr>
              <w:ind w:left="3320"/>
              <w:spacing w:after="0"/>
              <w:rPr>
                <w:sz w:val="20"/>
                <w:szCs w:val="20"/>
                <w:color w:val="auto"/>
              </w:rPr>
            </w:pPr>
            <w:r>
              <w:rPr>
                <w:rFonts w:ascii="Times New Roman" w:cs="Times New Roman" w:eastAsia="Times New Roman" w:hAnsi="Times New Roman"/>
                <w:sz w:val="18"/>
                <w:szCs w:val="18"/>
                <w:b w:val="1"/>
                <w:bCs w:val="1"/>
                <w:color w:val="auto"/>
              </w:rPr>
              <w:t>Receive the Loan</w:t>
            </w:r>
          </w:p>
        </w:tc>
        <w:tc>
          <w:tcPr>
            <w:tcW w:w="16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of</w:t>
            </w:r>
          </w:p>
        </w:tc>
        <w:tc>
          <w:tcPr>
            <w:tcW w:w="100" w:type="dxa"/>
            <w:vAlign w:val="bottom"/>
          </w:tcPr>
          <w:p>
            <w:pPr>
              <w:spacing w:after="0"/>
              <w:rPr>
                <w:sz w:val="18"/>
                <w:szCs w:val="18"/>
                <w:color w:val="auto"/>
              </w:rPr>
            </w:pPr>
          </w:p>
        </w:tc>
      </w:tr>
      <w:tr>
        <w:trPr>
          <w:trHeight w:val="245"/>
        </w:trPr>
        <w:tc>
          <w:tcPr>
            <w:tcW w:w="1820" w:type="dxa"/>
            <w:vAlign w:val="bottom"/>
            <w:tcBorders>
              <w:bottom w:val="single" w:sz="8" w:color="auto"/>
            </w:tcBorders>
          </w:tcPr>
          <w:p>
            <w:pPr>
              <w:spacing w:after="0"/>
              <w:rPr>
                <w:sz w:val="21"/>
                <w:szCs w:val="21"/>
                <w:color w:val="auto"/>
              </w:rPr>
            </w:pPr>
          </w:p>
        </w:tc>
        <w:tc>
          <w:tcPr>
            <w:tcW w:w="6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Soles)</w:t>
            </w:r>
          </w:p>
        </w:tc>
        <w:tc>
          <w:tcPr>
            <w:tcW w:w="100" w:type="dxa"/>
            <w:vAlign w:val="bottom"/>
          </w:tcPr>
          <w:p>
            <w:pPr>
              <w:spacing w:after="0"/>
              <w:rPr>
                <w:sz w:val="21"/>
                <w:szCs w:val="2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Sol-denominated:</w:t>
            </w:r>
          </w:p>
        </w:tc>
        <w:tc>
          <w:tcPr>
            <w:tcW w:w="6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 Banco - Banco de Microempresa</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685,333</w:t>
            </w: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Cía. Incubadora de Soluciones Móviles S.A.C. (Culqui)</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54,869</w:t>
            </w: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Solución Empresa Administradora Hipotecaria S.A.</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w:t>
            </w: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Atlantic Security Holding Corporation</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Pacífico Asiste S.A.C.</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Credicorp Capital Servicios Financieros S.A.</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r>
      <w:tr>
        <w:trPr>
          <w:trHeight w:val="223"/>
        </w:trPr>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2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Total Sol-denominated</w:t>
            </w:r>
          </w:p>
        </w:tc>
        <w:tc>
          <w:tcPr>
            <w:tcW w:w="6260" w:type="dxa"/>
            <w:vAlign w:val="bottom"/>
          </w:tcPr>
          <w:p>
            <w:pPr>
              <w:spacing w:after="0"/>
              <w:rPr>
                <w:sz w:val="19"/>
                <w:szCs w:val="19"/>
                <w:color w:val="auto"/>
              </w:rPr>
            </w:pP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867,449</w:t>
            </w:r>
          </w:p>
        </w:tc>
        <w:tc>
          <w:tcPr>
            <w:tcW w:w="100" w:type="dxa"/>
            <w:vAlign w:val="bottom"/>
          </w:tcPr>
          <w:p>
            <w:pPr>
              <w:spacing w:after="0"/>
              <w:rPr>
                <w:sz w:val="19"/>
                <w:szCs w:val="19"/>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currency-denominated:</w:t>
            </w:r>
          </w:p>
        </w:tc>
        <w:tc>
          <w:tcPr>
            <w:tcW w:w="164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Credicorp Capital SAB</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Solución Empresa Administradora Hipotecaria S.A.</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13,725</w:t>
            </w: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ASB Bank Corp</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Credicorp Capital Chile S.A.</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Credicorp Capital SAFI</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0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Atlantic Security Holding Corp</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BCP Stand-alone</w:t>
            </w:r>
          </w:p>
        </w:tc>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Credicorp Capital Ltd.</w:t>
            </w:r>
          </w:p>
        </w:tc>
        <w:tc>
          <w:tcPr>
            <w:tcW w:w="3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8"/>
                <w:szCs w:val="18"/>
                <w:color w:val="auto"/>
              </w:rPr>
            </w:pPr>
          </w:p>
        </w:tc>
      </w:tr>
      <w:tr>
        <w:trPr>
          <w:trHeight w:val="22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6260" w:type="dxa"/>
            <w:vAlign w:val="bottom"/>
          </w:tcPr>
          <w:p>
            <w:pPr>
              <w:spacing w:after="0"/>
              <w:rPr>
                <w:sz w:val="19"/>
                <w:szCs w:val="19"/>
                <w:color w:val="auto"/>
              </w:rPr>
            </w:pP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r>
      <w:tr>
        <w:trPr>
          <w:trHeight w:val="223"/>
        </w:trPr>
        <w:tc>
          <w:tcPr>
            <w:tcW w:w="8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foreign currency-denominated</w:t>
            </w:r>
          </w:p>
        </w:tc>
        <w:tc>
          <w:tcPr>
            <w:tcW w:w="16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932,949</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Main loans granted between group companies in soles amount to S/769.4 million with an average rate of 6.9% and with maturity between January 2025 and December 2025; in dollars amount to S/65.2 million with an average rate of 6.2% and with maturity between June 2025 and July 2025.</w:t>
      </w:r>
    </w:p>
    <w:p>
      <w:pPr>
        <w:spacing w:after="0" w:line="15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7.C</w:t>
      </w:r>
      <w:r>
        <w:rPr>
          <w:sz w:val="20"/>
          <w:szCs w:val="20"/>
          <w:color w:val="auto"/>
        </w:rPr>
        <w:tab/>
      </w:r>
      <w:r>
        <w:rPr>
          <w:rFonts w:ascii="Times New Roman" w:cs="Times New Roman" w:eastAsia="Times New Roman" w:hAnsi="Times New Roman"/>
          <w:sz w:val="17"/>
          <w:szCs w:val="17"/>
          <w:b w:val="1"/>
          <w:bCs w:val="1"/>
          <w:color w:val="auto"/>
        </w:rPr>
        <w:t>Interests of Experts and Counsel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337" w:lineRule="exact"/>
        <w:rPr>
          <w:sz w:val="20"/>
          <w:szCs w:val="20"/>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1</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Certification by the Chief Executive Officer Pursuant to Section 302 of the U.S. Sarbanes-Oxley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u w:val="single" w:color="auto"/>
                <w:color w:val="0000EE"/>
              </w:rPr>
              <w:t>2</w:t>
            </w:r>
          </w:p>
        </w:tc>
        <w:tc>
          <w:tcPr>
            <w:tcW w:w="10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by the Chief Financial Officer Pursuant to Section 302 of the U.S. Sarbanes-Oxley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320" w:type="dxa"/>
            <w:vAlign w:val="bottom"/>
            <w:tcBorders>
              <w:top w:val="single" w:sz="8" w:color="CCEEFF"/>
            </w:tcBorders>
          </w:tcPr>
          <w:p>
            <w:pPr>
              <w:spacing w:after="0"/>
              <w:rPr>
                <w:sz w:val="18"/>
                <w:szCs w:val="18"/>
                <w:color w:val="auto"/>
              </w:rPr>
            </w:pPr>
          </w:p>
        </w:tc>
      </w:tr>
      <w:tr>
        <w:trPr>
          <w:trHeight w:val="198"/>
        </w:trPr>
        <w:tc>
          <w:tcPr>
            <w:tcW w:w="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3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shd w:val="clear" w:color="auto" w:fill="CCEEFF"/>
          </w:tcPr>
          <w:p>
            <w:pPr>
              <w:spacing w:after="0"/>
              <w:rPr>
                <w:sz w:val="18"/>
                <w:szCs w:val="18"/>
                <w:color w:val="auto"/>
              </w:rPr>
            </w:pP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20"/>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 OF THE U.S.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Gianfranco Ferrari,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20-F/A of Credicorp Ltd.; and</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GIANFRANCO FERRARI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Gianfranco Ferrari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252" w:right="7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 PURSUANT TO SECTION 302 OF THE U.S.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Alejandro Perez-Reyes,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20-F/A of Credicorp Ltd.; and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ALEJANDRO PEREZ-REYES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Alejandro Perez-Reyes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Amendment No. 1 to Form 20-F on its behalf.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ALEJANDRO PEREZ-REYES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Alejandro Perez-Reyes</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2025-07-22T15:59:55Z</dcterms:created>
  <dcterms:modified xsi:type="dcterms:W3CDTF">2025-07-22T15:59:55Z</dcterms:modified>
</cp:coreProperties>
</file>