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2049_6k.htm"/>
      <w:bookmarkStart w:id="1" w:name="ksef20072049_6k"/>
      <w:bookmarkStart w:id="2" w:name="ef20072049_6k.htm"/>
      <w:bookmarkStart w:id="3" w:name="ksef20072049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April 2026</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30194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19425" cy="342900"/>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April 30,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notify you, as a Material Event, that on April 30, 2026, S&amp;P Global Ratings released an update of Credicorp Ltd.’s (Credicorp) credit rating report, affirming Credicorp’s long-term issuer credit rating at ‘BBB</w:t>
        <w:noBreakHyphen/>
        <w:t>’ and maintaining a stable outlook. The new report represents an update of figures as of December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in this Form 6</w:t>
        <w:noBreakHyphen/>
        <w:t>K regarding the rating of S&amp;P Global Ratings has been disclosed in Peru in accordance with applicable Peruvian regulations (Article 30 of the Securities Market Law, approved by Supreme Decree No. 020</w:t>
        <w:noBreakHyphen/>
        <w:t>2023</w:t>
        <w:noBreakHyphen/>
        <w:t>EF, and the Regulation on Disclosure of Material Events and Reserved Information approved by Resolution No. 005</w:t>
        <w:noBreakHyphen/>
        <w:t>2014</w:t>
        <w:noBreakHyphen/>
        <w:t>SMV/01 of the Peruvian Securities Market Superintendency). The credit ratings assigned by S&amp;P Global Ratings reflect its opinion on Credicorp’s creditworthiness and do not necessarily represent the opinion of Credicorp. Such ratings should not be construed as a recommendation to purchase, hold, or sell Credicorp’s shares or any other securities. Credicorp does not accept any responsibility for the accuracy, completeness, timeliness, or selection of the information contained in such ratings.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Milagros Cigüeñas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April 30, 2026</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 w:name="z1f537f47859e444b86afb8b5ae7fbf83"/>
      <w:bookmarkStart w:id="5" w:name="z1f537f47859e444b86afb8b5ae7fbf83"/>
      <w:bookmarkEnd w:id="5"/>
    </w:p>
    <w:tbl>
      <w:tblPr>
        <w:tblW w:w="2636" w:type="dxa"/>
        <w:jc w:val="left"/>
        <w:tblInd w:w="0" w:type="dxa"/>
        <w:tblLayout w:type="fixed"/>
        <w:tblCellMar>
          <w:top w:w="0" w:type="dxa"/>
          <w:left w:w="0" w:type="dxa"/>
          <w:bottom w:w="0" w:type="dxa"/>
          <w:right w:w="0" w:type="dxa"/>
        </w:tblCellMar>
      </w:tblPr>
      <w:tblGrid>
        <w:gridCol w:w="23"/>
        <w:gridCol w:w="320"/>
        <w:gridCol w:w="2270"/>
        <w:gridCol w:w="23"/>
      </w:tblGrid>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CREDICORP LTD.</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Milagros Cigüeñas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Milagros Cigüeñas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Authorized Representative</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72049_ex99-1.htm"/>
      <w:bookmarkStart w:id="7" w:name="ksef20072049_ex991"/>
      <w:bookmarkStart w:id="8" w:name="ef20072049_ex99-1.htm"/>
      <w:bookmarkStart w:id="9" w:name="ksef20072049_ex991"/>
      <w:bookmarkEnd w:id="8"/>
      <w:bookmarkEnd w:id="9"/>
      <w:r>
        <w:br w:type="page"/>
      </w:r>
    </w:p>
    <w:p>
      <w:pPr>
        <w:pStyle w:val="TextBody"/>
        <w:bidi w:val="0"/>
        <w:spacing w:before="0" w:after="0"/>
        <w:jc w:val="right"/>
        <w:rPr>
          <w:rFonts w:ascii="Arial" w:hAnsi="Arial"/>
          <w:b/>
          <w:color w:val="000000"/>
          <w:sz w:val="20"/>
        </w:rPr>
      </w:pPr>
      <w:r>
        <w:rPr>
          <w:rFonts w:ascii="Arial" w:hAnsi="Arial"/>
          <w:b/>
          <w:color w:val="000000"/>
          <w:sz w:val="20"/>
        </w:rPr>
        <w:t>Exhibit 99.1</w:t>
      </w:r>
    </w:p>
    <w:p>
      <w:pPr>
        <w:pStyle w:val="Normal"/>
        <w:bidi w:val="0"/>
        <w:spacing w:before="0" w:after="0"/>
        <w:jc w:val="left"/>
        <w:rPr>
          <w:sz w:val="4"/>
          <w:szCs w:val="4"/>
        </w:rPr>
      </w:pPr>
      <w:r>
        <w:rPr>
          <w:sz w:val="4"/>
          <w:szCs w:val="4"/>
        </w:rPr>
      </w:r>
      <w:bookmarkStart w:id="10" w:name="zf65e1b88da0d4921a370d400ddf10e3f"/>
      <w:bookmarkStart w:id="11" w:name="zf65e1b88da0d4921a370d400ddf10e3f"/>
      <w:bookmarkEnd w:id="11"/>
    </w:p>
    <w:tbl>
      <w:tblPr>
        <w:tblW w:w="4980" w:type="dxa"/>
        <w:jc w:val="left"/>
        <w:tblInd w:w="0" w:type="dxa"/>
        <w:tblLayout w:type="fixed"/>
        <w:tblCellMar>
          <w:top w:w="0" w:type="dxa"/>
          <w:left w:w="0" w:type="dxa"/>
          <w:bottom w:w="0" w:type="dxa"/>
          <w:right w:w="0" w:type="dxa"/>
        </w:tblCellMar>
      </w:tblPr>
      <w:tblGrid>
        <w:gridCol w:w="2130"/>
        <w:gridCol w:w="2850"/>
      </w:tblGrid>
      <w:tr>
        <w:trPr/>
        <w:tc>
          <w:tcPr>
            <w:tcW w:w="2130" w:type="dxa"/>
            <w:tcBorders/>
            <w:vAlign w:val="center"/>
          </w:tcPr>
          <w:p>
            <w:pPr>
              <w:pStyle w:val="TableContents"/>
              <w:bidi w:val="0"/>
              <w:spacing w:before="0" w:after="283"/>
              <w:jc w:val="left"/>
              <w:rPr/>
            </w:pPr>
            <w:r>
              <w:rPr/>
              <w:drawing>
                <wp:inline distT="0" distB="0" distL="0" distR="0">
                  <wp:extent cx="135255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2550" cy="676275"/>
                          </a:xfrm>
                          <a:prstGeom prst="rect">
                            <a:avLst/>
                          </a:prstGeom>
                        </pic:spPr>
                      </pic:pic>
                    </a:graphicData>
                  </a:graphic>
                </wp:inline>
              </w:drawing>
            </w:r>
          </w:p>
        </w:tc>
        <w:tc>
          <w:tcPr>
            <w:tcW w:w="2850" w:type="dxa"/>
            <w:tcBorders/>
            <w:vAlign w:val="center"/>
          </w:tcPr>
          <w:p>
            <w:pPr>
              <w:pStyle w:val="TableContents"/>
              <w:bidi w:val="0"/>
              <w:spacing w:before="0" w:after="283"/>
              <w:jc w:val="right"/>
              <w:rPr/>
            </w:pPr>
            <w:r>
              <w:rPr/>
              <w:drawing>
                <wp:inline distT="0" distB="0" distL="0" distR="0">
                  <wp:extent cx="1809750"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09750" cy="31432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left"/>
        <w:rPr>
          <w:rFonts w:ascii="Arial" w:hAnsi="Arial"/>
          <w:color w:val="000000"/>
          <w:sz w:val="44"/>
        </w:rPr>
      </w:pPr>
      <w:r>
        <w:rPr>
          <w:rFonts w:ascii="Arial" w:hAnsi="Arial"/>
          <w:color w:val="000000"/>
          <w:sz w:val="44"/>
        </w:rPr>
        <w:t>Credicorp Ltd.</w:t>
      </w:r>
    </w:p>
    <w:p>
      <w:pPr>
        <w:pStyle w:val="TextBody"/>
        <w:bidi w:val="0"/>
        <w:spacing w:before="0" w:after="0"/>
        <w:jc w:val="left"/>
        <w:rPr>
          <w:b/>
          <w:sz w:val="18"/>
        </w:rPr>
      </w:pPr>
      <w:r>
        <w:rPr>
          <w:b/>
          <w:sz w:val="18"/>
        </w:rPr>
      </w:r>
    </w:p>
    <w:p>
      <w:pPr>
        <w:pStyle w:val="TextBody"/>
        <w:bidi w:val="0"/>
        <w:spacing w:before="0" w:after="0"/>
        <w:jc w:val="left"/>
        <w:rPr>
          <w:rFonts w:ascii="Arial" w:hAnsi="Arial"/>
          <w:b/>
          <w:color w:val="000000"/>
          <w:sz w:val="18"/>
        </w:rPr>
      </w:pPr>
      <w:r>
        <w:rPr>
          <w:rFonts w:ascii="Arial" w:hAnsi="Arial"/>
          <w:b/>
          <w:color w:val="000000"/>
          <w:sz w:val="18"/>
        </w:rPr>
        <w:t>April 30, 2026</w:t>
      </w:r>
    </w:p>
    <w:p>
      <w:pPr>
        <w:pStyle w:val="TextBody"/>
        <w:bidi w:val="0"/>
        <w:spacing w:before="0" w:after="0"/>
        <w:jc w:val="left"/>
        <w:rPr>
          <w:b/>
          <w:sz w:val="18"/>
        </w:rPr>
      </w:pPr>
      <w:r>
        <w:rPr>
          <w:b/>
          <w:sz w:val="18"/>
        </w:rPr>
      </w:r>
    </w:p>
    <w:p>
      <w:pPr>
        <w:pStyle w:val="Normal"/>
        <w:bidi w:val="0"/>
        <w:spacing w:before="0" w:after="0"/>
        <w:jc w:val="left"/>
        <w:rPr>
          <w:sz w:val="4"/>
          <w:szCs w:val="4"/>
        </w:rPr>
      </w:pPr>
      <w:r>
        <w:rPr>
          <w:sz w:val="4"/>
          <w:szCs w:val="4"/>
        </w:rPr>
      </w:r>
      <w:bookmarkStart w:id="12" w:name="zf72d6d5f2a4945eda06eb48b95fc1b43"/>
      <w:bookmarkStart w:id="13" w:name="zf72d6d5f2a4945eda06eb48b95fc1b43"/>
      <w:bookmarkEnd w:id="13"/>
    </w:p>
    <w:tbl>
      <w:tblPr>
        <w:tblW w:w="7877" w:type="dxa"/>
        <w:jc w:val="left"/>
        <w:tblInd w:w="0" w:type="dxa"/>
        <w:tblLayout w:type="fixed"/>
        <w:tblCellMar>
          <w:top w:w="0" w:type="dxa"/>
          <w:left w:w="0" w:type="dxa"/>
          <w:bottom w:w="0" w:type="dxa"/>
          <w:right w:w="0" w:type="dxa"/>
        </w:tblCellMar>
      </w:tblPr>
      <w:tblGrid>
        <w:gridCol w:w="81"/>
        <w:gridCol w:w="1636"/>
        <w:gridCol w:w="81"/>
        <w:gridCol w:w="760"/>
        <w:gridCol w:w="129"/>
        <w:gridCol w:w="81"/>
        <w:gridCol w:w="81"/>
        <w:gridCol w:w="1473"/>
        <w:gridCol w:w="95"/>
        <w:gridCol w:w="60"/>
        <w:gridCol w:w="1655"/>
        <w:gridCol w:w="60"/>
        <w:gridCol w:w="60"/>
        <w:gridCol w:w="1565"/>
        <w:gridCol w:w="60"/>
      </w:tblGrid>
      <w:tr>
        <w:trPr/>
        <w:tc>
          <w:tcPr>
            <w:tcW w:w="4322" w:type="dxa"/>
            <w:gridSpan w:val="8"/>
            <w:tcBorders/>
            <w:vAlign w:val="center"/>
          </w:tcPr>
          <w:p>
            <w:pPr>
              <w:pStyle w:val="TableContents"/>
              <w:bidi w:val="0"/>
              <w:spacing w:before="0" w:after="0"/>
              <w:jc w:val="left"/>
              <w:rPr/>
            </w:pPr>
            <w:r>
              <w:rPr/>
              <w:t>This report does not constitute a rating action.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left"/>
              <w:rPr>
                <w:color w:val="9E8D73"/>
                <w:sz w:val="20"/>
              </w:rPr>
            </w:pPr>
            <w:r>
              <w:rPr>
                <w:color w:val="9E8D73"/>
                <w:sz w:val="20"/>
              </w:rPr>
            </w:r>
          </w:p>
        </w:tc>
        <w:tc>
          <w:tcPr>
            <w:tcW w:w="60" w:type="dxa"/>
            <w:tcBorders/>
            <w:vAlign w:val="center"/>
          </w:tcPr>
          <w:p>
            <w:pPr>
              <w:pStyle w:val="TableContents"/>
              <w:bidi w:val="0"/>
              <w:spacing w:before="0" w:after="283"/>
              <w:jc w:val="left"/>
              <w:rPr/>
            </w:pPr>
            <w:r>
              <w:rPr/>
              <w:t> </w:t>
            </w:r>
          </w:p>
        </w:tc>
      </w:tr>
      <w:tr>
        <w:trPr/>
        <w:tc>
          <w:tcPr>
            <w:tcW w:w="8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left"/>
              <w:rPr>
                <w:b w:val="false"/>
                <w:i w:val="false"/>
                <w:caps w:val="false"/>
                <w:smallCaps w:val="false"/>
                <w:color w:val="9E8D73"/>
                <w:sz w:val="20"/>
              </w:rPr>
            </w:pPr>
            <w:r>
              <w:rPr>
                <w:b w:val="false"/>
                <w:i w:val="false"/>
                <w:caps w:val="false"/>
                <w:smallCaps w:val="false"/>
                <w:color w:val="9E8D73"/>
                <w:sz w:val="20"/>
              </w:rPr>
              <w:t>Primary Contact</w:t>
            </w:r>
          </w:p>
        </w:tc>
        <w:tc>
          <w:tcPr>
            <w:tcW w:w="60" w:type="dxa"/>
            <w:tcBorders/>
            <w:vAlign w:val="center"/>
          </w:tcPr>
          <w:p>
            <w:pPr>
              <w:pStyle w:val="TableContents"/>
              <w:bidi w:val="0"/>
              <w:spacing w:before="0" w:after="283"/>
              <w:jc w:val="left"/>
              <w:rPr/>
            </w:pPr>
            <w:r>
              <w:rPr/>
              <w:t> </w:t>
            </w:r>
          </w:p>
        </w:tc>
      </w:tr>
      <w:tr>
        <w:trPr/>
        <w:tc>
          <w:tcPr>
            <w:tcW w:w="8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r>
          </w:p>
        </w:tc>
        <w:tc>
          <w:tcPr>
            <w:tcW w:w="129"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4322" w:type="dxa"/>
            <w:gridSpan w:val="8"/>
            <w:tcBorders/>
            <w:vAlign w:val="center"/>
          </w:tcPr>
          <w:p>
            <w:pPr>
              <w:pStyle w:val="TableContents"/>
              <w:bidi w:val="0"/>
              <w:spacing w:before="1" w:after="283"/>
              <w:jc w:val="left"/>
              <w:rPr>
                <w:sz w:val="32"/>
              </w:rPr>
            </w:pPr>
            <w:r>
              <w:rPr>
                <w:sz w:val="32"/>
              </w:rPr>
              <w:t>Ratings Score Snapshot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left"/>
              <w:rPr>
                <w:b/>
                <w:sz w:val="14"/>
              </w:rPr>
            </w:pPr>
            <w:r>
              <w:rPr>
                <w:b/>
                <w:sz w:val="14"/>
              </w:rPr>
              <w:t>Camilo Andres Perez</w:t>
            </w:r>
          </w:p>
          <w:p>
            <w:pPr>
              <w:pStyle w:val="TableContents"/>
              <w:bidi w:val="0"/>
              <w:spacing w:before="0" w:after="0"/>
              <w:jc w:val="left"/>
              <w:rPr>
                <w:sz w:val="14"/>
              </w:rPr>
            </w:pPr>
            <w:r>
              <w:rPr>
                <w:sz w:val="14"/>
              </w:rPr>
              <w:t>Mexico City</w:t>
            </w:r>
          </w:p>
        </w:tc>
        <w:tc>
          <w:tcPr>
            <w:tcW w:w="60" w:type="dxa"/>
            <w:tcBorders/>
            <w:vAlign w:val="center"/>
          </w:tcPr>
          <w:p>
            <w:pPr>
              <w:pStyle w:val="TableContents"/>
              <w:bidi w:val="0"/>
              <w:spacing w:before="0" w:after="283"/>
              <w:jc w:val="left"/>
              <w:rPr/>
            </w:pPr>
            <w:r>
              <w:rPr/>
              <w:t> </w:t>
            </w:r>
          </w:p>
        </w:tc>
      </w:tr>
      <w:tr>
        <w:trPr/>
        <w:tc>
          <w:tcPr>
            <w:tcW w:w="4322" w:type="dxa"/>
            <w:gridSpan w:val="8"/>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59" w:after="283"/>
              <w:jc w:val="left"/>
              <w:rPr>
                <w:sz w:val="14"/>
              </w:rPr>
            </w:pPr>
            <w:r>
              <w:rPr>
                <w:sz w:val="14"/>
              </w:rPr>
              <w:t>52-55-5081-4446</w:t>
            </w:r>
          </w:p>
        </w:tc>
        <w:tc>
          <w:tcPr>
            <w:tcW w:w="60" w:type="dxa"/>
            <w:tcBorders/>
            <w:vAlign w:val="center"/>
          </w:tcPr>
          <w:p>
            <w:pPr>
              <w:pStyle w:val="TableContents"/>
              <w:bidi w:val="0"/>
              <w:spacing w:before="0" w:after="283"/>
              <w:jc w:val="left"/>
              <w:rPr/>
            </w:pPr>
            <w:r>
              <w:rPr/>
              <w:t> </w:t>
            </w:r>
          </w:p>
        </w:tc>
      </w:tr>
      <w:tr>
        <w:trPr/>
        <w:tc>
          <w:tcPr>
            <w:tcW w:w="81" w:type="dxa"/>
            <w:tcBorders/>
            <w:vAlign w:val="center"/>
          </w:tcPr>
          <w:p>
            <w:pPr>
              <w:pStyle w:val="TableContents"/>
              <w:bidi w:val="0"/>
              <w:spacing w:before="0" w:after="283"/>
              <w:jc w:val="left"/>
              <w:rPr/>
            </w:pPr>
            <w:r>
              <w:rPr/>
              <w:t> </w:t>
            </w:r>
          </w:p>
        </w:tc>
        <w:tc>
          <w:tcPr>
            <w:tcW w:w="2477" w:type="dxa"/>
            <w:gridSpan w:val="3"/>
            <w:tcBorders/>
            <w:vAlign w:val="center"/>
          </w:tcPr>
          <w:p>
            <w:pPr>
              <w:pStyle w:val="TableContents"/>
              <w:bidi w:val="0"/>
              <w:spacing w:before="0" w:after="0"/>
              <w:jc w:val="left"/>
              <w:rPr>
                <w:b/>
                <w:sz w:val="17"/>
              </w:rPr>
            </w:pPr>
            <w:r>
              <w:rPr>
                <w:b/>
                <w:sz w:val="17"/>
              </w:rPr>
              <w:t>SACP: bbb</w:t>
            </w:r>
          </w:p>
        </w:tc>
        <w:tc>
          <w:tcPr>
            <w:tcW w:w="129"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0"/>
              <w:jc w:val="left"/>
              <w:rPr>
                <w:b/>
                <w:sz w:val="17"/>
              </w:rPr>
            </w:pPr>
            <w:r>
              <w:rPr>
                <w:b/>
                <w:sz w:val="17"/>
              </w:rPr>
              <w:t>Support: 0</w:t>
            </w:r>
          </w:p>
        </w:tc>
        <w:tc>
          <w:tcPr>
            <w:tcW w:w="9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pPr>
            <w:r>
              <w:rPr>
                <w:b/>
                <w:sz w:val="17"/>
              </w:rPr>
              <w:t xml:space="preserve">Additional factors: </w:t>
            </w:r>
            <w:r>
              <w:rPr>
                <w:sz w:val="17"/>
              </w:rPr>
              <w:t>-1</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59" w:after="283"/>
              <w:jc w:val="left"/>
              <w:rPr>
                <w:sz w:val="14"/>
              </w:rPr>
            </w:pPr>
            <w:r>
              <w:rPr>
                <w:sz w:val="14"/>
              </w:rPr>
              <w:t xml:space="preserve">camilo.perez </w:t>
            </w:r>
          </w:p>
        </w:tc>
        <w:tc>
          <w:tcPr>
            <w:tcW w:w="60" w:type="dxa"/>
            <w:tcBorders/>
            <w:vAlign w:val="center"/>
          </w:tcPr>
          <w:p>
            <w:pPr>
              <w:pStyle w:val="TableContents"/>
              <w:bidi w:val="0"/>
              <w:spacing w:before="0" w:after="283"/>
              <w:jc w:val="left"/>
              <w:rPr/>
            </w:pPr>
            <w:r>
              <w:rPr/>
            </w:r>
          </w:p>
        </w:tc>
      </w:tr>
      <w:tr>
        <w:trPr/>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636"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sz w:val="14"/>
              </w:rPr>
            </w:pPr>
            <w:r>
              <w:rPr>
                <w:sz w:val="14"/>
              </w:rPr>
              <w:t>Anchor</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r>
          </w:p>
        </w:tc>
        <w:tc>
          <w:tcPr>
            <w:tcW w:w="889" w:type="dxa"/>
            <w:gridSpan w:val="2"/>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sz w:val="14"/>
              </w:rPr>
            </w:pPr>
            <w:r>
              <w:rPr>
                <w:sz w:val="14"/>
              </w:rPr>
              <w:t>bbb-</w:t>
            </w:r>
          </w:p>
        </w:tc>
        <w:tc>
          <w:tcPr>
            <w:tcW w:w="81" w:type="dxa"/>
            <w:tcBorders/>
            <w:vAlign w:val="center"/>
          </w:tcPr>
          <w:p>
            <w:pPr>
              <w:pStyle w:val="TableContents"/>
              <w:bidi w:val="0"/>
              <w:spacing w:before="0" w:after="283"/>
              <w:jc w:val="left"/>
              <w:rPr/>
            </w:pPr>
            <w:r>
              <w:rPr/>
              <w:t> </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473"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pPr>
            <w:r>
              <w:rPr/>
            </w:r>
          </w:p>
        </w:tc>
        <w:tc>
          <w:tcPr>
            <w:tcW w:w="95"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655" w:type="dxa"/>
            <w:tcBorders>
              <w:top w:val="single" w:sz="2" w:space="0" w:color="A7A7A7"/>
              <w:left w:val="single" w:sz="2" w:space="0" w:color="A7A7A7"/>
              <w:right w:val="single" w:sz="2" w:space="0" w:color="A7A7A7"/>
            </w:tcBorders>
            <w:shd w:fill="DBD9D9" w:val="clear"/>
            <w:tcMar>
              <w:top w:w="28" w:type="dxa"/>
              <w:left w:w="28" w:type="dxa"/>
              <w:right w:w="28" w:type="dxa"/>
            </w:tcMar>
            <w:vAlign w:val="center"/>
          </w:tcPr>
          <w:p>
            <w:pPr>
              <w:pStyle w:val="TableContents"/>
              <w:bidi w:val="0"/>
              <w:spacing w:before="78" w:after="283"/>
              <w:jc w:val="center"/>
              <w:rPr>
                <w:b/>
                <w:sz w:val="16"/>
              </w:rPr>
            </w:pPr>
            <w:r>
              <w:rPr>
                <w:b/>
                <w:sz w:val="16"/>
              </w:rPr>
              <w:t>Holding company ICR</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59" w:after="283"/>
              <w:jc w:val="left"/>
              <w:rPr>
                <w:sz w:val="14"/>
              </w:rPr>
            </w:pPr>
            <w:r>
              <w:rPr>
                <w:sz w:val="14"/>
              </w:rPr>
              <w:t xml:space="preserve">@spglobal.com </w:t>
            </w:r>
          </w:p>
        </w:tc>
        <w:tc>
          <w:tcPr>
            <w:tcW w:w="60" w:type="dxa"/>
            <w:tcBorders/>
            <w:vAlign w:val="center"/>
          </w:tcPr>
          <w:p>
            <w:pPr>
              <w:pStyle w:val="TableContents"/>
              <w:bidi w:val="0"/>
              <w:spacing w:before="0" w:after="283"/>
              <w:jc w:val="left"/>
              <w:rPr/>
            </w:pPr>
            <w:r>
              <w:rPr/>
            </w:r>
          </w:p>
        </w:tc>
      </w:tr>
      <w:tr>
        <w:trPr/>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636"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36" w:after="283"/>
              <w:jc w:val="left"/>
              <w:rPr>
                <w:sz w:val="14"/>
              </w:rPr>
            </w:pPr>
            <w:r>
              <w:rPr>
                <w:sz w:val="14"/>
              </w:rPr>
              <w:t>Business position</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760"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sz w:val="14"/>
              </w:rPr>
            </w:pPr>
            <w:r>
              <w:rPr>
                <w:sz w:val="14"/>
              </w:rPr>
              <w:t>Strong</w:t>
            </w:r>
          </w:p>
        </w:tc>
        <w:tc>
          <w:tcPr>
            <w:tcW w:w="129"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1</w:t>
            </w:r>
          </w:p>
        </w:tc>
        <w:tc>
          <w:tcPr>
            <w:tcW w:w="81" w:type="dxa"/>
            <w:tcBorders/>
            <w:vAlign w:val="center"/>
          </w:tcPr>
          <w:p>
            <w:pPr>
              <w:pStyle w:val="TableContents"/>
              <w:bidi w:val="0"/>
              <w:spacing w:before="0" w:after="283"/>
              <w:jc w:val="left"/>
              <w:rPr/>
            </w:pPr>
            <w:r>
              <w:rPr/>
              <w:t> </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473"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0"/>
              <w:jc w:val="left"/>
              <w:rPr>
                <w:sz w:val="14"/>
              </w:rPr>
            </w:pPr>
            <w:r>
              <w:rPr>
                <w:sz w:val="14"/>
              </w:rPr>
              <w:t>ALAC support</w:t>
            </w:r>
          </w:p>
        </w:tc>
        <w:tc>
          <w:tcPr>
            <w:tcW w:w="95"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60" w:type="dxa"/>
            <w:tcBorders/>
            <w:vAlign w:val="center"/>
          </w:tcPr>
          <w:p>
            <w:pPr>
              <w:pStyle w:val="TableContents"/>
              <w:bidi w:val="0"/>
              <w:spacing w:before="0" w:after="283"/>
              <w:jc w:val="left"/>
              <w:rPr/>
            </w:pPr>
            <w:r>
              <w:rPr/>
              <w:t> </w:t>
            </w:r>
          </w:p>
        </w:tc>
        <w:tc>
          <w:tcPr>
            <w:tcW w:w="1655" w:type="dxa"/>
            <w:tcBorders>
              <w:left w:val="single" w:sz="2" w:space="0" w:color="A7A7A7"/>
              <w:right w:val="single" w:sz="2" w:space="0" w:color="A7A7A7"/>
            </w:tcBorders>
            <w:tcMar>
              <w:left w:w="28" w:type="dxa"/>
              <w:right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636"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45" w:after="283"/>
              <w:jc w:val="left"/>
              <w:rPr>
                <w:sz w:val="14"/>
              </w:rPr>
            </w:pPr>
            <w:r>
              <w:rPr>
                <w:sz w:val="14"/>
              </w:rPr>
              <w:t>Capital and earnings</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760"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sz w:val="14"/>
              </w:rPr>
            </w:pPr>
            <w:r>
              <w:rPr>
                <w:sz w:val="14"/>
              </w:rPr>
              <w:t>Adequate</w:t>
            </w:r>
          </w:p>
        </w:tc>
        <w:tc>
          <w:tcPr>
            <w:tcW w:w="129"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81" w:type="dxa"/>
            <w:tcBorders/>
            <w:vAlign w:val="center"/>
          </w:tcPr>
          <w:p>
            <w:pPr>
              <w:pStyle w:val="TableContents"/>
              <w:bidi w:val="0"/>
              <w:spacing w:before="0" w:after="283"/>
              <w:jc w:val="left"/>
              <w:rPr/>
            </w:pPr>
            <w:r>
              <w:rPr/>
              <w:t> </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473"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0"/>
              <w:jc w:val="left"/>
              <w:rPr>
                <w:sz w:val="14"/>
              </w:rPr>
            </w:pPr>
            <w:r>
              <w:rPr>
                <w:sz w:val="14"/>
              </w:rPr>
              <w:t>GRE support</w:t>
            </w:r>
          </w:p>
        </w:tc>
        <w:tc>
          <w:tcPr>
            <w:tcW w:w="95"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60" w:type="dxa"/>
            <w:tcBorders/>
            <w:vAlign w:val="center"/>
          </w:tcPr>
          <w:p>
            <w:pPr>
              <w:pStyle w:val="TableContents"/>
              <w:bidi w:val="0"/>
              <w:spacing w:before="0" w:after="283"/>
              <w:jc w:val="left"/>
              <w:rPr/>
            </w:pPr>
            <w:r>
              <w:rPr/>
              <w:t> </w:t>
            </w:r>
          </w:p>
        </w:tc>
        <w:tc>
          <w:tcPr>
            <w:tcW w:w="1655" w:type="dxa"/>
            <w:tcBorders>
              <w:left w:val="single" w:sz="2" w:space="0" w:color="A7A7A7"/>
              <w:right w:val="single" w:sz="2" w:space="0" w:color="A7A7A7"/>
            </w:tcBorders>
            <w:tcMar>
              <w:left w:w="28" w:type="dxa"/>
              <w:right w:w="28" w:type="dxa"/>
            </w:tcMar>
            <w:vAlign w:val="center"/>
          </w:tcPr>
          <w:p>
            <w:pPr>
              <w:pStyle w:val="TableContents"/>
              <w:bidi w:val="0"/>
              <w:spacing w:before="0" w:after="0"/>
              <w:jc w:val="center"/>
              <w:rPr>
                <w:b/>
                <w:sz w:val="19"/>
              </w:rPr>
            </w:pPr>
            <w:r>
              <w:rPr>
                <w:b/>
                <w:sz w:val="19"/>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59" w:after="283"/>
              <w:jc w:val="left"/>
              <w:rPr>
                <w:color w:val="9E8D73"/>
                <w:sz w:val="20"/>
              </w:rPr>
            </w:pPr>
            <w:r>
              <w:rPr>
                <w:color w:val="9E8D73"/>
                <w:sz w:val="20"/>
              </w:rPr>
              <w:t>Secondary Contact</w:t>
            </w:r>
          </w:p>
        </w:tc>
        <w:tc>
          <w:tcPr>
            <w:tcW w:w="60" w:type="dxa"/>
            <w:tcBorders/>
            <w:vAlign w:val="center"/>
          </w:tcPr>
          <w:p>
            <w:pPr>
              <w:pStyle w:val="TableContents"/>
              <w:bidi w:val="0"/>
              <w:spacing w:before="0" w:after="283"/>
              <w:jc w:val="left"/>
              <w:rPr/>
            </w:pPr>
            <w:r>
              <w:rPr/>
            </w:r>
          </w:p>
        </w:tc>
      </w:tr>
      <w:tr>
        <w:trPr/>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636"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58" w:after="283"/>
              <w:jc w:val="left"/>
              <w:rPr>
                <w:sz w:val="14"/>
              </w:rPr>
            </w:pPr>
            <w:r>
              <w:rPr>
                <w:sz w:val="14"/>
              </w:rPr>
              <w:t xml:space="preserve">Risk </w:t>
            </w:r>
          </w:p>
          <w:p>
            <w:pPr>
              <w:pStyle w:val="TableContents"/>
              <w:bidi w:val="0"/>
              <w:spacing w:before="0" w:after="0"/>
              <w:jc w:val="left"/>
              <w:rPr>
                <w:sz w:val="14"/>
              </w:rPr>
            </w:pPr>
            <w:r>
              <w:rPr>
                <w:sz w:val="14"/>
              </w:rPr>
              <w:t>position</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760"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sz w:val="14"/>
              </w:rPr>
            </w:pPr>
            <w:r>
              <w:rPr>
                <w:sz w:val="14"/>
              </w:rPr>
              <w:t>Adequate</w:t>
            </w:r>
          </w:p>
        </w:tc>
        <w:tc>
          <w:tcPr>
            <w:tcW w:w="129"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81" w:type="dxa"/>
            <w:tcBorders/>
            <w:vAlign w:val="center"/>
          </w:tcPr>
          <w:p>
            <w:pPr>
              <w:pStyle w:val="TableContents"/>
              <w:bidi w:val="0"/>
              <w:spacing w:before="0" w:after="283"/>
              <w:jc w:val="left"/>
              <w:rPr/>
            </w:pPr>
            <w:r>
              <w:rPr/>
              <w:t> </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473"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0"/>
              <w:jc w:val="left"/>
              <w:rPr>
                <w:sz w:val="14"/>
              </w:rPr>
            </w:pPr>
            <w:r>
              <w:rPr>
                <w:sz w:val="14"/>
              </w:rPr>
              <w:t>Group support</w:t>
            </w:r>
          </w:p>
        </w:tc>
        <w:tc>
          <w:tcPr>
            <w:tcW w:w="95"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60" w:type="dxa"/>
            <w:tcBorders/>
            <w:vAlign w:val="center"/>
          </w:tcPr>
          <w:p>
            <w:pPr>
              <w:pStyle w:val="TableContents"/>
              <w:bidi w:val="0"/>
              <w:spacing w:before="0" w:after="283"/>
              <w:jc w:val="left"/>
              <w:rPr/>
            </w:pPr>
            <w:r>
              <w:rPr/>
              <w:t> </w:t>
            </w:r>
          </w:p>
        </w:tc>
        <w:tc>
          <w:tcPr>
            <w:tcW w:w="1655" w:type="dxa"/>
            <w:tcBorders>
              <w:left w:val="single" w:sz="2" w:space="0" w:color="A7A7A7"/>
              <w:right w:val="single" w:sz="2" w:space="0" w:color="A7A7A7"/>
            </w:tcBorders>
            <w:tcMar>
              <w:left w:w="28" w:type="dxa"/>
              <w:right w:w="28" w:type="dxa"/>
            </w:tcMar>
            <w:vAlign w:val="center"/>
          </w:tcPr>
          <w:p>
            <w:pPr>
              <w:pStyle w:val="TableContents"/>
              <w:bidi w:val="0"/>
              <w:spacing w:before="0" w:after="0"/>
              <w:jc w:val="center"/>
              <w:rPr>
                <w:b/>
                <w:sz w:val="19"/>
              </w:rPr>
            </w:pPr>
            <w:r>
              <w:rPr>
                <w:b/>
                <w:sz w:val="19"/>
              </w:rPr>
              <w:t>BBB-/Stable/--</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0" w:after="0"/>
              <w:jc w:val="left"/>
              <w:rPr>
                <w:b/>
                <w:sz w:val="14"/>
              </w:rPr>
            </w:pPr>
            <w:r>
              <w:rPr>
                <w:b/>
                <w:sz w:val="14"/>
              </w:rPr>
              <w:t xml:space="preserve">Jesus Sotomayor </w:t>
            </w:r>
          </w:p>
        </w:tc>
        <w:tc>
          <w:tcPr>
            <w:tcW w:w="60" w:type="dxa"/>
            <w:tcBorders/>
            <w:vAlign w:val="center"/>
          </w:tcPr>
          <w:p>
            <w:pPr>
              <w:pStyle w:val="TableContents"/>
              <w:bidi w:val="0"/>
              <w:spacing w:before="0" w:after="283"/>
              <w:jc w:val="left"/>
              <w:rPr/>
            </w:pPr>
            <w:r>
              <w:rPr/>
            </w:r>
          </w:p>
        </w:tc>
      </w:tr>
      <w:tr>
        <w:trPr/>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636"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0"/>
              <w:jc w:val="left"/>
              <w:rPr>
                <w:sz w:val="14"/>
              </w:rPr>
            </w:pPr>
            <w:r>
              <w:rPr>
                <w:sz w:val="14"/>
              </w:rPr>
              <w:t>Funding</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760"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sz w:val="14"/>
              </w:rPr>
            </w:pPr>
            <w:r>
              <w:rPr>
                <w:sz w:val="14"/>
              </w:rPr>
              <w:t>Adequate</w:t>
            </w:r>
          </w:p>
        </w:tc>
        <w:tc>
          <w:tcPr>
            <w:tcW w:w="129" w:type="dxa"/>
            <w:vMerge w:val="restart"/>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81" w:type="dxa"/>
            <w:tcBorders/>
            <w:vAlign w:val="center"/>
          </w:tcPr>
          <w:p>
            <w:pPr>
              <w:pStyle w:val="TableContents"/>
              <w:bidi w:val="0"/>
              <w:spacing w:before="0" w:after="283"/>
              <w:jc w:val="left"/>
              <w:rPr/>
            </w:pPr>
            <w:r>
              <w:rPr/>
              <w:t> </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473"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0"/>
              <w:jc w:val="left"/>
              <w:rPr>
                <w:sz w:val="14"/>
              </w:rPr>
            </w:pPr>
            <w:r>
              <w:rPr>
                <w:sz w:val="14"/>
              </w:rPr>
              <w:t>Sovereign support</w:t>
            </w:r>
          </w:p>
        </w:tc>
        <w:tc>
          <w:tcPr>
            <w:tcW w:w="95"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60" w:type="dxa"/>
            <w:tcBorders/>
            <w:vAlign w:val="center"/>
          </w:tcPr>
          <w:p>
            <w:pPr>
              <w:pStyle w:val="TableContents"/>
              <w:bidi w:val="0"/>
              <w:spacing w:before="0" w:after="283"/>
              <w:jc w:val="left"/>
              <w:rPr/>
            </w:pPr>
            <w:r>
              <w:rPr/>
              <w:t> </w:t>
            </w:r>
          </w:p>
        </w:tc>
        <w:tc>
          <w:tcPr>
            <w:tcW w:w="1655" w:type="dxa"/>
            <w:tcBorders>
              <w:left w:val="single" w:sz="2" w:space="0" w:color="A7A7A7"/>
              <w:right w:val="single" w:sz="2" w:space="0" w:color="A7A7A7"/>
            </w:tcBorders>
            <w:tcMar>
              <w:left w:w="28" w:type="dxa"/>
              <w:right w:w="28" w:type="dxa"/>
            </w:tcMar>
            <w:vAlign w:val="center"/>
          </w:tcPr>
          <w:p>
            <w:pPr>
              <w:pStyle w:val="TableContents"/>
              <w:bidi w:val="0"/>
              <w:spacing w:before="0" w:after="0"/>
              <w:jc w:val="center"/>
              <w:rPr>
                <w:b/>
                <w:sz w:val="19"/>
              </w:rPr>
            </w:pPr>
            <w:r>
              <w:rPr>
                <w:b/>
                <w:sz w:val="19"/>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0" w:after="283"/>
              <w:jc w:val="left"/>
              <w:rPr>
                <w:color w:val="000000"/>
                <w:sz w:val="14"/>
              </w:rPr>
            </w:pPr>
            <w:r>
              <w:rPr>
                <w:color w:val="000000"/>
                <w:sz w:val="14"/>
              </w:rPr>
              <w:t>Mexico City</w:t>
            </w:r>
          </w:p>
        </w:tc>
        <w:tc>
          <w:tcPr>
            <w:tcW w:w="60" w:type="dxa"/>
            <w:tcBorders/>
            <w:vAlign w:val="center"/>
          </w:tcPr>
          <w:p>
            <w:pPr>
              <w:pStyle w:val="TableContents"/>
              <w:bidi w:val="0"/>
              <w:spacing w:before="0" w:after="283"/>
              <w:jc w:val="left"/>
              <w:rPr/>
            </w:pPr>
            <w:r>
              <w:rPr/>
            </w:r>
          </w:p>
        </w:tc>
      </w:tr>
      <w:tr>
        <w:trPr/>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1636"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95" w:after="283"/>
              <w:jc w:val="left"/>
              <w:rPr>
                <w:sz w:val="14"/>
              </w:rPr>
            </w:pPr>
            <w:r>
              <w:rPr>
                <w:sz w:val="14"/>
              </w:rPr>
              <w:t>Liquidity</w:t>
            </w:r>
          </w:p>
        </w:tc>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760" w:type="dxa"/>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283"/>
              <w:jc w:val="left"/>
              <w:rPr>
                <w:sz w:val="14"/>
              </w:rPr>
            </w:pPr>
            <w:r>
              <w:rPr>
                <w:sz w:val="14"/>
              </w:rPr>
              <w:t>Adequate</w:t>
            </w:r>
          </w:p>
        </w:tc>
        <w:tc>
          <w:tcPr>
            <w:tcW w:w="129" w:type="dxa"/>
            <w:vMerge w:val="continue"/>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Normal"/>
              <w:bidi w:val="0"/>
              <w:jc w:val="left"/>
              <w:rPr/>
            </w:pPr>
            <w:r>
              <w:rPr/>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0"/>
              <w:jc w:val="left"/>
              <w:rPr>
                <w:sz w:val="14"/>
              </w:rPr>
            </w:pPr>
            <w:r>
              <w:rPr>
                <w:sz w:val="14"/>
              </w:rPr>
            </w:r>
          </w:p>
        </w:tc>
        <w:tc>
          <w:tcPr>
            <w:tcW w:w="9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655" w:type="dxa"/>
            <w:tcBorders>
              <w:left w:val="single" w:sz="2" w:space="0" w:color="A7A7A7"/>
              <w:right w:val="single" w:sz="2" w:space="0" w:color="A7A7A7"/>
            </w:tcBorders>
            <w:tcMar>
              <w:left w:w="28" w:type="dxa"/>
              <w:right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0" w:after="0"/>
              <w:jc w:val="left"/>
              <w:rPr>
                <w:sz w:val="14"/>
              </w:rPr>
            </w:pPr>
            <w:r>
              <w:rPr>
                <w:sz w:val="14"/>
              </w:rPr>
              <w:t>520445513524919</w:t>
            </w:r>
          </w:p>
        </w:tc>
        <w:tc>
          <w:tcPr>
            <w:tcW w:w="60" w:type="dxa"/>
            <w:tcBorders/>
            <w:vAlign w:val="center"/>
          </w:tcPr>
          <w:p>
            <w:pPr>
              <w:pStyle w:val="TableContents"/>
              <w:bidi w:val="0"/>
              <w:spacing w:before="0" w:after="283"/>
              <w:jc w:val="left"/>
              <w:rPr/>
            </w:pPr>
            <w:r>
              <w:rPr/>
            </w:r>
          </w:p>
        </w:tc>
      </w:tr>
      <w:tr>
        <w:trPr/>
        <w:tc>
          <w:tcPr>
            <w:tcW w:w="81" w:type="dxa"/>
            <w:tcBorders>
              <w:top w:val="single" w:sz="2" w:space="0" w:color="A7A7A7"/>
              <w:left w:val="single" w:sz="2" w:space="0" w:color="A7A7A7"/>
              <w:bottom w:val="single" w:sz="2" w:space="0" w:color="A7A7A7"/>
            </w:tcBorders>
            <w:tcMar>
              <w:top w:w="28" w:type="dxa"/>
              <w:left w:w="28" w:type="dxa"/>
              <w:bottom w:w="28" w:type="dxa"/>
            </w:tcMar>
            <w:vAlign w:val="center"/>
          </w:tcPr>
          <w:p>
            <w:pPr>
              <w:pStyle w:val="TableContents"/>
              <w:bidi w:val="0"/>
              <w:spacing w:before="0" w:after="283"/>
              <w:jc w:val="left"/>
              <w:rPr/>
            </w:pPr>
            <w:r>
              <w:rPr/>
              <w:t> </w:t>
            </w:r>
          </w:p>
        </w:tc>
        <w:tc>
          <w:tcPr>
            <w:tcW w:w="2477" w:type="dxa"/>
            <w:gridSpan w:val="3"/>
            <w:tcBorders>
              <w:top w:val="single" w:sz="2" w:space="0" w:color="A7A7A7"/>
              <w:bottom w:val="single" w:sz="2" w:space="0" w:color="A7A7A7"/>
              <w:right w:val="single" w:sz="2" w:space="0" w:color="A7A7A7"/>
            </w:tcBorders>
            <w:tcMar>
              <w:top w:w="28" w:type="dxa"/>
              <w:bottom w:w="28" w:type="dxa"/>
              <w:right w:w="28" w:type="dxa"/>
            </w:tcMar>
            <w:vAlign w:val="center"/>
          </w:tcPr>
          <w:p>
            <w:pPr>
              <w:pStyle w:val="TableContents"/>
              <w:bidi w:val="0"/>
              <w:spacing w:before="0" w:after="0"/>
              <w:jc w:val="left"/>
              <w:rPr>
                <w:sz w:val="14"/>
              </w:rPr>
            </w:pPr>
            <w:r>
              <w:rPr>
                <w:sz w:val="14"/>
              </w:rPr>
              <w:t>CRA adjustment</w:t>
            </w:r>
          </w:p>
        </w:tc>
        <w:tc>
          <w:tcPr>
            <w:tcW w:w="129" w:type="dxa"/>
            <w:tcBorders>
              <w:top w:val="single" w:sz="6" w:space="0" w:color="A7A7A7"/>
              <w:left w:val="single" w:sz="6" w:space="0" w:color="A7A7A7"/>
              <w:bottom w:val="single" w:sz="6" w:space="0" w:color="A7A7A7"/>
              <w:right w:val="single" w:sz="6" w:space="0" w:color="A7A7A7"/>
            </w:tcBorders>
            <w:tcMar>
              <w:top w:w="28" w:type="dxa"/>
              <w:left w:w="28" w:type="dxa"/>
              <w:bottom w:w="28" w:type="dxa"/>
              <w:right w:w="28" w:type="dxa"/>
            </w:tcMar>
            <w:vAlign w:val="center"/>
          </w:tcPr>
          <w:p>
            <w:pPr>
              <w:pStyle w:val="TableContents"/>
              <w:bidi w:val="0"/>
              <w:spacing w:before="0" w:after="283"/>
              <w:jc w:val="center"/>
              <w:rPr>
                <w:sz w:val="14"/>
              </w:rPr>
            </w:pPr>
            <w:r>
              <w:rPr>
                <w:sz w:val="14"/>
              </w:rPr>
              <w:t>0</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0"/>
              <w:jc w:val="left"/>
              <w:rPr>
                <w:sz w:val="14"/>
              </w:rPr>
            </w:pPr>
            <w:r>
              <w:rPr>
                <w:sz w:val="14"/>
              </w:rPr>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left w:val="single" w:sz="2" w:space="0" w:color="A7A7A7"/>
              <w:bottom w:val="single" w:sz="2" w:space="0" w:color="A7A7A7"/>
              <w:right w:val="single" w:sz="2" w:space="0" w:color="A7A7A7"/>
            </w:tcBorders>
            <w:tcMar>
              <w:left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65" w:type="dxa"/>
            <w:tcBorders/>
            <w:vAlign w:val="center"/>
          </w:tcPr>
          <w:p>
            <w:pPr>
              <w:pStyle w:val="TableContents"/>
              <w:bidi w:val="0"/>
              <w:spacing w:before="1" w:after="283"/>
              <w:jc w:val="left"/>
              <w:rPr>
                <w:sz w:val="14"/>
              </w:rPr>
            </w:pPr>
            <w:r>
              <w:rPr>
                <w:sz w:val="14"/>
              </w:rPr>
              <w:t xml:space="preserve">jesus.sotomayor </w:t>
            </w:r>
          </w:p>
        </w:tc>
        <w:tc>
          <w:tcPr>
            <w:tcW w:w="60" w:type="dxa"/>
            <w:tcBorders/>
            <w:vAlign w:val="center"/>
          </w:tcPr>
          <w:p>
            <w:pPr>
              <w:pStyle w:val="TableContents"/>
              <w:bidi w:val="0"/>
              <w:spacing w:before="0" w:after="283"/>
              <w:jc w:val="left"/>
              <w:rPr/>
            </w:pPr>
            <w:r>
              <w:rPr/>
            </w:r>
          </w:p>
        </w:tc>
      </w:tr>
      <w:tr>
        <w:trPr/>
        <w:tc>
          <w:tcPr>
            <w:tcW w:w="8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sz w:val="14"/>
              </w:rPr>
            </w:pPr>
            <w:r>
              <w:rPr>
                <w:sz w:val="14"/>
              </w:rPr>
              <w:t>@spglobal.com</w:t>
            </w:r>
          </w:p>
        </w:tc>
        <w:tc>
          <w:tcPr>
            <w:tcW w:w="60" w:type="dxa"/>
            <w:tcBorders/>
            <w:vAlign w:val="center"/>
          </w:tcPr>
          <w:p>
            <w:pPr>
              <w:pStyle w:val="TableContents"/>
              <w:bidi w:val="0"/>
              <w:spacing w:before="0" w:after="283"/>
              <w:jc w:val="left"/>
              <w:rPr/>
            </w:pPr>
            <w:r>
              <w:rPr/>
              <w:t> </w:t>
            </w:r>
          </w:p>
        </w:tc>
      </w:tr>
    </w:tbl>
    <w:p>
      <w:pPr>
        <w:pStyle w:val="TextBody"/>
        <w:bidi w:val="0"/>
        <w:spacing w:before="44" w:after="283"/>
        <w:jc w:val="left"/>
        <w:rPr>
          <w:rFonts w:ascii="Arial" w:hAnsi="Arial"/>
          <w:color w:val="000000"/>
          <w:sz w:val="18"/>
        </w:rPr>
      </w:pPr>
      <w:r>
        <w:rPr>
          <w:rFonts w:ascii="Arial" w:hAnsi="Arial"/>
          <w:color w:val="000000"/>
          <w:sz w:val="18"/>
        </w:rPr>
        <w:t>ALAC--Additional loss-absorbing capacity. CRA--Comparable ratings analysis. GRE--Government-related entity. ICR--Issuer credit rating. SACP--Stand-alone credit profile.</w:t>
      </w:r>
    </w:p>
    <w:p>
      <w:pPr>
        <w:pStyle w:val="TextBody"/>
        <w:bidi w:val="0"/>
        <w:spacing w:before="44" w:after="283"/>
        <w:jc w:val="left"/>
        <w:rPr>
          <w:sz w:val="18"/>
        </w:rPr>
      </w:pPr>
      <w:r>
        <w:rPr>
          <w:sz w:val="18"/>
        </w:rPr>
      </w:r>
    </w:p>
    <w:p>
      <w:pPr>
        <w:pStyle w:val="TextBody"/>
        <w:bidi w:val="0"/>
        <w:spacing w:before="0" w:after="0"/>
        <w:jc w:val="left"/>
        <w:rPr>
          <w:rFonts w:ascii="Arial" w:hAnsi="Arial"/>
          <w:color w:val="000000"/>
          <w:sz w:val="32"/>
        </w:rPr>
      </w:pPr>
      <w:r>
        <w:rPr>
          <w:rFonts w:ascii="Arial" w:hAnsi="Arial"/>
          <w:color w:val="000000"/>
          <w:sz w:val="32"/>
        </w:rPr>
        <w:t>Credit Highlights</w:t>
      </w:r>
    </w:p>
    <w:p>
      <w:pPr>
        <w:pStyle w:val="TextBody"/>
        <w:bidi w:val="0"/>
        <w:spacing w:before="246" w:after="283"/>
        <w:jc w:val="left"/>
        <w:rPr>
          <w:rFonts w:ascii="Arial" w:hAnsi="Arial"/>
          <w:b/>
          <w:color w:val="000000"/>
          <w:sz w:val="20"/>
        </w:rPr>
      </w:pPr>
      <w:r>
        <w:rPr>
          <w:rFonts w:ascii="Arial" w:hAnsi="Arial"/>
          <w:b/>
          <w:color w:val="000000"/>
          <w:sz w:val="20"/>
        </w:rPr>
        <w:t>Overview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7e7ee95b1cfd4aa096c536c7d38285cc"/>
      <w:bookmarkStart w:id="15" w:name="z7e7ee95b1cfd4aa096c536c7d38285cc"/>
      <w:bookmarkEnd w:id="15"/>
    </w:p>
    <w:tbl>
      <w:tblPr>
        <w:tblW w:w="10205" w:type="dxa"/>
        <w:jc w:val="left"/>
        <w:tblInd w:w="0" w:type="dxa"/>
        <w:tblLayout w:type="fixed"/>
        <w:tblCellMar>
          <w:top w:w="0" w:type="dxa"/>
          <w:left w:w="0" w:type="dxa"/>
          <w:bottom w:w="28" w:type="dxa"/>
          <w:right w:w="0" w:type="dxa"/>
        </w:tblCellMar>
      </w:tblPr>
      <w:tblGrid>
        <w:gridCol w:w="5245"/>
        <w:gridCol w:w="60"/>
        <w:gridCol w:w="4900"/>
      </w:tblGrid>
      <w:tr>
        <w:trPr/>
        <w:tc>
          <w:tcPr>
            <w:tcW w:w="5245" w:type="dxa"/>
            <w:tcBorders>
              <w:bottom w:val="single" w:sz="2" w:space="0" w:color="BFBFBF"/>
            </w:tcBorders>
            <w:vAlign w:val="center"/>
          </w:tcPr>
          <w:p>
            <w:pPr>
              <w:pStyle w:val="TableContents"/>
              <w:bidi w:val="0"/>
              <w:spacing w:before="0" w:after="283"/>
              <w:jc w:val="left"/>
              <w:rPr>
                <w:b/>
                <w:sz w:val="14"/>
              </w:rPr>
            </w:pPr>
            <w:r>
              <w:rPr>
                <w:b/>
                <w:sz w:val="14"/>
              </w:rPr>
              <w:t>Key strengths</w:t>
            </w:r>
          </w:p>
        </w:tc>
        <w:tc>
          <w:tcPr>
            <w:tcW w:w="60" w:type="dxa"/>
            <w:tcBorders>
              <w:bottom w:val="single" w:sz="2" w:space="0" w:color="BFBFBF"/>
            </w:tcBorders>
            <w:vAlign w:val="center"/>
          </w:tcPr>
          <w:p>
            <w:pPr>
              <w:pStyle w:val="TableContents"/>
              <w:bidi w:val="0"/>
              <w:spacing w:before="0" w:after="283"/>
              <w:jc w:val="left"/>
              <w:rPr/>
            </w:pPr>
            <w:r>
              <w:rPr/>
              <w:t> </w:t>
            </w:r>
          </w:p>
        </w:tc>
        <w:tc>
          <w:tcPr>
            <w:tcW w:w="4900" w:type="dxa"/>
            <w:tcBorders>
              <w:bottom w:val="single" w:sz="2" w:space="0" w:color="BFBFBF"/>
            </w:tcBorders>
            <w:vAlign w:val="center"/>
          </w:tcPr>
          <w:p>
            <w:pPr>
              <w:pStyle w:val="TableContents"/>
              <w:bidi w:val="0"/>
              <w:spacing w:before="0" w:after="283"/>
              <w:jc w:val="left"/>
              <w:rPr>
                <w:b/>
                <w:sz w:val="14"/>
              </w:rPr>
            </w:pPr>
            <w:r>
              <w:rPr>
                <w:b/>
                <w:sz w:val="14"/>
              </w:rPr>
              <w:t>Key risks</w:t>
            </w:r>
          </w:p>
        </w:tc>
      </w:tr>
      <w:tr>
        <w:trPr/>
        <w:tc>
          <w:tcPr>
            <w:tcW w:w="5245" w:type="dxa"/>
            <w:tcBorders>
              <w:bottom w:val="single" w:sz="2" w:space="0" w:color="BFBFBF"/>
            </w:tcBorders>
            <w:vAlign w:val="center"/>
          </w:tcPr>
          <w:p>
            <w:pPr>
              <w:pStyle w:val="TableContents"/>
              <w:bidi w:val="0"/>
              <w:spacing w:before="129" w:after="283"/>
              <w:jc w:val="left"/>
              <w:rPr>
                <w:sz w:val="14"/>
              </w:rPr>
            </w:pPr>
            <w:r>
              <w:rPr>
                <w:sz w:val="14"/>
              </w:rPr>
              <w:t>High</w:t>
              <w:noBreakHyphen/>
              <w:t>quality and diverse asset base with dominant positions in most business segments.</w:t>
            </w:r>
          </w:p>
        </w:tc>
        <w:tc>
          <w:tcPr>
            <w:tcW w:w="60" w:type="dxa"/>
            <w:tcBorders>
              <w:bottom w:val="single" w:sz="2" w:space="0" w:color="BFBFBF"/>
            </w:tcBorders>
            <w:vAlign w:val="center"/>
          </w:tcPr>
          <w:p>
            <w:pPr>
              <w:pStyle w:val="TableContents"/>
              <w:bidi w:val="0"/>
              <w:spacing w:before="0" w:after="283"/>
              <w:jc w:val="left"/>
              <w:rPr/>
            </w:pPr>
            <w:r>
              <w:rPr/>
              <w:t> </w:t>
            </w:r>
          </w:p>
        </w:tc>
        <w:tc>
          <w:tcPr>
            <w:tcW w:w="4900" w:type="dxa"/>
            <w:tcBorders>
              <w:bottom w:val="single" w:sz="2" w:space="0" w:color="BFBFBF"/>
            </w:tcBorders>
            <w:vAlign w:val="center"/>
          </w:tcPr>
          <w:p>
            <w:pPr>
              <w:pStyle w:val="TableContents"/>
              <w:bidi w:val="0"/>
              <w:spacing w:before="0" w:after="283"/>
              <w:jc w:val="left"/>
              <w:rPr>
                <w:sz w:val="14"/>
              </w:rPr>
            </w:pPr>
            <w:r>
              <w:rPr>
                <w:sz w:val="14"/>
              </w:rPr>
              <w:t>Complex political landscape could dent short</w:t>
              <w:noBreakHyphen/>
              <w:t xml:space="preserve"> to medium</w:t>
              <w:noBreakHyphen/>
              <w:t>term economic growth in Peru, limiting better business conditions.</w:t>
            </w:r>
          </w:p>
        </w:tc>
      </w:tr>
      <w:tr>
        <w:trPr/>
        <w:tc>
          <w:tcPr>
            <w:tcW w:w="5245" w:type="dxa"/>
            <w:tcBorders>
              <w:bottom w:val="single" w:sz="2" w:space="0" w:color="BFBFBF"/>
            </w:tcBorders>
            <w:vAlign w:val="center"/>
          </w:tcPr>
          <w:p>
            <w:pPr>
              <w:pStyle w:val="TableContents"/>
              <w:bidi w:val="0"/>
              <w:spacing w:before="0" w:after="283"/>
              <w:jc w:val="left"/>
              <w:rPr>
                <w:sz w:val="14"/>
              </w:rPr>
            </w:pPr>
            <w:r>
              <w:rPr>
                <w:sz w:val="14"/>
              </w:rPr>
              <w:t>Sound profitability at most of its operating subsidiaries helps keep adequate capitalization while consistently upstreaming dividends.</w:t>
            </w:r>
          </w:p>
        </w:tc>
        <w:tc>
          <w:tcPr>
            <w:tcW w:w="60" w:type="dxa"/>
            <w:tcBorders>
              <w:bottom w:val="single" w:sz="2" w:space="0" w:color="BFBFBF"/>
            </w:tcBorders>
            <w:vAlign w:val="center"/>
          </w:tcPr>
          <w:p>
            <w:pPr>
              <w:pStyle w:val="TableContents"/>
              <w:bidi w:val="0"/>
              <w:spacing w:before="0" w:after="283"/>
              <w:jc w:val="left"/>
              <w:rPr/>
            </w:pPr>
            <w:r>
              <w:rPr/>
              <w:t> </w:t>
            </w:r>
          </w:p>
        </w:tc>
        <w:tc>
          <w:tcPr>
            <w:tcW w:w="4900" w:type="dxa"/>
            <w:tcBorders>
              <w:bottom w:val="single" w:sz="2" w:space="0" w:color="BFBFBF"/>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Arial" w:hAnsi="Arial"/>
          <w:color w:val="000000"/>
          <w:sz w:val="18"/>
        </w:rPr>
      </w:pPr>
      <w:r>
        <w:rPr>
          <w:rFonts w:ascii="Arial" w:hAnsi="Arial"/>
          <w:b/>
          <w:color w:val="000000"/>
          <w:sz w:val="18"/>
        </w:rPr>
        <w:t xml:space="preserve">Credicorp Ltd. has investments in multiple large assets in the financial industry in Peru and some presence in other Latin American countries. </w:t>
      </w:r>
      <w:r>
        <w:rPr>
          <w:rFonts w:ascii="Arial" w:hAnsi="Arial"/>
          <w:color w:val="000000"/>
          <w:sz w:val="18"/>
        </w:rPr>
        <w:t>The rating on the Bermuda-based nonoperating holding company (NOHC) incorporates the Credicorp group's leading position in Peru's financial industry, along with its business diversification by product, steady earnings despite regional economic challenges, adequate capitalization, stable funding base, and ample liquidity coverage.</w:t>
      </w:r>
    </w:p>
    <w:p>
      <w:pPr>
        <w:pStyle w:val="TextBody"/>
        <w:bidi w:val="0"/>
        <w:spacing w:before="0" w:after="0"/>
        <w:ind w:left="348" w:right="3240" w:hanging="0"/>
        <w:jc w:val="left"/>
        <w:rPr>
          <w:sz w:val="18"/>
        </w:rPr>
      </w:pPr>
      <w:r>
        <w:rPr>
          <w:sz w:val="18"/>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1</w:t>
            </w:r>
          </w:p>
        </w:tc>
      </w:tr>
    </w:tbl>
    <w:p>
      <w:pPr>
        <w:pStyle w:val="HorizontalLine"/>
        <w:pBdr>
          <w:bottom w:val="single" w:sz="12" w:space="0" w:color="808080"/>
        </w:pBdr>
        <w:bidi w:val="0"/>
        <w:spacing w:before="180" w:after="180"/>
        <w:jc w:val="left"/>
        <w:rPr/>
      </w:pPr>
      <w:r>
        <w:rPr/>
      </w:r>
    </w:p>
    <w:p>
      <w:pPr>
        <w:pStyle w:val="TextBody"/>
        <w:bidi w:val="0"/>
        <w:spacing w:before="2" w:after="283"/>
        <w:jc w:val="left"/>
        <w:rPr>
          <w:rFonts w:ascii="Arial" w:hAnsi="Arial"/>
          <w:color w:val="000000"/>
          <w:sz w:val="18"/>
        </w:rPr>
      </w:pPr>
      <w:r>
        <w:rPr>
          <w:rFonts w:ascii="Arial" w:hAnsi="Arial"/>
          <w:b/>
          <w:color w:val="000000"/>
          <w:sz w:val="18"/>
        </w:rPr>
        <w:t xml:space="preserve">Our rating on Peru influences the creditworthiness of companies operating in the domestic financial sector, including Credicorp. </w:t>
      </w:r>
      <w:r>
        <w:rPr>
          <w:rFonts w:ascii="Arial" w:hAnsi="Arial"/>
          <w:color w:val="000000"/>
          <w:sz w:val="18"/>
        </w:rPr>
        <w:t>Our foreign currency sovereign credit rating on Peru (BBB-/Stable/A-3) limits the group credit profile (GCP) on Credicorp because we consider it unlikely that the group, like other domestic financial companies, would remain unaffected in a sovereign default scenario, given its large asset exposure to the country.</w:t>
      </w:r>
    </w:p>
    <w:p>
      <w:pPr>
        <w:pStyle w:val="TextBody"/>
        <w:bidi w:val="0"/>
        <w:spacing w:before="122" w:after="283"/>
        <w:jc w:val="left"/>
        <w:rPr>
          <w:rFonts w:ascii="Arial" w:hAnsi="Arial"/>
          <w:color w:val="000000"/>
          <w:sz w:val="18"/>
        </w:rPr>
      </w:pPr>
      <w:r>
        <w:rPr>
          <w:rFonts w:ascii="Arial" w:hAnsi="Arial"/>
          <w:b/>
          <w:color w:val="000000"/>
          <w:sz w:val="18"/>
        </w:rPr>
        <w:t xml:space="preserve">Credicorp's assets have grown 5% annually since 2024, accompanied by moderate internal growth at its main subsidiaries. </w:t>
      </w:r>
      <w:r>
        <w:rPr>
          <w:rFonts w:ascii="Arial" w:hAnsi="Arial"/>
          <w:color w:val="000000"/>
          <w:sz w:val="18"/>
        </w:rPr>
        <w:t>The company also acquired the remaining 50% of the joint venture with Empresas Banmédica in 2025, which strengthened the group's presence in the health care and medical services sector in Peru.</w:t>
      </w:r>
    </w:p>
    <w:p>
      <w:pPr>
        <w:pStyle w:val="TextBody"/>
        <w:bidi w:val="0"/>
        <w:spacing w:before="124" w:after="283"/>
        <w:jc w:val="left"/>
        <w:rPr>
          <w:rFonts w:ascii="Arial" w:hAnsi="Arial"/>
          <w:color w:val="000000"/>
          <w:sz w:val="18"/>
        </w:rPr>
      </w:pPr>
      <w:r>
        <w:rPr>
          <w:rFonts w:ascii="Arial" w:hAnsi="Arial"/>
          <w:color w:val="000000"/>
          <w:sz w:val="18"/>
        </w:rPr>
        <w:t>In December 2025, Credicorp announced an agreement to acquire Helm Bank (not rated) in the U.S., subject to regulatory approvals. The aim of the transaction is to strengthen cross-border capabilities by serving international clients, particularly those whose financial activities span Latin America and the U.S. Helm Bank has over $1 billion in assets with a large presence in Florida. We don't expect significant changes in Credicorp's credit profile if the transaction closes because Helm Bank's assets, loans, and equity represent less than 1.5% of the group's total volumes.</w:t>
      </w:r>
    </w:p>
    <w:p>
      <w:pPr>
        <w:pStyle w:val="TextBody"/>
        <w:bidi w:val="0"/>
        <w:spacing w:before="125" w:after="283"/>
        <w:jc w:val="left"/>
        <w:rPr>
          <w:rFonts w:ascii="Arial" w:hAnsi="Arial"/>
          <w:color w:val="000000"/>
          <w:sz w:val="18"/>
        </w:rPr>
      </w:pPr>
      <w:r>
        <w:rPr>
          <w:rFonts w:ascii="Arial" w:hAnsi="Arial"/>
          <w:b/>
          <w:color w:val="000000"/>
          <w:sz w:val="18"/>
        </w:rPr>
        <w:t xml:space="preserve">Our rating on Credicorp is at the same level as the 'bbb-' GCP because we believe the holding company will not carry any financial debt in 2026-2027. </w:t>
      </w:r>
      <w:r>
        <w:rPr>
          <w:rFonts w:ascii="Arial" w:hAnsi="Arial"/>
          <w:color w:val="000000"/>
          <w:sz w:val="18"/>
        </w:rPr>
        <w:t>We base this view on the fact that its current capital and liquidity support adequately its short- to medium-term strategies. During 2025, Credicorp repaid its only debt issuance (totaling $500 million) using unencumbered liquid assets it had. The main purpose of the issuance, which it made in 2020, was to enhance the group's cash cushion for potential contingencies during the past adverse years.</w:t>
      </w:r>
    </w:p>
    <w:p>
      <w:pPr>
        <w:pStyle w:val="TextBody"/>
        <w:bidi w:val="0"/>
        <w:spacing w:before="125" w:after="283"/>
        <w:jc w:val="left"/>
        <w:rPr>
          <w:rFonts w:ascii="Arial" w:hAnsi="Arial"/>
          <w:color w:val="000000"/>
          <w:sz w:val="18"/>
        </w:rPr>
      </w:pPr>
      <w:r>
        <w:rPr>
          <w:rFonts w:ascii="Arial" w:hAnsi="Arial"/>
          <w:color w:val="000000"/>
          <w:sz w:val="18"/>
        </w:rPr>
        <w:t>As of December 2025, the NOHC's liabilities reported relate only to taxes and dividends, and its cash comfortably covers its small amount of operating expenses. Thus, at this point, we don't expect the holding to rely on dividends, which mainly come from highly regulated subsidiaries. We expect double leverage to remain at conservative levels (around 100%), as seen in recent years.</w:t>
      </w:r>
    </w:p>
    <w:p>
      <w:pPr>
        <w:pStyle w:val="TextBody"/>
        <w:bidi w:val="0"/>
        <w:spacing w:before="46" w:after="283"/>
        <w:jc w:val="left"/>
        <w:rPr/>
      </w:pPr>
      <w:r>
        <w:rPr/>
      </w:r>
    </w:p>
    <w:p>
      <w:pPr>
        <w:pStyle w:val="TextBody"/>
        <w:bidi w:val="0"/>
        <w:spacing w:before="0" w:after="0"/>
        <w:jc w:val="left"/>
        <w:rPr>
          <w:rFonts w:ascii="Arial" w:hAnsi="Arial"/>
          <w:color w:val="000000"/>
          <w:sz w:val="32"/>
        </w:rPr>
      </w:pPr>
      <w:r>
        <w:rPr>
          <w:rFonts w:ascii="Arial" w:hAnsi="Arial"/>
          <w:color w:val="000000"/>
          <w:sz w:val="32"/>
        </w:rPr>
        <w:t>Outlook</w:t>
      </w:r>
    </w:p>
    <w:p>
      <w:pPr>
        <w:pStyle w:val="TextBody"/>
        <w:bidi w:val="0"/>
        <w:spacing w:before="170" w:after="283"/>
        <w:jc w:val="left"/>
        <w:rPr>
          <w:rFonts w:ascii="Arial" w:hAnsi="Arial"/>
          <w:color w:val="000000"/>
          <w:sz w:val="18"/>
        </w:rPr>
      </w:pPr>
      <w:r>
        <w:rPr>
          <w:rFonts w:ascii="Arial" w:hAnsi="Arial"/>
          <w:color w:val="000000"/>
          <w:sz w:val="18"/>
        </w:rPr>
        <w:t>The stable rating outlook on Credicorp for the next 12-24 months reflects that on Peru, which will continue influencing the group's credit fundamentals. We don't expect the holding company to raise debt in 2026, and anticipate it will keep stable double leverage below 120% and comfortable liquidity to support its operations.</w:t>
      </w:r>
    </w:p>
    <w:p>
      <w:pPr>
        <w:pStyle w:val="TextBody"/>
        <w:bidi w:val="0"/>
        <w:spacing w:before="123" w:after="283"/>
        <w:jc w:val="left"/>
        <w:rPr>
          <w:rFonts w:ascii="Arial" w:hAnsi="Arial"/>
          <w:color w:val="000000"/>
          <w:sz w:val="18"/>
        </w:rPr>
      </w:pPr>
      <w:r>
        <w:rPr>
          <w:rFonts w:ascii="Arial" w:hAnsi="Arial"/>
          <w:color w:val="000000"/>
          <w:sz w:val="18"/>
        </w:rPr>
        <w:t xml:space="preserve">The stable outlook also indicates the resilience of the group's largest subsidiary, </w:t>
      </w:r>
      <w:r>
        <w:rPr>
          <w:rFonts w:ascii="Arial" w:hAnsi="Arial"/>
          <w:b/>
          <w:color w:val="D6002A"/>
          <w:sz w:val="18"/>
          <w:u w:val="single"/>
        </w:rPr>
        <w:t>Banco de</w:t>
      </w:r>
      <w:r>
        <w:rPr>
          <w:rFonts w:ascii="Arial" w:hAnsi="Arial"/>
          <w:b/>
          <w:color w:val="D6002A"/>
          <w:sz w:val="18"/>
        </w:rPr>
        <w:t> </w:t>
      </w:r>
      <w:r>
        <w:rPr>
          <w:rFonts w:ascii="Arial" w:hAnsi="Arial"/>
          <w:b/>
          <w:color w:val="D6002A"/>
          <w:sz w:val="18"/>
          <w:u w:val="single"/>
        </w:rPr>
        <w:t>Credito del Peru</w:t>
      </w:r>
      <w:r>
        <w:rPr>
          <w:rFonts w:ascii="Arial" w:hAnsi="Arial"/>
          <w:color w:val="000000"/>
          <w:sz w:val="18"/>
        </w:rPr>
        <w:t>, which we don't expect to downgrade unless its stand-alone credit profile falls below 'bbb-', which is unlikely.</w:t>
      </w:r>
    </w:p>
    <w:p>
      <w:pPr>
        <w:pStyle w:val="TextBody"/>
        <w:bidi w:val="0"/>
        <w:spacing w:before="11" w:after="283"/>
        <w:jc w:val="left"/>
        <w:rPr/>
      </w:pPr>
      <w:r>
        <w:rPr/>
      </w:r>
    </w:p>
    <w:p>
      <w:pPr>
        <w:pStyle w:val="TextBody"/>
        <w:bidi w:val="0"/>
        <w:spacing w:before="0" w:after="0"/>
        <w:jc w:val="left"/>
        <w:rPr>
          <w:rFonts w:ascii="Arial" w:hAnsi="Arial"/>
          <w:b/>
          <w:color w:val="9E8D73"/>
          <w:sz w:val="24"/>
        </w:rPr>
      </w:pPr>
      <w:r>
        <w:rPr>
          <w:rFonts w:ascii="Arial" w:hAnsi="Arial"/>
          <w:b/>
          <w:color w:val="9E8D73"/>
          <w:sz w:val="24"/>
        </w:rPr>
        <w:t>Downside scenario</w:t>
      </w:r>
    </w:p>
    <w:p>
      <w:pPr>
        <w:pStyle w:val="TextBody"/>
        <w:bidi w:val="0"/>
        <w:spacing w:before="172" w:after="283"/>
        <w:jc w:val="left"/>
        <w:rPr>
          <w:rFonts w:ascii="Arial" w:hAnsi="Arial"/>
          <w:color w:val="000000"/>
          <w:sz w:val="18"/>
        </w:rPr>
      </w:pPr>
      <w:r>
        <w:rPr>
          <w:rFonts w:ascii="Arial" w:hAnsi="Arial"/>
          <w:color w:val="000000"/>
          <w:sz w:val="18"/>
        </w:rPr>
        <w:t>A downgrade of Peru could trigger a similar action on Credicorp. We could also lower the rating on Credicorp if it issues new debt and starts relying on dividends from its regulated subsidiaries to meet its financial obligations.</w:t>
      </w:r>
    </w:p>
    <w:p>
      <w:pPr>
        <w:pStyle w:val="TextBody"/>
        <w:bidi w:val="0"/>
        <w:spacing w:before="11" w:after="283"/>
        <w:jc w:val="left"/>
        <w:rPr/>
      </w:pPr>
      <w:r>
        <w:rPr/>
      </w:r>
    </w:p>
    <w:p>
      <w:pPr>
        <w:pStyle w:val="TextBody"/>
        <w:bidi w:val="0"/>
        <w:spacing w:before="0" w:after="0"/>
        <w:jc w:val="left"/>
        <w:rPr>
          <w:rFonts w:ascii="Arial" w:hAnsi="Arial"/>
          <w:b/>
          <w:color w:val="9E8D73"/>
          <w:sz w:val="24"/>
        </w:rPr>
      </w:pPr>
      <w:r>
        <w:rPr>
          <w:rFonts w:ascii="Arial" w:hAnsi="Arial"/>
          <w:b/>
          <w:color w:val="9E8D73"/>
          <w:sz w:val="24"/>
        </w:rPr>
        <w:t>Upside scenario</w:t>
      </w:r>
    </w:p>
    <w:p>
      <w:pPr>
        <w:pStyle w:val="TextBody"/>
        <w:bidi w:val="0"/>
        <w:spacing w:before="172" w:after="283"/>
        <w:jc w:val="left"/>
        <w:rPr>
          <w:rFonts w:ascii="Arial" w:hAnsi="Arial"/>
          <w:color w:val="000000"/>
          <w:sz w:val="18"/>
        </w:rPr>
      </w:pPr>
      <w:r>
        <w:rPr>
          <w:rFonts w:ascii="Arial" w:hAnsi="Arial"/>
          <w:color w:val="000000"/>
          <w:sz w:val="18"/>
        </w:rPr>
        <w:t>We could upgrade Credicorp if we were to take a similar action on the sovereign while the group's intrinsic credit fundamentals and holding company's debt strategy remain unchanged.</w:t>
      </w:r>
    </w:p>
    <w:p>
      <w:pPr>
        <w:pStyle w:val="TextBody"/>
        <w:bidi w:val="0"/>
        <w:spacing w:before="0" w:after="0"/>
        <w:jc w:val="left"/>
        <w:rPr/>
      </w:pPr>
      <w:r>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2</w:t>
            </w:r>
          </w:p>
        </w:tc>
      </w:tr>
    </w:tbl>
    <w:p>
      <w:pPr>
        <w:pStyle w:val="HorizontalLine"/>
        <w:pBdr>
          <w:bottom w:val="single" w:sz="12" w:space="0" w:color="808080"/>
        </w:pBdr>
        <w:bidi w:val="0"/>
        <w:spacing w:before="180" w:after="180"/>
        <w:jc w:val="left"/>
        <w:rPr/>
      </w:pPr>
      <w:r>
        <w:rPr/>
      </w:r>
    </w:p>
    <w:p>
      <w:pPr>
        <w:pStyle w:val="TextBody"/>
        <w:bidi w:val="0"/>
        <w:spacing w:before="0" w:after="0"/>
        <w:jc w:val="left"/>
        <w:rPr>
          <w:rFonts w:ascii="Arial" w:hAnsi="Arial"/>
          <w:color w:val="000000"/>
          <w:sz w:val="32"/>
        </w:rPr>
      </w:pPr>
      <w:r>
        <w:rPr>
          <w:rFonts w:ascii="Arial" w:hAnsi="Arial"/>
          <w:color w:val="000000"/>
          <w:sz w:val="32"/>
        </w:rPr>
        <w:t>Key Metrics</w:t>
      </w:r>
    </w:p>
    <w:p>
      <w:pPr>
        <w:pStyle w:val="TextBody"/>
        <w:bidi w:val="0"/>
        <w:spacing w:before="244" w:after="283"/>
        <w:jc w:val="left"/>
        <w:rPr>
          <w:rFonts w:ascii="Arial" w:hAnsi="Arial"/>
          <w:b/>
          <w:color w:val="000000"/>
          <w:sz w:val="20"/>
        </w:rPr>
      </w:pPr>
      <w:r>
        <w:rPr>
          <w:rFonts w:ascii="Arial" w:hAnsi="Arial"/>
          <w:b/>
          <w:color w:val="000000"/>
          <w:sz w:val="20"/>
        </w:rPr>
        <w:t>Credicorp Ltd.</w:t>
        <w:noBreakHyphen/>
        <w:noBreakHyphen/>
        <w:t>Key ratios and forecasts</w:t>
      </w:r>
    </w:p>
    <w:p>
      <w:pPr>
        <w:pStyle w:val="TextBody"/>
        <w:bidi w:val="0"/>
        <w:spacing w:before="22" w:after="283"/>
        <w:jc w:val="left"/>
        <w:rPr/>
      </w:pPr>
      <w:r>
        <w:rPr/>
      </w:r>
    </w:p>
    <w:p>
      <w:pPr>
        <w:pStyle w:val="Normal"/>
        <w:bidi w:val="0"/>
        <w:spacing w:before="0" w:after="0"/>
        <w:jc w:val="left"/>
        <w:rPr>
          <w:sz w:val="4"/>
          <w:szCs w:val="4"/>
        </w:rPr>
      </w:pPr>
      <w:r>
        <w:rPr>
          <w:sz w:val="4"/>
          <w:szCs w:val="4"/>
        </w:rPr>
      </w:r>
      <w:bookmarkStart w:id="16" w:name="zd2c8159cb1fc4e718c4aab8559c59cd6"/>
      <w:bookmarkStart w:id="17" w:name="zd2c8159cb1fc4e718c4aab8559c59cd6"/>
      <w:bookmarkEnd w:id="17"/>
    </w:p>
    <w:tbl>
      <w:tblPr>
        <w:tblW w:w="5190" w:type="dxa"/>
        <w:jc w:val="left"/>
        <w:tblInd w:w="0" w:type="dxa"/>
        <w:tblLayout w:type="fixed"/>
        <w:tblCellMar>
          <w:top w:w="0" w:type="dxa"/>
          <w:left w:w="0" w:type="dxa"/>
          <w:bottom w:w="0" w:type="dxa"/>
          <w:right w:w="0" w:type="dxa"/>
        </w:tblCellMar>
      </w:tblPr>
      <w:tblGrid>
        <w:gridCol w:w="2855"/>
        <w:gridCol w:w="395"/>
        <w:gridCol w:w="395"/>
        <w:gridCol w:w="395"/>
        <w:gridCol w:w="575"/>
        <w:gridCol w:w="575"/>
      </w:tblGrid>
      <w:tr>
        <w:trPr/>
        <w:tc>
          <w:tcPr>
            <w:tcW w:w="2855" w:type="dxa"/>
            <w:tcBorders/>
            <w:vAlign w:val="center"/>
          </w:tcPr>
          <w:p>
            <w:pPr>
              <w:pStyle w:val="TableContents"/>
              <w:bidi w:val="0"/>
              <w:spacing w:before="0" w:after="283"/>
              <w:jc w:val="left"/>
              <w:rPr/>
            </w:pPr>
            <w:r>
              <w:rPr/>
              <w:t> </w:t>
            </w:r>
          </w:p>
        </w:tc>
        <w:tc>
          <w:tcPr>
            <w:tcW w:w="2335" w:type="dxa"/>
            <w:gridSpan w:val="5"/>
            <w:tcBorders>
              <w:bottom w:val="single" w:sz="2" w:space="0" w:color="BFBFBF"/>
            </w:tcBorders>
            <w:tcMar>
              <w:bottom w:w="28" w:type="dxa"/>
            </w:tcMar>
            <w:vAlign w:val="center"/>
          </w:tcPr>
          <w:p>
            <w:pPr>
              <w:pStyle w:val="TableContents"/>
              <w:bidi w:val="0"/>
              <w:spacing w:before="0" w:after="0"/>
              <w:jc w:val="center"/>
              <w:rPr/>
            </w:pPr>
            <w:r>
              <w:rPr/>
              <w:noBreakHyphen/>
              <w:noBreakHyphen/>
            </w:r>
            <w:r>
              <w:rPr>
                <w:b/>
                <w:sz w:val="14"/>
              </w:rPr>
              <w:t>Fiscal year ended Dec. 31</w:t>
              <w:noBreakHyphen/>
              <w:t>-</w:t>
            </w:r>
          </w:p>
        </w:tc>
      </w:tr>
      <w:tr>
        <w:trPr/>
        <w:tc>
          <w:tcPr>
            <w:tcW w:w="2855" w:type="dxa"/>
            <w:tcBorders>
              <w:bottom w:val="single" w:sz="2" w:space="0" w:color="BFBFBF"/>
            </w:tcBorders>
            <w:tcMar>
              <w:bottom w:w="28" w:type="dxa"/>
            </w:tcMar>
            <w:vAlign w:val="center"/>
          </w:tcPr>
          <w:p>
            <w:pPr>
              <w:pStyle w:val="TableContents"/>
              <w:bidi w:val="0"/>
              <w:spacing w:before="63" w:after="283"/>
              <w:jc w:val="left"/>
              <w:rPr>
                <w:b/>
                <w:sz w:val="14"/>
              </w:rPr>
            </w:pPr>
            <w:r>
              <w:rPr>
                <w:b/>
                <w:sz w:val="14"/>
              </w:rPr>
              <w:t>(%)</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b/>
                <w:sz w:val="14"/>
              </w:rPr>
            </w:pPr>
            <w:r>
              <w:rPr>
                <w:b/>
                <w:sz w:val="14"/>
              </w:rPr>
              <w:t>2023a</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b/>
                <w:sz w:val="14"/>
              </w:rPr>
            </w:pPr>
            <w:r>
              <w:rPr>
                <w:b/>
                <w:sz w:val="14"/>
              </w:rPr>
              <w:t>2024a</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b/>
                <w:sz w:val="14"/>
              </w:rPr>
            </w:pPr>
            <w:r>
              <w:rPr>
                <w:b/>
                <w:sz w:val="14"/>
              </w:rPr>
              <w:t>2025a</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b/>
                <w:sz w:val="14"/>
              </w:rPr>
            </w:pPr>
            <w:r>
              <w:rPr>
                <w:b/>
                <w:sz w:val="14"/>
              </w:rPr>
              <w:t>2026f</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b/>
                <w:sz w:val="14"/>
              </w:rPr>
            </w:pPr>
            <w:r>
              <w:rPr>
                <w:b/>
                <w:sz w:val="14"/>
              </w:rPr>
              <w:t>2027f</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left"/>
              <w:rPr>
                <w:sz w:val="14"/>
              </w:rPr>
            </w:pPr>
            <w:r>
              <w:rPr>
                <w:sz w:val="14"/>
              </w:rPr>
              <w:t>Growth in customer loans</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pPr>
            <w:r>
              <w:rPr/>
              <w:noBreakHyphen/>
            </w:r>
            <w:r>
              <w:rPr>
                <w:sz w:val="14"/>
              </w:rPr>
              <w:t>2.5</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0.5</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2.9</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7.5</w:t>
              <w:noBreakHyphen/>
              <w:t>9.5</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9.0</w:t>
              <w:noBreakHyphen/>
              <w:t>12.0</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left"/>
              <w:rPr>
                <w:sz w:val="14"/>
              </w:rPr>
            </w:pPr>
            <w:r>
              <w:rPr>
                <w:sz w:val="14"/>
              </w:rPr>
              <w:t>Net interest income/average earning assets (NIM)</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6.6</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6.9</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7.0</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7.0</w:t>
              <w:noBreakHyphen/>
              <w:t>7.3</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6.9</w:t>
              <w:noBreakHyphen/>
              <w:t>7.4</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left"/>
              <w:rPr>
                <w:sz w:val="14"/>
              </w:rPr>
            </w:pPr>
            <w:r>
              <w:rPr>
                <w:sz w:val="14"/>
              </w:rPr>
              <w:t>Cost</w:t>
              <w:noBreakHyphen/>
              <w:t>to</w:t>
              <w:noBreakHyphen/>
              <w:t>income ratio</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46.9</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47.7</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47.1</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45.0</w:t>
              <w:noBreakHyphen/>
              <w:t>47.0</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44.0</w:t>
              <w:noBreakHyphen/>
              <w:t>46.0</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left"/>
              <w:rPr>
                <w:sz w:val="14"/>
              </w:rPr>
            </w:pPr>
            <w:r>
              <w:rPr>
                <w:sz w:val="14"/>
              </w:rPr>
              <w:t>Return on average common equity</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15.8</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16.5</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19.0</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17.5</w:t>
              <w:noBreakHyphen/>
              <w:t>19.5</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17.0</w:t>
              <w:noBreakHyphen/>
              <w:t>21.0</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left"/>
              <w:rPr>
                <w:sz w:val="14"/>
              </w:rPr>
            </w:pPr>
            <w:r>
              <w:rPr>
                <w:sz w:val="14"/>
              </w:rPr>
              <w:t>New loan loss provisions/average customer loans</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2.5</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2.4</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1.6</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1.7</w:t>
              <w:noBreakHyphen/>
              <w:t>1.9</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1.6</w:t>
              <w:noBreakHyphen/>
              <w:t>2.0</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left"/>
              <w:rPr>
                <w:sz w:val="14"/>
              </w:rPr>
            </w:pPr>
            <w:r>
              <w:rPr>
                <w:sz w:val="14"/>
              </w:rPr>
              <w:t>Gross nonperforming assets/customer loans</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4.3</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3.8</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3.3</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3.2</w:t>
              <w:noBreakHyphen/>
              <w:t>3.4</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3.0</w:t>
              <w:noBreakHyphen/>
              <w:t>3.5</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left"/>
              <w:rPr>
                <w:sz w:val="14"/>
              </w:rPr>
            </w:pPr>
            <w:r>
              <w:rPr>
                <w:sz w:val="14"/>
              </w:rPr>
              <w:t>Net charge</w:t>
              <w:noBreakHyphen/>
              <w:t>offs/average customer loans</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2.0</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2.4</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1.7</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1.5</w:t>
              <w:noBreakHyphen/>
              <w:t>1.7</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1.3</w:t>
              <w:noBreakHyphen/>
              <w:t>1.9</w:t>
            </w:r>
          </w:p>
        </w:tc>
      </w:tr>
      <w:tr>
        <w:trPr/>
        <w:tc>
          <w:tcPr>
            <w:tcW w:w="285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left"/>
              <w:rPr>
                <w:sz w:val="14"/>
              </w:rPr>
            </w:pPr>
            <w:r>
              <w:rPr>
                <w:sz w:val="14"/>
              </w:rPr>
              <w:t>Risk</w:t>
              <w:noBreakHyphen/>
              <w:t>adjusted capital ratio</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9.5</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9.7</w:t>
            </w:r>
          </w:p>
        </w:tc>
        <w:tc>
          <w:tcPr>
            <w:tcW w:w="395" w:type="dxa"/>
            <w:tcBorders>
              <w:top w:val="single" w:sz="2" w:space="0" w:color="BFBFBF"/>
              <w:bottom w:val="single" w:sz="2" w:space="0" w:color="BFBFBF"/>
            </w:tcBorders>
            <w:tcMar>
              <w:top w:w="28" w:type="dxa"/>
              <w:bottom w:w="28" w:type="dxa"/>
            </w:tcMar>
            <w:vAlign w:val="center"/>
          </w:tcPr>
          <w:p>
            <w:pPr>
              <w:pStyle w:val="TableContents"/>
              <w:bidi w:val="0"/>
              <w:spacing w:before="63" w:after="283"/>
              <w:jc w:val="right"/>
              <w:rPr>
                <w:sz w:val="14"/>
              </w:rPr>
            </w:pPr>
            <w:r>
              <w:rPr>
                <w:sz w:val="14"/>
              </w:rPr>
              <w:t>9.8</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9.6</w:t>
              <w:noBreakHyphen/>
              <w:t>9.9</w:t>
            </w:r>
          </w:p>
        </w:tc>
        <w:tc>
          <w:tcPr>
            <w:tcW w:w="575" w:type="dxa"/>
            <w:tcBorders>
              <w:top w:val="single" w:sz="2" w:space="0" w:color="BFBFBF"/>
              <w:bottom w:val="single" w:sz="2" w:space="0" w:color="BFBFBF"/>
            </w:tcBorders>
            <w:tcMar>
              <w:top w:w="28" w:type="dxa"/>
              <w:bottom w:w="28" w:type="dxa"/>
            </w:tcMar>
            <w:vAlign w:val="center"/>
          </w:tcPr>
          <w:p>
            <w:pPr>
              <w:pStyle w:val="TableContents"/>
              <w:bidi w:val="0"/>
              <w:spacing w:before="61" w:after="283"/>
              <w:jc w:val="right"/>
              <w:rPr>
                <w:sz w:val="14"/>
              </w:rPr>
            </w:pPr>
            <w:r>
              <w:rPr>
                <w:sz w:val="14"/>
              </w:rPr>
              <w:t>9.4</w:t>
              <w:noBreakHyphen/>
              <w:t>9.9</w:t>
            </w:r>
          </w:p>
        </w:tc>
      </w:tr>
    </w:tbl>
    <w:p>
      <w:pPr>
        <w:pStyle w:val="TextBody"/>
        <w:bidi w:val="0"/>
        <w:spacing w:before="122" w:after="283"/>
        <w:jc w:val="left"/>
        <w:rPr>
          <w:rFonts w:ascii="Arial" w:hAnsi="Arial"/>
          <w:color w:val="000000"/>
          <w:sz w:val="14"/>
        </w:rPr>
      </w:pPr>
      <w:r>
        <w:rPr>
          <w:rFonts w:ascii="Arial" w:hAnsi="Arial"/>
          <w:color w:val="000000"/>
          <w:sz w:val="14"/>
        </w:rPr>
        <w:t>All figures include S&amp;P Global Ratings' adjustments. a</w:t>
        <w:noBreakHyphen/>
        <w:noBreakHyphen/>
        <w:t>Actual. e</w:t>
        <w:noBreakHyphen/>
        <w:noBreakHyphen/>
        <w:t>Estimate. f</w:t>
        <w:noBreakHyphen/>
        <w:noBreakHyphen/>
        <w:t>Forecast. NIM</w:t>
        <w:noBreakHyphen/>
        <w:noBreakHyphen/>
        <w:t>Net interest margin.</w:t>
      </w:r>
    </w:p>
    <w:p>
      <w:pPr>
        <w:pStyle w:val="TextBody"/>
        <w:bidi w:val="0"/>
        <w:spacing w:before="0" w:after="0"/>
        <w:jc w:val="left"/>
        <w:rPr/>
      </w:pPr>
      <w:r>
        <w:rPr/>
      </w:r>
    </w:p>
    <w:p>
      <w:pPr>
        <w:pStyle w:val="TextBody"/>
        <w:bidi w:val="0"/>
        <w:spacing w:before="1" w:after="283"/>
        <w:jc w:val="left"/>
        <w:rPr>
          <w:rFonts w:ascii="Arial" w:hAnsi="Arial"/>
          <w:color w:val="000000"/>
          <w:sz w:val="32"/>
        </w:rPr>
      </w:pPr>
      <w:r>
        <w:rPr>
          <w:rFonts w:ascii="Arial" w:hAnsi="Arial"/>
          <w:color w:val="000000"/>
          <w:sz w:val="32"/>
        </w:rPr>
        <w:t>Anchor: 'bbb-' For Financial Institutions Operating In Peru</w:t>
      </w:r>
    </w:p>
    <w:p>
      <w:pPr>
        <w:pStyle w:val="TextBody"/>
        <w:bidi w:val="0"/>
        <w:spacing w:before="131" w:after="283"/>
        <w:jc w:val="left"/>
        <w:rPr>
          <w:rFonts w:ascii="Arial" w:hAnsi="Arial"/>
          <w:color w:val="000000"/>
          <w:sz w:val="18"/>
        </w:rPr>
      </w:pPr>
      <w:r>
        <w:rPr>
          <w:rFonts w:ascii="Arial" w:hAnsi="Arial"/>
          <w:color w:val="000000"/>
          <w:sz w:val="18"/>
        </w:rPr>
        <w:t>Our bank criteria use our Banking Industry Country Risk Assessment's economic risk and industry risk scores to determine a bank's anchor, the starting point in assigning an issuer credit rating.</w:t>
      </w:r>
    </w:p>
    <w:p>
      <w:pPr>
        <w:pStyle w:val="TextBody"/>
        <w:bidi w:val="0"/>
        <w:spacing w:before="1" w:after="283"/>
        <w:jc w:val="left"/>
        <w:rPr>
          <w:rFonts w:ascii="Arial" w:hAnsi="Arial"/>
          <w:color w:val="000000"/>
          <w:sz w:val="18"/>
        </w:rPr>
      </w:pPr>
      <w:r>
        <w:rPr>
          <w:rFonts w:ascii="Arial" w:hAnsi="Arial"/>
          <w:color w:val="000000"/>
          <w:sz w:val="18"/>
        </w:rPr>
        <w:t>Our anchor for a financial entity operating in Peru (where Credicorp mostly operates) is 'bbb-'. (See "</w:t>
      </w:r>
      <w:r>
        <w:rPr>
          <w:rFonts w:ascii="Arial" w:hAnsi="Arial"/>
          <w:color w:val="D6002A"/>
          <w:sz w:val="18"/>
          <w:u w:val="single"/>
        </w:rPr>
        <w:t>Banking Industry Country Risk Assessment: Peru</w:t>
      </w:r>
      <w:r>
        <w:rPr>
          <w:rFonts w:ascii="Arial" w:hAnsi="Arial"/>
          <w:color w:val="000000"/>
          <w:sz w:val="18"/>
        </w:rPr>
        <w:t>," Jan. 20, 2026.)</w:t>
      </w:r>
    </w:p>
    <w:p>
      <w:pPr>
        <w:pStyle w:val="TextBody"/>
        <w:bidi w:val="0"/>
        <w:spacing w:before="254" w:after="283"/>
        <w:jc w:val="left"/>
        <w:rPr>
          <w:rFonts w:ascii="Arial" w:hAnsi="Arial"/>
          <w:color w:val="000000"/>
          <w:sz w:val="32"/>
        </w:rPr>
      </w:pPr>
      <w:r>
        <w:rPr>
          <w:rFonts w:ascii="Arial" w:hAnsi="Arial"/>
          <w:color w:val="000000"/>
          <w:sz w:val="32"/>
        </w:rPr>
        <w:t>Business Position: Largest Financial Group In Peru With Ample Business Stability</w:t>
      </w:r>
    </w:p>
    <w:p>
      <w:pPr>
        <w:pStyle w:val="TextBody"/>
        <w:bidi w:val="0"/>
        <w:spacing w:before="131" w:after="283"/>
        <w:jc w:val="left"/>
        <w:rPr>
          <w:rFonts w:ascii="Arial" w:hAnsi="Arial"/>
          <w:color w:val="000000"/>
          <w:sz w:val="18"/>
        </w:rPr>
      </w:pPr>
      <w:r>
        <w:rPr>
          <w:rFonts w:ascii="Arial" w:hAnsi="Arial"/>
          <w:color w:val="000000"/>
          <w:sz w:val="18"/>
        </w:rPr>
        <w:t xml:space="preserve">Credicorp's solid business position reflects its leadership in Peru's financial sector, primarily through its largest subsidiary, </w:t>
      </w:r>
      <w:r>
        <w:rPr>
          <w:rFonts w:ascii="Arial" w:hAnsi="Arial"/>
          <w:color w:val="D6002A"/>
          <w:sz w:val="18"/>
          <w:u w:val="single"/>
        </w:rPr>
        <w:t>Banco de Credito del Peru</w:t>
      </w:r>
      <w:r>
        <w:rPr>
          <w:rFonts w:ascii="Arial" w:hAnsi="Arial"/>
          <w:color w:val="D6002A"/>
          <w:sz w:val="18"/>
        </w:rPr>
        <w:t> </w:t>
      </w:r>
      <w:r>
        <w:rPr>
          <w:rFonts w:ascii="Arial" w:hAnsi="Arial"/>
          <w:color w:val="000000"/>
          <w:sz w:val="18"/>
        </w:rPr>
        <w:t xml:space="preserve">(BCP; BBB-/Stable/A-3), which owns </w:t>
      </w:r>
      <w:r>
        <w:rPr>
          <w:rFonts w:ascii="Arial" w:hAnsi="Arial"/>
          <w:color w:val="D6002A"/>
          <w:sz w:val="18"/>
          <w:u w:val="single"/>
        </w:rPr>
        <w:t>MiBanco Banco de la Microempresa S.A.</w:t>
      </w:r>
      <w:r>
        <w:rPr>
          <w:rFonts w:ascii="Arial" w:hAnsi="Arial"/>
          <w:color w:val="D6002A"/>
          <w:sz w:val="18"/>
        </w:rPr>
        <w:t> </w:t>
      </w:r>
      <w:r>
        <w:rPr>
          <w:rFonts w:ascii="Arial" w:hAnsi="Arial"/>
          <w:color w:val="000000"/>
          <w:sz w:val="18"/>
        </w:rPr>
        <w:t>(BBB-/Stable/A-3). BCP, which has diversified operations across all retail and wholesale segments, is the leading bank in Peru, with a lending market share of about 37%, including its microlender subsidiary, MiBanco. These factors support the stability of the bank's business and dividend flows to Credicorp.</w:t>
      </w:r>
    </w:p>
    <w:p>
      <w:pPr>
        <w:pStyle w:val="TextBody"/>
        <w:bidi w:val="0"/>
        <w:spacing w:before="125" w:after="283"/>
        <w:jc w:val="left"/>
        <w:rPr>
          <w:rFonts w:ascii="Arial" w:hAnsi="Arial"/>
          <w:color w:val="000000"/>
          <w:sz w:val="18"/>
        </w:rPr>
      </w:pPr>
      <w:r>
        <w:rPr>
          <w:rFonts w:ascii="Arial" w:hAnsi="Arial"/>
          <w:color w:val="000000"/>
          <w:sz w:val="18"/>
        </w:rPr>
        <w:t xml:space="preserve">The group also has smaller banking operations, including </w:t>
      </w:r>
      <w:r>
        <w:rPr>
          <w:rFonts w:ascii="Arial" w:hAnsi="Arial"/>
          <w:color w:val="D6002A"/>
          <w:sz w:val="18"/>
          <w:u w:val="single"/>
        </w:rPr>
        <w:t>ASB Bank Corp.</w:t>
      </w:r>
      <w:r>
        <w:rPr>
          <w:rFonts w:ascii="Arial" w:hAnsi="Arial"/>
          <w:color w:val="D6002A"/>
          <w:sz w:val="18"/>
        </w:rPr>
        <w:t> </w:t>
      </w:r>
      <w:r>
        <w:rPr>
          <w:rFonts w:ascii="Arial" w:hAnsi="Arial"/>
          <w:color w:val="000000"/>
          <w:sz w:val="18"/>
        </w:rPr>
        <w:t>(BB+/Stable/B) based in Panama and Banco de Credito de Bolivia (not rated) based in Bolivia. It also has activities in the Peruvian insurance and pension fund industries through Pacifico Seguros and Prima AFP, respectively (both not rated). Pacifico Seguros is one of the leaders in Peru's life, health, and property/casualty insurance segments. AFP Prima is the second-largest player in the pension industry, with a 29% share in assets under management. In addition, Credicorp has investment management and advisory operations in Colombia, Chile, and Peru through Credicorp Capital (not rated). Credicorp also has a corporate venture capital arm (Krealo) that focuses on external innovation to complement the businesses of the group and support its growth.</w:t>
      </w:r>
    </w:p>
    <w:p>
      <w:pPr>
        <w:pStyle w:val="TextBody"/>
        <w:bidi w:val="0"/>
        <w:spacing w:before="0" w:after="0"/>
        <w:jc w:val="left"/>
        <w:rPr/>
      </w:pPr>
      <w:r>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3</w:t>
            </w:r>
          </w:p>
        </w:tc>
      </w:tr>
    </w:tbl>
    <w:p>
      <w:pPr>
        <w:pStyle w:val="HorizontalLine"/>
        <w:pBdr>
          <w:bottom w:val="single" w:sz="12" w:space="0" w:color="808080"/>
        </w:pBdr>
        <w:bidi w:val="0"/>
        <w:spacing w:before="180" w:after="180"/>
        <w:jc w:val="left"/>
        <w:rPr/>
      </w:pPr>
      <w:r>
        <w:rPr/>
      </w:r>
    </w:p>
    <w:p>
      <w:pPr>
        <w:pStyle w:val="TextBody"/>
        <w:bidi w:val="0"/>
        <w:spacing w:before="0" w:after="0"/>
        <w:jc w:val="left"/>
        <w:rPr>
          <w:rFonts w:ascii="Arial" w:hAnsi="Arial"/>
          <w:color w:val="000000"/>
          <w:sz w:val="18"/>
        </w:rPr>
      </w:pPr>
      <w:r>
        <w:rPr>
          <w:rFonts w:ascii="Arial" w:hAnsi="Arial"/>
          <w:color w:val="000000"/>
          <w:sz w:val="18"/>
        </w:rPr>
        <w:t>BCP has made up 75%-80% of Credicorp's earnings and dividends in recent years, while insurance and pension fund business have made up 10%-15%. Banking operations in other jurisdictions and Credicorp Capital made up the rest.</w:t>
      </w:r>
    </w:p>
    <w:p>
      <w:pPr>
        <w:pStyle w:val="TextBody"/>
        <w:bidi w:val="0"/>
        <w:spacing w:before="123" w:after="283"/>
        <w:jc w:val="left"/>
        <w:rPr>
          <w:rFonts w:ascii="Arial" w:hAnsi="Arial"/>
          <w:color w:val="000000"/>
          <w:sz w:val="18"/>
        </w:rPr>
      </w:pPr>
      <w:r>
        <w:rPr>
          <w:rFonts w:ascii="Arial" w:hAnsi="Arial"/>
          <w:color w:val="000000"/>
          <w:sz w:val="18"/>
        </w:rPr>
        <w:t>The steady investments in digital initiatives over the past years continue to pay off, benefiting Credicorp's competitiveness in the Peruvian financial industry. In particular, Yape, the most used digital financial services app in Peru, with about 16 million active users, has been increasing its functionalities and supplementing banking and insurance products, increasing the group's client base and benefiting income and profitability through its payment and lending operations. We expect investments in digitalization to continue, supporting the group's adaptability and competitive position amid continued disruptions in the financial industry.</w:t>
      </w:r>
    </w:p>
    <w:p>
      <w:pPr>
        <w:pStyle w:val="TextBody"/>
        <w:bidi w:val="0"/>
        <w:spacing w:before="123" w:after="283"/>
        <w:jc w:val="left"/>
        <w:rPr>
          <w:color w:val="000000"/>
          <w:sz w:val="18"/>
        </w:rPr>
      </w:pPr>
      <w:r>
        <w:rPr>
          <w:color w:val="000000"/>
          <w:sz w:val="18"/>
        </w:rPr>
      </w:r>
    </w:p>
    <w:p>
      <w:pPr>
        <w:pStyle w:val="TextBody"/>
        <w:bidi w:val="0"/>
        <w:spacing w:before="0" w:after="0"/>
        <w:jc w:val="left"/>
        <w:rPr>
          <w:color w:val="000000"/>
        </w:rPr>
      </w:pPr>
      <w:r>
        <w:rPr>
          <w:color w:val="000000"/>
        </w:rPr>
        <w:drawing>
          <wp:inline distT="0" distB="0" distL="0" distR="0">
            <wp:extent cx="219075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90750" cy="266700"/>
                    </a:xfrm>
                    <a:prstGeom prst="rect">
                      <a:avLst/>
                    </a:prstGeom>
                  </pic:spPr>
                </pic:pic>
              </a:graphicData>
            </a:graphic>
          </wp:inline>
        </w:drawing>
      </w:r>
    </w:p>
    <w:p>
      <w:pPr>
        <w:pStyle w:val="TextBody"/>
        <w:bidi w:val="0"/>
        <w:spacing w:before="7" w:after="283"/>
        <w:jc w:val="left"/>
        <w:rPr>
          <w:color w:val="000000"/>
        </w:rPr>
      </w:pPr>
      <w:r>
        <w:rPr>
          <w:color w:val="000000"/>
        </w:rPr>
        <w:drawing>
          <wp:inline distT="0" distB="0" distL="0" distR="0">
            <wp:extent cx="5124450" cy="415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24450" cy="4152900"/>
                    </a:xfrm>
                    <a:prstGeom prst="rect">
                      <a:avLst/>
                    </a:prstGeom>
                  </pic:spPr>
                </pic:pic>
              </a:graphicData>
            </a:graphic>
          </wp:inline>
        </w:drawing>
      </w:r>
    </w:p>
    <w:p>
      <w:pPr>
        <w:pStyle w:val="TextBody"/>
        <w:bidi w:val="0"/>
        <w:spacing w:before="110" w:after="283"/>
        <w:jc w:val="left"/>
        <w:rPr/>
      </w:pPr>
      <w:r>
        <w:rPr/>
      </w:r>
    </w:p>
    <w:p>
      <w:pPr>
        <w:pStyle w:val="TextBody"/>
        <w:bidi w:val="0"/>
        <w:spacing w:before="0" w:after="0"/>
        <w:jc w:val="left"/>
        <w:rPr>
          <w:rFonts w:ascii="Arial" w:hAnsi="Arial"/>
          <w:color w:val="000000"/>
          <w:sz w:val="32"/>
        </w:rPr>
      </w:pPr>
      <w:r>
        <w:rPr>
          <w:rFonts w:ascii="Arial" w:hAnsi="Arial"/>
          <w:color w:val="000000"/>
          <w:sz w:val="32"/>
        </w:rPr>
        <w:t>Capital And Earnings: Adequate Capitalization To Support Business Strategy</w:t>
      </w:r>
    </w:p>
    <w:p>
      <w:pPr>
        <w:pStyle w:val="TextBody"/>
        <w:bidi w:val="0"/>
        <w:spacing w:before="131" w:after="283"/>
        <w:jc w:val="left"/>
        <w:rPr>
          <w:rFonts w:ascii="Arial" w:hAnsi="Arial"/>
          <w:color w:val="000000"/>
          <w:sz w:val="18"/>
        </w:rPr>
      </w:pPr>
      <w:r>
        <w:rPr>
          <w:rFonts w:ascii="Arial" w:hAnsi="Arial"/>
          <w:color w:val="000000"/>
          <w:sz w:val="18"/>
        </w:rPr>
        <w:t>We consider Credicorp's capitalization metrics commensurate with its business strategy. We expect its risk-adjusted capital ratio (calculated according to our methodology) to remain stable at 9.7%-9.8% in 2026-2027 thanks to its main operating subsidiaries' high and stable capacity to build earnings.</w:t>
      </w:r>
    </w:p>
    <w:p>
      <w:pPr>
        <w:pStyle w:val="TextBody"/>
        <w:bidi w:val="0"/>
        <w:spacing w:before="124" w:after="283"/>
        <w:jc w:val="left"/>
        <w:rPr>
          <w:rFonts w:ascii="Arial" w:hAnsi="Arial"/>
          <w:color w:val="000000"/>
          <w:sz w:val="18"/>
        </w:rPr>
      </w:pPr>
      <w:r>
        <w:rPr>
          <w:rFonts w:ascii="Arial" w:hAnsi="Arial"/>
          <w:color w:val="000000"/>
          <w:sz w:val="18"/>
        </w:rPr>
        <w:t>Our base case considers the following:</w:t>
      </w:r>
    </w:p>
    <w:p>
      <w:pPr>
        <w:pStyle w:val="TextBody"/>
        <w:bidi w:val="0"/>
        <w:spacing w:before="0" w:after="0"/>
        <w:jc w:val="left"/>
        <w:rPr>
          <w:sz w:val="18"/>
        </w:rPr>
      </w:pPr>
      <w:r>
        <w:rPr>
          <w:sz w:val="18"/>
        </w:rPr>
      </w:r>
    </w:p>
    <w:p>
      <w:pPr>
        <w:pStyle w:val="Normal"/>
        <w:bidi w:val="0"/>
        <w:spacing w:before="0" w:after="0"/>
        <w:jc w:val="left"/>
        <w:rPr>
          <w:sz w:val="4"/>
          <w:szCs w:val="4"/>
        </w:rPr>
      </w:pPr>
      <w:r>
        <w:rPr>
          <w:sz w:val="4"/>
          <w:szCs w:val="4"/>
        </w:rPr>
      </w:r>
      <w:bookmarkStart w:id="18" w:name="zef689877cc2d4526af1c61258cb64780"/>
      <w:bookmarkStart w:id="19" w:name="zef689877cc2d4526af1c61258cb64780"/>
      <w:bookmarkEnd w:id="19"/>
    </w:p>
    <w:tbl>
      <w:tblPr>
        <w:tblW w:w="4248" w:type="dxa"/>
        <w:jc w:val="left"/>
        <w:tblInd w:w="0" w:type="dxa"/>
        <w:tblLayout w:type="fixed"/>
        <w:tblCellMar>
          <w:top w:w="0" w:type="dxa"/>
          <w:left w:w="0" w:type="dxa"/>
          <w:bottom w:w="0" w:type="dxa"/>
          <w:right w:w="0" w:type="dxa"/>
        </w:tblCellMar>
      </w:tblPr>
      <w:tblGrid>
        <w:gridCol w:w="38"/>
        <w:gridCol w:w="110"/>
        <w:gridCol w:w="41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left"/>
              <w:rPr/>
            </w:pPr>
            <w:r>
              <w:rPr/>
              <w:t>Annual GDP growth in Peru close to 3.0%</w:t>
            </w:r>
          </w:p>
        </w:tc>
      </w:tr>
    </w:tbl>
    <w:p>
      <w:pPr>
        <w:pStyle w:val="TextBody"/>
        <w:bidi w:val="0"/>
        <w:spacing w:before="0" w:after="0"/>
        <w:jc w:val="left"/>
        <w:rPr>
          <w:sz w:val="18"/>
        </w:rPr>
      </w:pPr>
      <w:r>
        <w:rPr>
          <w:sz w:val="18"/>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4</w:t>
            </w:r>
          </w:p>
        </w:tc>
      </w:tr>
    </w:tbl>
    <w:p>
      <w:pPr>
        <w:pStyle w:val="HorizontalLine"/>
        <w:pBdr>
          <w:bottom w:val="single" w:sz="12" w:space="0" w:color="808080"/>
        </w:pBdr>
        <w:bidi w:val="0"/>
        <w:spacing w:before="180" w:after="18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89f240fe663e4aa8a7276285330f1cd9"/>
      <w:bookmarkStart w:id="21" w:name="89f240fe663e4aa8a7276285330f1cd9"/>
      <w:bookmarkEnd w:id="21"/>
    </w:p>
    <w:tbl>
      <w:tblPr>
        <w:tblW w:w="3528" w:type="dxa"/>
        <w:jc w:val="left"/>
        <w:tblInd w:w="0" w:type="dxa"/>
        <w:tblLayout w:type="fixed"/>
        <w:tblCellMar>
          <w:top w:w="0" w:type="dxa"/>
          <w:left w:w="0" w:type="dxa"/>
          <w:bottom w:w="0" w:type="dxa"/>
          <w:right w:w="0" w:type="dxa"/>
        </w:tblCellMar>
      </w:tblPr>
      <w:tblGrid>
        <w:gridCol w:w="38"/>
        <w:gridCol w:w="110"/>
        <w:gridCol w:w="3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0"/>
              <w:jc w:val="left"/>
              <w:rPr/>
            </w:pPr>
            <w:r>
              <w:rPr/>
              <w:t>Annual inflation stabilizing at 2.0%</w:t>
            </w:r>
          </w:p>
        </w:tc>
      </w:tr>
    </w:tbl>
    <w:p>
      <w:pPr>
        <w:pStyle w:val="Normal"/>
        <w:bidi w:val="0"/>
        <w:spacing w:before="0" w:after="0"/>
        <w:jc w:val="left"/>
        <w:rPr>
          <w:sz w:val="4"/>
          <w:szCs w:val="4"/>
        </w:rPr>
      </w:pPr>
      <w:r>
        <w:rPr>
          <w:sz w:val="4"/>
          <w:szCs w:val="4"/>
        </w:rPr>
      </w:r>
      <w:bookmarkStart w:id="22" w:name="b1a6d94b71f7438d9f1576cd6ccdd999"/>
      <w:bookmarkStart w:id="23" w:name="b1a6d94b71f7438d9f1576cd6ccdd999"/>
      <w:bookmarkEnd w:id="23"/>
    </w:p>
    <w:tbl>
      <w:tblPr>
        <w:tblW w:w="2718" w:type="dxa"/>
        <w:jc w:val="left"/>
        <w:tblInd w:w="0" w:type="dxa"/>
        <w:tblLayout w:type="fixed"/>
        <w:tblCellMar>
          <w:top w:w="0" w:type="dxa"/>
          <w:left w:w="0" w:type="dxa"/>
          <w:bottom w:w="0" w:type="dxa"/>
          <w:right w:w="0" w:type="dxa"/>
        </w:tblCellMar>
      </w:tblPr>
      <w:tblGrid>
        <w:gridCol w:w="38"/>
        <w:gridCol w:w="110"/>
        <w:gridCol w:w="25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0"/>
              <w:jc w:val="left"/>
              <w:rPr/>
            </w:pPr>
            <w:r>
              <w:rPr/>
              <w:t>Stable policy rate at 4.25%</w:t>
            </w:r>
          </w:p>
        </w:tc>
      </w:tr>
    </w:tbl>
    <w:p>
      <w:pPr>
        <w:pStyle w:val="Normal"/>
        <w:bidi w:val="0"/>
        <w:spacing w:before="0" w:after="0"/>
        <w:jc w:val="left"/>
        <w:rPr>
          <w:sz w:val="4"/>
          <w:szCs w:val="4"/>
        </w:rPr>
      </w:pPr>
      <w:r>
        <w:rPr>
          <w:sz w:val="4"/>
          <w:szCs w:val="4"/>
        </w:rPr>
      </w:r>
      <w:bookmarkStart w:id="24" w:name="80cd4ea282384476964ee00ae734eb85"/>
      <w:bookmarkStart w:id="25" w:name="80cd4ea282384476964ee00ae734eb85"/>
      <w:bookmarkEnd w:id="25"/>
    </w:p>
    <w:tbl>
      <w:tblPr>
        <w:tblW w:w="3228" w:type="dxa"/>
        <w:jc w:val="left"/>
        <w:tblInd w:w="0" w:type="dxa"/>
        <w:tblLayout w:type="fixed"/>
        <w:tblCellMar>
          <w:top w:w="0" w:type="dxa"/>
          <w:left w:w="0" w:type="dxa"/>
          <w:bottom w:w="0" w:type="dxa"/>
          <w:right w:w="0" w:type="dxa"/>
        </w:tblCellMar>
      </w:tblPr>
      <w:tblGrid>
        <w:gridCol w:w="38"/>
        <w:gridCol w:w="110"/>
        <w:gridCol w:w="30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0"/>
              <w:jc w:val="left"/>
              <w:rPr/>
            </w:pPr>
            <w:r>
              <w:rPr/>
              <w:t>Annual loan growth of 9%-11%</w:t>
            </w:r>
          </w:p>
        </w:tc>
      </w:tr>
    </w:tbl>
    <w:p>
      <w:pPr>
        <w:pStyle w:val="Normal"/>
        <w:bidi w:val="0"/>
        <w:spacing w:before="0" w:after="0"/>
        <w:jc w:val="left"/>
        <w:rPr>
          <w:sz w:val="4"/>
          <w:szCs w:val="4"/>
        </w:rPr>
      </w:pPr>
      <w:r>
        <w:rPr>
          <w:sz w:val="4"/>
          <w:szCs w:val="4"/>
        </w:rPr>
      </w:r>
      <w:bookmarkStart w:id="26" w:name="5ff156c98a7340bc8307e31e70a070a3"/>
      <w:bookmarkStart w:id="27" w:name="5ff156c98a7340bc8307e31e70a070a3"/>
      <w:bookmarkEnd w:id="27"/>
    </w:p>
    <w:tbl>
      <w:tblPr>
        <w:tblW w:w="3798" w:type="dxa"/>
        <w:jc w:val="left"/>
        <w:tblInd w:w="0" w:type="dxa"/>
        <w:tblLayout w:type="fixed"/>
        <w:tblCellMar>
          <w:top w:w="0" w:type="dxa"/>
          <w:left w:w="0" w:type="dxa"/>
          <w:bottom w:w="0" w:type="dxa"/>
          <w:right w:w="0" w:type="dxa"/>
        </w:tblCellMar>
      </w:tblPr>
      <w:tblGrid>
        <w:gridCol w:w="38"/>
        <w:gridCol w:w="110"/>
        <w:gridCol w:w="36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0"/>
              <w:jc w:val="left"/>
              <w:rPr/>
            </w:pPr>
            <w:r>
              <w:rPr/>
              <w:t>Return on average equity at 17%-19%</w:t>
            </w:r>
          </w:p>
        </w:tc>
      </w:tr>
    </w:tbl>
    <w:p>
      <w:pPr>
        <w:pStyle w:val="Normal"/>
        <w:bidi w:val="0"/>
        <w:spacing w:before="0" w:after="0"/>
        <w:jc w:val="left"/>
        <w:rPr>
          <w:sz w:val="4"/>
          <w:szCs w:val="4"/>
        </w:rPr>
      </w:pPr>
      <w:r>
        <w:rPr>
          <w:sz w:val="4"/>
          <w:szCs w:val="4"/>
        </w:rPr>
      </w:r>
      <w:bookmarkStart w:id="28" w:name="48c25e80423143b1bfb8e27cb6ee5eef"/>
      <w:bookmarkStart w:id="29" w:name="48c25e80423143b1bfb8e27cb6ee5eef"/>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Dividend distributions from Credicorp to its shareholders of 50%-80% of results but with flexibility to reduce them if needed</w:t>
            </w:r>
          </w:p>
        </w:tc>
      </w:tr>
    </w:tbl>
    <w:p>
      <w:pPr>
        <w:pStyle w:val="TextBody"/>
        <w:bidi w:val="0"/>
        <w:spacing w:before="123" w:after="283"/>
        <w:jc w:val="left"/>
        <w:rPr>
          <w:rFonts w:ascii="Arial" w:hAnsi="Arial"/>
          <w:color w:val="000000"/>
          <w:sz w:val="18"/>
        </w:rPr>
      </w:pPr>
      <w:r>
        <w:rPr>
          <w:rFonts w:ascii="Arial" w:hAnsi="Arial"/>
          <w:color w:val="000000"/>
          <w:sz w:val="18"/>
        </w:rPr>
        <w:t>Credicorp has good regulatory capital metrics, with total regulatory capital at 1.3x the minimum requirement.</w:t>
      </w:r>
    </w:p>
    <w:p>
      <w:pPr>
        <w:pStyle w:val="TextBody"/>
        <w:bidi w:val="0"/>
        <w:spacing w:before="122" w:after="283"/>
        <w:jc w:val="left"/>
        <w:rPr>
          <w:rFonts w:ascii="Arial" w:hAnsi="Arial"/>
          <w:color w:val="000000"/>
          <w:sz w:val="18"/>
        </w:rPr>
      </w:pPr>
      <w:r>
        <w:rPr>
          <w:rFonts w:ascii="Arial" w:hAnsi="Arial"/>
          <w:color w:val="000000"/>
          <w:sz w:val="18"/>
        </w:rPr>
        <w:t>Credicorp's profitability continues to reach new highs, with return on average equity at 19.0% and return on average assets at 2.6% in 2025, compared to the 16.3% and 2.1% averages in 2022-2024. Overall, improving operating conditions in Peru --including internal demand recovery, better employment dynamics, very low inflation, and relatively stable interest rates--, along with continued pension fund withdrawals, supported higher earnings across the financial group's key operating units last year.</w:t>
      </w:r>
    </w:p>
    <w:p>
      <w:pPr>
        <w:pStyle w:val="TextBody"/>
        <w:bidi w:val="0"/>
        <w:spacing w:before="125" w:after="283"/>
        <w:jc w:val="left"/>
        <w:rPr>
          <w:rFonts w:ascii="Arial" w:hAnsi="Arial"/>
          <w:color w:val="000000"/>
          <w:sz w:val="18"/>
        </w:rPr>
      </w:pPr>
      <w:r>
        <w:rPr>
          <w:rFonts w:ascii="Arial" w:hAnsi="Arial"/>
          <w:color w:val="000000"/>
          <w:sz w:val="18"/>
        </w:rPr>
        <w:t>In particular, BCP (including MiBanco)'s ROE reached 24.8% in 2025, from 21.3% in 2024, mainly thanks to a marked decrease of the cost of risk due to dissipating credit risks amid borrowers' improved payment capacity and the banks' more conversative underwriting and collection practices.</w:t>
      </w:r>
    </w:p>
    <w:p>
      <w:pPr>
        <w:pStyle w:val="TextBody"/>
        <w:bidi w:val="0"/>
        <w:spacing w:before="124" w:after="283"/>
        <w:jc w:val="left"/>
        <w:rPr>
          <w:rFonts w:ascii="Arial" w:hAnsi="Arial"/>
          <w:color w:val="000000"/>
          <w:sz w:val="18"/>
        </w:rPr>
      </w:pPr>
      <w:r>
        <w:rPr>
          <w:rFonts w:ascii="Arial" w:hAnsi="Arial"/>
          <w:color w:val="000000"/>
          <w:sz w:val="18"/>
        </w:rPr>
        <w:t>In addition, lending growth rebound, lower funding costs due to falling interest rates, and BCP's strong competitiveness in the transactional deposits segment helped keep net interest margins strong last year. Stable cost efficiencies despite continued investments in technology and marketing also have contributed to sound bottom-line results.</w:t>
      </w:r>
    </w:p>
    <w:p>
      <w:pPr>
        <w:pStyle w:val="TextBody"/>
        <w:bidi w:val="0"/>
        <w:spacing w:before="123" w:after="283"/>
        <w:jc w:val="left"/>
        <w:rPr>
          <w:rFonts w:ascii="Arial" w:hAnsi="Arial"/>
          <w:color w:val="000000"/>
          <w:sz w:val="18"/>
        </w:rPr>
      </w:pPr>
      <w:r>
        <w:rPr>
          <w:rFonts w:ascii="Arial" w:hAnsi="Arial"/>
          <w:color w:val="000000"/>
          <w:sz w:val="18"/>
        </w:rPr>
        <w:t>We expect Credicorp's profitability to remain stable in 2026, with return on average equity at 17.5%-19.5%. Lending growth will continue and funding costs will remain low amid relatively stable interest rates, while decreasing credit risks will anchor the cost of risk. Yape's improving performance and sound insurance results will also be key to keep solid earnings.</w:t>
      </w:r>
    </w:p>
    <w:p>
      <w:pPr>
        <w:pStyle w:val="TextBody"/>
        <w:bidi w:val="0"/>
        <w:spacing w:before="45" w:after="283"/>
        <w:jc w:val="left"/>
        <w:rPr/>
      </w:pPr>
      <w:r>
        <w:rPr/>
      </w:r>
    </w:p>
    <w:p>
      <w:pPr>
        <w:pStyle w:val="TextBody"/>
        <w:bidi w:val="0"/>
        <w:spacing w:before="1" w:after="283"/>
        <w:jc w:val="left"/>
        <w:rPr>
          <w:rFonts w:ascii="Arial" w:hAnsi="Arial"/>
          <w:color w:val="000000"/>
          <w:sz w:val="32"/>
        </w:rPr>
      </w:pPr>
      <w:r>
        <w:rPr>
          <w:rFonts w:ascii="Arial" w:hAnsi="Arial"/>
          <w:color w:val="000000"/>
          <w:sz w:val="32"/>
        </w:rPr>
        <w:t>Risk Position: Diversified Business Mix And Improving Asset Quality</w:t>
      </w:r>
    </w:p>
    <w:p>
      <w:pPr>
        <w:pStyle w:val="TextBody"/>
        <w:bidi w:val="0"/>
        <w:spacing w:before="131" w:after="283"/>
        <w:jc w:val="left"/>
        <w:rPr>
          <w:rFonts w:ascii="Arial" w:hAnsi="Arial"/>
          <w:color w:val="000000"/>
          <w:sz w:val="18"/>
        </w:rPr>
      </w:pPr>
      <w:r>
        <w:rPr>
          <w:rFonts w:ascii="Arial" w:hAnsi="Arial"/>
          <w:color w:val="000000"/>
          <w:sz w:val="18"/>
        </w:rPr>
        <w:t>Credicorp has ample business diversification, conservative growth strategies, and manageable risks at its operating subsidiaries, in our view. The group's risk position mainly reflects our assessment of its largest subsidiary, BCP, which has banking operations that focus on lending, with no relevant concentrations among economic sectors or customers.</w:t>
      </w:r>
    </w:p>
    <w:p>
      <w:pPr>
        <w:pStyle w:val="TextBody"/>
        <w:bidi w:val="0"/>
        <w:spacing w:before="123" w:after="283"/>
        <w:jc w:val="left"/>
        <w:rPr>
          <w:rFonts w:ascii="Arial" w:hAnsi="Arial"/>
          <w:color w:val="000000"/>
          <w:sz w:val="18"/>
        </w:rPr>
      </w:pPr>
      <w:r>
        <w:rPr>
          <w:rFonts w:ascii="Arial" w:hAnsi="Arial"/>
          <w:color w:val="000000"/>
          <w:sz w:val="18"/>
        </w:rPr>
        <w:t>As in the overall Peruvian banking industry, BCP's asset quality has been consistently improving since the second half of 2024 thanks to more stable local economic conditions, higher liquidity amid the seventh and eight pension fund withdrawals, and banks' conservative underwriting of new loans. Thus, Credicorp's nonperforming assets (NPA) ratio decreased to 3.3% as of December 2025 (in line with the industry average) from 4.3% in December 2023. In 2023 and part of 2024, volatile political conditions and adverse climate events eroded asset quality, especially that of microcredits, loans to small and midsize enterprises, and consumer credits to middle- and low-income borrowers.</w:t>
      </w:r>
    </w:p>
    <w:p>
      <w:pPr>
        <w:pStyle w:val="TextBody"/>
        <w:bidi w:val="0"/>
        <w:spacing w:before="123" w:after="283"/>
        <w:jc w:val="left"/>
        <w:rPr>
          <w:sz w:val="18"/>
        </w:rPr>
      </w:pPr>
      <w:r>
        <w:rPr>
          <w:sz w:val="18"/>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5</w:t>
            </w:r>
          </w:p>
        </w:tc>
      </w:tr>
    </w:tbl>
    <w:p>
      <w:pPr>
        <w:pStyle w:val="HorizontalLine"/>
        <w:pBdr>
          <w:bottom w:val="single" w:sz="12" w:space="0" w:color="808080"/>
        </w:pBdr>
        <w:bidi w:val="0"/>
        <w:spacing w:before="180" w:after="180"/>
        <w:jc w:val="left"/>
        <w:rPr/>
      </w:pPr>
      <w:r>
        <w:rPr/>
      </w:r>
    </w:p>
    <w:p>
      <w:pPr>
        <w:pStyle w:val="TextBody"/>
        <w:bidi w:val="0"/>
        <w:spacing w:before="0" w:after="0"/>
        <w:jc w:val="left"/>
        <w:rPr>
          <w:rFonts w:ascii="Arial" w:hAnsi="Arial"/>
          <w:color w:val="000000"/>
          <w:sz w:val="18"/>
        </w:rPr>
      </w:pPr>
      <w:r>
        <w:rPr>
          <w:rFonts w:ascii="Arial" w:hAnsi="Arial"/>
          <w:color w:val="000000"/>
          <w:sz w:val="18"/>
        </w:rPr>
        <w:t>Our base-case scenario assumes adequate macroeconomic fundamentals, along with the group's conservative growth strategies, will help keep asset quality manageable in 2026, with NPAs stable at about 3.3%. Although risks to the economy around political uncertainties and climate events in Peru seem to be manageable so far, we will continue monitoring these factors. Credicorp's good credit loss provisions coverage, capitalization, and liquidity would help manage unexpected pressures on asset quality.</w:t>
      </w:r>
    </w:p>
    <w:p>
      <w:pPr>
        <w:pStyle w:val="TextBody"/>
        <w:bidi w:val="0"/>
        <w:spacing w:before="46" w:after="283"/>
        <w:jc w:val="left"/>
        <w:rPr/>
      </w:pPr>
      <w:r>
        <w:rPr/>
      </w:r>
    </w:p>
    <w:p>
      <w:pPr>
        <w:pStyle w:val="TextBody"/>
        <w:bidi w:val="0"/>
        <w:spacing w:before="0" w:after="0"/>
        <w:jc w:val="left"/>
        <w:rPr>
          <w:rFonts w:ascii="Arial" w:hAnsi="Arial"/>
          <w:color w:val="000000"/>
          <w:sz w:val="32"/>
        </w:rPr>
      </w:pPr>
      <w:r>
        <w:rPr>
          <w:rFonts w:ascii="Arial" w:hAnsi="Arial"/>
          <w:color w:val="000000"/>
          <w:sz w:val="32"/>
        </w:rPr>
        <w:t>Funding And Liquidity: Stable Funding Base And Healthy Liquidity</w:t>
      </w:r>
    </w:p>
    <w:p>
      <w:pPr>
        <w:pStyle w:val="TextBody"/>
        <w:bidi w:val="0"/>
        <w:spacing w:before="131" w:after="283"/>
        <w:jc w:val="left"/>
        <w:rPr>
          <w:rFonts w:ascii="Arial" w:hAnsi="Arial"/>
          <w:color w:val="000000"/>
          <w:sz w:val="18"/>
        </w:rPr>
      </w:pPr>
      <w:r>
        <w:rPr>
          <w:rFonts w:ascii="Arial" w:hAnsi="Arial"/>
          <w:color w:val="000000"/>
          <w:sz w:val="18"/>
        </w:rPr>
        <w:t>We think the group has adequate funding structure and liquidity, in line with our assesment on BCP. According to our calculations, Credicorp's stable funding ratio has been 110%-120% in recent years. Its broad liquid assets represented 32% of total assets, 49% of customer deposits, and 4.0x its short-term wholesale funding as of December 2025, indicating ample capacity to cover needs in 2026.</w:t>
      </w:r>
    </w:p>
    <w:p>
      <w:pPr>
        <w:pStyle w:val="TextBody"/>
        <w:bidi w:val="0"/>
        <w:spacing w:before="124" w:after="283"/>
        <w:jc w:val="left"/>
        <w:rPr>
          <w:rFonts w:ascii="Arial" w:hAnsi="Arial"/>
          <w:color w:val="000000"/>
          <w:sz w:val="18"/>
        </w:rPr>
      </w:pPr>
      <w:r>
        <w:rPr>
          <w:rFonts w:ascii="Arial" w:hAnsi="Arial"/>
          <w:color w:val="000000"/>
          <w:sz w:val="18"/>
        </w:rPr>
        <w:t>Customer deposits make up roughly 80% of Credicorp's consolidated funding base, and half are retail deposits, which we deem more stable, particularly during times of market distress. The funding base also includes interbank credit lines, market debt, and central bank repurchase agreements.</w:t>
      </w:r>
    </w:p>
    <w:p>
      <w:pPr>
        <w:pStyle w:val="TextBody"/>
        <w:bidi w:val="0"/>
        <w:spacing w:before="46" w:after="283"/>
        <w:jc w:val="left"/>
        <w:rPr/>
      </w:pPr>
      <w:r>
        <w:rPr/>
      </w:r>
    </w:p>
    <w:p>
      <w:pPr>
        <w:pStyle w:val="TextBody"/>
        <w:bidi w:val="0"/>
        <w:spacing w:before="0" w:after="0"/>
        <w:jc w:val="left"/>
        <w:rPr>
          <w:rFonts w:ascii="Arial" w:hAnsi="Arial"/>
          <w:color w:val="000000"/>
          <w:sz w:val="32"/>
        </w:rPr>
      </w:pPr>
      <w:r>
        <w:rPr>
          <w:rFonts w:ascii="Arial" w:hAnsi="Arial"/>
          <w:color w:val="000000"/>
          <w:sz w:val="32"/>
        </w:rPr>
        <w:t>Support: No Uplift To The Group Credit Profile</w:t>
      </w:r>
    </w:p>
    <w:p>
      <w:pPr>
        <w:pStyle w:val="TextBody"/>
        <w:bidi w:val="0"/>
        <w:spacing w:before="170" w:after="283"/>
        <w:jc w:val="left"/>
        <w:rPr>
          <w:rFonts w:ascii="Arial" w:hAnsi="Arial"/>
          <w:color w:val="000000"/>
          <w:sz w:val="18"/>
        </w:rPr>
      </w:pPr>
      <w:r>
        <w:rPr>
          <w:rFonts w:ascii="Arial" w:hAnsi="Arial"/>
          <w:color w:val="000000"/>
          <w:sz w:val="18"/>
        </w:rPr>
        <w:t>Credicorp is 12.3% owned by the Romero family (based on common shares), and the rest is held by private and institutional investors. Because of this, we base our rating on Credicorp on its own credit quality, excluding parental support.</w:t>
      </w:r>
    </w:p>
    <w:p>
      <w:pPr>
        <w:pStyle w:val="TextBody"/>
        <w:bidi w:val="0"/>
        <w:spacing w:before="122" w:after="283"/>
        <w:jc w:val="left"/>
        <w:rPr>
          <w:rFonts w:ascii="Arial" w:hAnsi="Arial"/>
          <w:color w:val="000000"/>
          <w:sz w:val="18"/>
        </w:rPr>
      </w:pPr>
      <w:r>
        <w:rPr>
          <w:rFonts w:ascii="Arial" w:hAnsi="Arial"/>
          <w:color w:val="000000"/>
          <w:sz w:val="18"/>
        </w:rPr>
        <w:t>Despite the relevance of banking operations, our rating on Credicorp doesn't include potential extraordinary government support. Although we believe BCP would receive support, given its high systemic importance in Peru, we don't expect such support would be extended to the holding company.</w:t>
      </w:r>
    </w:p>
    <w:p>
      <w:pPr>
        <w:pStyle w:val="TextBody"/>
        <w:bidi w:val="0"/>
        <w:spacing w:before="46" w:after="283"/>
        <w:jc w:val="left"/>
        <w:rPr/>
      </w:pPr>
      <w:r>
        <w:rPr/>
      </w:r>
    </w:p>
    <w:p>
      <w:pPr>
        <w:pStyle w:val="TextBody"/>
        <w:bidi w:val="0"/>
        <w:spacing w:before="0" w:after="0"/>
        <w:jc w:val="left"/>
        <w:rPr>
          <w:rFonts w:ascii="Arial" w:hAnsi="Arial"/>
          <w:color w:val="000000"/>
          <w:sz w:val="32"/>
        </w:rPr>
      </w:pPr>
      <w:r>
        <w:rPr>
          <w:rFonts w:ascii="Arial" w:hAnsi="Arial"/>
          <w:color w:val="000000"/>
          <w:sz w:val="32"/>
        </w:rPr>
        <w:t>Environmental, Social, And Governance</w:t>
      </w:r>
    </w:p>
    <w:p>
      <w:pPr>
        <w:pStyle w:val="TextBody"/>
        <w:bidi w:val="0"/>
        <w:spacing w:before="169" w:after="283"/>
        <w:jc w:val="left"/>
        <w:rPr>
          <w:rFonts w:ascii="Arial" w:hAnsi="Arial"/>
          <w:color w:val="000000"/>
          <w:sz w:val="18"/>
        </w:rPr>
      </w:pPr>
      <w:r>
        <w:rPr>
          <w:rFonts w:ascii="Arial" w:hAnsi="Arial"/>
          <w:color w:val="000000"/>
          <w:sz w:val="18"/>
        </w:rPr>
        <w:t>Environmental, social, and governance (ESG) factors have no material influence on our credit rating analysis of Credicorp, as with industry and domestic peers. Peru is somewhat exposed to natural disasters such as earthquakes, volcanic activity, landslides, and the El Niño climate pattern. However, Credicorp, like other domestic financial entities, has been able to keep credit and operating losses moderate during such conditions. The group has solid loan diversification with low exposure to the agriculture sector, which is vulnerable to these conditions.</w:t>
      </w:r>
    </w:p>
    <w:p>
      <w:pPr>
        <w:pStyle w:val="TextBody"/>
        <w:bidi w:val="0"/>
        <w:spacing w:before="126" w:after="283"/>
        <w:jc w:val="both"/>
        <w:rPr>
          <w:rFonts w:ascii="Arial" w:hAnsi="Arial"/>
          <w:color w:val="000000"/>
          <w:sz w:val="18"/>
        </w:rPr>
      </w:pPr>
      <w:r>
        <w:rPr>
          <w:rFonts w:ascii="Arial" w:hAnsi="Arial"/>
          <w:color w:val="000000"/>
          <w:sz w:val="18"/>
        </w:rPr>
        <w:t>The Peruvian economy depends to some extent on the commodity metals sector, which domestic banks generally don't directly finance. Still, banks are indirectly exposed to those sectors through the supply chain (suppliers, subcontractors, and employees who are also retail clients).</w:t>
      </w:r>
    </w:p>
    <w:p>
      <w:pPr>
        <w:pStyle w:val="TextBody"/>
        <w:bidi w:val="0"/>
        <w:spacing w:before="122" w:after="283"/>
        <w:jc w:val="left"/>
        <w:rPr>
          <w:rFonts w:ascii="Arial" w:hAnsi="Arial"/>
          <w:color w:val="000000"/>
          <w:sz w:val="18"/>
        </w:rPr>
      </w:pPr>
      <w:r>
        <w:rPr>
          <w:rFonts w:ascii="Arial" w:hAnsi="Arial"/>
          <w:color w:val="000000"/>
          <w:sz w:val="18"/>
        </w:rPr>
        <w:t>Credicorp operates in sectors that provide services and products supporting Peru and Colombia's social development. It provides financing to micro, small, and midsize companies, which make up 27% of total loans. Also, insurance and pension operations in Peru play an important role in the society's welfare and economic stability. Yape contributes to increased financial inclusion in Peru.</w:t>
      </w:r>
    </w:p>
    <w:p>
      <w:pPr>
        <w:pStyle w:val="TextBody"/>
        <w:bidi w:val="0"/>
        <w:spacing w:before="0" w:after="0"/>
        <w:jc w:val="left"/>
        <w:rPr/>
      </w:pPr>
      <w:r>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6</w:t>
            </w:r>
          </w:p>
        </w:tc>
      </w:tr>
    </w:tbl>
    <w:p>
      <w:pPr>
        <w:pStyle w:val="HorizontalLine"/>
        <w:pBdr>
          <w:bottom w:val="single" w:sz="12" w:space="0" w:color="808080"/>
        </w:pBdr>
        <w:bidi w:val="0"/>
        <w:spacing w:before="180" w:after="180"/>
        <w:jc w:val="left"/>
        <w:rPr/>
      </w:pPr>
      <w:r>
        <w:rPr/>
      </w:r>
    </w:p>
    <w:p>
      <w:pPr>
        <w:pStyle w:val="TextBody"/>
        <w:bidi w:val="0"/>
        <w:spacing w:before="0" w:after="0"/>
        <w:jc w:val="left"/>
        <w:rPr>
          <w:rFonts w:ascii="Arial" w:hAnsi="Arial"/>
          <w:color w:val="000000"/>
          <w:sz w:val="18"/>
        </w:rPr>
      </w:pPr>
      <w:r>
        <w:rPr>
          <w:rFonts w:ascii="Arial" w:hAnsi="Arial"/>
          <w:color w:val="000000"/>
          <w:sz w:val="18"/>
        </w:rPr>
        <w:t>Credicorp has a satisfactory oversight framework and corporate governance practices that comply with local regulations. The board of directors is well balanced to represent shareholders' interests adequately.</w:t>
      </w:r>
    </w:p>
    <w:p>
      <w:pPr>
        <w:pStyle w:val="TextBody"/>
        <w:bidi w:val="0"/>
        <w:spacing w:before="77" w:after="1"/>
        <w:jc w:val="left"/>
        <w:rPr/>
      </w:pPr>
      <w:r>
        <w:rPr/>
      </w:r>
    </w:p>
    <w:p>
      <w:pPr>
        <w:pStyle w:val="TextBody"/>
        <w:bidi w:val="0"/>
        <w:spacing w:before="77" w:after="1"/>
        <w:jc w:val="left"/>
        <w:rPr>
          <w:rFonts w:ascii="Arial" w:hAnsi="Arial"/>
          <w:color w:val="000000"/>
          <w:sz w:val="32"/>
        </w:rPr>
      </w:pPr>
      <w:r>
        <w:rPr>
          <w:rFonts w:ascii="Arial" w:hAnsi="Arial"/>
          <w:color w:val="000000"/>
          <w:sz w:val="32"/>
        </w:rPr>
        <w:t>Key Statistics</w:t>
      </w:r>
    </w:p>
    <w:p>
      <w:pPr>
        <w:pStyle w:val="Normal"/>
        <w:bidi w:val="0"/>
        <w:spacing w:before="0" w:after="0"/>
        <w:jc w:val="left"/>
        <w:rPr>
          <w:sz w:val="4"/>
          <w:szCs w:val="4"/>
        </w:rPr>
      </w:pPr>
      <w:r>
        <w:rPr>
          <w:sz w:val="4"/>
          <w:szCs w:val="4"/>
        </w:rPr>
      </w:r>
      <w:bookmarkStart w:id="30" w:name="z0325ae8a06164f5c8118a620d42ff469"/>
      <w:bookmarkStart w:id="31" w:name="z0325ae8a06164f5c8118a620d42ff469"/>
      <w:bookmarkEnd w:id="31"/>
    </w:p>
    <w:tbl>
      <w:tblPr>
        <w:tblW w:w="4200" w:type="dxa"/>
        <w:jc w:val="left"/>
        <w:tblInd w:w="0" w:type="dxa"/>
        <w:tblLayout w:type="fixed"/>
        <w:tblCellMar>
          <w:top w:w="28" w:type="dxa"/>
          <w:left w:w="0" w:type="dxa"/>
          <w:bottom w:w="28" w:type="dxa"/>
          <w:right w:w="0" w:type="dxa"/>
        </w:tblCellMar>
      </w:tblPr>
      <w:tblGrid>
        <w:gridCol w:w="1640"/>
        <w:gridCol w:w="500"/>
        <w:gridCol w:w="500"/>
        <w:gridCol w:w="500"/>
        <w:gridCol w:w="500"/>
        <w:gridCol w:w="500"/>
        <w:gridCol w:w="60"/>
      </w:tblGrid>
      <w:tr>
        <w:trPr/>
        <w:tc>
          <w:tcPr>
            <w:tcW w:w="1640" w:type="dxa"/>
            <w:tcBorders>
              <w:top w:val="single" w:sz="2" w:space="0" w:color="BFBFBF"/>
              <w:bottom w:val="single" w:sz="2" w:space="0" w:color="BFBFBF"/>
            </w:tcBorders>
            <w:vAlign w:val="center"/>
          </w:tcPr>
          <w:p>
            <w:pPr>
              <w:pStyle w:val="TableContents"/>
              <w:bidi w:val="0"/>
              <w:spacing w:before="304" w:after="283"/>
              <w:jc w:val="left"/>
              <w:rPr>
                <w:b/>
                <w:sz w:val="14"/>
              </w:rPr>
            </w:pPr>
            <w:r>
              <w:rPr>
                <w:b/>
                <w:sz w:val="14"/>
              </w:rPr>
              <w:t>Credicorp Ltd. Key Figures</w:t>
            </w:r>
          </w:p>
        </w:tc>
        <w:tc>
          <w:tcPr>
            <w:tcW w:w="2500" w:type="dxa"/>
            <w:gridSpan w:val="5"/>
            <w:tcBorders>
              <w:top w:val="single" w:sz="2" w:space="0" w:color="BFBFBF"/>
              <w:bottom w:val="single" w:sz="2" w:space="0" w:color="BFBFBF"/>
            </w:tcBorders>
            <w:vAlign w:val="center"/>
          </w:tcPr>
          <w:p>
            <w:pPr>
              <w:pStyle w:val="TableContents"/>
              <w:bidi w:val="0"/>
              <w:spacing w:before="0" w:after="283"/>
              <w:jc w:val="left"/>
              <w:rPr/>
            </w:pPr>
            <w:r>
              <w:rPr/>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b/>
                <w:sz w:val="14"/>
              </w:rPr>
            </w:pPr>
            <w:r>
              <w:rPr>
                <w:b/>
                <w:sz w:val="14"/>
              </w:rPr>
              <w:t>Mil. PEN</w:t>
            </w:r>
          </w:p>
        </w:tc>
        <w:tc>
          <w:tcPr>
            <w:tcW w:w="50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2025</w:t>
            </w:r>
          </w:p>
        </w:tc>
        <w:tc>
          <w:tcPr>
            <w:tcW w:w="50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2024</w:t>
            </w:r>
          </w:p>
        </w:tc>
        <w:tc>
          <w:tcPr>
            <w:tcW w:w="50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2023</w:t>
            </w:r>
          </w:p>
        </w:tc>
        <w:tc>
          <w:tcPr>
            <w:tcW w:w="50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2022</w:t>
            </w:r>
          </w:p>
        </w:tc>
        <w:tc>
          <w:tcPr>
            <w:tcW w:w="50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2021</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Adjusted assets</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262,598</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252,800</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236,217</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233,854</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242,112</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Customer loans (gross)</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149,985</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145,732</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144,976</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148,626</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147,597</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Adjusted common equity</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28,915</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28,451</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27,629</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25,775</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21,967</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Operating revenues</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23,342</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21,718</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19,805</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17,288</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14,285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Noninterest expenses</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10,988</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10,374</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9,334</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8,621</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7,740</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Core earnings</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7,083</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5,623</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4,960</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4,745</w:t>
            </w:r>
          </w:p>
        </w:tc>
        <w:tc>
          <w:tcPr>
            <w:tcW w:w="50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3,672</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16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PEN--Peruvian nuevo sol.</w:t>
            </w:r>
          </w:p>
        </w:tc>
        <w:tc>
          <w:tcPr>
            <w:tcW w:w="500" w:type="dxa"/>
            <w:tcBorders>
              <w:top w:val="single" w:sz="2" w:space="0" w:color="BFBFBF"/>
              <w:bottom w:val="single" w:sz="2" w:space="0" w:color="BFBFBF"/>
            </w:tcBorders>
            <w:vAlign w:val="center"/>
          </w:tcPr>
          <w:p>
            <w:pPr>
              <w:pStyle w:val="TableContents"/>
              <w:bidi w:val="0"/>
              <w:spacing w:before="0" w:after="283"/>
              <w:jc w:val="left"/>
              <w:rPr/>
            </w:pPr>
            <w:r>
              <w:rPr/>
              <w:t> </w:t>
            </w:r>
          </w:p>
        </w:tc>
        <w:tc>
          <w:tcPr>
            <w:tcW w:w="500" w:type="dxa"/>
            <w:tcBorders>
              <w:top w:val="single" w:sz="2" w:space="0" w:color="BFBFBF"/>
              <w:bottom w:val="single" w:sz="2" w:space="0" w:color="BFBFBF"/>
            </w:tcBorders>
            <w:vAlign w:val="center"/>
          </w:tcPr>
          <w:p>
            <w:pPr>
              <w:pStyle w:val="TableContents"/>
              <w:bidi w:val="0"/>
              <w:spacing w:before="0" w:after="283"/>
              <w:jc w:val="left"/>
              <w:rPr/>
            </w:pPr>
            <w:r>
              <w:rPr/>
              <w:t> </w:t>
            </w:r>
          </w:p>
        </w:tc>
        <w:tc>
          <w:tcPr>
            <w:tcW w:w="50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50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50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60" w:type="dxa"/>
            <w:tcBorders>
              <w:top w:val="single" w:sz="2" w:space="0" w:color="BFBFBF"/>
              <w:bottom w:val="single" w:sz="2" w:space="0" w:color="BFBFBF"/>
            </w:tcBorders>
            <w:vAlign w:val="center"/>
          </w:tcPr>
          <w:p>
            <w:pPr>
              <w:pStyle w:val="TableContents"/>
              <w:bidi w:val="0"/>
              <w:spacing w:before="0" w:after="283"/>
              <w:jc w:val="righ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32bfb7aed08241278321e1e23fd6614b"/>
      <w:bookmarkStart w:id="33" w:name="z32bfb7aed08241278321e1e23fd6614b"/>
      <w:bookmarkEnd w:id="33"/>
    </w:p>
    <w:tbl>
      <w:tblPr>
        <w:tblW w:w="5820" w:type="dxa"/>
        <w:jc w:val="left"/>
        <w:tblInd w:w="0" w:type="dxa"/>
        <w:tblLayout w:type="fixed"/>
        <w:tblCellMar>
          <w:top w:w="28" w:type="dxa"/>
          <w:left w:w="0" w:type="dxa"/>
          <w:bottom w:w="28" w:type="dxa"/>
          <w:right w:w="0" w:type="dxa"/>
        </w:tblCellMar>
      </w:tblPr>
      <w:tblGrid>
        <w:gridCol w:w="3635"/>
        <w:gridCol w:w="425"/>
        <w:gridCol w:w="425"/>
        <w:gridCol w:w="425"/>
        <w:gridCol w:w="425"/>
        <w:gridCol w:w="425"/>
        <w:gridCol w:w="60"/>
      </w:tblGrid>
      <w:tr>
        <w:trPr/>
        <w:tc>
          <w:tcPr>
            <w:tcW w:w="3635" w:type="dxa"/>
            <w:tcBorders>
              <w:top w:val="single" w:sz="2" w:space="0" w:color="BFBFBF"/>
              <w:bottom w:val="single" w:sz="2" w:space="0" w:color="BFBFBF"/>
            </w:tcBorders>
            <w:vAlign w:val="center"/>
          </w:tcPr>
          <w:p>
            <w:pPr>
              <w:pStyle w:val="TableContents"/>
              <w:bidi w:val="0"/>
              <w:spacing w:before="1" w:after="283"/>
              <w:jc w:val="left"/>
              <w:rPr>
                <w:b/>
                <w:sz w:val="14"/>
              </w:rPr>
            </w:pPr>
            <w:r>
              <w:rPr>
                <w:b/>
                <w:sz w:val="14"/>
              </w:rPr>
              <w:t>Credicorp Ltd. Business Position</w:t>
            </w:r>
          </w:p>
        </w:tc>
        <w:tc>
          <w:tcPr>
            <w:tcW w:w="2125" w:type="dxa"/>
            <w:gridSpan w:val="5"/>
            <w:tcBorders>
              <w:top w:val="single" w:sz="2" w:space="0" w:color="BFBFBF"/>
              <w:bottom w:val="single" w:sz="2" w:space="0" w:color="BFBFBF"/>
            </w:tcBorders>
            <w:vAlign w:val="center"/>
          </w:tcPr>
          <w:p>
            <w:pPr>
              <w:pStyle w:val="TableContents"/>
              <w:bidi w:val="0"/>
              <w:spacing w:before="0" w:after="283"/>
              <w:jc w:val="left"/>
              <w:rPr/>
            </w:pPr>
            <w:r>
              <w:rPr/>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635" w:type="dxa"/>
            <w:tcBorders>
              <w:top w:val="single" w:sz="2" w:space="0" w:color="BFBFBF"/>
              <w:bottom w:val="single" w:sz="2" w:space="0" w:color="BFBFBF"/>
            </w:tcBorders>
            <w:vAlign w:val="center"/>
          </w:tcPr>
          <w:p>
            <w:pPr>
              <w:pStyle w:val="TableContents"/>
              <w:bidi w:val="0"/>
              <w:spacing w:before="60" w:after="283"/>
              <w:jc w:val="left"/>
              <w:rPr>
                <w:b/>
                <w:sz w:val="14"/>
              </w:rPr>
            </w:pPr>
            <w:r>
              <w:rPr>
                <w:b/>
                <w:sz w:val="14"/>
              </w:rPr>
              <w:t>(%)</w:t>
            </w:r>
          </w:p>
        </w:tc>
        <w:tc>
          <w:tcPr>
            <w:tcW w:w="425"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2025</w:t>
            </w:r>
          </w:p>
        </w:tc>
        <w:tc>
          <w:tcPr>
            <w:tcW w:w="425"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2024</w:t>
            </w:r>
          </w:p>
        </w:tc>
        <w:tc>
          <w:tcPr>
            <w:tcW w:w="425"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2023</w:t>
            </w:r>
          </w:p>
        </w:tc>
        <w:tc>
          <w:tcPr>
            <w:tcW w:w="425"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2022</w:t>
            </w:r>
          </w:p>
        </w:tc>
        <w:tc>
          <w:tcPr>
            <w:tcW w:w="425"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2021</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6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Total revenues from business line (currency in millions)</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23,342</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21,718</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19,805</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17,288</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14,285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6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Commercial &amp; retail banking/total revenues from business line</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81.0</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83.8</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81.2</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81.2</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84.4</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6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Insurance activities/total revenues from business line</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6.0</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5.5</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5.7</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5.7</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5.9</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6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Investment banking/total revenues from business line</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8.6</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8.7</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4.7</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4.7</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6.0</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6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Return on average common equity</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19.0</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16.5</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15.8</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16.8</w:t>
            </w:r>
          </w:p>
        </w:tc>
        <w:tc>
          <w:tcPr>
            <w:tcW w:w="425"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13.9</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babe4e55e84a4d898ff3f5ad7cb67fa2"/>
      <w:bookmarkStart w:id="35" w:name="zbabe4e55e84a4d898ff3f5ad7cb67fa2"/>
      <w:bookmarkEnd w:id="35"/>
    </w:p>
    <w:tbl>
      <w:tblPr>
        <w:tblW w:w="4545" w:type="dxa"/>
        <w:jc w:val="left"/>
        <w:tblInd w:w="0" w:type="dxa"/>
        <w:tblLayout w:type="fixed"/>
        <w:tblCellMar>
          <w:top w:w="28" w:type="dxa"/>
          <w:left w:w="0" w:type="dxa"/>
          <w:bottom w:w="28" w:type="dxa"/>
          <w:right w:w="0" w:type="dxa"/>
        </w:tblCellMar>
      </w:tblPr>
      <w:tblGrid>
        <w:gridCol w:w="2735"/>
        <w:gridCol w:w="350"/>
        <w:gridCol w:w="350"/>
        <w:gridCol w:w="350"/>
        <w:gridCol w:w="350"/>
        <w:gridCol w:w="350"/>
        <w:gridCol w:w="60"/>
      </w:tblGrid>
      <w:tr>
        <w:trPr/>
        <w:tc>
          <w:tcPr>
            <w:tcW w:w="2735" w:type="dxa"/>
            <w:tcBorders>
              <w:top w:val="single" w:sz="2" w:space="0" w:color="BFBFBF"/>
              <w:bottom w:val="single" w:sz="2" w:space="0" w:color="BFBFBF"/>
            </w:tcBorders>
            <w:vAlign w:val="center"/>
          </w:tcPr>
          <w:p>
            <w:pPr>
              <w:pStyle w:val="TableContents"/>
              <w:bidi w:val="0"/>
              <w:spacing w:before="0" w:after="0"/>
              <w:jc w:val="left"/>
              <w:rPr>
                <w:b/>
                <w:sz w:val="14"/>
              </w:rPr>
            </w:pPr>
            <w:r>
              <w:rPr>
                <w:b/>
                <w:sz w:val="14"/>
              </w:rPr>
              <w:t>Credicorp Ltd. Capital And Earnings</w:t>
            </w:r>
          </w:p>
        </w:tc>
        <w:tc>
          <w:tcPr>
            <w:tcW w:w="350" w:type="dxa"/>
            <w:tcBorders>
              <w:top w:val="single" w:sz="2" w:space="0" w:color="BFBFBF"/>
              <w:bottom w:val="single" w:sz="2" w:space="0" w:color="BFBFBF"/>
            </w:tcBorders>
            <w:vAlign w:val="center"/>
          </w:tcPr>
          <w:p>
            <w:pPr>
              <w:pStyle w:val="TableContents"/>
              <w:bidi w:val="0"/>
              <w:spacing w:before="0" w:after="283"/>
              <w:jc w:val="lef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lef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lef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lef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left"/>
              <w:rPr/>
            </w:pPr>
            <w:r>
              <w:rPr/>
              <w:t> </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b/>
                <w:sz w:val="14"/>
              </w:rPr>
            </w:pPr>
            <w:r>
              <w:rPr>
                <w:b/>
                <w:sz w:val="14"/>
              </w:rPr>
              <w:t>(%)</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2025</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2024</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2023</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2022</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2021</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Adjusted common equity/total adjusted capital</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100.0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100.0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100.0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100.0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100.0</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Net interest income/operating revenues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63.1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65.1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67.9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66.6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65.5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Fee income/operating revenues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18.0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18.7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19.3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21.1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24.5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Market-sensitive income/operating revenues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7.9</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Cost to income ratio</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47.1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47.7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46.9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49.9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54.2</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Preprovision operating income/average assets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2.7</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Core earnings/average managed assets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273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N.M.--Not meaningful.</w:t>
            </w:r>
          </w:p>
        </w:tc>
        <w:tc>
          <w:tcPr>
            <w:tcW w:w="35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350" w:type="dxa"/>
            <w:tcBorders>
              <w:top w:val="single" w:sz="2" w:space="0" w:color="BFBFBF"/>
              <w:bottom w:val="single" w:sz="2" w:space="0" w:color="BFBFBF"/>
            </w:tcBorders>
            <w:vAlign w:val="center"/>
          </w:tcPr>
          <w:p>
            <w:pPr>
              <w:pStyle w:val="TableContents"/>
              <w:bidi w:val="0"/>
              <w:spacing w:before="0" w:after="283"/>
              <w:jc w:val="right"/>
              <w:rPr/>
            </w:pPr>
            <w:r>
              <w:rPr/>
              <w:t> </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ff21f25e2e5c4faa9cd2522df31a1110"/>
      <w:bookmarkStart w:id="37" w:name="zff21f25e2e5c4faa9cd2522df31a1110"/>
      <w:bookmarkEnd w:id="37"/>
    </w:p>
    <w:tbl>
      <w:tblPr>
        <w:tblW w:w="5790" w:type="dxa"/>
        <w:jc w:val="left"/>
        <w:tblInd w:w="0" w:type="dxa"/>
        <w:tblLayout w:type="fixed"/>
        <w:tblCellMar>
          <w:top w:w="28" w:type="dxa"/>
          <w:left w:w="0" w:type="dxa"/>
          <w:bottom w:w="28" w:type="dxa"/>
          <w:right w:w="0" w:type="dxa"/>
        </w:tblCellMar>
      </w:tblPr>
      <w:tblGrid>
        <w:gridCol w:w="3980"/>
        <w:gridCol w:w="350"/>
        <w:gridCol w:w="350"/>
        <w:gridCol w:w="350"/>
        <w:gridCol w:w="350"/>
        <w:gridCol w:w="350"/>
        <w:gridCol w:w="60"/>
      </w:tblGrid>
      <w:tr>
        <w:trPr/>
        <w:tc>
          <w:tcPr>
            <w:tcW w:w="3980" w:type="dxa"/>
            <w:tcBorders>
              <w:top w:val="single" w:sz="2" w:space="0" w:color="BFBFBF"/>
              <w:bottom w:val="single" w:sz="2" w:space="0" w:color="BFBFBF"/>
            </w:tcBorders>
            <w:vAlign w:val="center"/>
          </w:tcPr>
          <w:p>
            <w:pPr>
              <w:pStyle w:val="TableContents"/>
              <w:bidi w:val="0"/>
              <w:spacing w:before="1" w:after="283"/>
              <w:jc w:val="left"/>
              <w:rPr>
                <w:b/>
                <w:sz w:val="14"/>
              </w:rPr>
            </w:pPr>
            <w:r>
              <w:rPr>
                <w:b/>
                <w:sz w:val="14"/>
              </w:rPr>
              <w:t>Credicorp Ltd. Risk Position</w:t>
            </w:r>
          </w:p>
        </w:tc>
        <w:tc>
          <w:tcPr>
            <w:tcW w:w="1750" w:type="dxa"/>
            <w:gridSpan w:val="5"/>
            <w:tcBorders>
              <w:top w:val="single" w:sz="2" w:space="0" w:color="BFBFBF"/>
              <w:bottom w:val="single" w:sz="2" w:space="0" w:color="BFBFBF"/>
            </w:tcBorders>
            <w:vAlign w:val="center"/>
          </w:tcPr>
          <w:p>
            <w:pPr>
              <w:pStyle w:val="TableContents"/>
              <w:bidi w:val="0"/>
              <w:spacing w:before="0" w:after="283"/>
              <w:jc w:val="left"/>
              <w:rPr/>
            </w:pPr>
            <w:r>
              <w:rPr/>
              <w:t>    </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980" w:type="dxa"/>
            <w:tcBorders>
              <w:top w:val="single" w:sz="2" w:space="0" w:color="BFBFBF"/>
              <w:bottom w:val="single" w:sz="2" w:space="0" w:color="BFBFBF"/>
            </w:tcBorders>
            <w:vAlign w:val="center"/>
          </w:tcPr>
          <w:p>
            <w:pPr>
              <w:pStyle w:val="TableContents"/>
              <w:bidi w:val="0"/>
              <w:spacing w:before="60" w:after="283"/>
              <w:jc w:val="left"/>
              <w:rPr>
                <w:b/>
                <w:sz w:val="14"/>
              </w:rPr>
            </w:pPr>
            <w:r>
              <w:rPr>
                <w:b/>
                <w:sz w:val="14"/>
              </w:rPr>
              <w:t>(%)</w:t>
            </w:r>
          </w:p>
        </w:tc>
        <w:tc>
          <w:tcPr>
            <w:tcW w:w="350"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2025</w:t>
            </w:r>
          </w:p>
        </w:tc>
        <w:tc>
          <w:tcPr>
            <w:tcW w:w="350"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2024</w:t>
            </w:r>
          </w:p>
        </w:tc>
        <w:tc>
          <w:tcPr>
            <w:tcW w:w="350"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2023</w:t>
            </w:r>
          </w:p>
        </w:tc>
        <w:tc>
          <w:tcPr>
            <w:tcW w:w="350"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2022</w:t>
            </w:r>
          </w:p>
        </w:tc>
        <w:tc>
          <w:tcPr>
            <w:tcW w:w="350" w:type="dxa"/>
            <w:tcBorders>
              <w:top w:val="single" w:sz="2" w:space="0" w:color="BFBFBF"/>
              <w:bottom w:val="single" w:sz="2" w:space="0" w:color="BFBFBF"/>
            </w:tcBorders>
            <w:vAlign w:val="center"/>
          </w:tcPr>
          <w:p>
            <w:pPr>
              <w:pStyle w:val="TableContents"/>
              <w:bidi w:val="0"/>
              <w:spacing w:before="60" w:after="283"/>
              <w:jc w:val="right"/>
              <w:rPr>
                <w:b/>
                <w:sz w:val="14"/>
              </w:rPr>
            </w:pPr>
            <w:r>
              <w:rPr>
                <w:b/>
                <w:sz w:val="14"/>
              </w:rPr>
              <w:t>2021</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98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Growth in customer loans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0.5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0.7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7.2</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98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Total managed assets/adjusted common equity (x)</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9.2</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11.2</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98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New loan loss provisions/average customer loans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1.2</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0.9</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98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Net charge-offs/average customer loans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1.8</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98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Gross nonperforming assets/customer loans + other real estate owned</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3.9</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98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Loan loss reserves/gross nonperforming assets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156.2</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142.9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132.6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128.8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148.8</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7</w:t>
            </w:r>
          </w:p>
        </w:tc>
      </w:tr>
    </w:tbl>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38" w:name="z56a8e18c5b594dc289fe5c93846a0734"/>
      <w:bookmarkStart w:id="39" w:name="z56a8e18c5b594dc289fe5c93846a0734"/>
      <w:bookmarkEnd w:id="39"/>
    </w:p>
    <w:tbl>
      <w:tblPr>
        <w:tblW w:w="1715" w:type="dxa"/>
        <w:jc w:val="left"/>
        <w:tblInd w:w="0" w:type="dxa"/>
        <w:tblLayout w:type="fixed"/>
        <w:tblCellMar>
          <w:top w:w="0" w:type="dxa"/>
          <w:left w:w="0" w:type="dxa"/>
          <w:bottom w:w="28" w:type="dxa"/>
          <w:right w:w="0" w:type="dxa"/>
        </w:tblCellMar>
      </w:tblPr>
      <w:tblGrid>
        <w:gridCol w:w="1715"/>
      </w:tblGrid>
      <w:tr>
        <w:trPr/>
        <w:tc>
          <w:tcPr>
            <w:tcW w:w="1715" w:type="dxa"/>
            <w:tcBorders>
              <w:bottom w:val="single" w:sz="2" w:space="0" w:color="BFBFBF"/>
            </w:tcBorders>
            <w:vAlign w:val="center"/>
          </w:tcPr>
          <w:p>
            <w:pPr>
              <w:pStyle w:val="TableContents"/>
              <w:bidi w:val="0"/>
              <w:spacing w:before="1" w:after="283"/>
              <w:jc w:val="left"/>
              <w:rPr>
                <w:b/>
                <w:sz w:val="14"/>
              </w:rPr>
            </w:pPr>
            <w:r>
              <w:rPr>
                <w:b/>
                <w:sz w:val="14"/>
              </w:rPr>
              <w:t>Credicorp Ltd. Risk Position</w:t>
            </w:r>
          </w:p>
        </w:tc>
      </w:tr>
    </w:tbl>
    <w:p>
      <w:pPr>
        <w:pStyle w:val="TextBody"/>
        <w:bidi w:val="0"/>
        <w:spacing w:before="6" w:after="283"/>
        <w:jc w:val="left"/>
        <w:rPr/>
      </w:pPr>
      <w:r>
        <w:rPr/>
      </w:r>
    </w:p>
    <w:p>
      <w:pPr>
        <w:pStyle w:val="Normal"/>
        <w:bidi w:val="0"/>
        <w:spacing w:before="0" w:after="0"/>
        <w:jc w:val="left"/>
        <w:rPr>
          <w:sz w:val="4"/>
          <w:szCs w:val="4"/>
        </w:rPr>
      </w:pPr>
      <w:r>
        <w:rPr>
          <w:sz w:val="4"/>
          <w:szCs w:val="4"/>
        </w:rPr>
      </w:r>
      <w:bookmarkStart w:id="40" w:name="z4601e2672ab24be2bbf1c4460897d2ab"/>
      <w:bookmarkStart w:id="41" w:name="z4601e2672ab24be2bbf1c4460897d2ab"/>
      <w:bookmarkEnd w:id="41"/>
    </w:p>
    <w:tbl>
      <w:tblPr>
        <w:tblW w:w="4950" w:type="dxa"/>
        <w:jc w:val="left"/>
        <w:tblInd w:w="0" w:type="dxa"/>
        <w:tblLayout w:type="fixed"/>
        <w:tblCellMar>
          <w:top w:w="28" w:type="dxa"/>
          <w:left w:w="0" w:type="dxa"/>
          <w:bottom w:w="28" w:type="dxa"/>
          <w:right w:w="0" w:type="dxa"/>
        </w:tblCellMar>
      </w:tblPr>
      <w:tblGrid>
        <w:gridCol w:w="3140"/>
        <w:gridCol w:w="350"/>
        <w:gridCol w:w="350"/>
        <w:gridCol w:w="350"/>
        <w:gridCol w:w="350"/>
        <w:gridCol w:w="350"/>
        <w:gridCol w:w="60"/>
      </w:tblGrid>
      <w:tr>
        <w:trPr/>
        <w:tc>
          <w:tcPr>
            <w:tcW w:w="3140" w:type="dxa"/>
            <w:tcBorders>
              <w:top w:val="single" w:sz="2" w:space="0" w:color="BFBFBF"/>
              <w:bottom w:val="single" w:sz="2" w:space="0" w:color="BFBFBF"/>
            </w:tcBorders>
            <w:vAlign w:val="center"/>
          </w:tcPr>
          <w:p>
            <w:pPr>
              <w:pStyle w:val="TableContents"/>
              <w:bidi w:val="0"/>
              <w:spacing w:before="2" w:after="283"/>
              <w:jc w:val="left"/>
              <w:rPr>
                <w:b/>
                <w:sz w:val="14"/>
              </w:rPr>
            </w:pPr>
            <w:r>
              <w:rPr>
                <w:b/>
                <w:sz w:val="14"/>
              </w:rPr>
              <w:t>Credicorp Ltd. Funding And Liquidity</w:t>
            </w:r>
          </w:p>
        </w:tc>
        <w:tc>
          <w:tcPr>
            <w:tcW w:w="1750" w:type="dxa"/>
            <w:gridSpan w:val="5"/>
            <w:tcBorders>
              <w:top w:val="single" w:sz="2" w:space="0" w:color="BFBFBF"/>
              <w:bottom w:val="single" w:sz="2" w:space="0" w:color="BFBFBF"/>
            </w:tcBorders>
            <w:vAlign w:val="center"/>
          </w:tcPr>
          <w:p>
            <w:pPr>
              <w:pStyle w:val="TableContents"/>
              <w:bidi w:val="0"/>
              <w:spacing w:before="0" w:after="283"/>
              <w:jc w:val="left"/>
              <w:rPr/>
            </w:pPr>
            <w:r>
              <w:rPr/>
              <w:t> </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b/>
                <w:sz w:val="14"/>
              </w:rPr>
            </w:pPr>
            <w:r>
              <w:rPr>
                <w:b/>
                <w:sz w:val="14"/>
              </w:rPr>
              <w:t>(%)</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2025</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2024</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2023</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2022</w:t>
            </w:r>
          </w:p>
        </w:tc>
        <w:tc>
          <w:tcPr>
            <w:tcW w:w="350" w:type="dxa"/>
            <w:tcBorders>
              <w:top w:val="single" w:sz="2" w:space="0" w:color="BFBFBF"/>
              <w:bottom w:val="single" w:sz="2" w:space="0" w:color="BFBFBF"/>
            </w:tcBorders>
            <w:vAlign w:val="center"/>
          </w:tcPr>
          <w:p>
            <w:pPr>
              <w:pStyle w:val="TableContents"/>
              <w:bidi w:val="0"/>
              <w:spacing w:before="63" w:after="283"/>
              <w:jc w:val="right"/>
              <w:rPr>
                <w:b/>
                <w:sz w:val="14"/>
              </w:rPr>
            </w:pPr>
            <w:r>
              <w:rPr>
                <w:b/>
                <w:sz w:val="14"/>
              </w:rPr>
              <w:t>2021</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Core deposits/funding base</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83.4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80.98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79.5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78.5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76.0</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Customer loans (net)/customer deposits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83.5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85.1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92.6</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95.8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92.5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Long-term funding ratio</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91.3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87.1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85.3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86.1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89.5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Stable funding ratio</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122.2</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121.8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113.4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110.8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110.5</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Short-term wholesale funding/funding base</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10.2</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15.0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17.1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15.8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11.8</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Broad liquid assets/short-term wholesale funding (x)</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2.6</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Broad liquid assets/total assets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31.5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34.1</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30.8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28.4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25.2</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Broad liquid assets/customer deposits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49.4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54.0</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49.8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45.7</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41.0</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Net broad liquid assets/short-term customer deposits</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46.5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44.4</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35.3</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31.9</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31.8</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31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Short-term wholesale funding/total wholesale funding</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61.5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78.8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83.5</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73.8</w:t>
            </w:r>
          </w:p>
        </w:tc>
        <w:tc>
          <w:tcPr>
            <w:tcW w:w="350" w:type="dxa"/>
            <w:tcBorders>
              <w:top w:val="single" w:sz="2" w:space="0" w:color="BFBFBF"/>
              <w:bottom w:val="single" w:sz="2" w:space="0" w:color="BFBFBF"/>
            </w:tcBorders>
            <w:vAlign w:val="center"/>
          </w:tcPr>
          <w:p>
            <w:pPr>
              <w:pStyle w:val="TableContents"/>
              <w:bidi w:val="0"/>
              <w:spacing w:before="63" w:after="283"/>
              <w:jc w:val="right"/>
              <w:rPr>
                <w:sz w:val="14"/>
              </w:rPr>
            </w:pPr>
            <w:r>
              <w:rPr>
                <w:sz w:val="14"/>
              </w:rPr>
              <w:t>49.3</w:t>
            </w:r>
          </w:p>
        </w:tc>
        <w:tc>
          <w:tcPr>
            <w:tcW w:w="60" w:type="dxa"/>
            <w:tcBorders>
              <w:top w:val="single" w:sz="2" w:space="0" w:color="BFBFBF"/>
              <w:bottom w:val="single" w:sz="2" w:space="0" w:color="BFBFBF"/>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fbd347b3d73b418c9c4526de5353e115"/>
      <w:bookmarkStart w:id="43" w:name="zfbd347b3d73b418c9c4526de5353e115"/>
      <w:bookmarkEnd w:id="43"/>
    </w:p>
    <w:tbl>
      <w:tblPr>
        <w:tblW w:w="1550" w:type="dxa"/>
        <w:jc w:val="left"/>
        <w:tblInd w:w="0" w:type="dxa"/>
        <w:tblLayout w:type="fixed"/>
        <w:tblCellMar>
          <w:top w:w="0" w:type="dxa"/>
          <w:left w:w="0" w:type="dxa"/>
          <w:bottom w:w="0" w:type="dxa"/>
          <w:right w:w="0" w:type="dxa"/>
        </w:tblCellMar>
      </w:tblPr>
      <w:tblGrid>
        <w:gridCol w:w="1550"/>
      </w:tblGrid>
      <w:tr>
        <w:trPr/>
        <w:tc>
          <w:tcPr>
            <w:tcW w:w="1550" w:type="dxa"/>
            <w:tcBorders/>
            <w:vAlign w:val="center"/>
          </w:tcPr>
          <w:p>
            <w:pPr>
              <w:pStyle w:val="TableContents"/>
              <w:bidi w:val="0"/>
              <w:spacing w:before="0" w:after="0"/>
              <w:jc w:val="left"/>
              <w:rPr>
                <w:b/>
                <w:sz w:val="14"/>
              </w:rPr>
            </w:pPr>
            <w:r>
              <w:rPr>
                <w:b/>
                <w:sz w:val="14"/>
              </w:rPr>
              <w:t>Rating Component Scores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f9c8980e41034345b0d61448412c343b"/>
      <w:bookmarkStart w:id="45" w:name="zf9c8980e41034345b0d61448412c343b"/>
      <w:bookmarkEnd w:id="45"/>
    </w:p>
    <w:tbl>
      <w:tblPr>
        <w:tblW w:w="6394" w:type="dxa"/>
        <w:jc w:val="left"/>
        <w:tblInd w:w="0" w:type="dxa"/>
        <w:tblLayout w:type="fixed"/>
        <w:tblCellMar>
          <w:top w:w="0" w:type="dxa"/>
          <w:left w:w="0" w:type="dxa"/>
          <w:bottom w:w="28" w:type="dxa"/>
          <w:right w:w="0" w:type="dxa"/>
        </w:tblCellMar>
      </w:tblPr>
      <w:tblGrid>
        <w:gridCol w:w="3286"/>
        <w:gridCol w:w="3108"/>
      </w:tblGrid>
      <w:tr>
        <w:trPr/>
        <w:tc>
          <w:tcPr>
            <w:tcW w:w="3286" w:type="dxa"/>
            <w:tcBorders>
              <w:bottom w:val="single" w:sz="2" w:space="0" w:color="000000"/>
            </w:tcBorders>
            <w:vAlign w:val="center"/>
          </w:tcPr>
          <w:p>
            <w:pPr>
              <w:pStyle w:val="TableContents"/>
              <w:bidi w:val="0"/>
              <w:spacing w:before="1" w:after="283"/>
              <w:jc w:val="left"/>
              <w:rPr>
                <w:sz w:val="14"/>
              </w:rPr>
            </w:pPr>
            <w:r>
              <w:rPr>
                <w:sz w:val="14"/>
              </w:rPr>
              <w:t>Issuer Credit Rating</w:t>
            </w:r>
          </w:p>
        </w:tc>
        <w:tc>
          <w:tcPr>
            <w:tcW w:w="3108" w:type="dxa"/>
            <w:tcBorders>
              <w:bottom w:val="single" w:sz="2" w:space="0" w:color="000000"/>
            </w:tcBorders>
            <w:vAlign w:val="center"/>
          </w:tcPr>
          <w:p>
            <w:pPr>
              <w:pStyle w:val="TableContents"/>
              <w:bidi w:val="0"/>
              <w:spacing w:before="1" w:after="283"/>
              <w:jc w:val="left"/>
              <w:rPr>
                <w:sz w:val="14"/>
              </w:rPr>
            </w:pPr>
            <w:r>
              <w:rPr>
                <w:sz w:val="14"/>
              </w:rPr>
              <w:t>BBB-/Stable/--</w:t>
            </w:r>
          </w:p>
        </w:tc>
      </w:tr>
      <w:tr>
        <w:trPr/>
        <w:tc>
          <w:tcPr>
            <w:tcW w:w="3286" w:type="dxa"/>
            <w:tcBorders>
              <w:bottom w:val="single" w:sz="2" w:space="0" w:color="BFBFBF"/>
            </w:tcBorders>
            <w:vAlign w:val="center"/>
          </w:tcPr>
          <w:p>
            <w:pPr>
              <w:pStyle w:val="TableContents"/>
              <w:bidi w:val="0"/>
              <w:spacing w:before="63" w:after="283"/>
              <w:jc w:val="left"/>
              <w:rPr>
                <w:sz w:val="14"/>
              </w:rPr>
            </w:pPr>
            <w:r>
              <w:rPr>
                <w:sz w:val="14"/>
              </w:rPr>
              <w:t>SACP</w:t>
            </w:r>
          </w:p>
        </w:tc>
        <w:tc>
          <w:tcPr>
            <w:tcW w:w="3108" w:type="dxa"/>
            <w:tcBorders>
              <w:bottom w:val="single" w:sz="2" w:space="0" w:color="BFBFBF"/>
            </w:tcBorders>
            <w:vAlign w:val="center"/>
          </w:tcPr>
          <w:p>
            <w:pPr>
              <w:pStyle w:val="TableContents"/>
              <w:bidi w:val="0"/>
              <w:spacing w:before="63" w:after="283"/>
              <w:jc w:val="left"/>
              <w:rPr>
                <w:sz w:val="14"/>
              </w:rPr>
            </w:pPr>
            <w:r>
              <w:rPr>
                <w:sz w:val="14"/>
              </w:rPr>
              <w:t>bbb</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Anchor</w:t>
            </w:r>
          </w:p>
        </w:tc>
        <w:tc>
          <w:tcPr>
            <w:tcW w:w="3108" w:type="dxa"/>
            <w:tcBorders>
              <w:bottom w:val="single" w:sz="2" w:space="0" w:color="BFBFBF"/>
            </w:tcBorders>
            <w:vAlign w:val="center"/>
          </w:tcPr>
          <w:p>
            <w:pPr>
              <w:pStyle w:val="TableContents"/>
              <w:bidi w:val="0"/>
              <w:spacing w:before="63" w:after="283"/>
              <w:jc w:val="left"/>
              <w:rPr>
                <w:sz w:val="14"/>
              </w:rPr>
            </w:pPr>
            <w:r>
              <w:rPr>
                <w:sz w:val="14"/>
              </w:rPr>
              <w:t>bbb-</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Business position</w:t>
            </w:r>
          </w:p>
        </w:tc>
        <w:tc>
          <w:tcPr>
            <w:tcW w:w="3108" w:type="dxa"/>
            <w:tcBorders>
              <w:bottom w:val="single" w:sz="2" w:space="0" w:color="BFBFBF"/>
            </w:tcBorders>
            <w:vAlign w:val="center"/>
          </w:tcPr>
          <w:p>
            <w:pPr>
              <w:pStyle w:val="TableContents"/>
              <w:bidi w:val="0"/>
              <w:spacing w:before="63" w:after="283"/>
              <w:jc w:val="left"/>
              <w:rPr>
                <w:sz w:val="14"/>
              </w:rPr>
            </w:pPr>
            <w:r>
              <w:rPr>
                <w:sz w:val="14"/>
              </w:rPr>
              <w:t>Strong (1)</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Capital and earnings</w:t>
            </w:r>
          </w:p>
        </w:tc>
        <w:tc>
          <w:tcPr>
            <w:tcW w:w="3108" w:type="dxa"/>
            <w:tcBorders>
              <w:bottom w:val="single" w:sz="2" w:space="0" w:color="BFBFBF"/>
            </w:tcBorders>
            <w:vAlign w:val="center"/>
          </w:tcPr>
          <w:p>
            <w:pPr>
              <w:pStyle w:val="TableContents"/>
              <w:bidi w:val="0"/>
              <w:spacing w:before="63" w:after="283"/>
              <w:jc w:val="left"/>
              <w:rPr>
                <w:sz w:val="14"/>
              </w:rPr>
            </w:pPr>
            <w:r>
              <w:rPr>
                <w:sz w:val="14"/>
              </w:rPr>
              <w:t>Adequate (0)</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Risk position</w:t>
            </w:r>
          </w:p>
        </w:tc>
        <w:tc>
          <w:tcPr>
            <w:tcW w:w="3108" w:type="dxa"/>
            <w:tcBorders>
              <w:bottom w:val="single" w:sz="2" w:space="0" w:color="BFBFBF"/>
            </w:tcBorders>
            <w:vAlign w:val="center"/>
          </w:tcPr>
          <w:p>
            <w:pPr>
              <w:pStyle w:val="TableContents"/>
              <w:bidi w:val="0"/>
              <w:spacing w:before="63" w:after="283"/>
              <w:jc w:val="left"/>
              <w:rPr>
                <w:sz w:val="14"/>
              </w:rPr>
            </w:pPr>
            <w:r>
              <w:rPr>
                <w:sz w:val="14"/>
              </w:rPr>
              <w:t>Adequate (0)</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Funding and liquidity</w:t>
            </w:r>
          </w:p>
        </w:tc>
        <w:tc>
          <w:tcPr>
            <w:tcW w:w="3108" w:type="dxa"/>
            <w:tcBorders>
              <w:bottom w:val="single" w:sz="2" w:space="0" w:color="BFBFBF"/>
            </w:tcBorders>
            <w:vAlign w:val="center"/>
          </w:tcPr>
          <w:p>
            <w:pPr>
              <w:pStyle w:val="TableContents"/>
              <w:bidi w:val="0"/>
              <w:spacing w:before="63" w:after="283"/>
              <w:jc w:val="left"/>
              <w:rPr>
                <w:sz w:val="14"/>
              </w:rPr>
            </w:pPr>
            <w:r>
              <w:rPr>
                <w:sz w:val="14"/>
              </w:rPr>
              <w:t>Adequate and Adequate (0)</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Comparable ratings analysis</w:t>
            </w:r>
          </w:p>
        </w:tc>
        <w:tc>
          <w:tcPr>
            <w:tcW w:w="3108" w:type="dxa"/>
            <w:tcBorders>
              <w:bottom w:val="single" w:sz="2" w:space="0" w:color="BFBFBF"/>
            </w:tcBorders>
            <w:vAlign w:val="center"/>
          </w:tcPr>
          <w:p>
            <w:pPr>
              <w:pStyle w:val="TableContents"/>
              <w:bidi w:val="0"/>
              <w:spacing w:before="63" w:after="283"/>
              <w:jc w:val="left"/>
              <w:rPr>
                <w:sz w:val="14"/>
              </w:rPr>
            </w:pPr>
            <w:r>
              <w:rPr>
                <w:sz w:val="14"/>
              </w:rPr>
              <w:t>0</w:t>
            </w:r>
          </w:p>
        </w:tc>
      </w:tr>
      <w:tr>
        <w:trPr/>
        <w:tc>
          <w:tcPr>
            <w:tcW w:w="3286" w:type="dxa"/>
            <w:tcBorders>
              <w:bottom w:val="single" w:sz="2" w:space="0" w:color="BFBFBF"/>
            </w:tcBorders>
            <w:vAlign w:val="center"/>
          </w:tcPr>
          <w:p>
            <w:pPr>
              <w:pStyle w:val="TableContents"/>
              <w:bidi w:val="0"/>
              <w:spacing w:before="63" w:after="283"/>
              <w:jc w:val="left"/>
              <w:rPr>
                <w:sz w:val="14"/>
              </w:rPr>
            </w:pPr>
            <w:r>
              <w:rPr>
                <w:sz w:val="14"/>
              </w:rPr>
              <w:t>Support</w:t>
            </w:r>
          </w:p>
        </w:tc>
        <w:tc>
          <w:tcPr>
            <w:tcW w:w="3108" w:type="dxa"/>
            <w:tcBorders>
              <w:bottom w:val="single" w:sz="2" w:space="0" w:color="BFBFBF"/>
            </w:tcBorders>
            <w:vAlign w:val="center"/>
          </w:tcPr>
          <w:p>
            <w:pPr>
              <w:pStyle w:val="TableContents"/>
              <w:bidi w:val="0"/>
              <w:spacing w:before="63" w:after="283"/>
              <w:jc w:val="left"/>
              <w:rPr>
                <w:sz w:val="14"/>
              </w:rPr>
            </w:pPr>
            <w:r>
              <w:rPr>
                <w:sz w:val="14"/>
              </w:rPr>
              <w:t>0</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ALAC support</w:t>
            </w:r>
          </w:p>
        </w:tc>
        <w:tc>
          <w:tcPr>
            <w:tcW w:w="3108" w:type="dxa"/>
            <w:tcBorders>
              <w:bottom w:val="single" w:sz="2" w:space="0" w:color="BFBFBF"/>
            </w:tcBorders>
            <w:vAlign w:val="center"/>
          </w:tcPr>
          <w:p>
            <w:pPr>
              <w:pStyle w:val="TableContents"/>
              <w:bidi w:val="0"/>
              <w:spacing w:before="63" w:after="283"/>
              <w:jc w:val="left"/>
              <w:rPr>
                <w:sz w:val="14"/>
              </w:rPr>
            </w:pPr>
            <w:r>
              <w:rPr>
                <w:sz w:val="14"/>
              </w:rPr>
              <w:t>0</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GRE support</w:t>
            </w:r>
          </w:p>
        </w:tc>
        <w:tc>
          <w:tcPr>
            <w:tcW w:w="3108" w:type="dxa"/>
            <w:tcBorders>
              <w:bottom w:val="single" w:sz="2" w:space="0" w:color="BFBFBF"/>
            </w:tcBorders>
            <w:vAlign w:val="center"/>
          </w:tcPr>
          <w:p>
            <w:pPr>
              <w:pStyle w:val="TableContents"/>
              <w:bidi w:val="0"/>
              <w:spacing w:before="63" w:after="283"/>
              <w:jc w:val="left"/>
              <w:rPr>
                <w:sz w:val="14"/>
              </w:rPr>
            </w:pPr>
            <w:r>
              <w:rPr>
                <w:sz w:val="14"/>
              </w:rPr>
              <w:t>0</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Group support</w:t>
            </w:r>
          </w:p>
        </w:tc>
        <w:tc>
          <w:tcPr>
            <w:tcW w:w="3108" w:type="dxa"/>
            <w:tcBorders>
              <w:bottom w:val="single" w:sz="2" w:space="0" w:color="BFBFBF"/>
            </w:tcBorders>
            <w:vAlign w:val="center"/>
          </w:tcPr>
          <w:p>
            <w:pPr>
              <w:pStyle w:val="TableContents"/>
              <w:bidi w:val="0"/>
              <w:spacing w:before="63" w:after="283"/>
              <w:jc w:val="left"/>
              <w:rPr>
                <w:sz w:val="14"/>
              </w:rPr>
            </w:pPr>
            <w:r>
              <w:rPr>
                <w:sz w:val="14"/>
              </w:rPr>
              <w:t>0</w:t>
            </w:r>
          </w:p>
        </w:tc>
      </w:tr>
      <w:tr>
        <w:trPr/>
        <w:tc>
          <w:tcPr>
            <w:tcW w:w="3286" w:type="dxa"/>
            <w:tcBorders>
              <w:bottom w:val="single" w:sz="2" w:space="0" w:color="BFBFBF"/>
            </w:tcBorders>
            <w:vAlign w:val="center"/>
          </w:tcPr>
          <w:p>
            <w:pPr>
              <w:pStyle w:val="TableContents"/>
              <w:bidi w:val="0"/>
              <w:spacing w:before="63" w:after="283"/>
              <w:ind w:left="180" w:right="0" w:hanging="0"/>
              <w:jc w:val="left"/>
              <w:rPr>
                <w:sz w:val="14"/>
              </w:rPr>
            </w:pPr>
            <w:r>
              <w:rPr>
                <w:sz w:val="14"/>
              </w:rPr>
              <w:t>Sovereign support</w:t>
            </w:r>
          </w:p>
        </w:tc>
        <w:tc>
          <w:tcPr>
            <w:tcW w:w="3108" w:type="dxa"/>
            <w:tcBorders>
              <w:bottom w:val="single" w:sz="2" w:space="0" w:color="BFBFBF"/>
            </w:tcBorders>
            <w:vAlign w:val="center"/>
          </w:tcPr>
          <w:p>
            <w:pPr>
              <w:pStyle w:val="TableContents"/>
              <w:bidi w:val="0"/>
              <w:spacing w:before="63" w:after="283"/>
              <w:jc w:val="left"/>
              <w:rPr>
                <w:sz w:val="14"/>
              </w:rPr>
            </w:pPr>
            <w:r>
              <w:rPr>
                <w:sz w:val="14"/>
              </w:rPr>
              <w:t>0</w:t>
            </w:r>
          </w:p>
        </w:tc>
      </w:tr>
      <w:tr>
        <w:trPr/>
        <w:tc>
          <w:tcPr>
            <w:tcW w:w="3286" w:type="dxa"/>
            <w:tcBorders>
              <w:bottom w:val="single" w:sz="2" w:space="0" w:color="BFBFBF"/>
            </w:tcBorders>
            <w:vAlign w:val="center"/>
          </w:tcPr>
          <w:p>
            <w:pPr>
              <w:pStyle w:val="TableContents"/>
              <w:bidi w:val="0"/>
              <w:spacing w:before="63" w:after="283"/>
              <w:jc w:val="left"/>
              <w:rPr>
                <w:sz w:val="14"/>
              </w:rPr>
            </w:pPr>
            <w:r>
              <w:rPr>
                <w:sz w:val="14"/>
              </w:rPr>
              <w:t>Additional factors</w:t>
            </w:r>
          </w:p>
        </w:tc>
        <w:tc>
          <w:tcPr>
            <w:tcW w:w="3108" w:type="dxa"/>
            <w:tcBorders>
              <w:bottom w:val="single" w:sz="2" w:space="0" w:color="BFBFBF"/>
            </w:tcBorders>
            <w:vAlign w:val="center"/>
          </w:tcPr>
          <w:p>
            <w:pPr>
              <w:pStyle w:val="TableContents"/>
              <w:bidi w:val="0"/>
              <w:spacing w:before="63" w:after="283"/>
              <w:jc w:val="left"/>
              <w:rPr>
                <w:sz w:val="14"/>
              </w:rPr>
            </w:pPr>
            <w:r>
              <w:rPr>
                <w:sz w:val="14"/>
              </w:rPr>
              <w:t>-1</w:t>
            </w:r>
          </w:p>
        </w:tc>
      </w:tr>
      <w:tr>
        <w:trPr/>
        <w:tc>
          <w:tcPr>
            <w:tcW w:w="6394" w:type="dxa"/>
            <w:gridSpan w:val="2"/>
            <w:tcBorders>
              <w:bottom w:val="single" w:sz="2" w:space="0" w:color="BFBFBF"/>
            </w:tcBorders>
            <w:vAlign w:val="center"/>
          </w:tcPr>
          <w:p>
            <w:pPr>
              <w:pStyle w:val="TableContents"/>
              <w:bidi w:val="0"/>
              <w:spacing w:before="63" w:after="61"/>
              <w:jc w:val="left"/>
              <w:rPr>
                <w:sz w:val="14"/>
              </w:rPr>
            </w:pPr>
            <w:r>
              <w:rPr>
                <w:sz w:val="14"/>
              </w:rPr>
              <w:t>SACP--Stand-alone credit profile. ALAC--Additional loss-absorbing capacity. GRE--Government-related entity.</w:t>
            </w:r>
          </w:p>
        </w:tc>
      </w:tr>
    </w:tbl>
    <w:p>
      <w:pPr>
        <w:pStyle w:val="TextBody"/>
        <w:bidi w:val="0"/>
        <w:spacing w:before="281" w:after="283"/>
        <w:jc w:val="left"/>
        <w:rPr>
          <w:rFonts w:ascii="Arial" w:hAnsi="Arial"/>
          <w:color w:val="000000"/>
          <w:sz w:val="32"/>
        </w:rPr>
      </w:pPr>
      <w:r>
        <w:rPr>
          <w:rFonts w:ascii="Arial" w:hAnsi="Arial"/>
          <w:color w:val="000000"/>
          <w:sz w:val="32"/>
        </w:rPr>
        <w:t>Related Criteria</w:t>
      </w:r>
    </w:p>
    <w:p>
      <w:pPr>
        <w:pStyle w:val="Normal"/>
        <w:bidi w:val="0"/>
        <w:spacing w:before="0" w:after="0"/>
        <w:jc w:val="left"/>
        <w:rPr>
          <w:sz w:val="4"/>
          <w:szCs w:val="4"/>
        </w:rPr>
      </w:pPr>
      <w:r>
        <w:rPr>
          <w:sz w:val="4"/>
          <w:szCs w:val="4"/>
        </w:rPr>
      </w:r>
      <w:bookmarkStart w:id="46" w:name="22bfc252523a48b88f9b861c6c4999a0"/>
      <w:bookmarkStart w:id="47" w:name="22bfc252523a48b88f9b861c6c4999a0"/>
      <w:bookmarkEnd w:id="47"/>
    </w:p>
    <w:tbl>
      <w:tblPr>
        <w:tblW w:w="7818" w:type="dxa"/>
        <w:jc w:val="left"/>
        <w:tblInd w:w="0" w:type="dxa"/>
        <w:tblLayout w:type="fixed"/>
        <w:tblCellMar>
          <w:top w:w="0" w:type="dxa"/>
          <w:left w:w="0" w:type="dxa"/>
          <w:bottom w:w="0" w:type="dxa"/>
          <w:right w:w="0" w:type="dxa"/>
        </w:tblCellMar>
      </w:tblPr>
      <w:tblGrid>
        <w:gridCol w:w="38"/>
        <w:gridCol w:w="110"/>
        <w:gridCol w:w="7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jc w:val="left"/>
              <w:rPr/>
            </w:pPr>
            <w:r>
              <w:rPr>
                <w:color w:val="D6002A"/>
                <w:u w:val="single"/>
              </w:rPr>
              <w:t>General Criteria: Hybrid Capital: Methodology And Assumptions</w:t>
            </w:r>
            <w:r>
              <w:rPr/>
              <w:t>, Oct. 13, 2025</w:t>
            </w:r>
          </w:p>
        </w:tc>
      </w:tr>
    </w:tbl>
    <w:p>
      <w:pPr>
        <w:pStyle w:val="Normal"/>
        <w:bidi w:val="0"/>
        <w:spacing w:before="0" w:after="0"/>
        <w:jc w:val="left"/>
        <w:rPr>
          <w:sz w:val="4"/>
          <w:szCs w:val="4"/>
        </w:rPr>
      </w:pPr>
      <w:r>
        <w:rPr>
          <w:sz w:val="4"/>
          <w:szCs w:val="4"/>
        </w:rPr>
      </w:r>
      <w:bookmarkStart w:id="48" w:name="e61e6dfe760749e8bb91bded144c5e9a"/>
      <w:bookmarkStart w:id="49" w:name="e61e6dfe760749e8bb91bded144c5e9a"/>
      <w:bookmarkEnd w:id="49"/>
    </w:p>
    <w:tbl>
      <w:tblPr>
        <w:tblW w:w="10158" w:type="dxa"/>
        <w:jc w:val="left"/>
        <w:tblInd w:w="0" w:type="dxa"/>
        <w:tblLayout w:type="fixed"/>
        <w:tblCellMar>
          <w:top w:w="0" w:type="dxa"/>
          <w:left w:w="0" w:type="dxa"/>
          <w:bottom w:w="0" w:type="dxa"/>
          <w:right w:w="0" w:type="dxa"/>
        </w:tblCellMar>
      </w:tblPr>
      <w:tblGrid>
        <w:gridCol w:w="38"/>
        <w:gridCol w:w="110"/>
        <w:gridCol w:w="100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0"/>
              <w:jc w:val="left"/>
              <w:rPr/>
            </w:pPr>
            <w:r>
              <w:rPr>
                <w:color w:val="D6002A"/>
                <w:u w:val="single"/>
              </w:rPr>
              <w:t>Criteria | Financial Institutions | General: Risk-Adjusted Capital Framework Methodology</w:t>
            </w:r>
            <w:r>
              <w:rPr/>
              <w:t>, April 30, 2024</w:t>
            </w:r>
          </w:p>
        </w:tc>
      </w:tr>
    </w:tbl>
    <w:p>
      <w:pPr>
        <w:pStyle w:val="Normal"/>
        <w:bidi w:val="0"/>
        <w:spacing w:before="0" w:after="0"/>
        <w:jc w:val="left"/>
        <w:rPr>
          <w:sz w:val="4"/>
          <w:szCs w:val="4"/>
        </w:rPr>
      </w:pPr>
      <w:r>
        <w:rPr>
          <w:sz w:val="4"/>
          <w:szCs w:val="4"/>
        </w:rPr>
      </w:r>
      <w:bookmarkStart w:id="50" w:name="z7459ae60d2a64063ac1d1f58770cfb22"/>
      <w:bookmarkStart w:id="51" w:name="z7459ae60d2a64063ac1d1f58770cfb22"/>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color w:val="D6002A"/>
                <w:u w:val="single"/>
              </w:rPr>
              <w:t>Criteria | Financial Institutions | Banks: Banking Industry Country Risk Assessment Methodology And Assumptions</w:t>
            </w:r>
            <w:r>
              <w:rPr/>
              <w:t>, Dec. 9, 2021</w:t>
            </w:r>
          </w:p>
        </w:tc>
      </w:tr>
    </w:tbl>
    <w:p>
      <w:pPr>
        <w:pStyle w:val="TextBody"/>
        <w:bidi w:val="0"/>
        <w:spacing w:before="0" w:after="0"/>
        <w:jc w:val="left"/>
        <w:rPr/>
      </w:pPr>
      <w:r>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8</w:t>
            </w:r>
          </w:p>
        </w:tc>
      </w:tr>
    </w:tbl>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52" w:name="z88e0a664e06b492c9acb7754718db11a"/>
      <w:bookmarkStart w:id="53" w:name="z88e0a664e06b492c9acb7754718db11a"/>
      <w:bookmarkEnd w:id="53"/>
    </w:p>
    <w:tbl>
      <w:tblPr>
        <w:tblW w:w="9393" w:type="dxa"/>
        <w:jc w:val="left"/>
        <w:tblInd w:w="0" w:type="dxa"/>
        <w:tblLayout w:type="fixed"/>
        <w:tblCellMar>
          <w:top w:w="0" w:type="dxa"/>
          <w:left w:w="0" w:type="dxa"/>
          <w:bottom w:w="0" w:type="dxa"/>
          <w:right w:w="0" w:type="dxa"/>
        </w:tblCellMar>
      </w:tblPr>
      <w:tblGrid>
        <w:gridCol w:w="38"/>
        <w:gridCol w:w="110"/>
        <w:gridCol w:w="92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0"/>
              <w:jc w:val="left"/>
              <w:rPr/>
            </w:pPr>
            <w:r>
              <w:rPr>
                <w:color w:val="D6002A"/>
                <w:u w:val="single"/>
              </w:rPr>
              <w:t>Criteria | Financial Institutions | General: Financial Institutions Rating Methodology</w:t>
            </w:r>
            <w:r>
              <w:rPr/>
              <w:t>, Dec. 9, 2021</w:t>
            </w:r>
          </w:p>
        </w:tc>
      </w:tr>
    </w:tbl>
    <w:p>
      <w:pPr>
        <w:pStyle w:val="Normal"/>
        <w:bidi w:val="0"/>
        <w:spacing w:before="0" w:after="0"/>
        <w:jc w:val="left"/>
        <w:rPr>
          <w:sz w:val="4"/>
          <w:szCs w:val="4"/>
        </w:rPr>
      </w:pPr>
      <w:r>
        <w:rPr>
          <w:sz w:val="4"/>
          <w:szCs w:val="4"/>
        </w:rPr>
      </w:r>
      <w:bookmarkStart w:id="54" w:name="zd13505a5600d4c998e4672966d5af92a"/>
      <w:bookmarkStart w:id="55" w:name="zd13505a5600d4c998e4672966d5af92a"/>
      <w:bookmarkEnd w:id="55"/>
    </w:p>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0"/>
              <w:jc w:val="left"/>
              <w:rPr/>
            </w:pPr>
            <w:r>
              <w:rPr>
                <w:color w:val="D6002A"/>
                <w:u w:val="single"/>
              </w:rPr>
              <w:t>General Criteria: Environmental, Social, And Governance Principles In Credit Ratings</w:t>
            </w:r>
            <w:r>
              <w:rPr/>
              <w:t>, Oct. 10, 2021</w:t>
            </w:r>
          </w:p>
        </w:tc>
      </w:tr>
    </w:tbl>
    <w:p>
      <w:pPr>
        <w:pStyle w:val="Normal"/>
        <w:bidi w:val="0"/>
        <w:spacing w:before="0" w:after="0"/>
        <w:jc w:val="left"/>
        <w:rPr>
          <w:sz w:val="4"/>
          <w:szCs w:val="4"/>
        </w:rPr>
      </w:pPr>
      <w:r>
        <w:rPr>
          <w:sz w:val="4"/>
          <w:szCs w:val="4"/>
        </w:rPr>
      </w:r>
      <w:bookmarkStart w:id="56" w:name="zb309b356ae3147ee8200cb2a34d00cec"/>
      <w:bookmarkStart w:id="57" w:name="zb309b356ae3147ee8200cb2a34d00cec"/>
      <w:bookmarkEnd w:id="57"/>
    </w:p>
    <w:tbl>
      <w:tblPr>
        <w:tblW w:w="5748" w:type="dxa"/>
        <w:jc w:val="left"/>
        <w:tblInd w:w="0" w:type="dxa"/>
        <w:tblLayout w:type="fixed"/>
        <w:tblCellMar>
          <w:top w:w="0" w:type="dxa"/>
          <w:left w:w="0" w:type="dxa"/>
          <w:bottom w:w="0" w:type="dxa"/>
          <w:right w:w="0" w:type="dxa"/>
        </w:tblCellMar>
      </w:tblPr>
      <w:tblGrid>
        <w:gridCol w:w="38"/>
        <w:gridCol w:w="110"/>
        <w:gridCol w:w="56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0"/>
              <w:jc w:val="left"/>
              <w:rPr/>
            </w:pPr>
            <w:r>
              <w:rPr>
                <w:color w:val="D6002A"/>
                <w:u w:val="single"/>
              </w:rPr>
              <w:t>General Criteria: Group Rating Methodology</w:t>
            </w:r>
            <w:r>
              <w:rPr/>
              <w:t>, July 1, 2019</w:t>
            </w:r>
          </w:p>
        </w:tc>
      </w:tr>
    </w:tbl>
    <w:p>
      <w:pPr>
        <w:pStyle w:val="Normal"/>
        <w:bidi w:val="0"/>
        <w:spacing w:before="0" w:after="0"/>
        <w:jc w:val="left"/>
        <w:rPr>
          <w:sz w:val="4"/>
          <w:szCs w:val="4"/>
        </w:rPr>
      </w:pPr>
      <w:r>
        <w:rPr>
          <w:sz w:val="4"/>
          <w:szCs w:val="4"/>
        </w:rPr>
      </w:r>
      <w:bookmarkStart w:id="58" w:name="0ec70044e8ce435e804445b1cd9b6904"/>
      <w:bookmarkStart w:id="59" w:name="0ec70044e8ce435e804445b1cd9b6904"/>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color w:val="D6002A"/>
                <w:u w:val="single"/>
              </w:rPr>
              <w:t>General Criteria: Ratings Above The Sovereign--Corporate And Government Ratings: Methodology And Assumptions</w:t>
            </w:r>
            <w:r>
              <w:rPr/>
              <w:t>, Nov. 19, 2013</w:t>
            </w:r>
          </w:p>
        </w:tc>
      </w:tr>
    </w:tbl>
    <w:p>
      <w:pPr>
        <w:pStyle w:val="Normal"/>
        <w:bidi w:val="0"/>
        <w:spacing w:before="0" w:after="0"/>
        <w:jc w:val="left"/>
        <w:rPr>
          <w:sz w:val="4"/>
          <w:szCs w:val="4"/>
        </w:rPr>
      </w:pPr>
      <w:r>
        <w:rPr>
          <w:sz w:val="4"/>
          <w:szCs w:val="4"/>
        </w:rPr>
      </w:r>
      <w:bookmarkStart w:id="60" w:name="31e30a02ca1a4af98eb3c84f8a2b4c41"/>
      <w:bookmarkStart w:id="61" w:name="31e30a02ca1a4af98eb3c84f8a2b4c41"/>
      <w:bookmarkEnd w:id="61"/>
    </w:p>
    <w:tbl>
      <w:tblPr>
        <w:tblW w:w="5928" w:type="dxa"/>
        <w:jc w:val="left"/>
        <w:tblInd w:w="0" w:type="dxa"/>
        <w:tblLayout w:type="fixed"/>
        <w:tblCellMar>
          <w:top w:w="0" w:type="dxa"/>
          <w:left w:w="0" w:type="dxa"/>
          <w:bottom w:w="0" w:type="dxa"/>
          <w:right w:w="0" w:type="dxa"/>
        </w:tblCellMar>
      </w:tblPr>
      <w:tblGrid>
        <w:gridCol w:w="38"/>
        <w:gridCol w:w="110"/>
        <w:gridCol w:w="5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left"/>
              <w:rPr/>
            </w:pPr>
            <w:r>
              <w:rPr>
                <w:color w:val="D6002A"/>
                <w:u w:val="single"/>
              </w:rPr>
              <w:t>General Criteria: Principles Of Credit Ratings</w:t>
            </w:r>
            <w:r>
              <w:rPr/>
              <w:t>, Feb. 16, 2011</w:t>
            </w:r>
          </w:p>
        </w:tc>
      </w:tr>
    </w:tbl>
    <w:p>
      <w:pPr>
        <w:pStyle w:val="TextBody"/>
        <w:bidi w:val="0"/>
        <w:spacing w:before="302" w:after="283"/>
        <w:jc w:val="left"/>
        <w:rPr>
          <w:rFonts w:ascii="Arial" w:hAnsi="Arial"/>
          <w:color w:val="000000"/>
          <w:sz w:val="32"/>
        </w:rPr>
      </w:pPr>
      <w:r>
        <w:rPr>
          <w:rFonts w:ascii="Arial" w:hAnsi="Arial"/>
          <w:color w:val="000000"/>
          <w:sz w:val="32"/>
        </w:rPr>
        <w:t>Related Research</w:t>
      </w:r>
    </w:p>
    <w:p>
      <w:pPr>
        <w:pStyle w:val="Normal"/>
        <w:bidi w:val="0"/>
        <w:spacing w:before="0" w:after="0"/>
        <w:jc w:val="left"/>
        <w:rPr>
          <w:sz w:val="4"/>
          <w:szCs w:val="4"/>
        </w:rPr>
      </w:pPr>
      <w:r>
        <w:rPr>
          <w:sz w:val="4"/>
          <w:szCs w:val="4"/>
        </w:rPr>
      </w:r>
      <w:bookmarkStart w:id="62" w:name="227816a049114443a6bfef27d5df4ace"/>
      <w:bookmarkStart w:id="63" w:name="227816a049114443a6bfef27d5df4ace"/>
      <w:bookmarkEnd w:id="63"/>
    </w:p>
    <w:tbl>
      <w:tblPr>
        <w:tblW w:w="4323" w:type="dxa"/>
        <w:jc w:val="left"/>
        <w:tblInd w:w="0" w:type="dxa"/>
        <w:tblLayout w:type="fixed"/>
        <w:tblCellMar>
          <w:top w:w="0" w:type="dxa"/>
          <w:left w:w="0" w:type="dxa"/>
          <w:bottom w:w="0" w:type="dxa"/>
          <w:right w:w="0" w:type="dxa"/>
        </w:tblCellMar>
      </w:tblPr>
      <w:tblGrid>
        <w:gridCol w:w="38"/>
        <w:gridCol w:w="110"/>
        <w:gridCol w:w="41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0"/>
              <w:jc w:val="left"/>
              <w:rPr/>
            </w:pPr>
            <w:r>
              <w:rPr>
                <w:color w:val="D6002A"/>
                <w:u w:val="single"/>
              </w:rPr>
              <w:t>Banco de Credito del Peru</w:t>
            </w:r>
            <w:r>
              <w:rPr/>
              <w:t>, March 30, 2026</w:t>
            </w:r>
          </w:p>
        </w:tc>
      </w:tr>
    </w:tbl>
    <w:p>
      <w:pPr>
        <w:pStyle w:val="Normal"/>
        <w:bidi w:val="0"/>
        <w:spacing w:before="0" w:after="0"/>
        <w:jc w:val="left"/>
        <w:rPr>
          <w:sz w:val="4"/>
          <w:szCs w:val="4"/>
        </w:rPr>
      </w:pPr>
      <w:r>
        <w:rPr>
          <w:sz w:val="4"/>
          <w:szCs w:val="4"/>
        </w:rPr>
      </w:r>
      <w:bookmarkStart w:id="64" w:name="e6426d4164654fd997198db0755abaf5"/>
      <w:bookmarkStart w:id="65" w:name="e6426d4164654fd997198db0755abaf5"/>
      <w:bookmarkEnd w:id="65"/>
    </w:p>
    <w:tbl>
      <w:tblPr>
        <w:tblW w:w="6288" w:type="dxa"/>
        <w:jc w:val="left"/>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pPr>
            <w:r>
              <w:rPr>
                <w:color w:val="D6002A"/>
                <w:u w:val="single"/>
              </w:rPr>
              <w:t>Banking Industry Country Risk Assessment: Peru</w:t>
            </w:r>
            <w:r>
              <w:rPr/>
              <w:t>, Jan. 20, 2026</w:t>
            </w:r>
          </w:p>
        </w:tc>
      </w:tr>
    </w:tbl>
    <w:p>
      <w:pPr>
        <w:pStyle w:val="Normal"/>
        <w:bidi w:val="0"/>
        <w:spacing w:before="0" w:after="0"/>
        <w:jc w:val="left"/>
        <w:rPr>
          <w:sz w:val="4"/>
          <w:szCs w:val="4"/>
        </w:rPr>
      </w:pPr>
      <w:r>
        <w:rPr>
          <w:sz w:val="4"/>
          <w:szCs w:val="4"/>
        </w:rPr>
      </w:r>
      <w:bookmarkStart w:id="66" w:name="7ca2018798d0479d853f963c123019cb"/>
      <w:bookmarkStart w:id="67" w:name="7ca2018798d0479d853f963c123019cb"/>
      <w:bookmarkEnd w:id="67"/>
    </w:p>
    <w:tbl>
      <w:tblPr>
        <w:tblW w:w="9123" w:type="dxa"/>
        <w:jc w:val="left"/>
        <w:tblInd w:w="0" w:type="dxa"/>
        <w:tblLayout w:type="fixed"/>
        <w:tblCellMar>
          <w:top w:w="0" w:type="dxa"/>
          <w:left w:w="0" w:type="dxa"/>
          <w:bottom w:w="0" w:type="dxa"/>
          <w:right w:w="0" w:type="dxa"/>
        </w:tblCellMar>
      </w:tblPr>
      <w:tblGrid>
        <w:gridCol w:w="38"/>
        <w:gridCol w:w="110"/>
        <w:gridCol w:w="8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0"/>
              <w:jc w:val="left"/>
              <w:rPr/>
            </w:pPr>
            <w:r>
              <w:rPr>
                <w:color w:val="D6002A"/>
                <w:u w:val="single"/>
              </w:rPr>
              <w:t>Peru 'BBB-/A-3' Foreign Currency Ratings Affirmed; Outlook Remains Stable</w:t>
            </w:r>
            <w:r>
              <w:rPr/>
              <w:t>, Dec. 11, 2025</w:t>
            </w:r>
          </w:p>
        </w:tc>
      </w:tr>
    </w:tbl>
    <w:p>
      <w:pPr>
        <w:pStyle w:val="Normal"/>
        <w:bidi w:val="0"/>
        <w:spacing w:before="0" w:after="0"/>
        <w:jc w:val="left"/>
        <w:rPr>
          <w:sz w:val="4"/>
          <w:szCs w:val="4"/>
        </w:rPr>
      </w:pPr>
      <w:r>
        <w:rPr>
          <w:sz w:val="4"/>
          <w:szCs w:val="4"/>
        </w:rPr>
      </w:r>
      <w:bookmarkStart w:id="68" w:name="0744a9efceee4dd0a31958d4e129d330"/>
      <w:bookmarkStart w:id="69" w:name="0744a9efceee4dd0a31958d4e129d330"/>
      <w:bookmarkEnd w:id="69"/>
    </w:p>
    <w:tbl>
      <w:tblPr>
        <w:tblW w:w="5748" w:type="dxa"/>
        <w:jc w:val="left"/>
        <w:tblInd w:w="0" w:type="dxa"/>
        <w:tblLayout w:type="fixed"/>
        <w:tblCellMar>
          <w:top w:w="0" w:type="dxa"/>
          <w:left w:w="0" w:type="dxa"/>
          <w:bottom w:w="0" w:type="dxa"/>
          <w:right w:w="0" w:type="dxa"/>
        </w:tblCellMar>
      </w:tblPr>
      <w:tblGrid>
        <w:gridCol w:w="38"/>
        <w:gridCol w:w="110"/>
        <w:gridCol w:w="56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0"/>
              <w:jc w:val="left"/>
              <w:rPr/>
            </w:pPr>
            <w:r>
              <w:rPr>
                <w:color w:val="D6002A"/>
                <w:u w:val="single"/>
              </w:rPr>
              <w:t>Mibanco - Banco de la Microempresa S.A.</w:t>
            </w:r>
            <w:r>
              <w:rPr/>
              <w:t>, Nov. 24,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65fe020ef2b34b01a317712b698f93fe"/>
      <w:bookmarkStart w:id="71" w:name="z65fe020ef2b34b01a317712b698f93fe"/>
      <w:bookmarkEnd w:id="71"/>
    </w:p>
    <w:tbl>
      <w:tblPr>
        <w:tblW w:w="10205" w:type="dxa"/>
        <w:jc w:val="left"/>
        <w:tblInd w:w="0" w:type="dxa"/>
        <w:tblLayout w:type="fixed"/>
        <w:tblCellMar>
          <w:top w:w="28" w:type="dxa"/>
          <w:left w:w="0" w:type="dxa"/>
          <w:bottom w:w="28" w:type="dxa"/>
          <w:right w:w="0" w:type="dxa"/>
        </w:tblCellMar>
      </w:tblPr>
      <w:tblGrid>
        <w:gridCol w:w="7265"/>
        <w:gridCol w:w="2940"/>
      </w:tblGrid>
      <w:tr>
        <w:trPr/>
        <w:tc>
          <w:tcPr>
            <w:tcW w:w="7265" w:type="dxa"/>
            <w:tcBorders>
              <w:top w:val="single" w:sz="2" w:space="0" w:color="BFBFBF"/>
              <w:bottom w:val="single" w:sz="2" w:space="0" w:color="BFBFBF"/>
            </w:tcBorders>
            <w:vAlign w:val="center"/>
          </w:tcPr>
          <w:p>
            <w:pPr>
              <w:pStyle w:val="TableContents"/>
              <w:bidi w:val="0"/>
              <w:spacing w:before="0" w:after="0"/>
              <w:jc w:val="left"/>
              <w:rPr>
                <w:b/>
                <w:sz w:val="14"/>
              </w:rPr>
            </w:pPr>
            <w:r>
              <w:rPr>
                <w:b/>
                <w:sz w:val="14"/>
              </w:rPr>
              <w:t>Ratings Detail (as of April 30, 2026)* </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0" w:after="283"/>
              <w:jc w:val="left"/>
              <w:rPr>
                <w:b/>
                <w:color w:val="D6002A"/>
                <w:sz w:val="14"/>
                <w:u w:val="single"/>
              </w:rPr>
            </w:pPr>
            <w:r>
              <w:rPr>
                <w:b/>
                <w:color w:val="D6002A"/>
                <w:sz w:val="14"/>
                <w:u w:val="single"/>
              </w:rPr>
              <w:t>Credicorp Ltd.</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1" w:after="283"/>
              <w:jc w:val="left"/>
              <w:rPr>
                <w:sz w:val="14"/>
              </w:rPr>
            </w:pPr>
            <w:r>
              <w:rPr>
                <w:sz w:val="14"/>
              </w:rPr>
              <w:t>Issuer Credit Rating</w:t>
            </w:r>
          </w:p>
        </w:tc>
        <w:tc>
          <w:tcPr>
            <w:tcW w:w="2940" w:type="dxa"/>
            <w:tcBorders>
              <w:top w:val="single" w:sz="2" w:space="0" w:color="BFBFBF"/>
              <w:bottom w:val="single" w:sz="2" w:space="0" w:color="BFBFBF"/>
            </w:tcBorders>
            <w:vAlign w:val="center"/>
          </w:tcPr>
          <w:p>
            <w:pPr>
              <w:pStyle w:val="TableContents"/>
              <w:bidi w:val="0"/>
              <w:spacing w:before="1" w:after="283"/>
              <w:jc w:val="left"/>
              <w:rPr>
                <w:sz w:val="14"/>
              </w:rPr>
            </w:pPr>
            <w:r>
              <w:rPr>
                <w:sz w:val="14"/>
              </w:rPr>
              <w:t>BBB-/Stable/--</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b/>
                <w:sz w:val="14"/>
              </w:rPr>
            </w:pPr>
            <w:r>
              <w:rPr>
                <w:b/>
                <w:sz w:val="14"/>
              </w:rPr>
              <w:t>Issuer Credit Ratings History</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26-Apr-2024</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BBB-/Stable/--</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15-Oct-2021</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BBB/Negative/--</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08-Jun-2020</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BBB/Stable/--</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b/>
                <w:sz w:val="14"/>
              </w:rPr>
            </w:pPr>
            <w:r>
              <w:rPr>
                <w:b/>
                <w:sz w:val="14"/>
              </w:rPr>
              <w:t>Sovereign Rating</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Bermuda</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A+/Stable/A-1</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b/>
                <w:sz w:val="14"/>
              </w:rPr>
            </w:pPr>
            <w:r>
              <w:rPr>
                <w:b/>
                <w:sz w:val="14"/>
              </w:rPr>
              <w:t>Related Entities </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0" w:after="283"/>
              <w:jc w:val="left"/>
              <w:rPr>
                <w:b/>
                <w:color w:val="D6002A"/>
                <w:sz w:val="14"/>
                <w:u w:val="single"/>
              </w:rPr>
            </w:pPr>
            <w:r>
              <w:rPr>
                <w:b/>
                <w:color w:val="D6002A"/>
                <w:sz w:val="14"/>
                <w:u w:val="single"/>
              </w:rPr>
              <w:t>ASB Bank Corp.</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0" w:after="0"/>
              <w:jc w:val="left"/>
              <w:rPr>
                <w:sz w:val="14"/>
              </w:rPr>
            </w:pPr>
            <w:r>
              <w:rPr>
                <w:sz w:val="14"/>
              </w:rPr>
              <w:t>Issuer Credit Rating</w:t>
            </w:r>
          </w:p>
        </w:tc>
        <w:tc>
          <w:tcPr>
            <w:tcW w:w="2940" w:type="dxa"/>
            <w:tcBorders>
              <w:top w:val="single" w:sz="2" w:space="0" w:color="BFBFBF"/>
              <w:bottom w:val="single" w:sz="2" w:space="0" w:color="BFBFBF"/>
            </w:tcBorders>
            <w:vAlign w:val="center"/>
          </w:tcPr>
          <w:p>
            <w:pPr>
              <w:pStyle w:val="TableContents"/>
              <w:bidi w:val="0"/>
              <w:spacing w:before="0" w:after="0"/>
              <w:jc w:val="left"/>
              <w:rPr>
                <w:sz w:val="14"/>
              </w:rPr>
            </w:pPr>
            <w:r>
              <w:rPr>
                <w:sz w:val="14"/>
              </w:rPr>
              <w:t>BB+/Stable/B</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b/>
                <w:color w:val="D6002A"/>
                <w:sz w:val="14"/>
                <w:u w:val="single"/>
              </w:rPr>
            </w:pPr>
            <w:r>
              <w:rPr>
                <w:b/>
                <w:color w:val="D6002A"/>
                <w:sz w:val="14"/>
                <w:u w:val="single"/>
              </w:rPr>
              <w:t>Banco de Credito del Peru</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Issuer Credit Rating</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BBB-/Stable/A-3</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Senior Unsecured</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BBB-</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Subordinated</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b/>
                <w:color w:val="D6002A"/>
                <w:sz w:val="14"/>
                <w:u w:val="single"/>
              </w:rPr>
            </w:pPr>
            <w:r>
              <w:rPr>
                <w:b/>
                <w:color w:val="D6002A"/>
                <w:sz w:val="14"/>
                <w:u w:val="single"/>
              </w:rPr>
              <w:t>Banco de Credito del Peru, Panama Branch</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Subordinated</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b/>
                <w:color w:val="D6002A"/>
                <w:sz w:val="14"/>
                <w:u w:val="single"/>
              </w:rPr>
            </w:pPr>
            <w:r>
              <w:rPr>
                <w:b/>
                <w:color w:val="D6002A"/>
                <w:sz w:val="14"/>
                <w:u w:val="single"/>
              </w:rPr>
              <w:t>MiBanco Banco de La Microempresa S.A.</w:t>
            </w:r>
          </w:p>
        </w:tc>
        <w:tc>
          <w:tcPr>
            <w:tcW w:w="2940" w:type="dxa"/>
            <w:tcBorders>
              <w:top w:val="single" w:sz="2" w:space="0" w:color="BFBFBF"/>
              <w:bottom w:val="single" w:sz="2" w:space="0" w:color="BFBFBF"/>
            </w:tcBorders>
            <w:vAlign w:val="center"/>
          </w:tcPr>
          <w:p>
            <w:pPr>
              <w:pStyle w:val="TableContents"/>
              <w:bidi w:val="0"/>
              <w:spacing w:before="0" w:after="283"/>
              <w:jc w:val="left"/>
              <w:rPr/>
            </w:pPr>
            <w:r>
              <w:rPr/>
              <w:t> </w:t>
            </w:r>
          </w:p>
        </w:tc>
      </w:tr>
      <w:tr>
        <w:trPr/>
        <w:tc>
          <w:tcPr>
            <w:tcW w:w="7265"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Issuer Credit Rating</w:t>
            </w:r>
          </w:p>
        </w:tc>
        <w:tc>
          <w:tcPr>
            <w:tcW w:w="2940" w:type="dxa"/>
            <w:tcBorders>
              <w:top w:val="single" w:sz="2" w:space="0" w:color="BFBFBF"/>
              <w:bottom w:val="single" w:sz="2" w:space="0" w:color="BFBFBF"/>
            </w:tcBorders>
            <w:vAlign w:val="center"/>
          </w:tcPr>
          <w:p>
            <w:pPr>
              <w:pStyle w:val="TableContents"/>
              <w:bidi w:val="0"/>
              <w:spacing w:before="63" w:after="283"/>
              <w:jc w:val="left"/>
              <w:rPr>
                <w:sz w:val="14"/>
              </w:rPr>
            </w:pPr>
            <w:r>
              <w:rPr>
                <w:sz w:val="14"/>
              </w:rPr>
              <w:t>BBB-/Stable/A-3</w:t>
            </w:r>
          </w:p>
        </w:tc>
      </w:tr>
      <w:tr>
        <w:trPr/>
        <w:tc>
          <w:tcPr>
            <w:tcW w:w="10205" w:type="dxa"/>
            <w:gridSpan w:val="2"/>
            <w:tcBorders>
              <w:bottom w:val="single" w:sz="2" w:space="0" w:color="000000"/>
            </w:tcBorders>
            <w:tcMar>
              <w:top w:w="0" w:type="dxa"/>
            </w:tcMar>
            <w:vAlign w:val="center"/>
          </w:tcPr>
          <w:p>
            <w:pPr>
              <w:pStyle w:val="TableContents"/>
              <w:bidi w:val="0"/>
              <w:spacing w:before="63" w:after="62"/>
              <w:jc w:val="left"/>
              <w:rPr>
                <w:sz w:val="14"/>
              </w:rPr>
            </w:pPr>
            <w:r>
              <w:rPr>
                <w:sz w:val="14"/>
              </w:rPr>
              <w:t>*Unless otherwise noted, all ratings in this report are global scale ratings. S&amp;P Global Ratings’ credit ratings on the global scale are comparable across countries. S&amp;P Global Ratings’ credit ratings on a national scale are relative to obligors or obligations within that specific country. Issue and debt ratings could include debt guaranteed by another entity, and rated debt that an entity guarantees.</w:t>
            </w:r>
          </w:p>
        </w:tc>
      </w:tr>
    </w:tbl>
    <w:p>
      <w:pPr>
        <w:pStyle w:val="TextBody"/>
        <w:bidi w:val="0"/>
        <w:spacing w:before="0" w:after="0"/>
        <w:jc w:val="left"/>
        <w:rPr/>
      </w:pPr>
      <w:r>
        <w:rPr/>
      </w:r>
    </w:p>
    <w:tbl>
      <w:tblPr>
        <w:tblW w:w="3555" w:type="dxa"/>
        <w:jc w:val="left"/>
        <w:tblInd w:w="0" w:type="dxa"/>
        <w:tblLayout w:type="fixed"/>
        <w:tblCellMar>
          <w:top w:w="0" w:type="dxa"/>
          <w:left w:w="0" w:type="dxa"/>
          <w:bottom w:w="0" w:type="dxa"/>
          <w:right w:w="0" w:type="dxa"/>
        </w:tblCellMar>
      </w:tblPr>
      <w:tblGrid>
        <w:gridCol w:w="2345"/>
        <w:gridCol w:w="1070"/>
        <w:gridCol w:w="14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140" w:type="dxa"/>
            <w:tcBorders/>
            <w:vAlign w:val="center"/>
          </w:tcPr>
          <w:p>
            <w:pPr>
              <w:pStyle w:val="TableContents"/>
              <w:bidi w:val="0"/>
              <w:spacing w:before="0" w:after="283"/>
              <w:jc w:val="right"/>
              <w:rPr>
                <w:b/>
              </w:rPr>
            </w:pPr>
            <w:r>
              <w:rPr>
                <w:b/>
              </w:rPr>
              <w:t>9</w:t>
            </w:r>
          </w:p>
        </w:tc>
      </w:tr>
    </w:tbl>
    <w:p>
      <w:pPr>
        <w:pStyle w:val="HorizontalLine"/>
        <w:pBdr>
          <w:bottom w:val="single" w:sz="12" w:space="0" w:color="808080"/>
        </w:pBdr>
        <w:bidi w:val="0"/>
        <w:spacing w:before="180" w:after="180"/>
        <w:jc w:val="left"/>
        <w:rPr/>
      </w:pPr>
      <w:r>
        <w:rPr/>
      </w:r>
    </w:p>
    <w:p>
      <w:pPr>
        <w:pStyle w:val="TextBody"/>
        <w:bidi w:val="0"/>
        <w:spacing w:before="1" w:after="283"/>
        <w:jc w:val="left"/>
        <w:rPr>
          <w:rFonts w:ascii="Arial" w:hAnsi="Arial"/>
          <w:color w:val="000000"/>
          <w:sz w:val="14"/>
        </w:rPr>
      </w:pPr>
      <w:r>
        <w:rPr>
          <w:rFonts w:ascii="Arial" w:hAnsi="Arial"/>
          <w:color w:val="000000"/>
          <w:sz w:val="14"/>
        </w:rPr>
        <w:t>Copyright © 2026 by Standard &amp; Poor’s Financial Services LLC. All rights reserved.</w:t>
      </w:r>
    </w:p>
    <w:p>
      <w:pPr>
        <w:pStyle w:val="TextBody"/>
        <w:bidi w:val="0"/>
        <w:spacing w:before="61" w:after="283"/>
        <w:jc w:val="left"/>
        <w:rPr/>
      </w:pPr>
      <w:r>
        <w:rPr/>
      </w:r>
    </w:p>
    <w:p>
      <w:pPr>
        <w:pStyle w:val="TextBody"/>
        <w:bidi w:val="0"/>
        <w:spacing w:before="1" w:after="283"/>
        <w:jc w:val="left"/>
        <w:rPr>
          <w:rFonts w:ascii="Arial" w:hAnsi="Arial"/>
          <w:color w:val="000000"/>
          <w:sz w:val="14"/>
        </w:rPr>
      </w:pPr>
      <w:r>
        <w:rPr>
          <w:rFonts w:ascii="Arial" w:hAnsi="Arial"/>
          <w:color w:val="000000"/>
          <w:sz w:val="14"/>
        </w:rPr>
        <w:t>No content (including ratings, credit-related analyses and data, valuations, model, software or other application or output therefrom) or any part thereof (Content) may be modified, reverse engineered, reproduced or distributed in any form by any means, or stored in a database or retrieval system, without the prior written permission of Standard &amp; Poor’s Financial Services LLC or its affiliates (collectively, S&amp;P). The Content shall not be used for any unlawful or unauthorized purposes. S&amp;P and any third-party providers, as well as their directors, officers, shareholders, employees or agents (collectively S&amp;P Parties) do not guarantee the accuracy, completeness, timeliness or availability of the Content. S&amp;P Parties are not responsible for any errors or omissions (negligent or otherwise), regardless of the cause, for the results obtained from the use of the Content, or for the security or maintenance of any data input by the user. The Content is provided on an “as is” basis. S&amp;P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 CONFIGURATION. In</w:t>
      </w:r>
    </w:p>
    <w:p>
      <w:pPr>
        <w:pStyle w:val="TextBody"/>
        <w:bidi w:val="0"/>
        <w:spacing w:before="0" w:after="0"/>
        <w:jc w:val="left"/>
        <w:rPr>
          <w:rFonts w:ascii="Arial" w:hAnsi="Arial"/>
          <w:color w:val="000000"/>
          <w:sz w:val="14"/>
        </w:rPr>
      </w:pPr>
      <w:r>
        <w:rPr>
          <w:rFonts w:ascii="Arial" w:hAnsi="Arial"/>
          <w:color w:val="000000"/>
          <w:sz w:val="14"/>
        </w:rPr>
        <w:t>no event shall S&amp;P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pStyle w:val="TextBody"/>
        <w:bidi w:val="0"/>
        <w:spacing w:before="0" w:after="0"/>
        <w:jc w:val="left"/>
        <w:rPr/>
      </w:pPr>
      <w:r>
        <w:rPr/>
      </w:r>
    </w:p>
    <w:p>
      <w:pPr>
        <w:pStyle w:val="TextBody"/>
        <w:bidi w:val="0"/>
        <w:spacing w:before="0" w:after="0"/>
        <w:jc w:val="left"/>
        <w:rPr>
          <w:rFonts w:ascii="Arial" w:hAnsi="Arial"/>
          <w:color w:val="000000"/>
          <w:sz w:val="14"/>
        </w:rPr>
      </w:pPr>
      <w:r>
        <w:rPr>
          <w:rFonts w:ascii="Arial" w:hAnsi="Arial"/>
          <w:color w:val="000000"/>
          <w:sz w:val="14"/>
        </w:rPr>
        <w:t>Some of the Content may have been created with the assistance of an artificial intelligence (AI) tool. Published Content created or processed using AI is composed, reviewed, edited, and approved by S&amp;P personnel.</w:t>
      </w:r>
    </w:p>
    <w:p>
      <w:pPr>
        <w:pStyle w:val="TextBody"/>
        <w:bidi w:val="0"/>
        <w:spacing w:before="69" w:after="283"/>
        <w:jc w:val="left"/>
        <w:rPr/>
      </w:pPr>
      <w:r>
        <w:rPr/>
      </w:r>
    </w:p>
    <w:p>
      <w:pPr>
        <w:pStyle w:val="TextBody"/>
        <w:bidi w:val="0"/>
        <w:spacing w:before="0" w:after="0"/>
        <w:jc w:val="left"/>
        <w:rPr>
          <w:rFonts w:ascii="Arial" w:hAnsi="Arial"/>
          <w:color w:val="000000"/>
          <w:sz w:val="14"/>
        </w:rPr>
      </w:pPr>
      <w:r>
        <w:rPr>
          <w:rFonts w:ascii="Arial" w:hAnsi="Arial"/>
          <w:color w:val="000000"/>
          <w:sz w:val="14"/>
        </w:rPr>
        <w:t>Credit-related and other analyses, including ratings, and statements in the Content are statements of opinion as of the date they are expressed and not statements of fact. S&amp;P’s opinions, analyses and rating acknowledgment decisions (described below) are not recommendations to purchase, hold, or sell any securities or to make any investment decisions, and do not address the suitability of any security. S&amp;P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does not act as a fiduciary or an investment advisor except where registered as such. While S&amp;P has obtained information from sources it believes to be reliable, S&amp;P does not perform an audit and undertakes no duty of due diligence or independent verification of any information it receives. Rating-related publications may be published for a variety of reasons that are not necessarily dependent on action by rating committees, including, but not limited to, the publication of a periodic update on a credit rating and related analyses.</w:t>
      </w:r>
    </w:p>
    <w:p>
      <w:pPr>
        <w:pStyle w:val="TextBody"/>
        <w:bidi w:val="0"/>
        <w:spacing w:before="0" w:after="0"/>
        <w:jc w:val="left"/>
        <w:rPr/>
      </w:pPr>
      <w:r>
        <w:rPr/>
      </w:r>
    </w:p>
    <w:p>
      <w:pPr>
        <w:pStyle w:val="TextBody"/>
        <w:bidi w:val="0"/>
        <w:spacing w:before="0" w:after="0"/>
        <w:jc w:val="left"/>
        <w:rPr>
          <w:rFonts w:ascii="Arial" w:hAnsi="Arial"/>
          <w:color w:val="000000"/>
          <w:sz w:val="14"/>
        </w:rPr>
      </w:pPr>
      <w:r>
        <w:rPr>
          <w:rFonts w:ascii="Arial" w:hAnsi="Arial"/>
          <w:color w:val="000000"/>
          <w:sz w:val="14"/>
        </w:rPr>
        <w:t>To the extent that regulatory authorities allow a rating agency to acknowledge in one jurisdiction a rating issued in another jurisdiction for certain regulatory purposes, S&amp;P reserves the right to assign, withdraw or suspend such acknowledgment at any time and in its sole discretion. S&amp;P Parties disclaim any duty whatsoever arising out of the assignment, withdrawal or suspension of an acknowledgment as well as any liability for any damage alleged to have been suffered on account thereof.</w:t>
      </w:r>
    </w:p>
    <w:p>
      <w:pPr>
        <w:pStyle w:val="TextBody"/>
        <w:bidi w:val="0"/>
        <w:spacing w:before="108" w:after="283"/>
        <w:jc w:val="left"/>
        <w:rPr/>
      </w:pPr>
      <w:r>
        <w:rPr/>
      </w:r>
    </w:p>
    <w:p>
      <w:pPr>
        <w:pStyle w:val="TextBody"/>
        <w:bidi w:val="0"/>
        <w:spacing w:before="0" w:after="0"/>
        <w:jc w:val="both"/>
        <w:rPr>
          <w:rFonts w:ascii="Arial" w:hAnsi="Arial"/>
          <w:color w:val="000000"/>
          <w:sz w:val="14"/>
        </w:rPr>
      </w:pPr>
      <w:r>
        <w:rPr>
          <w:rFonts w:ascii="Arial" w:hAnsi="Arial"/>
          <w:color w:val="000000"/>
          <w:sz w:val="14"/>
        </w:rPr>
        <w:t>S&amp;P keeps certain activities of its business units separate from each other in order to preserve the independence and objectivity of their respective activities. As a result, certain business units of S&amp;P may have information that is not available to other S&amp;P business units. S&amp;P has established policies and procedures to maintain the confidentiality of certain non-public information received in connection with each analytical process.</w:t>
      </w:r>
    </w:p>
    <w:p>
      <w:pPr>
        <w:pStyle w:val="TextBody"/>
        <w:bidi w:val="0"/>
        <w:spacing w:before="88" w:after="283"/>
        <w:jc w:val="left"/>
        <w:rPr/>
      </w:pPr>
      <w:r>
        <w:rPr/>
      </w:r>
    </w:p>
    <w:p>
      <w:pPr>
        <w:pStyle w:val="TextBody"/>
        <w:bidi w:val="0"/>
        <w:spacing w:before="0" w:after="0"/>
        <w:jc w:val="left"/>
        <w:rPr>
          <w:rFonts w:ascii="Arial" w:hAnsi="Arial"/>
          <w:color w:val="000000"/>
          <w:sz w:val="14"/>
        </w:rPr>
      </w:pPr>
      <w:r>
        <w:rPr>
          <w:rFonts w:ascii="Arial" w:hAnsi="Arial"/>
          <w:color w:val="000000"/>
          <w:sz w:val="14"/>
        </w:rPr>
        <w:t>S&amp;P may receive compensation for its ratings and certain analyses, normally from issuers or underwriters of securities or from obligors. S&amp;P reserves the right to disseminate its opinions and analyses. S&amp;P's public ratings and analyses are made available on its Web sites, www.spglobal.com/ratings (free of charge), and www.ratingsdirect.com (subscription), and may be distributed through other means, including via S&amp;P publications and third-party redistributors.</w:t>
      </w:r>
    </w:p>
    <w:p>
      <w:pPr>
        <w:pStyle w:val="TextBody"/>
        <w:bidi w:val="0"/>
        <w:spacing w:before="0" w:after="0"/>
        <w:jc w:val="left"/>
        <w:rPr>
          <w:rFonts w:ascii="Arial" w:hAnsi="Arial"/>
          <w:color w:val="000000"/>
          <w:sz w:val="14"/>
        </w:rPr>
      </w:pPr>
      <w:r>
        <w:rPr>
          <w:rFonts w:ascii="Arial" w:hAnsi="Arial"/>
          <w:color w:val="000000"/>
          <w:sz w:val="14"/>
        </w:rPr>
        <w:t>Additional information about our ratings fees is available at www.spglobal.com/usratingsfees.</w:t>
      </w:r>
    </w:p>
    <w:p>
      <w:pPr>
        <w:pStyle w:val="TextBody"/>
        <w:bidi w:val="0"/>
        <w:spacing w:before="122" w:after="283"/>
        <w:jc w:val="left"/>
        <w:rPr/>
      </w:pPr>
      <w:r>
        <w:rPr/>
      </w:r>
    </w:p>
    <w:p>
      <w:pPr>
        <w:pStyle w:val="TextBody"/>
        <w:bidi w:val="0"/>
        <w:spacing w:before="0" w:after="0"/>
        <w:jc w:val="left"/>
        <w:rPr>
          <w:rFonts w:ascii="Arial" w:hAnsi="Arial"/>
          <w:color w:val="000000"/>
          <w:sz w:val="14"/>
        </w:rPr>
      </w:pPr>
      <w:r>
        <w:rPr>
          <w:rFonts w:ascii="Arial" w:hAnsi="Arial"/>
          <w:color w:val="000000"/>
          <w:sz w:val="14"/>
        </w:rPr>
        <w:t>STANDARD &amp; POOR’S, S&amp;P and RATINGSDIRECT are registered trademarks of Standard &amp; Poor’s Financial Services LLC.</w:t>
      </w:r>
    </w:p>
    <w:p>
      <w:pPr>
        <w:pStyle w:val="TextBody"/>
        <w:bidi w:val="0"/>
        <w:spacing w:before="0" w:after="0"/>
        <w:jc w:val="left"/>
        <w:rPr>
          <w:sz w:val="18"/>
        </w:rPr>
      </w:pPr>
      <w:r>
        <w:rPr>
          <w:sz w:val="18"/>
        </w:rPr>
      </w:r>
    </w:p>
    <w:p>
      <w:pPr>
        <w:pStyle w:val="TextBody"/>
        <w:bidi w:val="0"/>
        <w:spacing w:before="0" w:after="0"/>
        <w:jc w:val="left"/>
        <w:rPr>
          <w:sz w:val="18"/>
        </w:rPr>
      </w:pPr>
      <w:r>
        <w:rPr>
          <w:sz w:val="18"/>
        </w:rPr>
      </w:r>
    </w:p>
    <w:p>
      <w:pPr>
        <w:pStyle w:val="Normal"/>
        <w:bidi w:val="0"/>
        <w:spacing w:before="0" w:after="0"/>
        <w:jc w:val="left"/>
        <w:rPr>
          <w:sz w:val="4"/>
          <w:szCs w:val="4"/>
        </w:rPr>
      </w:pPr>
      <w:r>
        <w:rPr>
          <w:sz w:val="4"/>
          <w:szCs w:val="4"/>
        </w:rPr>
      </w:r>
      <w:bookmarkStart w:id="72" w:name="zfa60ae93adcb4f45be2128fdd595a9e0"/>
      <w:bookmarkStart w:id="73" w:name="zfa60ae93adcb4f45be2128fdd595a9e0"/>
      <w:bookmarkEnd w:id="73"/>
    </w:p>
    <w:tbl>
      <w:tblPr>
        <w:tblW w:w="3675" w:type="dxa"/>
        <w:jc w:val="left"/>
        <w:tblInd w:w="0" w:type="dxa"/>
        <w:tblLayout w:type="fixed"/>
        <w:tblCellMar>
          <w:top w:w="0" w:type="dxa"/>
          <w:left w:w="0" w:type="dxa"/>
          <w:bottom w:w="0" w:type="dxa"/>
          <w:right w:w="0" w:type="dxa"/>
        </w:tblCellMar>
      </w:tblPr>
      <w:tblGrid>
        <w:gridCol w:w="2345"/>
        <w:gridCol w:w="1070"/>
        <w:gridCol w:w="260"/>
      </w:tblGrid>
      <w:tr>
        <w:trPr/>
        <w:tc>
          <w:tcPr>
            <w:tcW w:w="2345" w:type="dxa"/>
            <w:tcBorders/>
            <w:vAlign w:val="center"/>
          </w:tcPr>
          <w:p>
            <w:pPr>
              <w:pStyle w:val="TableContents"/>
              <w:bidi w:val="0"/>
              <w:spacing w:before="23" w:after="283"/>
              <w:ind w:left="20" w:right="0" w:hanging="0"/>
              <w:jc w:val="left"/>
              <w:rPr>
                <w:b/>
                <w:color w:val="333333"/>
                <w:sz w:val="16"/>
              </w:rPr>
            </w:pPr>
            <w:r>
              <w:rPr>
                <w:b/>
                <w:color w:val="333333"/>
                <w:sz w:val="16"/>
              </w:rPr>
              <w:t>www.spglobal.com/ratingsdirect</w:t>
            </w:r>
          </w:p>
        </w:tc>
        <w:tc>
          <w:tcPr>
            <w:tcW w:w="1070" w:type="dxa"/>
            <w:tcBorders/>
            <w:vAlign w:val="center"/>
          </w:tcPr>
          <w:p>
            <w:pPr>
              <w:pStyle w:val="TableContents"/>
              <w:bidi w:val="0"/>
              <w:spacing w:before="23" w:after="283"/>
              <w:ind w:left="20" w:right="0" w:hanging="0"/>
              <w:jc w:val="right"/>
              <w:rPr>
                <w:b/>
                <w:sz w:val="16"/>
              </w:rPr>
            </w:pPr>
            <w:r>
              <w:rPr>
                <w:b/>
                <w:sz w:val="16"/>
              </w:rPr>
              <w:t>April 30, 2026</w:t>
            </w:r>
          </w:p>
        </w:tc>
        <w:tc>
          <w:tcPr>
            <w:tcW w:w="260" w:type="dxa"/>
            <w:tcBorders/>
            <w:vAlign w:val="center"/>
          </w:tcPr>
          <w:p>
            <w:pPr>
              <w:pStyle w:val="TableContents"/>
              <w:bidi w:val="0"/>
              <w:spacing w:before="0" w:after="283"/>
              <w:jc w:val="right"/>
              <w:rPr>
                <w:b/>
              </w:rPr>
            </w:pPr>
            <w:r>
              <w:rPr>
                <w:b/>
              </w:rPr>
              <w:t>10</w:t>
            </w:r>
          </w:p>
        </w:tc>
      </w:tr>
    </w:tbl>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4173</Words>
  <Characters>24279</Characters>
  <CharactersWithSpaces>28039</CharactersWithSpaces>
  <Paragraphs>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