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Credicorp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225305903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1 of 9</w:t>
      </w:r>
    </w:p>
    <w:p>
      <w:pPr>
        <w:spacing w:after="0" w:line="200" w:lineRule="exact"/>
        <w:rPr>
          <w:sz w:val="24"/>
          <w:szCs w:val="24"/>
          <w:color w:val="auto"/>
        </w:rPr>
      </w:pPr>
    </w:p>
    <w:p>
      <w:pPr>
        <w:spacing w:after="0" w:line="204"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447"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6,781,700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6,781,700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6,781,700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2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2,019,768</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ectPr>
          <w:pgSz w:w="11900" w:h="16838" w:orient="portrait"/>
          <w:cols w:equalWidth="0" w:num="1">
            <w:col w:w="10219"/>
          </w:cols>
          <w:pgMar w:left="240" w:top="339" w:right="1440" w:bottom="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6,726,230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6,726,230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right="2519" w:hanging="427"/>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1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3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Emerging Markets Growth Fund,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95-4026510</w:t>
      </w:r>
    </w:p>
    <w:p>
      <w:pPr>
        <w:spacing w:after="0" w:line="202" w:lineRule="exact"/>
        <w:rPr>
          <w:sz w:val="20"/>
          <w:szCs w:val="20"/>
          <w:color w:val="auto"/>
        </w:rPr>
      </w:pPr>
    </w:p>
    <w:p>
      <w:pPr>
        <w:ind w:left="540" w:hanging="427"/>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5899" w:hanging="427"/>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4,706,462</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sectPr>
          <w:pgSz w:w="11900" w:h="16838" w:orient="portrait"/>
          <w:cols w:equalWidth="0" w:num="1">
            <w:col w:w="10219"/>
          </w:cols>
          <w:pgMar w:left="240" w:top="136" w:right="1440" w:bottom="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4,706,462</w:t>
      </w:r>
    </w:p>
    <w:p>
      <w:pPr>
        <w:spacing w:after="0" w:line="207" w:lineRule="exact"/>
        <w:rPr>
          <w:sz w:val="20"/>
          <w:szCs w:val="20"/>
          <w:color w:val="auto"/>
        </w:rPr>
      </w:pPr>
    </w:p>
    <w:p>
      <w:pPr>
        <w:ind w:left="540" w:right="2519" w:hanging="427"/>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4 of 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 11</w:t>
      </w:r>
    </w:p>
    <w:p>
      <w:pPr>
        <w:ind w:left="740"/>
        <w:spacing w:after="0" w:line="238" w:lineRule="auto"/>
        <w:rPr>
          <w:sz w:val="20"/>
          <w:szCs w:val="20"/>
          <w:color w:val="auto"/>
        </w:rPr>
      </w:pPr>
      <w:r>
        <w:rPr>
          <w:rFonts w:ascii="Courier New" w:cs="Courier New" w:eastAsia="Courier New" w:hAnsi="Courier New"/>
          <w:sz w:val="18"/>
          <w:szCs w:val="18"/>
          <w:color w:val="auto"/>
        </w:rPr>
        <w:t>Bermuda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Group International, Inc., Capital International, Inc.</w:t>
      </w:r>
    </w:p>
    <w:p>
      <w:pPr>
        <w:ind w:left="740"/>
        <w:spacing w:after="0"/>
        <w:rPr>
          <w:sz w:val="20"/>
          <w:szCs w:val="20"/>
          <w:color w:val="auto"/>
        </w:rPr>
      </w:pPr>
      <w:r>
        <w:rPr>
          <w:rFonts w:ascii="Courier New" w:cs="Courier New" w:eastAsia="Courier New" w:hAnsi="Courier New"/>
          <w:sz w:val="18"/>
          <w:szCs w:val="18"/>
          <w:color w:val="auto"/>
        </w:rPr>
        <w:t>and Emerging Markets Growth Fund, Inc.</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700" w:hanging="955"/>
        <w:spacing w:after="0"/>
        <w:tabs>
          <w:tab w:leader="none" w:pos="1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w:t>
      </w:r>
    </w:p>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3" w:lineRule="exact"/>
        <w:rPr>
          <w:sz w:val="20"/>
          <w:szCs w:val="20"/>
          <w:color w:val="auto"/>
        </w:rPr>
      </w:pPr>
    </w:p>
    <w:p>
      <w:pPr>
        <w:ind w:left="1280" w:right="3039" w:hanging="535"/>
        <w:spacing w:after="0" w:line="235" w:lineRule="auto"/>
        <w:tabs>
          <w:tab w:leader="none" w:pos="15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to 4</w:t>
      </w:r>
    </w:p>
    <w:p>
      <w:pPr>
        <w:spacing w:after="0" w:line="201"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p>
    <w:p>
      <w:pPr>
        <w:sectPr>
          <w:pgSz w:w="11900" w:h="16838" w:orient="portrait"/>
          <w:cols w:equalWidth="0" w:num="1">
            <w:col w:w="10219"/>
          </w:cols>
          <w:pgMar w:left="240" w:top="136" w:right="1440" w:bottom="0" w:gutter="0" w:footer="0" w:header="0"/>
        </w:sectPr>
      </w:pPr>
    </w:p>
    <w:bookmarkStart w:id="4" w:name="page5"/>
    <w:bookmarkEnd w:id="4"/>
    <w:p>
      <w:pPr>
        <w:ind w:left="1480" w:hanging="735"/>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5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40" w:right="3039"/>
        <w:spacing w:after="0" w:line="270" w:lineRule="auto"/>
        <w:rPr>
          <w:sz w:val="20"/>
          <w:szCs w:val="20"/>
          <w:color w:val="auto"/>
        </w:rPr>
      </w:pPr>
      <w:r>
        <w:rPr>
          <w:rFonts w:ascii="Courier New" w:cs="Courier New" w:eastAsia="Courier New" w:hAnsi="Courier New"/>
          <w:sz w:val="16"/>
          <w:szCs w:val="16"/>
          <w:color w:val="auto"/>
        </w:rPr>
        <w:t>Capital Group International, Inc. ("CGII")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CGII does not have investment power or voting power over any of the securities reported herein. However, by virtue of Rule 13d-3 under the Act, CGII may be deemed to "benefically own" 6,781,700 shares or 8.5% of the 79,800,000 shares of Common Stock believed to be outstanding.</w:t>
      </w:r>
    </w:p>
    <w:p>
      <w:pPr>
        <w:spacing w:after="0" w:line="200" w:lineRule="exact"/>
        <w:rPr>
          <w:sz w:val="20"/>
          <w:szCs w:val="20"/>
          <w:color w:val="auto"/>
        </w:rPr>
      </w:pPr>
    </w:p>
    <w:p>
      <w:pPr>
        <w:spacing w:after="0" w:line="389" w:lineRule="exact"/>
        <w:rPr>
          <w:sz w:val="20"/>
          <w:szCs w:val="20"/>
          <w:color w:val="auto"/>
        </w:rPr>
      </w:pPr>
    </w:p>
    <w:p>
      <w:pPr>
        <w:ind w:left="740" w:right="3039"/>
        <w:spacing w:after="0" w:line="272" w:lineRule="auto"/>
        <w:rPr>
          <w:sz w:val="20"/>
          <w:szCs w:val="20"/>
          <w:color w:val="auto"/>
        </w:rPr>
      </w:pPr>
      <w:r>
        <w:rPr>
          <w:rFonts w:ascii="Courier New" w:cs="Courier New" w:eastAsia="Courier New" w:hAnsi="Courier New"/>
          <w:sz w:val="16"/>
          <w:szCs w:val="16"/>
          <w:color w:val="auto"/>
        </w:rPr>
        <w:t>Capital International, Inc., an investment adviser registered under Section 203 of the Investment Advisers Act of 1940 is deemed to be the beneficial owner of 6,726,230 shares or 8.4% of the 79,800,000 shares of Common Stock believed to be outstanding as a result of acting as investment adviser to various investment companies and institutional accounts.</w:t>
      </w:r>
    </w:p>
    <w:p>
      <w:pPr>
        <w:spacing w:after="0" w:line="186"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Emerging Markets Growth Fund, Inc., an investment company registered under the Investment Company Act of 1940, which is advised by Capital International, Inc., is the beneficial owner of 4,706,462 shares or 5.9% of the 79,800,000 shares of Common Stock believed to be outstanding.</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left="1060" w:right="2939" w:hanging="315"/>
        <w:spacing w:after="0" w:line="237"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208" w:lineRule="exact"/>
        <w:rPr>
          <w:rFonts w:ascii="Courier New" w:cs="Courier New" w:eastAsia="Courier New" w:hAnsi="Courier New"/>
          <w:sz w:val="18"/>
          <w:szCs w:val="18"/>
          <w:color w:val="auto"/>
        </w:rPr>
      </w:pPr>
    </w:p>
    <w:p>
      <w:pPr>
        <w:ind w:left="1060" w:right="2739" w:hanging="315"/>
        <w:spacing w:after="0" w:line="271" w:lineRule="auto"/>
        <w:tabs>
          <w:tab w:leader="none" w:pos="10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w:t>
      </w:r>
    </w:p>
    <w:p>
      <w:pPr>
        <w:spacing w:after="0" w:line="18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6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60" w:right="2939" w:hanging="315"/>
        <w:spacing w:after="0" w:line="279"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International, Inc. serves as investment adviser to Emerging Markets Growth Fund, Inc., an investment company registered under the Investment Company Act of 1940.</w:t>
      </w:r>
    </w:p>
    <w:p>
      <w:pPr>
        <w:spacing w:after="0" w:line="17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February</w:t>
            </w:r>
          </w:p>
        </w:tc>
        <w:tc>
          <w:tcPr>
            <w:tcW w:w="270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10, 2003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*David I. Fisher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David I. Fisher, Chairman</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Capital Group International, Inc.</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February</w:t>
            </w:r>
          </w:p>
        </w:tc>
        <w:tc>
          <w:tcPr>
            <w:tcW w:w="270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10, 2003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*David I. Fisher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David I. Fisher, Vice Chairman</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International, Inc.</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 2003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*David I. Fisher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David I. Fisher, Vice Chairman</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Emerging Markets Growth Fund,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7 of 9</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Kristine M. Nishiyama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Kristine M. Nishiyama</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1440"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ectPr>
          <w:pgSz w:w="11900" w:h="16838" w:orient="portrait"/>
          <w:cols w:equalWidth="0" w:num="1">
            <w:col w:w="10219"/>
          </w:cols>
          <w:pgMar w:left="240" w:top="136" w:right="1440"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8 of 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jc w:val="center"/>
        <w:ind w:right="2739"/>
        <w:spacing w:after="0" w:line="238" w:lineRule="auto"/>
        <w:rPr>
          <w:sz w:val="20"/>
          <w:szCs w:val="20"/>
          <w:color w:val="auto"/>
        </w:rPr>
      </w:pPr>
      <w:r>
        <w:rPr>
          <w:rFonts w:ascii="Courier New" w:cs="Courier New" w:eastAsia="Courier New" w:hAnsi="Courier New"/>
          <w:sz w:val="18"/>
          <w:szCs w:val="18"/>
          <w:color w:val="auto"/>
        </w:rPr>
        <w:t>February 10, 2003</w:t>
      </w:r>
    </w:p>
    <w:p>
      <w:pPr>
        <w:spacing w:after="0" w:line="207" w:lineRule="exact"/>
        <w:rPr>
          <w:sz w:val="20"/>
          <w:szCs w:val="20"/>
          <w:color w:val="auto"/>
        </w:rPr>
      </w:pPr>
    </w:p>
    <w:p>
      <w:pPr>
        <w:ind w:right="3039" w:firstLine="211"/>
        <w:spacing w:after="0" w:line="273" w:lineRule="auto"/>
        <w:rPr>
          <w:sz w:val="20"/>
          <w:szCs w:val="20"/>
          <w:color w:val="auto"/>
        </w:rPr>
      </w:pPr>
      <w:r>
        <w:rPr>
          <w:rFonts w:ascii="Courier New" w:cs="Courier New" w:eastAsia="Courier New" w:hAnsi="Courier New"/>
          <w:sz w:val="16"/>
          <w:szCs w:val="16"/>
          <w:color w:val="auto"/>
        </w:rPr>
        <w:t>Capital Group International, Inc. ("CGII"), Capital International, Inc. ("CII") and Emerging Markets Growth Fund, Inc. ("EMGF") hereby agree to file a joint statement on Schedule 13G under the Securities Exchange Act of 1934 (the "Act") in connection with their beneficial ownership of Common Stock issued by Credicorp Ltd.</w:t>
      </w:r>
    </w:p>
    <w:p>
      <w:pPr>
        <w:spacing w:after="0" w:line="185"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CGII, CII and EMGF state that they are each entitled to individually use Schedule 13G pursuant to Rule 13d-1(c) of the Act.</w:t>
      </w:r>
    </w:p>
    <w:p>
      <w:pPr>
        <w:spacing w:after="0" w:line="208" w:lineRule="exact"/>
        <w:rPr>
          <w:sz w:val="20"/>
          <w:szCs w:val="20"/>
          <w:color w:val="auto"/>
        </w:rPr>
      </w:pPr>
    </w:p>
    <w:p>
      <w:pPr>
        <w:ind w:right="2839" w:firstLine="211"/>
        <w:spacing w:after="0" w:line="237" w:lineRule="auto"/>
        <w:rPr>
          <w:sz w:val="20"/>
          <w:szCs w:val="20"/>
          <w:color w:val="auto"/>
        </w:rPr>
      </w:pPr>
      <w:r>
        <w:rPr>
          <w:rFonts w:ascii="Courier New" w:cs="Courier New" w:eastAsia="Courier New" w:hAnsi="Courier New"/>
          <w:sz w:val="18"/>
          <w:szCs w:val="18"/>
          <w:color w:val="auto"/>
        </w:rPr>
        <w:t>CGII, CII and EMGF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10219"/>
          </w:cols>
          <w:pgMar w:left="240" w:top="1440" w:right="1440" w:bottom="0" w:gutter="0" w:footer="0" w:header="0"/>
        </w:sectPr>
      </w:pP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I. Fisher</w:t>
      </w:r>
    </w:p>
    <w:p>
      <w:pPr>
        <w:spacing w:after="0" w:line="238" w:lineRule="auto"/>
        <w:rPr>
          <w:sz w:val="20"/>
          <w:szCs w:val="20"/>
          <w:color w:val="auto"/>
        </w:rPr>
      </w:pPr>
      <w:r>
        <w:rPr>
          <w:rFonts w:ascii="Courier New" w:cs="Courier New" w:eastAsia="Courier New" w:hAnsi="Courier New"/>
          <w:sz w:val="18"/>
          <w:szCs w:val="18"/>
          <w:color w:val="auto"/>
        </w:rPr>
        <w:t>David I. Fisher, Chairman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Capital Group International,</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2860" w:space="720"/>
            <w:col w:w="6639"/>
          </w:cols>
          <w:pgMar w:left="240" w:top="1440" w:right="1440" w:bottom="0" w:gutter="0" w:footer="0" w:header="0"/>
          <w:type w:val="continuous"/>
        </w:sect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CAPITAL INTERNATIONAL, INC.</w:t>
      </w:r>
    </w:p>
    <w:p>
      <w:pPr>
        <w:sectPr>
          <w:pgSz w:w="11900" w:h="16838" w:orient="portrait"/>
          <w:cols w:equalWidth="0" w:num="1">
            <w:col w:w="10219"/>
          </w:cols>
          <w:pgMar w:left="240" w:top="1440" w:right="1440" w:bottom="0" w:gutter="0" w:footer="0" w:header="0"/>
          <w:type w:val="continuous"/>
        </w:sectPr>
      </w:pPr>
    </w:p>
    <w:p>
      <w:pPr>
        <w:spacing w:after="0" w:line="2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I. Fisher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I. Fisher, Vice Chairman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ectPr>
          <w:pgSz w:w="11900" w:h="16838" w:orient="portrait"/>
          <w:cols w:equalWidth="0" w:num="2">
            <w:col w:w="2860" w:space="720"/>
            <w:col w:w="6639"/>
          </w:cols>
          <w:pgMar w:left="240" w:top="1440" w:right="1440" w:bottom="0" w:gutter="0" w:footer="0" w:header="0"/>
          <w:type w:val="continuous"/>
        </w:sect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EMERGING MARKETS GROWTH FUND, INC.</w:t>
      </w:r>
    </w:p>
    <w:p>
      <w:pPr>
        <w:sectPr>
          <w:pgSz w:w="11900" w:h="16838" w:orient="portrait"/>
          <w:cols w:equalWidth="0" w:num="1">
            <w:col w:w="10219"/>
          </w:cols>
          <w:pgMar w:left="240" w:top="1440" w:right="1440" w:bottom="0" w:gutter="0" w:footer="0" w:header="0"/>
          <w:type w:val="continuous"/>
        </w:sectPr>
      </w:pPr>
    </w:p>
    <w:p>
      <w:pPr>
        <w:spacing w:after="0" w:line="2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I. Fisher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I. Fisher, Vice Chairman</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Emerging Markets Growth Fund,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2860" w:space="720"/>
            <w:col w:w="6639"/>
          </w:cols>
          <w:pgMar w:left="240" w:top="1440" w:right="1440" w:bottom="0" w:gutter="0" w:footer="0" w:header="0"/>
          <w:type w:val="continuous"/>
        </w:sect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*By</w:t>
        <w:tab/>
        <w:t>/s/ Kristine M. Nishiyama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Kristine M. Nishiyama</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1440" w:right="1440" w:bottom="0" w:gutter="0" w:footer="0" w:header="0"/>
          <w:type w:val="continuous"/>
        </w:sectPr>
      </w:pPr>
    </w:p>
    <w:bookmarkStart w:id="7" w:name="page8"/>
    <w:bookmarkEnd w:id="7"/>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9 of 9</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5"/>
      <w:numFmt w:val="bullet"/>
      <w:start w:val="1"/>
    </w:lvl>
  </w:abstractNum>
  <w:abstractNum w:abstractNumId="5">
    <w:nsid w:val="4E6AFB66"/>
    <w:multiLevelType w:val="hybridMultilevel"/>
    <w:lvl w:ilvl="0">
      <w:lvlJc w:val="left"/>
      <w:lvlText w:val="8"/>
      <w:numFmt w:val="bullet"/>
      <w:start w:val="1"/>
    </w:lvl>
  </w:abstractNum>
  <w:abstractNum w:abstractNumId="6">
    <w:nsid w:val="25E45D32"/>
    <w:multiLevelType w:val="hybridMultilevel"/>
    <w:lvl w:ilvl="0">
      <w:lvlJc w:val="left"/>
      <w:lvlText w:val="9"/>
      <w:numFmt w:val="bullet"/>
      <w:start w:val="1"/>
    </w:lvl>
  </w:abstractNum>
  <w:abstractNum w:abstractNumId="7">
    <w:nsid w:val="519B500D"/>
    <w:multiLevelType w:val="hybridMultilevel"/>
    <w:lvl w:ilvl="0">
      <w:lvlJc w:val="left"/>
      <w:lvlText w:val="%1"/>
      <w:numFmt w:val="decimal"/>
      <w:start w:val="10"/>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2"/>
      <w:numFmt w:val="bullet"/>
      <w:start w:val="1"/>
    </w:lvl>
  </w:abstractNum>
  <w:abstractNum w:abstractNumId="10">
    <w:nsid w:val="7C83E458"/>
    <w:multiLevelType w:val="hybridMultilevel"/>
    <w:lvl w:ilvl="0">
      <w:lvlJc w:val="left"/>
      <w:lvlText w:val="3"/>
      <w:numFmt w:val="bullet"/>
      <w:start w:val="1"/>
    </w:lvl>
  </w:abstractNum>
  <w:abstractNum w:abstractNumId="11">
    <w:nsid w:val="257130A3"/>
    <w:multiLevelType w:val="hybridMultilevel"/>
    <w:lvl w:ilvl="0">
      <w:lvlJc w:val="left"/>
      <w:lvlText w:val="4"/>
      <w:numFmt w:val="bullet"/>
      <w:start w:val="1"/>
    </w:lvl>
  </w:abstractNum>
  <w:abstractNum w:abstractNumId="12">
    <w:nsid w:val="62BBD95A"/>
    <w:multiLevelType w:val="hybridMultilevel"/>
    <w:lvl w:ilvl="0">
      <w:lvlJc w:val="left"/>
      <w:lvlText w:val="8"/>
      <w:numFmt w:val="bullet"/>
      <w:start w:val="1"/>
    </w:lvl>
  </w:abstractNum>
  <w:abstractNum w:abstractNumId="13">
    <w:nsid w:val="436C6125"/>
    <w:multiLevelType w:val="hybridMultilevel"/>
    <w:lvl w:ilvl="0">
      <w:lvlJc w:val="left"/>
      <w:lvlText w:val="9"/>
      <w:numFmt w:val="bullet"/>
      <w:start w:val="1"/>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bullet"/>
      <w:start w:val="1"/>
    </w:lvl>
  </w:abstractNum>
  <w:abstractNum w:abstractNumId="16">
    <w:nsid w:val="721DA317"/>
    <w:multiLevelType w:val="hybridMultilevel"/>
    <w:lvl w:ilvl="0">
      <w:lvlJc w:val="left"/>
      <w:lvlText w:val="2"/>
      <w:numFmt w:val="bullet"/>
      <w:start w:val="1"/>
    </w:lvl>
  </w:abstractNum>
  <w:abstractNum w:abstractNumId="17">
    <w:nsid w:val="2443A858"/>
    <w:multiLevelType w:val="hybridMultilevel"/>
    <w:lvl w:ilvl="0">
      <w:lvlJc w:val="left"/>
      <w:lvlText w:val="3"/>
      <w:numFmt w:val="bullet"/>
      <w:start w:val="1"/>
    </w:lvl>
  </w:abstractNum>
  <w:abstractNum w:abstractNumId="18">
    <w:nsid w:val="2D1D5AE9"/>
    <w:multiLevelType w:val="hybridMultilevel"/>
    <w:lvl w:ilvl="0">
      <w:lvlJc w:val="left"/>
      <w:lvlText w:val="4"/>
      <w:numFmt w:val="bullet"/>
      <w:start w:val="1"/>
    </w:lvl>
  </w:abstractNum>
  <w:abstractNum w:abstractNumId="19">
    <w:nsid w:val="6763845E"/>
    <w:multiLevelType w:val="hybridMultilevel"/>
    <w:lvl w:ilvl="0">
      <w:lvlJc w:val="left"/>
      <w:lvlText w:val="9"/>
      <w:numFmt w:val="bullet"/>
      <w:start w:val="1"/>
    </w:lvl>
  </w:abstractNum>
  <w:abstractNum w:abstractNumId="20">
    <w:nsid w:val="75A2A8D4"/>
    <w:multiLevelType w:val="hybridMultilevel"/>
    <w:lvl w:ilvl="0">
      <w:lvlJc w:val="left"/>
      <w:lvlText w:val="%1"/>
      <w:numFmt w:val="decimal"/>
      <w:start w:val="10"/>
    </w:lvl>
  </w:abstractNum>
  <w:abstractNum w:abstractNumId="21">
    <w:nsid w:val="8EDBDAB"/>
    <w:multiLevelType w:val="hybridMultilevel"/>
    <w:lvl w:ilvl="0">
      <w:lvlJc w:val="left"/>
      <w:lvlText w:val="(%1)"/>
      <w:numFmt w:val="lowerLetter"/>
      <w:start w:val="4"/>
    </w:lvl>
  </w:abstractNum>
  <w:abstractNum w:abstractNumId="22">
    <w:nsid w:val="79838CB2"/>
    <w:multiLevelType w:val="hybridMultilevel"/>
    <w:lvl w:ilvl="0">
      <w:lvlJc w:val="left"/>
      <w:lvlText w:val="(%1)"/>
      <w:numFmt w:val="lowerLetter"/>
      <w:start w:val="7"/>
    </w:lvl>
  </w:abstractNum>
  <w:abstractNum w:abstractNumId="23">
    <w:nsid w:val="4353D0CD"/>
    <w:multiLevelType w:val="hybridMultilevel"/>
    <w:lvl w:ilvl="0">
      <w:lvlJc w:val="left"/>
      <w:lvlText w:val="(%1)"/>
      <w:numFmt w:val="lowerLetter"/>
      <w:start w:val="2"/>
    </w:lvl>
  </w:abstractNum>
  <w:abstractNum w:abstractNumId="24">
    <w:nsid w:val="B03E0C6"/>
    <w:multiLevelType w:val="hybridMultilevel"/>
    <w:lvl w:ilvl="0">
      <w:lvlJc w:val="left"/>
      <w:lvlText w:val="(%1)"/>
      <w:numFmt w:val="lowerRoman"/>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2019-12-14T06:45:24Z</dcterms:created>
  <dcterms:modified xsi:type="dcterms:W3CDTF">2019-12-14T06:45:24Z</dcterms:modified>
</cp:coreProperties>
</file>