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228600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6-K</w:t>
      </w:r>
    </w:p>
    <w:p>
      <w:pPr>
        <w:spacing w:after="0" w:line="25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month of March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240665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544830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700" w:top="445" w:right="599" w:bottom="1440" w:gutter="0" w:footer="0" w:header="0"/>
        </w:sectPr>
      </w:pPr>
    </w:p>
    <w:bookmarkStart w:id="1" w:name="page2"/>
    <w:bookmarkEnd w:id="1"/>
    <w:p>
      <w:pPr>
        <w:spacing w:after="0" w:line="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243205</wp:posOffset>
            </wp:positionV>
            <wp:extent cx="2058035" cy="582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829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March 31, 2011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COMISIÓN NACIONAL SUPERVISORA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CONASEV</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article 28 of the Capital Markets Law, approved by Law DS N° 093-2002-EF, and CONASEV Resolution for Material Events, Reserved Information and Other Communications N° 107-2002-EF/94.10, as modified by CONASEV Resolution N° 009-2003-EF/94.10, Credicorp Ltd. complies with notifying you of the following Material Event: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 the Annual Shareholder’s Meeting, held on March 31, 2011 the following items were approved with the required quorum being represented:</w:t>
      </w:r>
    </w:p>
    <w:p>
      <w:pPr>
        <w:spacing w:after="0" w:line="252" w:lineRule="exact"/>
        <w:rPr>
          <w:sz w:val="20"/>
          <w:szCs w:val="20"/>
          <w:color w:val="auto"/>
        </w:rPr>
      </w:pPr>
    </w:p>
    <w:p>
      <w:pPr>
        <w:ind w:left="340" w:hanging="332"/>
        <w:spacing w:after="0" w:line="308"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audited consolidated financial statements of the Company and its subsidiaries for the financial year ended December 31, 2010 including the report of the independent auditors of the Company thereon Medina, Zaldivar, Paredes y Asociados, a member firm of Ernst &amp; Young Global;</w:t>
      </w:r>
    </w:p>
    <w:p>
      <w:pPr>
        <w:spacing w:after="0" w:line="173"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election of the Directors of the Company who will hold office until the Annual General Meeting of Shareholders in the third successive year of the year of their appointment, which is the Annual General Meeting of Shareholders of 2014:</w:t>
      </w:r>
    </w:p>
    <w:p>
      <w:pPr>
        <w:spacing w:after="0" w:line="197" w:lineRule="exact"/>
        <w:rPr>
          <w:rFonts w:ascii="Arial" w:cs="Arial" w:eastAsia="Arial" w:hAnsi="Arial"/>
          <w:sz w:val="18"/>
          <w:szCs w:val="18"/>
          <w:color w:val="auto"/>
        </w:rPr>
      </w:pPr>
    </w:p>
    <w:p>
      <w:pPr>
        <w:ind w:left="340" w:right="8620"/>
        <w:spacing w:after="0" w:line="253" w:lineRule="auto"/>
        <w:rPr>
          <w:rFonts w:ascii="Arial" w:cs="Arial" w:eastAsia="Arial" w:hAnsi="Arial"/>
          <w:sz w:val="18"/>
          <w:szCs w:val="18"/>
          <w:color w:val="auto"/>
        </w:rPr>
      </w:pPr>
      <w:r>
        <w:rPr>
          <w:rFonts w:ascii="Arial" w:cs="Arial" w:eastAsia="Arial" w:hAnsi="Arial"/>
          <w:sz w:val="18"/>
          <w:szCs w:val="18"/>
          <w:color w:val="auto"/>
        </w:rPr>
        <w:t>Fernando Fort Marie Reynaldo Llosa Barber Raimundo Morales Dasso Felipe Ortiz de Zevallos Madueño Dionisio Romero Paoletti Germán Suárez Chávez</w:t>
      </w:r>
    </w:p>
    <w:p>
      <w:pPr>
        <w:spacing w:after="0" w:line="1" w:lineRule="exact"/>
        <w:rPr>
          <w:rFonts w:ascii="Arial" w:cs="Arial" w:eastAsia="Arial" w:hAnsi="Arial"/>
          <w:sz w:val="18"/>
          <w:szCs w:val="18"/>
          <w:color w:val="auto"/>
        </w:rPr>
      </w:pPr>
    </w:p>
    <w:p>
      <w:pPr>
        <w:ind w:left="340" w:right="9020"/>
        <w:spacing w:after="0" w:line="323" w:lineRule="auto"/>
        <w:rPr>
          <w:rFonts w:ascii="Arial" w:cs="Arial" w:eastAsia="Arial" w:hAnsi="Arial"/>
          <w:sz w:val="18"/>
          <w:szCs w:val="18"/>
          <w:color w:val="auto"/>
        </w:rPr>
      </w:pPr>
      <w:r>
        <w:rPr>
          <w:rFonts w:ascii="Arial" w:cs="Arial" w:eastAsia="Arial" w:hAnsi="Arial"/>
          <w:sz w:val="16"/>
          <w:szCs w:val="16"/>
          <w:color w:val="auto"/>
        </w:rPr>
        <w:t>Juan Carlos Verme Giannoni Luis Enrique Yarur Rey;</w:t>
      </w:r>
    </w:p>
    <w:p>
      <w:pPr>
        <w:spacing w:after="0" w:line="16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agreement that the elected Directors will not receive any remuneration from the Company;</w:t>
      </w:r>
    </w:p>
    <w:p>
      <w:pPr>
        <w:spacing w:after="0" w:line="25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designation of Medina, Zaldívar, Paredes y Asociados, a member firm of Ernst &amp; Young Global, as the external auditors of the Company to hold office for the financial year 2011, and the delegation to the Board of Directors to approve the auditor’s annual fees .</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Mario Ferrari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March 31, 2011</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Giuliana Cuzquen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Giuliana Cuzquen</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0780"/>
      </w:cols>
      <w:pgMar w:left="240" w:top="513"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2019-12-10T13:47:35Z</dcterms:created>
  <dcterms:modified xsi:type="dcterms:W3CDTF">2019-12-10T13:47:35Z</dcterms:modified>
</cp:coreProperties>
</file>