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40-F.</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3"/>
          <w:szCs w:val="13"/>
          <w:b w:val="1"/>
          <w:bCs w:val="1"/>
          <w:color w:val="auto"/>
        </w:rPr>
        <w:t>S</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77415" cy="257175"/>
                    </a:xfrm>
                    <a:prstGeom prst="rect">
                      <a:avLst/>
                    </a:prstGeom>
                    <a:noFill/>
                  </pic:spPr>
                </pic:pic>
              </a:graphicData>
            </a:graphic>
          </wp:anchor>
        </w:drawing>
        <w:t>March 2,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the Forms 6-K furnished to the SEC on January 29 and February 26, 2026, the Board of Directors of Credicorp Ltd. (‘Credicorp’) agreed to set the date for the Annual General Meeting of Shareholders for March 31, 2026, at 3:00 p. m. (Peru time) in a virtual meeting.</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this sense, we hereby notify you as a Material Event, that since March 2, 2026, Credicorp has started the distribution of the documents that support the proposals that will be addressed in the Annual General Meeting of Shareholders. The documents (letter to shareholders and Notice of Annual General Meeting of Shareholders) are available through the following hyperlink: </w:t>
      </w:r>
      <w:r>
        <w:rPr>
          <w:rFonts w:ascii="Arial" w:cs="Arial" w:eastAsia="Arial" w:hAnsi="Arial"/>
          <w:sz w:val="18"/>
          <w:szCs w:val="18"/>
          <w:u w:val="single" w:color="auto"/>
          <w:color w:val="auto"/>
        </w:rPr>
        <w:t>https://credicorp.gcs-web.com/</w:t>
      </w:r>
      <w:r>
        <w:rPr>
          <w:rFonts w:ascii="Arial" w:cs="Arial" w:eastAsia="Arial" w:hAnsi="Arial"/>
          <w:sz w:val="18"/>
          <w:szCs w:val="18"/>
          <w:color w:val="auto"/>
        </w:rPr>
        <w:t>, under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“Events &amp; Presentation" and "Annual General Meeting of Shareholders”.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2026-03-02T16:17:15Z</dcterms:created>
  <dcterms:modified xsi:type="dcterms:W3CDTF">2026-03-02T16:17:15Z</dcterms:modified>
</cp:coreProperties>
</file>