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February 2014</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10, 2014</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By:/s/ Mario Ferrari</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4" w:right="879" w:bottom="1440" w:gutter="0" w:footer="0" w:header="0"/>
        </w:sectPr>
      </w:pPr>
    </w:p>
    <w:bookmarkStart w:id="2" w:name="page3"/>
    <w:bookmarkEnd w:id="2"/>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5603240</wp:posOffset>
            </wp:positionH>
            <wp:positionV relativeFrom="page">
              <wp:posOffset>88900</wp:posOffset>
            </wp:positionV>
            <wp:extent cx="176657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66570"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February 10th, 2014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CONASEV Resolution for Material Events and Reserved Information and Other Communications number 107-2002-EF/94.10, as modified by CONASEV Resolution number 009-2003-EF/94.10, Credicorp Ltd. complies with notifying you of the following Material Event:</w:t>
      </w:r>
    </w:p>
    <w:p>
      <w:pPr>
        <w:spacing w:after="0" w:line="15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February 8</w:t>
      </w:r>
      <w:r>
        <w:rPr>
          <w:rFonts w:ascii="Arial" w:cs="Arial" w:eastAsia="Arial" w:hAnsi="Arial"/>
          <w:sz w:val="28"/>
          <w:szCs w:val="28"/>
          <w:color w:val="auto"/>
          <w:vertAlign w:val="superscript"/>
        </w:rPr>
        <w:t>th</w:t>
      </w:r>
      <w:r>
        <w:rPr>
          <w:rFonts w:ascii="Arial" w:cs="Arial" w:eastAsia="Arial" w:hAnsi="Arial"/>
          <w:sz w:val="17"/>
          <w:szCs w:val="17"/>
          <w:color w:val="auto"/>
        </w:rPr>
        <w:t>, 2014, Empresa Financiera Edyficar S.A., an indirectly held subsidiary of Credicorp Ltd., has reached an agreement with Grupo ACP Corp S.A.A. to acquire 60.68% of the total stock of MIBANCO equivalent to US$ 179,484,000.00. The transaction is subject to the approval from the Superintendency of Banks, Insurance and Pension Funds, and the fulfillment of some conditions precedent provided in the agreement.</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047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77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2019-12-06T14:19:06Z</dcterms:created>
  <dcterms:modified xsi:type="dcterms:W3CDTF">2019-12-06T14:19:06Z</dcterms:modified>
</cp:coreProperties>
</file>