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7)*</w:t>
      </w:r>
    </w:p>
    <w:p>
      <w:pPr>
        <w:spacing w:after="0" w:line="200" w:lineRule="exact"/>
        <w:rPr>
          <w:sz w:val="24"/>
          <w:szCs w:val="24"/>
          <w:color w:val="auto"/>
        </w:rPr>
      </w:pPr>
    </w:p>
    <w:p>
      <w:pPr>
        <w:spacing w:after="0" w:line="204"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Credicorp Ltd.</w:t>
      </w:r>
    </w:p>
    <w:p>
      <w:pPr>
        <w:jc w:val="center"/>
        <w:ind w:right="241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2232878</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November 28, 2003</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2232878</w:t>
      </w:r>
      <w:r>
        <w:rPr>
          <w:sz w:val="20"/>
          <w:szCs w:val="20"/>
          <w:color w:val="auto"/>
        </w:rPr>
        <w:tab/>
      </w:r>
      <w:r>
        <w:rPr>
          <w:rFonts w:ascii="Courier New" w:cs="Courier New" w:eastAsia="Courier New" w:hAnsi="Courier New"/>
          <w:sz w:val="16"/>
          <w:szCs w:val="16"/>
          <w:color w:val="auto"/>
        </w:rPr>
        <w:t>Page 1 of 5</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Group International, Inc.</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95-4154357</w:t>
      </w:r>
    </w:p>
    <w:p>
      <w:pPr>
        <w:spacing w:after="0" w:line="202"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4"/>
          <w:szCs w:val="24"/>
          <w:color w:val="auto"/>
        </w:rPr>
      </w:pPr>
    </w:p>
    <w:p>
      <w:pPr>
        <w:ind w:left="540" w:hanging="427"/>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120"/>
        <w:spacing w:after="0"/>
        <w:tabs>
          <w:tab w:leader="none" w:pos="5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p>
    <w:p>
      <w:pPr>
        <w:sectPr>
          <w:pgSz w:w="11900" w:h="16855" w:orient="portrait"/>
          <w:cols w:equalWidth="0" w:num="1">
            <w:col w:w="10219"/>
          </w:cols>
          <w:pgMar w:left="240" w:top="447" w:right="1440" w:bottom="0" w:gutter="0" w:footer="0" w:header="0"/>
        </w:sectPr>
      </w:pPr>
    </w:p>
    <w:bookmarkStart w:id="1" w:name="page2"/>
    <w:bookmarkEnd w:id="1"/>
    <w:p>
      <w:pPr>
        <w:ind w:left="540"/>
        <w:spacing w:after="0"/>
        <w:rPr>
          <w:sz w:val="20"/>
          <w:szCs w:val="20"/>
          <w:color w:val="auto"/>
        </w:rPr>
      </w:pPr>
      <w:r>
        <w:rPr>
          <w:rFonts w:ascii="Courier New" w:cs="Courier New" w:eastAsia="Courier New" w:hAnsi="Courier New"/>
          <w:sz w:val="18"/>
          <w:szCs w:val="18"/>
          <w:color w:val="auto"/>
        </w:rPr>
        <w:t>California</w:t>
      </w:r>
    </w:p>
    <w:p>
      <w:pPr>
        <w:spacing w:after="0" w:line="207" w:lineRule="exact"/>
        <w:rPr>
          <w:sz w:val="20"/>
          <w:szCs w:val="20"/>
          <w:color w:val="auto"/>
        </w:rPr>
      </w:pPr>
    </w:p>
    <w:p>
      <w:pPr>
        <w:ind w:left="1900" w:right="6639" w:hanging="523"/>
        <w:spacing w:after="0" w:line="470" w:lineRule="auto"/>
        <w:tabs>
          <w:tab w:leader="none" w:pos="179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2,800,890</w:t>
      </w:r>
    </w:p>
    <w:p>
      <w:pPr>
        <w:spacing w:after="0" w:line="209"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spacing w:after="0" w:line="20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SHARES</w:t>
      </w:r>
    </w:p>
    <w:p>
      <w:pPr>
        <w:ind w:left="1900"/>
        <w:spacing w:after="0" w:line="238" w:lineRule="auto"/>
        <w:rPr>
          <w:sz w:val="20"/>
          <w:szCs w:val="20"/>
          <w:color w:val="auto"/>
        </w:rPr>
      </w:pPr>
      <w:r>
        <w:rPr>
          <w:rFonts w:ascii="Courier New" w:cs="Courier New" w:eastAsia="Courier New" w:hAnsi="Courier New"/>
          <w:sz w:val="18"/>
          <w:szCs w:val="18"/>
          <w:color w:val="auto"/>
        </w:rPr>
        <w:t>NONE</w:t>
      </w:r>
    </w:p>
    <w:p>
      <w:pPr>
        <w:spacing w:after="0"/>
        <w:rPr>
          <w:sz w:val="20"/>
          <w:szCs w:val="20"/>
          <w:color w:val="auto"/>
        </w:rPr>
      </w:pPr>
      <w:r>
        <w:rPr>
          <w:rFonts w:ascii="Courier New" w:cs="Courier New" w:eastAsia="Courier New" w:hAnsi="Courier New"/>
          <w:sz w:val="18"/>
          <w:szCs w:val="18"/>
          <w:color w:val="auto"/>
        </w:rPr>
        <w:t>BENEFICIALL</w:t>
      </w:r>
    </w:p>
    <w:p>
      <w:pPr>
        <w:spacing w:after="0" w:line="20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Y OWNED BY</w:t>
      </w:r>
    </w:p>
    <w:p>
      <w:pPr>
        <w:ind w:left="1380"/>
        <w:spacing w:after="0" w:line="238" w:lineRule="auto"/>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spacing w:after="0" w:line="20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REPORTING</w:t>
      </w:r>
    </w:p>
    <w:p>
      <w:pPr>
        <w:ind w:left="1900"/>
        <w:spacing w:after="0" w:line="238" w:lineRule="auto"/>
        <w:rPr>
          <w:sz w:val="20"/>
          <w:szCs w:val="20"/>
          <w:color w:val="auto"/>
        </w:rPr>
      </w:pPr>
      <w:r>
        <w:rPr>
          <w:rFonts w:ascii="Courier New" w:cs="Courier New" w:eastAsia="Courier New" w:hAnsi="Courier New"/>
          <w:sz w:val="18"/>
          <w:szCs w:val="18"/>
          <w:color w:val="auto"/>
        </w:rPr>
        <w:t>2,800,890</w:t>
      </w:r>
    </w:p>
    <w:p>
      <w:pPr>
        <w:ind w:left="320"/>
        <w:spacing w:after="0"/>
        <w:rPr>
          <w:sz w:val="20"/>
          <w:szCs w:val="20"/>
          <w:color w:val="auto"/>
        </w:rPr>
      </w:pPr>
      <w:r>
        <w:rPr>
          <w:rFonts w:ascii="Courier New" w:cs="Courier New" w:eastAsia="Courier New" w:hAnsi="Courier New"/>
          <w:sz w:val="18"/>
          <w:szCs w:val="18"/>
          <w:color w:val="auto"/>
        </w:rPr>
        <w:t>PERSON</w:t>
      </w:r>
    </w:p>
    <w:p>
      <w:pPr>
        <w:ind w:left="320"/>
        <w:spacing w:after="0" w:line="237" w:lineRule="auto"/>
        <w:rPr>
          <w:sz w:val="20"/>
          <w:szCs w:val="20"/>
          <w:color w:val="auto"/>
        </w:rPr>
      </w:pPr>
      <w:r>
        <w:rPr>
          <w:rFonts w:ascii="Courier New" w:cs="Courier New" w:eastAsia="Courier New" w:hAnsi="Courier New"/>
          <w:sz w:val="18"/>
          <w:szCs w:val="18"/>
          <w:color w:val="auto"/>
        </w:rPr>
        <w:t>WITH:</w:t>
      </w:r>
    </w:p>
    <w:p>
      <w:pPr>
        <w:spacing w:after="0" w:line="5" w:lineRule="exact"/>
        <w:rPr>
          <w:sz w:val="20"/>
          <w:szCs w:val="20"/>
          <w:color w:val="auto"/>
        </w:rPr>
      </w:pPr>
    </w:p>
    <w:p>
      <w:pPr>
        <w:ind w:left="1900" w:right="5899" w:hanging="523"/>
        <w:spacing w:after="0" w:line="470" w:lineRule="auto"/>
        <w:tabs>
          <w:tab w:leader="none" w:pos="179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7" w:lineRule="exact"/>
        <w:rPr>
          <w:sz w:val="20"/>
          <w:szCs w:val="20"/>
          <w:color w:val="auto"/>
        </w:rPr>
      </w:pPr>
    </w:p>
    <w:p>
      <w:pPr>
        <w:ind w:left="540"/>
        <w:spacing w:after="0"/>
        <w:tabs>
          <w:tab w:leader="none" w:pos="1980" w:val="left"/>
        </w:tabs>
        <w:rPr>
          <w:sz w:val="20"/>
          <w:szCs w:val="20"/>
          <w:color w:val="auto"/>
        </w:rPr>
      </w:pPr>
      <w:r>
        <w:rPr>
          <w:rFonts w:ascii="Courier New" w:cs="Courier New" w:eastAsia="Courier New" w:hAnsi="Courier New"/>
          <w:sz w:val="16"/>
          <w:szCs w:val="16"/>
          <w:color w:val="auto"/>
        </w:rPr>
        <w:t>2,800,890</w:t>
      </w:r>
      <w:r>
        <w:rPr>
          <w:sz w:val="20"/>
          <w:szCs w:val="20"/>
          <w:color w:val="auto"/>
        </w:rPr>
        <w:tab/>
      </w:r>
      <w:r>
        <w:rPr>
          <w:rFonts w:ascii="Courier New" w:cs="Courier New" w:eastAsia="Courier New" w:hAnsi="Courier New"/>
          <w:sz w:val="16"/>
          <w:szCs w:val="16"/>
          <w:color w:val="auto"/>
        </w:rPr>
        <w:t>Beneficial ownership disclaimed pursuant to Rule 13d-4</w:t>
      </w:r>
    </w:p>
    <w:p>
      <w:pPr>
        <w:spacing w:after="0" w:line="224" w:lineRule="exact"/>
        <w:rPr>
          <w:sz w:val="20"/>
          <w:szCs w:val="20"/>
          <w:color w:val="auto"/>
        </w:rPr>
      </w:pPr>
    </w:p>
    <w:p>
      <w:pPr>
        <w:ind w:left="540" w:right="2519" w:hanging="427"/>
        <w:spacing w:after="0" w:line="235"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3.5%</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HC</w:t>
      </w:r>
    </w:p>
    <w:p>
      <w:pPr>
        <w:sectPr>
          <w:pgSz w:w="11900" w:h="16838" w:orient="portrait"/>
          <w:cols w:equalWidth="0" w:num="1">
            <w:col w:w="10219"/>
          </w:cols>
          <w:pgMar w:left="240" w:top="33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2232878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5</w:t>
      </w:r>
    </w:p>
    <w:p>
      <w:pPr>
        <w:spacing w:after="0" w:line="200" w:lineRule="exact"/>
        <w:rPr>
          <w:sz w:val="20"/>
          <w:szCs w:val="20"/>
          <w:color w:val="auto"/>
        </w:rPr>
      </w:pPr>
    </w:p>
    <w:p>
      <w:pPr>
        <w:sectPr>
          <w:pgSz w:w="11900" w:h="16838" w:orient="portrait"/>
          <w:cols w:equalWidth="0" w:num="2">
            <w:col w:w="6020" w:space="720"/>
            <w:col w:w="3479"/>
          </w:cols>
          <w:pgMar w:left="240" w:top="339" w:right="1440" w:bottom="0" w:gutter="0" w:footer="0" w:header="0"/>
          <w:type w:val="continuous"/>
        </w:sectPr>
      </w:pPr>
    </w:p>
    <w:p>
      <w:pPr>
        <w:spacing w:after="0" w:line="221"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4"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6"/>
          <w:szCs w:val="16"/>
          <w:color w:val="auto"/>
        </w:rPr>
        <w:t>Under the Securities Exchange Act of 1934</w:t>
      </w:r>
    </w:p>
    <w:p>
      <w:pPr>
        <w:sectPr>
          <w:pgSz w:w="11900" w:h="16838" w:orient="portrait"/>
          <w:cols w:equalWidth="0" w:num="1">
            <w:col w:w="10219"/>
          </w:cols>
          <w:pgMar w:left="240" w:top="339" w:right="1440" w:bottom="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7</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Credicorp Ltd.</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Clarendon House</w:t>
      </w:r>
    </w:p>
    <w:p>
      <w:pPr>
        <w:ind w:left="740"/>
        <w:spacing w:after="0"/>
        <w:rPr>
          <w:sz w:val="20"/>
          <w:szCs w:val="20"/>
          <w:color w:val="auto"/>
        </w:rPr>
      </w:pPr>
      <w:r>
        <w:rPr>
          <w:rFonts w:ascii="Courier New" w:cs="Courier New" w:eastAsia="Courier New" w:hAnsi="Courier New"/>
          <w:sz w:val="18"/>
          <w:szCs w:val="18"/>
          <w:color w:val="auto"/>
        </w:rPr>
        <w:t>Church Street</w:t>
      </w:r>
    </w:p>
    <w:p>
      <w:pPr>
        <w:ind w:left="740"/>
        <w:spacing w:after="0" w:line="237" w:lineRule="auto"/>
        <w:rPr>
          <w:sz w:val="20"/>
          <w:szCs w:val="20"/>
          <w:color w:val="auto"/>
        </w:rPr>
      </w:pPr>
      <w:r>
        <w:rPr>
          <w:rFonts w:ascii="Courier New" w:cs="Courier New" w:eastAsia="Courier New" w:hAnsi="Courier New"/>
          <w:sz w:val="18"/>
          <w:szCs w:val="18"/>
          <w:color w:val="auto"/>
        </w:rPr>
        <w:t>Hamilton HM 11, Bermuda</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740"/>
        <w:spacing w:after="0" w:line="238" w:lineRule="auto"/>
        <w:rPr>
          <w:sz w:val="20"/>
          <w:szCs w:val="20"/>
          <w:color w:val="auto"/>
        </w:rPr>
      </w:pPr>
      <w:r>
        <w:rPr>
          <w:rFonts w:ascii="Courier New" w:cs="Courier New" w:eastAsia="Courier New" w:hAnsi="Courier New"/>
          <w:sz w:val="18"/>
          <w:szCs w:val="18"/>
          <w:color w:val="auto"/>
        </w:rPr>
        <w:t>Capital Group International, Inc.</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11100 Santa Monica Blvd.</w:t>
      </w:r>
    </w:p>
    <w:p>
      <w:pPr>
        <w:ind w:left="740"/>
        <w:spacing w:after="0"/>
        <w:tabs>
          <w:tab w:leader="none" w:pos="252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90025</w:t>
      </w:r>
    </w:p>
    <w:p>
      <w:pPr>
        <w:spacing w:after="0" w:line="202" w:lineRule="exact"/>
        <w:rPr>
          <w:sz w:val="20"/>
          <w:szCs w:val="20"/>
          <w:color w:val="auto"/>
        </w:rPr>
      </w:pPr>
    </w:p>
    <w:p>
      <w:pPr>
        <w:spacing w:after="0"/>
        <w:tabs>
          <w:tab w:leader="none" w:pos="1460" w:val="left"/>
          <w:tab w:leader="none" w:pos="30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Common Stock</w:t>
      </w:r>
    </w:p>
    <w:p>
      <w:pPr>
        <w:sectPr>
          <w:pgSz w:w="11900" w:h="16838" w:orient="portrait"/>
          <w:cols w:equalWidth="0" w:num="1">
            <w:col w:w="10219"/>
          </w:cols>
          <w:pgMar w:left="240" w:top="339"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Item 2(e)</w:t>
      </w:r>
    </w:p>
    <w:p>
      <w:pPr>
        <w:spacing w:after="0" w:line="4"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2232878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CUSIP Number:</w:t>
      </w:r>
    </w:p>
    <w:p>
      <w:pPr>
        <w:spacing w:after="0" w:line="402" w:lineRule="exact"/>
        <w:rPr>
          <w:sz w:val="20"/>
          <w:szCs w:val="20"/>
          <w:color w:val="auto"/>
        </w:rPr>
      </w:pPr>
    </w:p>
    <w:p>
      <w:pPr>
        <w:sectPr>
          <w:pgSz w:w="11900" w:h="16838" w:orient="portrait"/>
          <w:cols w:equalWidth="0" w:num="2">
            <w:col w:w="1480" w:space="0"/>
            <w:col w:w="8739"/>
          </w:cols>
          <w:pgMar w:left="240" w:top="339" w:right="1440" w:bottom="0" w:gutter="0" w:footer="0" w:header="0"/>
        </w:sectPr>
      </w:pPr>
    </w:p>
    <w:p>
      <w:pPr>
        <w:spacing w:after="0" w:line="18"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w:t>
      </w:r>
    </w:p>
    <w:p>
      <w:pPr>
        <w:ind w:left="740"/>
        <w:spacing w:after="0" w:line="238" w:lineRule="auto"/>
        <w:rPr>
          <w:sz w:val="20"/>
          <w:szCs w:val="20"/>
          <w:color w:val="auto"/>
        </w:rPr>
      </w:pPr>
      <w:r>
        <w:rPr>
          <w:rFonts w:ascii="Courier New" w:cs="Courier New" w:eastAsia="Courier New" w:hAnsi="Courier New"/>
          <w:sz w:val="18"/>
          <w:szCs w:val="18"/>
          <w:color w:val="auto"/>
        </w:rPr>
        <w:t>or 240.13d-2(b) or (c), check whether the person filing is a:</w:t>
      </w:r>
    </w:p>
    <w:p>
      <w:pPr>
        <w:spacing w:after="0" w:line="5" w:lineRule="exact"/>
        <w:rPr>
          <w:sz w:val="20"/>
          <w:szCs w:val="20"/>
          <w:color w:val="auto"/>
        </w:rPr>
      </w:pPr>
    </w:p>
    <w:p>
      <w:pPr>
        <w:ind w:left="1280" w:right="3039" w:hanging="535"/>
        <w:spacing w:after="0" w:line="235" w:lineRule="auto"/>
        <w:tabs>
          <w:tab w:leader="none" w:pos="159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section 240.13d-1(b)(1)(ii)(G).</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1" w:lineRule="exact"/>
        <w:rPr>
          <w:sz w:val="20"/>
          <w:szCs w:val="20"/>
          <w:color w:val="auto"/>
        </w:rPr>
      </w:pPr>
    </w:p>
    <w:p>
      <w:pPr>
        <w:ind w:left="1480" w:hanging="735"/>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2232878</w:t>
      </w:r>
      <w:r>
        <w:rPr>
          <w:sz w:val="20"/>
          <w:szCs w:val="20"/>
          <w:color w:val="auto"/>
        </w:rPr>
        <w:tab/>
      </w:r>
      <w:r>
        <w:rPr>
          <w:rFonts w:ascii="Courier New" w:cs="Courier New" w:eastAsia="Courier New" w:hAnsi="Courier New"/>
          <w:sz w:val="16"/>
          <w:szCs w:val="16"/>
          <w:color w:val="auto"/>
        </w:rPr>
        <w:t>Page 3 of 5</w:t>
      </w:r>
    </w:p>
    <w:p>
      <w:pPr>
        <w:spacing w:after="0" w:line="207" w:lineRule="exact"/>
        <w:rPr>
          <w:sz w:val="20"/>
          <w:szCs w:val="20"/>
          <w:color w:val="auto"/>
        </w:rPr>
      </w:pPr>
    </w:p>
    <w:p>
      <w:pPr>
        <w:ind w:left="740" w:right="2939"/>
        <w:spacing w:after="0" w:line="270" w:lineRule="auto"/>
        <w:rPr>
          <w:sz w:val="20"/>
          <w:szCs w:val="20"/>
          <w:color w:val="auto"/>
        </w:rPr>
      </w:pPr>
      <w:r>
        <w:rPr>
          <w:rFonts w:ascii="Courier New" w:cs="Courier New" w:eastAsia="Courier New" w:hAnsi="Courier New"/>
          <w:sz w:val="16"/>
          <w:szCs w:val="16"/>
          <w:color w:val="auto"/>
        </w:rPr>
        <w:t>Capital Group International, Inc. ("CGII") is the parent holding company of a group of investment management companies that hold investment power and, in some cases, voting power over the securities reported in this Schedule 13G. The investment management companies, which include a "bank" as defined in Section 3(a)(6) of the Securities Exchange Act of 1934 (the "Act") and several investment advisers registered under Section 203 of the Investment Advisers Act of 1940, provide investment advisory and management services for their respective clients which include registered investment companies and institutional accounts. CGII does not have investment power or voting power over any of the securities reported herein. However, by virtue of Rule 13d-3 under the Act, CGII may be deemed to "beneficially own" 2,800,890 shares or 3.5% of the 79,800,000 shares of Common Stock believed to be outstanding.</w:t>
      </w:r>
    </w:p>
    <w:p>
      <w:pPr>
        <w:spacing w:after="0" w:line="200" w:lineRule="exact"/>
        <w:rPr>
          <w:sz w:val="20"/>
          <w:szCs w:val="20"/>
          <w:color w:val="auto"/>
        </w:rPr>
      </w:pPr>
    </w:p>
    <w:p>
      <w:pPr>
        <w:spacing w:after="0" w:line="389"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[X]</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w:t>
      </w:r>
    </w:p>
    <w:p>
      <w:pPr>
        <w:spacing w:after="0" w:line="209" w:lineRule="exact"/>
        <w:rPr>
          <w:sz w:val="20"/>
          <w:szCs w:val="20"/>
          <w:color w:val="auto"/>
        </w:rPr>
      </w:pPr>
    </w:p>
    <w:p>
      <w:pPr>
        <w:ind w:left="1060" w:right="2939" w:hanging="315"/>
        <w:spacing w:after="0" w:line="237" w:lineRule="auto"/>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International Research and Management, Inc. dba Capital International, Inc. is an investment adviser registered under Section 203 of the Investment Advisers Act of 1940 and is a wholly owned subsidiary of Capital Group International, Inc.</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75"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w:t>
      </w:r>
    </w:p>
    <w:p>
      <w:pPr>
        <w:sectPr>
          <w:pgSz w:w="11900" w:h="16838" w:orient="portrait"/>
          <w:cols w:equalWidth="0" w:num="1">
            <w:col w:w="10219"/>
          </w:cols>
          <w:pgMar w:left="240" w:top="339" w:right="1440" w:bottom="0" w:gutter="0" w:footer="0" w:header="0"/>
          <w:type w:val="continuous"/>
        </w:sectPr>
      </w:pPr>
    </w:p>
    <w:bookmarkStart w:id="3" w:name="page4"/>
    <w:bookmarkEnd w:id="3"/>
    <w:p>
      <w:pPr>
        <w:ind w:left="740" w:right="2839"/>
        <w:spacing w:after="0" w:line="237" w:lineRule="auto"/>
        <w:rPr>
          <w:sz w:val="20"/>
          <w:szCs w:val="20"/>
          <w:color w:val="auto"/>
        </w:rPr>
      </w:pPr>
      <w:r>
        <w:rPr>
          <w:rFonts w:ascii="Courier New" w:cs="Courier New" w:eastAsia="Courier New" w:hAnsi="Courier New"/>
          <w:sz w:val="18"/>
          <w:szCs w:val="18"/>
          <w:color w:val="auto"/>
        </w:rPr>
        <w:t>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2232878</w:t>
      </w:r>
      <w:r>
        <w:rPr>
          <w:sz w:val="20"/>
          <w:szCs w:val="20"/>
          <w:color w:val="auto"/>
        </w:rPr>
        <w:tab/>
      </w:r>
      <w:r>
        <w:rPr>
          <w:rFonts w:ascii="Courier New" w:cs="Courier New" w:eastAsia="Courier New" w:hAnsi="Courier New"/>
          <w:sz w:val="16"/>
          <w:szCs w:val="16"/>
          <w:color w:val="auto"/>
        </w:rPr>
        <w:t>Page 4 of 5</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December 10, 2003</w:t>
      </w:r>
    </w:p>
    <w:p>
      <w:pPr>
        <w:spacing w:after="0" w:line="201"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*David I. Fisher</w:t>
      </w:r>
    </w:p>
    <w:p>
      <w:pPr>
        <w:ind w:left="860"/>
        <w:spacing w:after="0" w:line="238" w:lineRule="auto"/>
        <w:tabs>
          <w:tab w:leader="none" w:pos="242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David I. Fisher, Chairman</w:t>
      </w:r>
    </w:p>
    <w:p>
      <w:pPr>
        <w:ind w:left="2440"/>
        <w:spacing w:after="0"/>
        <w:rPr>
          <w:sz w:val="20"/>
          <w:szCs w:val="20"/>
          <w:color w:val="auto"/>
        </w:rPr>
      </w:pPr>
      <w:r>
        <w:rPr>
          <w:rFonts w:ascii="Courier New" w:cs="Courier New" w:eastAsia="Courier New" w:hAnsi="Courier New"/>
          <w:sz w:val="18"/>
          <w:szCs w:val="18"/>
          <w:color w:val="auto"/>
        </w:rPr>
        <w:t>Capital Group International, Inc.</w:t>
      </w:r>
    </w:p>
    <w:p>
      <w:pPr>
        <w:sectPr>
          <w:pgSz w:w="11900" w:h="16838" w:orient="portrait"/>
          <w:cols w:equalWidth="0" w:num="1">
            <w:col w:w="10219"/>
          </w:cols>
          <w:pgMar w:left="240" w:top="142" w:right="1440" w:bottom="53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Michael J. Downer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Michael J. Downer</w:t>
      </w:r>
    </w:p>
    <w:p>
      <w:pPr>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ectPr>
          <w:pgSz w:w="11900" w:h="16838" w:orient="portrait"/>
          <w:cols w:equalWidth="0" w:num="2">
            <w:col w:w="1160" w:space="420"/>
            <w:col w:w="8639"/>
          </w:cols>
          <w:pgMar w:left="240" w:top="142" w:right="1440" w:bottom="537" w:gutter="0" w:footer="0" w:header="0"/>
          <w:type w:val="continuous"/>
        </w:sectPr>
      </w:pPr>
    </w:p>
    <w:p>
      <w:pPr>
        <w:spacing w:after="0" w:line="7" w:lineRule="exact"/>
        <w:rPr>
          <w:sz w:val="20"/>
          <w:szCs w:val="20"/>
          <w:color w:val="auto"/>
        </w:rPr>
      </w:pPr>
    </w:p>
    <w:p>
      <w:pPr>
        <w:ind w:left="1580" w:right="2739"/>
        <w:spacing w:after="0" w:line="237" w:lineRule="auto"/>
        <w:rPr>
          <w:sz w:val="20"/>
          <w:szCs w:val="20"/>
          <w:color w:val="auto"/>
        </w:rPr>
      </w:pPr>
      <w:r>
        <w:rPr>
          <w:rFonts w:ascii="Courier New" w:cs="Courier New" w:eastAsia="Courier New" w:hAnsi="Courier New"/>
          <w:sz w:val="18"/>
          <w:szCs w:val="18"/>
          <w:color w:val="auto"/>
        </w:rPr>
        <w:t>Signed pursuant to a Power of Attorney dated January 30, 2003 included as an Exhibit to Schedule 13G filed with the Securities and Exchange Commission by Capital Group International, Inc. on February 10, 2003 with respect to Acclaim Entertainment Inc</w:t>
      </w:r>
    </w:p>
    <w:p>
      <w:pPr>
        <w:sectPr>
          <w:pgSz w:w="11900" w:h="16838" w:orient="portrait"/>
          <w:cols w:equalWidth="0" w:num="1">
            <w:col w:w="10219"/>
          </w:cols>
          <w:pgMar w:left="240" w:top="142" w:right="1440" w:bottom="53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2232878</w:t>
      </w:r>
      <w:r>
        <w:rPr>
          <w:sz w:val="20"/>
          <w:szCs w:val="20"/>
          <w:color w:val="auto"/>
        </w:rPr>
        <w:tab/>
      </w:r>
      <w:r>
        <w:rPr>
          <w:rFonts w:ascii="Courier New" w:cs="Courier New" w:eastAsia="Courier New" w:hAnsi="Courier New"/>
          <w:sz w:val="16"/>
          <w:szCs w:val="16"/>
          <w:color w:val="auto"/>
        </w:rPr>
        <w:t>Page 5 of 5</w:t>
      </w:r>
    </w:p>
    <w:sectPr>
      <w:pgSz w:w="11900" w:h="16838" w:orient="portrait"/>
      <w:cols w:equalWidth="0" w:num="1">
        <w:col w:w="10219"/>
      </w:cols>
      <w:pgMar w:left="240" w:top="142" w:right="1440" w:bottom="53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24"/>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2"/>
      <w:numFmt w:val="bullet"/>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5"/>
      <w:numFmt w:val="bullet"/>
      <w:start w:val="1"/>
    </w:lvl>
  </w:abstractNum>
  <w:abstractNum w:abstractNumId="5">
    <w:nsid w:val="5BD062C2"/>
    <w:multiLevelType w:val="hybridMultilevel"/>
    <w:lvl w:ilvl="0">
      <w:lvlJc w:val="left"/>
      <w:lvlText w:val="8"/>
      <w:numFmt w:val="bullet"/>
      <w:start w:val="1"/>
    </w:lvl>
  </w:abstractNum>
  <w:abstractNum w:abstractNumId="6">
    <w:nsid w:val="12200854"/>
    <w:multiLevelType w:val="hybridMultilevel"/>
    <w:lvl w:ilvl="0">
      <w:lvlJc w:val="left"/>
      <w:lvlText w:val="9"/>
      <w:numFmt w:val="bullet"/>
      <w:start w:val="1"/>
    </w:lvl>
  </w:abstractNum>
  <w:abstractNum w:abstractNumId="7">
    <w:nsid w:val="4DB127F8"/>
    <w:multiLevelType w:val="hybridMultilevel"/>
    <w:lvl w:ilvl="0">
      <w:lvlJc w:val="left"/>
      <w:lvlText w:val="%1"/>
      <w:numFmt w:val="decimal"/>
      <w:start w:val="10"/>
    </w:lvl>
  </w:abstractNum>
  <w:abstractNum w:abstractNumId="8">
    <w:nsid w:val="216231B"/>
    <w:multiLevelType w:val="hybridMultilevel"/>
    <w:lvl w:ilvl="0">
      <w:lvlJc w:val="left"/>
      <w:lvlText w:val="(%1)"/>
      <w:numFmt w:val="lowerLetter"/>
      <w:start w:val="7"/>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Roman"/>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2019-12-12T00:48:11Z</dcterms:created>
  <dcterms:modified xsi:type="dcterms:W3CDTF">2019-12-12T00:48:11Z</dcterms:modified>
</cp:coreProperties>
</file>