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Report of Foreign Private Issuer</w:t>
      </w:r>
    </w:p>
    <w:p>
      <w:pPr>
        <w:jc w:val="center"/>
        <w:ind w:right="-19"/>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19"/>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month of January,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Church Street</w:t>
      </w:r>
    </w:p>
    <w:p>
      <w:pPr>
        <w:jc w:val="center"/>
        <w:ind w:right="-19"/>
        <w:spacing w:after="0"/>
        <w:rPr>
          <w:sz w:val="20"/>
          <w:szCs w:val="20"/>
          <w:color w:val="auto"/>
        </w:rPr>
      </w:pPr>
      <w:r>
        <w:rPr>
          <w:rFonts w:ascii="Arial" w:cs="Arial" w:eastAsia="Arial" w:hAnsi="Arial"/>
          <w:sz w:val="22"/>
          <w:szCs w:val="22"/>
          <w:b w:val="1"/>
          <w:bCs w:val="1"/>
          <w:color w:val="auto"/>
        </w:rPr>
        <w:t>Hamilton HM 11 Bermuda</w:t>
      </w: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347"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6" w:lineRule="exact"/>
        <w:rPr>
          <w:sz w:val="24"/>
          <w:szCs w:val="24"/>
          <w:color w:val="auto"/>
        </w:rPr>
      </w:pPr>
    </w:p>
    <w:p>
      <w:pPr>
        <w:ind w:left="392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firstLine="54"/>
        <w:spacing w:after="0" w:line="251" w:lineRule="auto"/>
        <w:rPr>
          <w:sz w:val="20"/>
          <w:szCs w:val="20"/>
          <w:color w:val="auto"/>
        </w:rPr>
      </w:pPr>
      <w:r>
        <w:rPr>
          <w:rFonts w:ascii="Arial" w:cs="Arial" w:eastAsia="Arial" w:hAnsi="Arial"/>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574030" cy="548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574030" cy="548640"/>
                    </a:xfrm>
                    <a:prstGeom prst="rect">
                      <a:avLst/>
                    </a:prstGeom>
                    <a:noFill/>
                  </pic:spPr>
                </pic:pic>
              </a:graphicData>
            </a:graphic>
          </wp:anchor>
        </w:drawing>
        <w:t>January 27, 2006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Messrs.</w:t>
      </w:r>
    </w:p>
    <w:p>
      <w:pPr>
        <w:spacing w:after="0" w:line="238" w:lineRule="auto"/>
        <w:rPr>
          <w:sz w:val="20"/>
          <w:szCs w:val="20"/>
          <w:color w:val="auto"/>
        </w:rPr>
      </w:pPr>
      <w:r>
        <w:rPr>
          <w:rFonts w:ascii="Arial" w:cs="Arial" w:eastAsia="Arial" w:hAnsi="Arial"/>
          <w:sz w:val="22"/>
          <w:szCs w:val="22"/>
          <w:b w:val="1"/>
          <w:bCs w:val="1"/>
          <w:color w:val="auto"/>
        </w:rPr>
        <w:t>COMISIÓN NACIONAL SUPERVISORA</w:t>
      </w:r>
    </w:p>
    <w:p>
      <w:pPr>
        <w:spacing w:after="0" w:line="230" w:lineRule="auto"/>
        <w:rPr>
          <w:sz w:val="20"/>
          <w:szCs w:val="20"/>
          <w:color w:val="auto"/>
        </w:rPr>
      </w:pPr>
      <w:r>
        <w:rPr>
          <w:rFonts w:ascii="Arial" w:cs="Arial" w:eastAsia="Arial" w:hAnsi="Arial"/>
          <w:sz w:val="22"/>
          <w:szCs w:val="22"/>
          <w:b w:val="1"/>
          <w:bCs w:val="1"/>
          <w:color w:val="auto"/>
        </w:rPr>
        <w:t>DE EMPRESAS Y VALORES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CONASEV</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Re.: MATERIAL EVENT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06"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In accordance with article 28 of the Capital Markets Law and CONASEV Resolution for Material Events and Reserved Information and Other Communications number 107-2002-EF/94.10, as modified by CONASEV Resolution number 009-2003-EF/94.10, Credicorp Ltd. complies with notifying you of the following Material Event:</w:t>
      </w:r>
    </w:p>
    <w:p>
      <w:pPr>
        <w:spacing w:after="0" w:line="186" w:lineRule="exact"/>
        <w:rPr>
          <w:sz w:val="20"/>
          <w:szCs w:val="20"/>
          <w:color w:val="auto"/>
        </w:rPr>
      </w:pPr>
    </w:p>
    <w:p>
      <w:pPr>
        <w:ind w:right="420" w:firstLine="8"/>
        <w:spacing w:after="0" w:line="258" w:lineRule="auto"/>
        <w:tabs>
          <w:tab w:leader="none" w:pos="216" w:val="left"/>
        </w:tabs>
        <w:numPr>
          <w:ilvl w:val="0"/>
          <w:numId w:val="1"/>
        </w:numPr>
        <w:rPr>
          <w:rFonts w:ascii="Arial" w:cs="Arial" w:eastAsia="Arial" w:hAnsi="Arial"/>
          <w:sz w:val="21"/>
          <w:szCs w:val="21"/>
          <w:color w:val="auto"/>
        </w:rPr>
      </w:pPr>
      <w:r>
        <w:rPr>
          <w:rFonts w:ascii="Arial" w:cs="Arial" w:eastAsia="Arial" w:hAnsi="Arial"/>
          <w:sz w:val="21"/>
          <w:szCs w:val="21"/>
          <w:color w:val="auto"/>
        </w:rPr>
        <w:t>In a session held on January 26, 2006, Credicorp’s Board of Directors agreed to set the date for the Annual General Shareholder’s meeting for Friday, March 31, 2006, at 3:00 pm, at the main offices of Banco de Credito del Peru, located at 156 Calle Centenario, Laderas de Melgarejo, in La Molina, Lima, Peru to attend to the following matters: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consideration and approval of the company’s Annual Report for the year ended on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The consideration and approval of the company’s consolidated financial statements and External Auditors’ report 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40"/>
        <w:spacing w:after="0" w:line="237" w:lineRule="auto"/>
        <w:rPr>
          <w:sz w:val="20"/>
          <w:szCs w:val="20"/>
          <w:color w:val="auto"/>
        </w:rPr>
      </w:pPr>
      <w:r>
        <w:rPr>
          <w:rFonts w:ascii="Arial" w:cs="Arial" w:eastAsia="Arial" w:hAnsi="Arial"/>
          <w:sz w:val="22"/>
          <w:szCs w:val="22"/>
          <w:color w:val="auto"/>
        </w:rPr>
        <w:t>Approval of the company’s External Auditors for 2006, as proposed by Credicorp´s Audit Committee, and the authorization for the Board to agree upon their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right="380"/>
        <w:spacing w:after="0" w:line="274" w:lineRule="auto"/>
        <w:rPr>
          <w:sz w:val="20"/>
          <w:szCs w:val="20"/>
          <w:color w:val="auto"/>
        </w:rPr>
      </w:pPr>
      <w:r>
        <w:rPr>
          <w:rFonts w:ascii="Arial" w:cs="Arial" w:eastAsia="Arial" w:hAnsi="Arial"/>
          <w:sz w:val="21"/>
          <w:szCs w:val="21"/>
          <w:color w:val="auto"/>
        </w:rPr>
        <w:t>The Board has established that those shareholders who are officially registered as shareholders of the company on February 15, 2006 (“Record Date”) will be entitled to attend and vote in the above mentioned shareholder’s meeting.</w:t>
      </w:r>
    </w:p>
    <w:p>
      <w:pPr>
        <w:spacing w:after="0" w:line="151"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In accordance with the company’s Bye-laws, if a quorum is not met in the first instance, the meeting will be postponed until the following week at the same place and time.</w:t>
      </w: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Please note that in Credicorp’s letter dated January 12, 2006, a request was made for exemption of the requirement to submit, as of this date, copy of the audited financial statements and of the annual report, according to the Regulation for Material Events and Reserved Information and Other Communications, given that our company is registered in Bermuda, and its shares are listed in the New York Stock Exchange (NYSE), and together with Bank of new York (BONY), which is Credicorp’s stock transfer agent, a Record Date is determined to attend and vote in the Annual General Shareholder’s meeting, with a long lead time, considering that a letter and PROXY material is to be sent to each shareholder approximately 30 days before the meeting.</w:t>
      </w:r>
    </w:p>
    <w:p>
      <w:pPr>
        <w:spacing w:after="0" w:line="151"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The company’s 2005 Annual Report and the independent Auditors Report and Opinion will be approved by the Board prior to being considered at the Annual General Shareholders meeting, at which time said documents will be presented to the CONASEV in accordance with the regulations for Material Events and Reserved Information and Other Communications.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_</w:t>
      </w:r>
      <w:r>
        <w:rPr>
          <w:rFonts w:ascii="Arial" w:cs="Arial" w:eastAsia="Arial" w:hAnsi="Arial"/>
          <w:sz w:val="22"/>
          <w:szCs w:val="22"/>
          <w:u w:val="single" w:color="auto"/>
          <w:color w:val="auto"/>
        </w:rPr>
        <w:t>Fernando Palao</w:t>
      </w:r>
      <w:r>
        <w:rPr>
          <w:rFonts w:ascii="Arial" w:cs="Arial" w:eastAsia="Arial" w:hAnsi="Arial"/>
          <w:sz w:val="22"/>
          <w:szCs w:val="22"/>
          <w:color w:val="auto"/>
        </w:rPr>
        <w:t>__</w:t>
      </w:r>
    </w:p>
    <w:p>
      <w:pPr>
        <w:spacing w:after="0" w:line="238" w:lineRule="auto"/>
        <w:rPr>
          <w:sz w:val="20"/>
          <w:szCs w:val="20"/>
          <w:color w:val="auto"/>
        </w:rPr>
      </w:pPr>
      <w:r>
        <w:rPr>
          <w:rFonts w:ascii="Arial" w:cs="Arial" w:eastAsia="Arial" w:hAnsi="Arial"/>
          <w:sz w:val="22"/>
          <w:szCs w:val="22"/>
          <w:color w:val="auto"/>
        </w:rPr>
        <w:t>Fernando Palao</w:t>
      </w:r>
    </w:p>
    <w:p>
      <w:pPr>
        <w:spacing w:after="0"/>
        <w:rPr>
          <w:sz w:val="20"/>
          <w:szCs w:val="20"/>
          <w:color w:val="auto"/>
        </w:rPr>
      </w:pPr>
      <w:r>
        <w:rPr>
          <w:rFonts w:ascii="Arial" w:cs="Arial" w:eastAsia="Arial" w:hAnsi="Arial"/>
          <w:sz w:val="22"/>
          <w:szCs w:val="22"/>
          <w:color w:val="auto"/>
        </w:rPr>
        <w:t>Credicorp Ltd.</w:t>
      </w:r>
    </w:p>
    <w:p>
      <w:pPr>
        <w:sectPr>
          <w:pgSz w:w="11900" w:h="16838" w:orient="portrait"/>
          <w:cols w:equalWidth="0" w:num="1">
            <w:col w:w="11400"/>
          </w:cols>
          <w:pgMar w:left="240" w:top="1198"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January 27, 2006</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2019-12-14T05:55:21Z</dcterms:created>
  <dcterms:modified xsi:type="dcterms:W3CDTF">2019-12-14T05:55:21Z</dcterms:modified>
</cp:coreProperties>
</file>