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342900</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377190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Report of Foreign Private Issuer</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Pursuant to Rule 13a-16 or 15d-16 under the</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August 2020</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001-14014</w:t>
      </w: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CREDICORP LTD.</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Clarendon House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Church Street</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Hamilton HM 11 Bermuda</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87"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3"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161290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178435</wp:posOffset>
            </wp:positionV>
            <wp:extent cx="713422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661035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4" w:lineRule="exact"/>
        <w:rPr>
          <w:sz w:val="20"/>
          <w:szCs w:val="20"/>
          <w:color w:val="auto"/>
        </w:rPr>
      </w:pPr>
    </w:p>
    <w:p>
      <w:pPr>
        <w:ind w:firstLine="528"/>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August 7</w:t>
      </w:r>
      <w:r>
        <w:rPr>
          <w:rFonts w:ascii="Arial" w:cs="Arial" w:eastAsia="Arial" w:hAnsi="Arial"/>
          <w:sz w:val="29"/>
          <w:szCs w:val="29"/>
          <w:color w:val="auto"/>
          <w:vertAlign w:val="superscript"/>
        </w:rPr>
        <w:t>th</w:t>
      </w:r>
      <w:r>
        <w:rPr>
          <w:rFonts w:ascii="Arial" w:cs="Arial" w:eastAsia="Arial" w:hAnsi="Arial"/>
          <w:sz w:val="18"/>
          <w:szCs w:val="18"/>
          <w:color w:val="auto"/>
        </w:rPr>
        <w:t>, 2020</w:t>
      </w:r>
    </w:p>
    <w:p>
      <w:pPr>
        <w:spacing w:after="0" w:line="1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CREDICORP LTD.</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07"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Miriam Bottger</w:t>
      </w:r>
    </w:p>
    <w:p>
      <w:pPr>
        <w:spacing w:after="0" w:line="19"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Miriam Bottger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3859530</wp:posOffset>
            </wp:positionH>
            <wp:positionV relativeFrom="paragraph">
              <wp:posOffset>-130175</wp:posOffset>
            </wp:positionV>
            <wp:extent cx="327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428625</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ind w:left="1014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2884805</wp:posOffset>
            </wp:positionH>
            <wp:positionV relativeFrom="paragraph">
              <wp:posOffset>183515</wp:posOffset>
            </wp:positionV>
            <wp:extent cx="1381125" cy="2203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81125" cy="22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b w:val="1"/>
          <w:bCs w:val="1"/>
          <w:color w:val="auto"/>
        </w:rPr>
        <w:t xml:space="preserve">Lima, Peru, August 6, 2020 </w:t>
      </w:r>
      <w:r>
        <w:rPr>
          <w:rFonts w:ascii="Arial" w:cs="Arial" w:eastAsia="Arial" w:hAnsi="Arial"/>
          <w:sz w:val="18"/>
          <w:szCs w:val="18"/>
          <w:color w:val="auto"/>
        </w:rPr>
        <w:t>– Credicorp Ltd. (NYSE: BAP) announced its unaudited results for the second quarter of 2020. These results are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 to IFRS in Soles.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Quarter 2020 results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2Q20, Credicorp reported a net loss of -S/ 620.4 million, which translated into an ROAE and ROAA of -10.7% and -1.2% respectively. This result represented a decrease of -396.4% QoQ, -156.5% YoY and -118.7% YTD. These results were attributable, in large part, to an event without precedence in Peru and the world: the COVID-19 pandemic.</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Peru, where the majority of Credicorp’s income is concentrated, COVID-19 has severely impacted public health. In this context, the Peruvian government stablished a nation-wide quarantine from March 16th until June 30th. This generated significant impacts on the economy in 2Q20, when GDP contracted considerably and unemployment skyrocketed. Nevertheless, signs of reactivation have begun to appear. This has been bolstered by the Government’s four-phase reactivation plan and economic measures implemented.</w:t>
      </w:r>
    </w:p>
    <w:p>
      <w:pPr>
        <w:spacing w:after="0" w:line="18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To contain economic contraction, the Peruvian government began executing a series of measures that when combined, represent an economic stimulus package equivalent to approximately 26% of GDP. This package includes liquidity programs (Reactiva Peru, FAE, among others), tax alleviations, public spending (Reactivation and COVID-19), and private saving access (pension funds, severance indemnity deposits, among others).</w:t>
      </w:r>
    </w:p>
    <w:p>
      <w:pPr>
        <w:spacing w:after="0" w:line="167"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Credicorp is contributing to reactivation on 4 fronts, 1) Employees, by seeking to protect the health of thousands of workers by providing optimum working conditions, 2) Clients, by offering facilities including debt reprogramming; elimination of some banking fees for transactions conducted by individuals; and participating in Reactiva 1 with over 40% share of the Program, 3) Business Continuity, implementing contingency plans to ensure operating continuity and to maintain our solvency and liquidity, and 4) Communities, by making donations and developing programs to help the most vulnerable populations. It is important to note that the progress we have made through our transformation efforts has positioned us well to serve the accelerated demand for digital services that has been generated by the sanitary emergency.</w:t>
      </w:r>
    </w:p>
    <w:p>
      <w:pPr>
        <w:spacing w:after="0" w:line="18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Given the economic uncertainty generated by this unprecedented context, and backed by the strength of our Balance (CET1 of 11.22% and 15.30% at BCP Stand-alone and Mibanco, respectively; and comfortable liquidity levels), we have assumed a conservative position that will temporarily compromise results but allow us to immediately absorb most of the impact of the crisis, which is manifest primarily in our margin, fees and provisions. The results for 2Q20 show:</w:t>
      </w:r>
    </w:p>
    <w:p>
      <w:pPr>
        <w:spacing w:after="0" w:line="188"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QoQ expansion in average daily loan balances, which was mainly driven by loans under the Reactiva program. These loans are concentrated in the SME-Pyme, SME Business and Middle Market segments. In the YoY analysis, total loans grew 16.8%. If we eliminate government programs (GP), the structural portfolio growth was situated at 9.8% YoY and was led by corporate loans in both currencies.</w:t>
      </w:r>
    </w:p>
    <w:p>
      <w:pPr>
        <w:spacing w:after="0" w:line="186"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NII fell -17.6% QoQ, -12.9% YoY and -2.5% YTD. This evolution was mainly impacted by: (i) a one-off charge of S/ 323.8 million for impairment related to the facilities offered to clients in April and May to freeze installment payments, and (ii) the inflow of low-interest Reactiva loans. These impacts were mitigated by a drop in interest expenses of -2.3% QoQ, -7.8% YoY and -5.2% YTD, which was attributable to an improvement in the deposit mix (increase in demand/savings and decrease in time deposits). In this context, the Net Interest Margin (NIM) was situated at 4.03% in 2Q20, which represents a drop of -132 bps QoQ and -144 bps YoY. NIM adjusting for one-off charge and Government Programs would be at 4.88% in 2Q20.</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Provisions for loans losses net of recoveries increased +89.4% QoQ, 466.7% YoY and 366.9% YTD. We continue to apply IFRS9, which requires forward-looking provisions for credit risk. Due to the current situation, we expect deterioration in the economic scenario and an increase in the probability of default in all our segments. In this context, the cost of risk (</w:t>
      </w:r>
      <w:r>
        <w:rPr>
          <w:rFonts w:ascii="Arial" w:cs="Arial" w:eastAsia="Arial" w:hAnsi="Arial"/>
          <w:sz w:val="18"/>
          <w:szCs w:val="18"/>
          <w:i w:val="1"/>
          <w:iCs w:val="1"/>
          <w:color w:val="auto"/>
        </w:rPr>
        <w:t>CoR</w:t>
      </w:r>
      <w:r>
        <w:rPr>
          <w:rFonts w:ascii="Arial" w:cs="Arial" w:eastAsia="Arial" w:hAnsi="Arial"/>
          <w:sz w:val="18"/>
          <w:szCs w:val="18"/>
          <w:color w:val="auto"/>
        </w:rPr>
        <w:t>) in 2Q20 was situated at 7.66% in and 5.85% YTD, while the coverage ratio was situated at 167.5%. Adjusting for GP, the CoR related to our structural loan portfolio situated at 8.41% and 6.48% YTD. Risk-adjusted NIM was situated at -1.19% in 2Q20 and 0.48% YTD.</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Non-financial income expanded 6.0% QoQ, which was mainly attributable to positive non-recurring results in the Net gain on securities due to a recovery in the global markets. Nevertheless, fees have been impacted by the decrease in transactional activity during the quarantine. Debit and credit card transactions, the main driver of fee income, contracted more than 60% y/y in March but have since risen to the same levels reported at the end of June 2019. As a result, non-financial income fell 15% YoY and 16.8% YTD.</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underwriting result registered a decrease of -4.4% QoQ, which was primarily attributable to a decrease in net premiums in the life insurance and property and casualty business lines. YoY and YTD, the underwriting result increased 14.8% and 22.1% respectively. This growth was mainly attributable to a drop in claims and a decrease in the acquisition cost. The efficiency ratio increased 700bps YoY, which was primarily driven by a decrease in operating income. If we exclude the one-off impairment charge, the efficiency ratio deteriorated 250bps to situate at 45.6%.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1721485</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120015</wp:posOffset>
            </wp:positionV>
            <wp:extent cx="7196455" cy="1177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6455" cy="117792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3020" w:type="dxa"/>
            <w:vAlign w:val="bottom"/>
          </w:tcPr>
          <w:p>
            <w:pPr>
              <w:spacing w:after="0"/>
              <w:rPr>
                <w:sz w:val="20"/>
                <w:szCs w:val="20"/>
                <w:color w:val="auto"/>
              </w:rPr>
            </w:pPr>
          </w:p>
        </w:tc>
      </w:tr>
      <w:tr>
        <w:trPr>
          <w:trHeight w:val="414"/>
        </w:trPr>
        <w:tc>
          <w:tcPr>
            <w:tcW w:w="8220" w:type="dxa"/>
            <w:vAlign w:val="bottom"/>
            <w:gridSpan w:val="3"/>
          </w:tcPr>
          <w:p>
            <w:pPr>
              <w:spacing w:after="0"/>
              <w:rPr>
                <w:sz w:val="20"/>
                <w:szCs w:val="20"/>
                <w:color w:val="auto"/>
              </w:rPr>
            </w:pPr>
            <w:r>
              <w:rPr>
                <w:rFonts w:ascii="Arial" w:cs="Arial" w:eastAsia="Arial" w:hAnsi="Arial"/>
                <w:sz w:val="18"/>
                <w:szCs w:val="18"/>
                <w:color w:val="auto"/>
              </w:rPr>
              <w:t>Credicorp Ltd. (NYSE: BAP): Second Quarter Results 2020</w:t>
            </w:r>
          </w:p>
        </w:tc>
        <w:tc>
          <w:tcPr>
            <w:tcW w:w="3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0"/>
        </w:trPr>
        <w:tc>
          <w:tcPr>
            <w:tcW w:w="180" w:type="dxa"/>
            <w:vAlign w:val="bottom"/>
          </w:tcPr>
          <w:p>
            <w:pPr>
              <w:spacing w:after="0"/>
              <w:rPr>
                <w:sz w:val="17"/>
                <w:szCs w:val="17"/>
                <w:color w:val="auto"/>
              </w:rPr>
            </w:pPr>
          </w:p>
        </w:tc>
        <w:tc>
          <w:tcPr>
            <w:tcW w:w="80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Financial Overview</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3</w:t>
            </w:r>
          </w:p>
        </w:tc>
      </w:tr>
      <w:tr>
        <w:trPr>
          <w:trHeight w:val="200"/>
        </w:trPr>
        <w:tc>
          <w:tcPr>
            <w:tcW w:w="180" w:type="dxa"/>
            <w:vAlign w:val="bottom"/>
          </w:tcPr>
          <w:p>
            <w:pPr>
              <w:spacing w:after="0"/>
              <w:rPr>
                <w:sz w:val="17"/>
                <w:szCs w:val="17"/>
                <w:color w:val="auto"/>
              </w:rPr>
            </w:pPr>
          </w:p>
        </w:tc>
        <w:tc>
          <w:tcPr>
            <w:tcW w:w="80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Credicorp and subsidiaries</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4</w:t>
            </w:r>
          </w:p>
        </w:tc>
      </w:tr>
      <w:tr>
        <w:trPr>
          <w:trHeight w:val="200"/>
        </w:trPr>
        <w:tc>
          <w:tcPr>
            <w:tcW w:w="180" w:type="dxa"/>
            <w:vAlign w:val="bottom"/>
          </w:tcPr>
          <w:p>
            <w:pPr>
              <w:spacing w:after="0" w:line="201" w:lineRule="exact"/>
              <w:rPr>
                <w:sz w:val="20"/>
                <w:szCs w:val="20"/>
                <w:color w:val="auto"/>
              </w:rPr>
            </w:pPr>
            <w:r>
              <w:rPr>
                <w:rFonts w:ascii="Arial" w:cs="Arial" w:eastAsia="Arial" w:hAnsi="Arial"/>
                <w:sz w:val="18"/>
                <w:szCs w:val="18"/>
                <w:color w:val="auto"/>
              </w:rPr>
              <w:t>1.</w:t>
            </w:r>
          </w:p>
        </w:tc>
        <w:tc>
          <w:tcPr>
            <w:tcW w:w="80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Interest-earning assets (IEA)</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5</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1.1.</w:t>
            </w:r>
          </w:p>
        </w:tc>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Evolution of IEA</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5</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1.2.</w:t>
            </w:r>
          </w:p>
        </w:tc>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Credicorp Loans</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6</w:t>
            </w:r>
          </w:p>
        </w:tc>
      </w:tr>
      <w:tr>
        <w:trPr>
          <w:trHeight w:val="200"/>
        </w:trPr>
        <w:tc>
          <w:tcPr>
            <w:tcW w:w="180" w:type="dxa"/>
            <w:vAlign w:val="bottom"/>
          </w:tcPr>
          <w:p>
            <w:pPr>
              <w:spacing w:after="0"/>
              <w:rPr>
                <w:sz w:val="17"/>
                <w:szCs w:val="17"/>
                <w:color w:val="auto"/>
              </w:rPr>
            </w:pPr>
          </w:p>
        </w:tc>
        <w:tc>
          <w:tcPr>
            <w:tcW w:w="80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1.2.1. Loan evolution by business segment</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6</w:t>
            </w:r>
          </w:p>
        </w:tc>
      </w:tr>
      <w:tr>
        <w:trPr>
          <w:trHeight w:val="200"/>
        </w:trPr>
        <w:tc>
          <w:tcPr>
            <w:tcW w:w="180" w:type="dxa"/>
            <w:vAlign w:val="bottom"/>
          </w:tcPr>
          <w:p>
            <w:pPr>
              <w:spacing w:after="0"/>
              <w:rPr>
                <w:sz w:val="17"/>
                <w:szCs w:val="17"/>
                <w:color w:val="auto"/>
              </w:rPr>
            </w:pPr>
          </w:p>
        </w:tc>
        <w:tc>
          <w:tcPr>
            <w:tcW w:w="80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1.2.2. Evolution of the level of dollarization by segment</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10</w:t>
            </w:r>
          </w:p>
        </w:tc>
      </w:tr>
      <w:tr>
        <w:trPr>
          <w:trHeight w:val="200"/>
        </w:trPr>
        <w:tc>
          <w:tcPr>
            <w:tcW w:w="180" w:type="dxa"/>
            <w:vAlign w:val="bottom"/>
          </w:tcPr>
          <w:p>
            <w:pPr>
              <w:spacing w:after="0"/>
              <w:rPr>
                <w:sz w:val="17"/>
                <w:szCs w:val="17"/>
                <w:color w:val="auto"/>
              </w:rPr>
            </w:pPr>
          </w:p>
        </w:tc>
        <w:tc>
          <w:tcPr>
            <w:tcW w:w="80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1.2.3. BCRP de-dollarization plan at BCP Stand-alone</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11</w:t>
            </w:r>
          </w:p>
        </w:tc>
      </w:tr>
      <w:tr>
        <w:trPr>
          <w:trHeight w:val="200"/>
        </w:trPr>
        <w:tc>
          <w:tcPr>
            <w:tcW w:w="180" w:type="dxa"/>
            <w:vAlign w:val="bottom"/>
          </w:tcPr>
          <w:p>
            <w:pPr>
              <w:spacing w:after="0"/>
              <w:rPr>
                <w:sz w:val="17"/>
                <w:szCs w:val="17"/>
                <w:color w:val="auto"/>
              </w:rPr>
            </w:pPr>
          </w:p>
        </w:tc>
        <w:tc>
          <w:tcPr>
            <w:tcW w:w="80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1.2.4. Market share in loans</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12</w:t>
            </w:r>
          </w:p>
        </w:tc>
      </w:tr>
      <w:tr>
        <w:trPr>
          <w:trHeight w:val="200"/>
        </w:trPr>
        <w:tc>
          <w:tcPr>
            <w:tcW w:w="180" w:type="dxa"/>
            <w:vAlign w:val="bottom"/>
          </w:tcPr>
          <w:p>
            <w:pPr>
              <w:spacing w:after="0" w:line="201" w:lineRule="exact"/>
              <w:rPr>
                <w:sz w:val="20"/>
                <w:szCs w:val="20"/>
                <w:color w:val="auto"/>
              </w:rPr>
            </w:pPr>
            <w:r>
              <w:rPr>
                <w:rFonts w:ascii="Arial" w:cs="Arial" w:eastAsia="Arial" w:hAnsi="Arial"/>
                <w:sz w:val="18"/>
                <w:szCs w:val="18"/>
                <w:color w:val="auto"/>
              </w:rPr>
              <w:t>2.</w:t>
            </w:r>
          </w:p>
        </w:tc>
        <w:tc>
          <w:tcPr>
            <w:tcW w:w="80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Funding Sources</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13</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2.1.</w:t>
            </w:r>
          </w:p>
        </w:tc>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Funding Structure</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13</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2.2.</w:t>
            </w:r>
          </w:p>
        </w:tc>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Deposits</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14</w:t>
            </w:r>
          </w:p>
        </w:tc>
      </w:tr>
      <w:tr>
        <w:trPr>
          <w:trHeight w:val="200"/>
        </w:trPr>
        <w:tc>
          <w:tcPr>
            <w:tcW w:w="180" w:type="dxa"/>
            <w:vAlign w:val="bottom"/>
          </w:tcPr>
          <w:p>
            <w:pPr>
              <w:spacing w:after="0"/>
              <w:rPr>
                <w:sz w:val="17"/>
                <w:szCs w:val="17"/>
                <w:color w:val="auto"/>
              </w:rPr>
            </w:pPr>
          </w:p>
        </w:tc>
        <w:tc>
          <w:tcPr>
            <w:tcW w:w="80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2.2.1. Deposits: dollarization level</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15</w:t>
            </w:r>
          </w:p>
        </w:tc>
      </w:tr>
      <w:tr>
        <w:trPr>
          <w:trHeight w:val="200"/>
        </w:trPr>
        <w:tc>
          <w:tcPr>
            <w:tcW w:w="180" w:type="dxa"/>
            <w:vAlign w:val="bottom"/>
          </w:tcPr>
          <w:p>
            <w:pPr>
              <w:spacing w:after="0"/>
              <w:rPr>
                <w:sz w:val="17"/>
                <w:szCs w:val="17"/>
                <w:color w:val="auto"/>
              </w:rPr>
            </w:pPr>
          </w:p>
        </w:tc>
        <w:tc>
          <w:tcPr>
            <w:tcW w:w="80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2.2.2. Market share in Deposits</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16</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2.3.</w:t>
            </w:r>
          </w:p>
        </w:tc>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Other funding sources</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16</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2.4.</w:t>
            </w:r>
          </w:p>
        </w:tc>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Loan / Deposit (L/D)</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17</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2.5.</w:t>
            </w:r>
          </w:p>
        </w:tc>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Funding Cost</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18</w:t>
            </w:r>
          </w:p>
        </w:tc>
      </w:tr>
      <w:tr>
        <w:trPr>
          <w:trHeight w:val="200"/>
        </w:trPr>
        <w:tc>
          <w:tcPr>
            <w:tcW w:w="8220" w:type="dxa"/>
            <w:vAlign w:val="bottom"/>
            <w:gridSpan w:val="3"/>
          </w:tcPr>
          <w:p>
            <w:pPr>
              <w:spacing w:after="0" w:line="201" w:lineRule="exact"/>
              <w:rPr>
                <w:sz w:val="20"/>
                <w:szCs w:val="20"/>
                <w:color w:val="auto"/>
              </w:rPr>
            </w:pPr>
            <w:r>
              <w:rPr>
                <w:rFonts w:ascii="Arial" w:cs="Arial" w:eastAsia="Arial" w:hAnsi="Arial"/>
                <w:sz w:val="18"/>
                <w:szCs w:val="18"/>
                <w:color w:val="auto"/>
              </w:rPr>
              <w:t>3.  Portfolio quality and Provisions for loan losses</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20</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3.1.</w:t>
            </w:r>
          </w:p>
        </w:tc>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Provisions for loan losses</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20</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3.2.</w:t>
            </w:r>
          </w:p>
        </w:tc>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Portfolio Quality: Delinquency ratios</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21</w:t>
            </w:r>
          </w:p>
        </w:tc>
      </w:tr>
      <w:tr>
        <w:trPr>
          <w:trHeight w:val="200"/>
        </w:trPr>
        <w:tc>
          <w:tcPr>
            <w:tcW w:w="180" w:type="dxa"/>
            <w:vAlign w:val="bottom"/>
          </w:tcPr>
          <w:p>
            <w:pPr>
              <w:spacing w:after="0"/>
              <w:rPr>
                <w:sz w:val="17"/>
                <w:szCs w:val="17"/>
                <w:color w:val="auto"/>
              </w:rPr>
            </w:pPr>
          </w:p>
        </w:tc>
        <w:tc>
          <w:tcPr>
            <w:tcW w:w="80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3.2.1. Delinquency indicators by business line</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23</w:t>
            </w:r>
          </w:p>
        </w:tc>
      </w:tr>
      <w:tr>
        <w:trPr>
          <w:trHeight w:val="200"/>
        </w:trPr>
        <w:tc>
          <w:tcPr>
            <w:tcW w:w="8220" w:type="dxa"/>
            <w:vAlign w:val="bottom"/>
            <w:gridSpan w:val="3"/>
          </w:tcPr>
          <w:p>
            <w:pPr>
              <w:spacing w:after="0" w:line="201" w:lineRule="exact"/>
              <w:rPr>
                <w:sz w:val="20"/>
                <w:szCs w:val="20"/>
                <w:color w:val="auto"/>
              </w:rPr>
            </w:pPr>
            <w:r>
              <w:rPr>
                <w:rFonts w:ascii="Arial" w:cs="Arial" w:eastAsia="Arial" w:hAnsi="Arial"/>
                <w:sz w:val="18"/>
                <w:szCs w:val="18"/>
                <w:color w:val="auto"/>
              </w:rPr>
              <w:t>4.  Net Interest Income (NII)</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27</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4.1.</w:t>
            </w:r>
          </w:p>
        </w:tc>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Interest Income</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27</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4.2.</w:t>
            </w:r>
          </w:p>
        </w:tc>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Interest Expenses</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28</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4.3.</w:t>
            </w:r>
          </w:p>
        </w:tc>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Net Interest Margin (NIM) and Risk-Adjusted NIM</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29</w:t>
            </w:r>
          </w:p>
        </w:tc>
      </w:tr>
      <w:tr>
        <w:trPr>
          <w:trHeight w:val="200"/>
        </w:trPr>
        <w:tc>
          <w:tcPr>
            <w:tcW w:w="180" w:type="dxa"/>
            <w:vAlign w:val="bottom"/>
          </w:tcPr>
          <w:p>
            <w:pPr>
              <w:spacing w:after="0" w:line="201" w:lineRule="exact"/>
              <w:rPr>
                <w:sz w:val="20"/>
                <w:szCs w:val="20"/>
                <w:color w:val="auto"/>
              </w:rPr>
            </w:pPr>
            <w:r>
              <w:rPr>
                <w:rFonts w:ascii="Arial" w:cs="Arial" w:eastAsia="Arial" w:hAnsi="Arial"/>
                <w:sz w:val="18"/>
                <w:szCs w:val="18"/>
                <w:color w:val="auto"/>
              </w:rPr>
              <w:t>5.</w:t>
            </w:r>
          </w:p>
        </w:tc>
        <w:tc>
          <w:tcPr>
            <w:tcW w:w="80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Non-Financial Income</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32</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5.1.</w:t>
            </w:r>
          </w:p>
        </w:tc>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Fee Income</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34</w:t>
            </w:r>
          </w:p>
        </w:tc>
      </w:tr>
      <w:tr>
        <w:trPr>
          <w:trHeight w:val="200"/>
        </w:trPr>
        <w:tc>
          <w:tcPr>
            <w:tcW w:w="180" w:type="dxa"/>
            <w:vAlign w:val="bottom"/>
          </w:tcPr>
          <w:p>
            <w:pPr>
              <w:spacing w:after="0"/>
              <w:rPr>
                <w:sz w:val="17"/>
                <w:szCs w:val="17"/>
                <w:color w:val="auto"/>
              </w:rPr>
            </w:pPr>
          </w:p>
        </w:tc>
        <w:tc>
          <w:tcPr>
            <w:tcW w:w="80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5.1.1. By subsidiary</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34</w:t>
            </w:r>
          </w:p>
        </w:tc>
      </w:tr>
      <w:tr>
        <w:trPr>
          <w:trHeight w:val="200"/>
        </w:trPr>
        <w:tc>
          <w:tcPr>
            <w:tcW w:w="180" w:type="dxa"/>
            <w:vAlign w:val="bottom"/>
          </w:tcPr>
          <w:p>
            <w:pPr>
              <w:spacing w:after="0"/>
              <w:rPr>
                <w:sz w:val="17"/>
                <w:szCs w:val="17"/>
                <w:color w:val="auto"/>
              </w:rPr>
            </w:pPr>
          </w:p>
        </w:tc>
        <w:tc>
          <w:tcPr>
            <w:tcW w:w="80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5.1.2. Fee income in the Banking Business</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35</w:t>
            </w:r>
          </w:p>
        </w:tc>
      </w:tr>
      <w:tr>
        <w:trPr>
          <w:trHeight w:val="200"/>
        </w:trPr>
        <w:tc>
          <w:tcPr>
            <w:tcW w:w="180" w:type="dxa"/>
            <w:vAlign w:val="bottom"/>
          </w:tcPr>
          <w:p>
            <w:pPr>
              <w:spacing w:after="0" w:line="201" w:lineRule="exact"/>
              <w:rPr>
                <w:sz w:val="20"/>
                <w:szCs w:val="20"/>
                <w:color w:val="auto"/>
              </w:rPr>
            </w:pPr>
            <w:r>
              <w:rPr>
                <w:rFonts w:ascii="Arial" w:cs="Arial" w:eastAsia="Arial" w:hAnsi="Arial"/>
                <w:sz w:val="18"/>
                <w:szCs w:val="18"/>
                <w:color w:val="auto"/>
              </w:rPr>
              <w:t>6.</w:t>
            </w:r>
          </w:p>
        </w:tc>
        <w:tc>
          <w:tcPr>
            <w:tcW w:w="80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Insurance Underwriting Result</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36</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6.1.</w:t>
            </w:r>
          </w:p>
        </w:tc>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Life Insurance</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36</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6.2.</w:t>
            </w:r>
          </w:p>
        </w:tc>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Property and Casualty Insurance</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38</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6.3.</w:t>
            </w:r>
          </w:p>
        </w:tc>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Acquisition Cost</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39</w:t>
            </w:r>
          </w:p>
        </w:tc>
      </w:tr>
      <w:tr>
        <w:trPr>
          <w:trHeight w:val="200"/>
        </w:trPr>
        <w:tc>
          <w:tcPr>
            <w:tcW w:w="180" w:type="dxa"/>
            <w:vAlign w:val="bottom"/>
          </w:tcPr>
          <w:p>
            <w:pPr>
              <w:spacing w:after="0"/>
              <w:rPr>
                <w:sz w:val="17"/>
                <w:szCs w:val="17"/>
                <w:color w:val="auto"/>
              </w:rPr>
            </w:pPr>
          </w:p>
        </w:tc>
        <w:tc>
          <w:tcPr>
            <w:tcW w:w="80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6.4 Underwriting Result by Business</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40</w:t>
            </w:r>
          </w:p>
        </w:tc>
      </w:tr>
      <w:tr>
        <w:trPr>
          <w:trHeight w:val="200"/>
        </w:trPr>
        <w:tc>
          <w:tcPr>
            <w:tcW w:w="8220" w:type="dxa"/>
            <w:vAlign w:val="bottom"/>
            <w:gridSpan w:val="3"/>
          </w:tcPr>
          <w:p>
            <w:pPr>
              <w:spacing w:after="0" w:line="201" w:lineRule="exact"/>
              <w:rPr>
                <w:sz w:val="20"/>
                <w:szCs w:val="20"/>
                <w:color w:val="auto"/>
              </w:rPr>
            </w:pPr>
            <w:r>
              <w:rPr>
                <w:rFonts w:ascii="Arial" w:cs="Arial" w:eastAsia="Arial" w:hAnsi="Arial"/>
                <w:sz w:val="18"/>
                <w:szCs w:val="18"/>
                <w:color w:val="auto"/>
              </w:rPr>
              <w:t>7.  Operating Expenses and Efficiency</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42</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7.1.</w:t>
            </w:r>
          </w:p>
        </w:tc>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Credicorp’s Administrative, General and Tax Expenses</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43</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7.2.</w:t>
            </w:r>
          </w:p>
        </w:tc>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Efficiency Ratio</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44</w:t>
            </w:r>
          </w:p>
        </w:tc>
      </w:tr>
      <w:tr>
        <w:trPr>
          <w:trHeight w:val="200"/>
        </w:trPr>
        <w:tc>
          <w:tcPr>
            <w:tcW w:w="180" w:type="dxa"/>
            <w:vAlign w:val="bottom"/>
          </w:tcPr>
          <w:p>
            <w:pPr>
              <w:spacing w:after="0" w:line="201" w:lineRule="exact"/>
              <w:rPr>
                <w:sz w:val="20"/>
                <w:szCs w:val="20"/>
                <w:color w:val="auto"/>
              </w:rPr>
            </w:pPr>
            <w:r>
              <w:rPr>
                <w:rFonts w:ascii="Arial" w:cs="Arial" w:eastAsia="Arial" w:hAnsi="Arial"/>
                <w:sz w:val="18"/>
                <w:szCs w:val="18"/>
                <w:color w:val="auto"/>
              </w:rPr>
              <w:t>8.</w:t>
            </w:r>
          </w:p>
        </w:tc>
        <w:tc>
          <w:tcPr>
            <w:tcW w:w="80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Regulatory Capital</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46</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8.1.</w:t>
            </w:r>
          </w:p>
        </w:tc>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Regulatory Capital – BAP</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46</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8.2.</w:t>
            </w:r>
          </w:p>
        </w:tc>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Regulatory Capital – BCP Stand-alone based on Peru GAAP</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47</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8.3.</w:t>
            </w:r>
          </w:p>
        </w:tc>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Regulatory Capital at Mibanco based on Peru GAAP</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49</w:t>
            </w:r>
          </w:p>
        </w:tc>
      </w:tr>
      <w:tr>
        <w:trPr>
          <w:trHeight w:val="200"/>
        </w:trPr>
        <w:tc>
          <w:tcPr>
            <w:tcW w:w="180" w:type="dxa"/>
            <w:vAlign w:val="bottom"/>
          </w:tcPr>
          <w:p>
            <w:pPr>
              <w:spacing w:after="0" w:line="201" w:lineRule="exact"/>
              <w:rPr>
                <w:sz w:val="20"/>
                <w:szCs w:val="20"/>
                <w:color w:val="auto"/>
              </w:rPr>
            </w:pPr>
            <w:r>
              <w:rPr>
                <w:rFonts w:ascii="Arial" w:cs="Arial" w:eastAsia="Arial" w:hAnsi="Arial"/>
                <w:sz w:val="18"/>
                <w:szCs w:val="18"/>
                <w:color w:val="auto"/>
              </w:rPr>
              <w:t>9.</w:t>
            </w:r>
          </w:p>
        </w:tc>
        <w:tc>
          <w:tcPr>
            <w:tcW w:w="80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Distribution channels</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51</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9.1.</w:t>
            </w:r>
          </w:p>
        </w:tc>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Universal Banking</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51</w:t>
            </w:r>
          </w:p>
        </w:tc>
      </w:tr>
      <w:tr>
        <w:trPr>
          <w:trHeight w:val="200"/>
        </w:trPr>
        <w:tc>
          <w:tcPr>
            <w:tcW w:w="180" w:type="dxa"/>
            <w:vAlign w:val="bottom"/>
          </w:tcPr>
          <w:p>
            <w:pPr>
              <w:spacing w:after="0"/>
              <w:rPr>
                <w:sz w:val="17"/>
                <w:szCs w:val="17"/>
                <w:color w:val="auto"/>
              </w:rPr>
            </w:pPr>
          </w:p>
        </w:tc>
        <w:tc>
          <w:tcPr>
            <w:tcW w:w="80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9.1.1. Points of contact by geographic area – BCP Stand-alone</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51</w:t>
            </w:r>
          </w:p>
        </w:tc>
      </w:tr>
      <w:tr>
        <w:trPr>
          <w:trHeight w:val="200"/>
        </w:trPr>
        <w:tc>
          <w:tcPr>
            <w:tcW w:w="180" w:type="dxa"/>
            <w:vAlign w:val="bottom"/>
          </w:tcPr>
          <w:p>
            <w:pPr>
              <w:spacing w:after="0"/>
              <w:rPr>
                <w:sz w:val="17"/>
                <w:szCs w:val="17"/>
                <w:color w:val="auto"/>
              </w:rPr>
            </w:pPr>
          </w:p>
        </w:tc>
        <w:tc>
          <w:tcPr>
            <w:tcW w:w="80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9.1.2. Transactions per channel – BCP Stand-alone</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52</w:t>
            </w:r>
          </w:p>
        </w:tc>
      </w:tr>
      <w:tr>
        <w:trPr>
          <w:trHeight w:val="200"/>
        </w:trPr>
        <w:tc>
          <w:tcPr>
            <w:tcW w:w="180" w:type="dxa"/>
            <w:vAlign w:val="bottom"/>
          </w:tcPr>
          <w:p>
            <w:pPr>
              <w:spacing w:after="0"/>
              <w:rPr>
                <w:sz w:val="17"/>
                <w:szCs w:val="17"/>
                <w:color w:val="auto"/>
              </w:rPr>
            </w:pPr>
          </w:p>
        </w:tc>
        <w:tc>
          <w:tcPr>
            <w:tcW w:w="80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9.1.3. Points of Contact – BCP Bolivia</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53</w:t>
            </w:r>
          </w:p>
        </w:tc>
      </w:tr>
      <w:tr>
        <w:trPr>
          <w:trHeight w:val="200"/>
        </w:trPr>
        <w:tc>
          <w:tcPr>
            <w:tcW w:w="180" w:type="dxa"/>
            <w:vAlign w:val="bottom"/>
          </w:tcPr>
          <w:p>
            <w:pPr>
              <w:spacing w:after="0"/>
              <w:rPr>
                <w:sz w:val="17"/>
                <w:szCs w:val="17"/>
                <w:color w:val="auto"/>
              </w:rPr>
            </w:pPr>
          </w:p>
        </w:tc>
        <w:tc>
          <w:tcPr>
            <w:tcW w:w="360" w:type="dxa"/>
            <w:vAlign w:val="bottom"/>
          </w:tcPr>
          <w:p>
            <w:pPr>
              <w:ind w:left="40"/>
              <w:spacing w:after="0" w:line="201" w:lineRule="exact"/>
              <w:rPr>
                <w:sz w:val="20"/>
                <w:szCs w:val="20"/>
                <w:color w:val="auto"/>
              </w:rPr>
            </w:pPr>
            <w:r>
              <w:rPr>
                <w:rFonts w:ascii="Arial" w:cs="Arial" w:eastAsia="Arial" w:hAnsi="Arial"/>
                <w:sz w:val="18"/>
                <w:szCs w:val="18"/>
                <w:color w:val="auto"/>
                <w:w w:val="99"/>
              </w:rPr>
              <w:t>9.2.</w:t>
            </w:r>
          </w:p>
        </w:tc>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Microfinance</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53</w:t>
            </w:r>
          </w:p>
        </w:tc>
      </w:tr>
      <w:tr>
        <w:trPr>
          <w:trHeight w:val="200"/>
        </w:trPr>
        <w:tc>
          <w:tcPr>
            <w:tcW w:w="180" w:type="dxa"/>
            <w:vAlign w:val="bottom"/>
          </w:tcPr>
          <w:p>
            <w:pPr>
              <w:spacing w:after="0"/>
              <w:rPr>
                <w:sz w:val="17"/>
                <w:szCs w:val="17"/>
                <w:color w:val="auto"/>
              </w:rPr>
            </w:pPr>
          </w:p>
        </w:tc>
        <w:tc>
          <w:tcPr>
            <w:tcW w:w="804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9.2.1. Points of Contact – Mibanco</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53</w:t>
            </w:r>
          </w:p>
        </w:tc>
      </w:tr>
      <w:tr>
        <w:trPr>
          <w:trHeight w:val="200"/>
        </w:trPr>
        <w:tc>
          <w:tcPr>
            <w:tcW w:w="8220" w:type="dxa"/>
            <w:vAlign w:val="bottom"/>
            <w:gridSpan w:val="3"/>
          </w:tcPr>
          <w:p>
            <w:pPr>
              <w:spacing w:after="0" w:line="201" w:lineRule="exact"/>
              <w:rPr>
                <w:sz w:val="20"/>
                <w:szCs w:val="20"/>
                <w:color w:val="auto"/>
              </w:rPr>
            </w:pPr>
            <w:r>
              <w:rPr>
                <w:rFonts w:ascii="Arial" w:cs="Arial" w:eastAsia="Arial" w:hAnsi="Arial"/>
                <w:sz w:val="18"/>
                <w:szCs w:val="18"/>
                <w:color w:val="auto"/>
              </w:rPr>
              <w:t>10.  Economic Perspectives</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54</w:t>
            </w:r>
          </w:p>
        </w:tc>
      </w:tr>
      <w:tr>
        <w:trPr>
          <w:trHeight w:val="200"/>
        </w:trPr>
        <w:tc>
          <w:tcPr>
            <w:tcW w:w="180" w:type="dxa"/>
            <w:vAlign w:val="bottom"/>
          </w:tcPr>
          <w:p>
            <w:pPr>
              <w:spacing w:after="0"/>
              <w:rPr>
                <w:sz w:val="17"/>
                <w:szCs w:val="17"/>
                <w:color w:val="auto"/>
              </w:rPr>
            </w:pPr>
          </w:p>
        </w:tc>
        <w:tc>
          <w:tcPr>
            <w:tcW w:w="80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10.1. Peru Economic Forecasts</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54</w:t>
            </w:r>
          </w:p>
        </w:tc>
      </w:tr>
      <w:tr>
        <w:trPr>
          <w:trHeight w:val="200"/>
        </w:trPr>
        <w:tc>
          <w:tcPr>
            <w:tcW w:w="180" w:type="dxa"/>
            <w:vAlign w:val="bottom"/>
          </w:tcPr>
          <w:p>
            <w:pPr>
              <w:spacing w:after="0"/>
              <w:rPr>
                <w:sz w:val="17"/>
                <w:szCs w:val="17"/>
                <w:color w:val="auto"/>
              </w:rPr>
            </w:pPr>
          </w:p>
        </w:tc>
        <w:tc>
          <w:tcPr>
            <w:tcW w:w="80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10.2. Main Economic Variables</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54</w:t>
            </w:r>
          </w:p>
        </w:tc>
      </w:tr>
      <w:tr>
        <w:trPr>
          <w:trHeight w:val="200"/>
        </w:trPr>
        <w:tc>
          <w:tcPr>
            <w:tcW w:w="8220" w:type="dxa"/>
            <w:vAlign w:val="bottom"/>
            <w:gridSpan w:val="3"/>
          </w:tcPr>
          <w:p>
            <w:pPr>
              <w:spacing w:after="0" w:line="201" w:lineRule="exact"/>
              <w:rPr>
                <w:sz w:val="20"/>
                <w:szCs w:val="20"/>
                <w:color w:val="auto"/>
              </w:rPr>
            </w:pPr>
            <w:r>
              <w:rPr>
                <w:rFonts w:ascii="Arial" w:cs="Arial" w:eastAsia="Arial" w:hAnsi="Arial"/>
                <w:sz w:val="18"/>
                <w:szCs w:val="18"/>
                <w:color w:val="auto"/>
              </w:rPr>
              <w:t>11.  Appendix</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58</w:t>
            </w:r>
          </w:p>
        </w:tc>
      </w:tr>
      <w:tr>
        <w:trPr>
          <w:trHeight w:val="200"/>
        </w:trPr>
        <w:tc>
          <w:tcPr>
            <w:tcW w:w="180" w:type="dxa"/>
            <w:vAlign w:val="bottom"/>
          </w:tcPr>
          <w:p>
            <w:pPr>
              <w:spacing w:after="0"/>
              <w:rPr>
                <w:sz w:val="17"/>
                <w:szCs w:val="17"/>
                <w:color w:val="auto"/>
              </w:rPr>
            </w:pPr>
          </w:p>
        </w:tc>
        <w:tc>
          <w:tcPr>
            <w:tcW w:w="80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11.1. Credicorp</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58</w:t>
            </w:r>
          </w:p>
        </w:tc>
      </w:tr>
      <w:tr>
        <w:trPr>
          <w:trHeight w:val="200"/>
        </w:trPr>
        <w:tc>
          <w:tcPr>
            <w:tcW w:w="180" w:type="dxa"/>
            <w:vAlign w:val="bottom"/>
          </w:tcPr>
          <w:p>
            <w:pPr>
              <w:spacing w:after="0"/>
              <w:rPr>
                <w:sz w:val="17"/>
                <w:szCs w:val="17"/>
                <w:color w:val="auto"/>
              </w:rPr>
            </w:pPr>
          </w:p>
        </w:tc>
        <w:tc>
          <w:tcPr>
            <w:tcW w:w="80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11.2. Credicorp Stand-alone</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60</w:t>
            </w:r>
          </w:p>
        </w:tc>
      </w:tr>
      <w:tr>
        <w:trPr>
          <w:trHeight w:val="200"/>
        </w:trPr>
        <w:tc>
          <w:tcPr>
            <w:tcW w:w="180" w:type="dxa"/>
            <w:vAlign w:val="bottom"/>
          </w:tcPr>
          <w:p>
            <w:pPr>
              <w:spacing w:after="0"/>
              <w:rPr>
                <w:sz w:val="17"/>
                <w:szCs w:val="17"/>
                <w:color w:val="auto"/>
              </w:rPr>
            </w:pPr>
          </w:p>
        </w:tc>
        <w:tc>
          <w:tcPr>
            <w:tcW w:w="80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11.3. BCP Consolidated</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61</w:t>
            </w:r>
          </w:p>
        </w:tc>
      </w:tr>
      <w:tr>
        <w:trPr>
          <w:trHeight w:val="200"/>
        </w:trPr>
        <w:tc>
          <w:tcPr>
            <w:tcW w:w="180" w:type="dxa"/>
            <w:vAlign w:val="bottom"/>
          </w:tcPr>
          <w:p>
            <w:pPr>
              <w:spacing w:after="0"/>
              <w:rPr>
                <w:sz w:val="17"/>
                <w:szCs w:val="17"/>
                <w:color w:val="auto"/>
              </w:rPr>
            </w:pPr>
          </w:p>
        </w:tc>
        <w:tc>
          <w:tcPr>
            <w:tcW w:w="80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11.4. BCP Stand-alone</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64</w:t>
            </w:r>
          </w:p>
        </w:tc>
      </w:tr>
      <w:tr>
        <w:trPr>
          <w:trHeight w:val="200"/>
        </w:trPr>
        <w:tc>
          <w:tcPr>
            <w:tcW w:w="180" w:type="dxa"/>
            <w:vAlign w:val="bottom"/>
          </w:tcPr>
          <w:p>
            <w:pPr>
              <w:spacing w:after="0"/>
              <w:rPr>
                <w:sz w:val="17"/>
                <w:szCs w:val="17"/>
                <w:color w:val="auto"/>
              </w:rPr>
            </w:pPr>
          </w:p>
        </w:tc>
        <w:tc>
          <w:tcPr>
            <w:tcW w:w="80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11.5. Mibanco</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67</w:t>
            </w:r>
          </w:p>
        </w:tc>
      </w:tr>
      <w:tr>
        <w:trPr>
          <w:trHeight w:val="200"/>
        </w:trPr>
        <w:tc>
          <w:tcPr>
            <w:tcW w:w="180" w:type="dxa"/>
            <w:vAlign w:val="bottom"/>
          </w:tcPr>
          <w:p>
            <w:pPr>
              <w:spacing w:after="0"/>
              <w:rPr>
                <w:sz w:val="17"/>
                <w:szCs w:val="17"/>
                <w:color w:val="auto"/>
              </w:rPr>
            </w:pPr>
          </w:p>
        </w:tc>
        <w:tc>
          <w:tcPr>
            <w:tcW w:w="80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11.6. BCP Bolivia</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68</w:t>
            </w:r>
          </w:p>
        </w:tc>
      </w:tr>
      <w:tr>
        <w:trPr>
          <w:trHeight w:val="200"/>
        </w:trPr>
        <w:tc>
          <w:tcPr>
            <w:tcW w:w="180" w:type="dxa"/>
            <w:vAlign w:val="bottom"/>
          </w:tcPr>
          <w:p>
            <w:pPr>
              <w:spacing w:after="0"/>
              <w:rPr>
                <w:sz w:val="17"/>
                <w:szCs w:val="17"/>
                <w:color w:val="auto"/>
              </w:rPr>
            </w:pPr>
          </w:p>
        </w:tc>
        <w:tc>
          <w:tcPr>
            <w:tcW w:w="80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11.7. Credicorp Capital</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69</w:t>
            </w:r>
          </w:p>
        </w:tc>
      </w:tr>
      <w:tr>
        <w:trPr>
          <w:trHeight w:val="200"/>
        </w:trPr>
        <w:tc>
          <w:tcPr>
            <w:tcW w:w="180" w:type="dxa"/>
            <w:vAlign w:val="bottom"/>
          </w:tcPr>
          <w:p>
            <w:pPr>
              <w:spacing w:after="0"/>
              <w:rPr>
                <w:sz w:val="17"/>
                <w:szCs w:val="17"/>
                <w:color w:val="auto"/>
              </w:rPr>
            </w:pPr>
          </w:p>
        </w:tc>
        <w:tc>
          <w:tcPr>
            <w:tcW w:w="80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11.8. Atlantic Security Bank</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70</w:t>
            </w:r>
          </w:p>
        </w:tc>
      </w:tr>
      <w:tr>
        <w:trPr>
          <w:trHeight w:val="200"/>
        </w:trPr>
        <w:tc>
          <w:tcPr>
            <w:tcW w:w="180" w:type="dxa"/>
            <w:vAlign w:val="bottom"/>
          </w:tcPr>
          <w:p>
            <w:pPr>
              <w:spacing w:after="0"/>
              <w:rPr>
                <w:sz w:val="17"/>
                <w:szCs w:val="17"/>
                <w:color w:val="auto"/>
              </w:rPr>
            </w:pPr>
          </w:p>
        </w:tc>
        <w:tc>
          <w:tcPr>
            <w:tcW w:w="80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11.9. Grupo Pacifico</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72</w:t>
            </w:r>
          </w:p>
        </w:tc>
      </w:tr>
      <w:tr>
        <w:trPr>
          <w:trHeight w:val="200"/>
        </w:trPr>
        <w:tc>
          <w:tcPr>
            <w:tcW w:w="180" w:type="dxa"/>
            <w:vAlign w:val="bottom"/>
          </w:tcPr>
          <w:p>
            <w:pPr>
              <w:spacing w:after="0"/>
              <w:rPr>
                <w:sz w:val="17"/>
                <w:szCs w:val="17"/>
                <w:color w:val="auto"/>
              </w:rPr>
            </w:pPr>
          </w:p>
        </w:tc>
        <w:tc>
          <w:tcPr>
            <w:tcW w:w="80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11.10. Prima AFP</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74</w:t>
            </w:r>
          </w:p>
        </w:tc>
      </w:tr>
      <w:tr>
        <w:trPr>
          <w:trHeight w:val="200"/>
        </w:trPr>
        <w:tc>
          <w:tcPr>
            <w:tcW w:w="180" w:type="dxa"/>
            <w:vAlign w:val="bottom"/>
          </w:tcPr>
          <w:p>
            <w:pPr>
              <w:spacing w:after="0"/>
              <w:rPr>
                <w:sz w:val="17"/>
                <w:szCs w:val="17"/>
                <w:color w:val="auto"/>
              </w:rPr>
            </w:pPr>
          </w:p>
        </w:tc>
        <w:tc>
          <w:tcPr>
            <w:tcW w:w="80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11.11. Table of calculations</w:t>
            </w:r>
          </w:p>
        </w:tc>
        <w:tc>
          <w:tcPr>
            <w:tcW w:w="3020" w:type="dxa"/>
            <w:vAlign w:val="bottom"/>
          </w:tcPr>
          <w:p>
            <w:pPr>
              <w:jc w:val="right"/>
              <w:spacing w:after="0" w:line="201" w:lineRule="exact"/>
              <w:rPr>
                <w:sz w:val="20"/>
                <w:szCs w:val="20"/>
                <w:color w:val="auto"/>
              </w:rPr>
            </w:pPr>
            <w:r>
              <w:rPr>
                <w:rFonts w:ascii="Arial" w:cs="Arial" w:eastAsia="Arial" w:hAnsi="Arial"/>
                <w:sz w:val="18"/>
                <w:szCs w:val="18"/>
                <w:color w:val="auto"/>
              </w:rPr>
              <w:t>75</w:t>
            </w:r>
          </w:p>
        </w:tc>
      </w:tr>
      <w:tr>
        <w:trPr>
          <w:trHeight w:val="213"/>
        </w:trPr>
        <w:tc>
          <w:tcPr>
            <w:tcW w:w="180" w:type="dxa"/>
            <w:vAlign w:val="bottom"/>
          </w:tcPr>
          <w:p>
            <w:pPr>
              <w:spacing w:after="0"/>
              <w:rPr>
                <w:sz w:val="18"/>
                <w:szCs w:val="18"/>
                <w:color w:val="auto"/>
              </w:rPr>
            </w:pPr>
          </w:p>
        </w:tc>
        <w:tc>
          <w:tcPr>
            <w:tcW w:w="8040" w:type="dxa"/>
            <w:vAlign w:val="bottom"/>
            <w:gridSpan w:val="2"/>
          </w:tcPr>
          <w:p>
            <w:pPr>
              <w:ind w:left="40"/>
              <w:spacing w:after="0"/>
              <w:rPr>
                <w:sz w:val="20"/>
                <w:szCs w:val="20"/>
                <w:color w:val="auto"/>
              </w:rPr>
            </w:pPr>
            <w:r>
              <w:rPr>
                <w:rFonts w:ascii="Arial" w:cs="Arial" w:eastAsia="Arial" w:hAnsi="Arial"/>
                <w:sz w:val="18"/>
                <w:szCs w:val="18"/>
                <w:color w:val="auto"/>
              </w:rPr>
              <w:t>11.12. Glossary of terms</w:t>
            </w:r>
          </w:p>
        </w:tc>
        <w:tc>
          <w:tcPr>
            <w:tcW w:w="30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655"/>
        </w:trPr>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Credicorp Ltd. (NYSE: BAP): Second Quarter Results 2020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040" w:type="dxa"/>
            <w:vAlign w:val="bottom"/>
            <w:gridSpan w:val="2"/>
          </w:tcPr>
          <w:p>
            <w:pPr>
              <w:spacing w:after="0"/>
              <w:rPr>
                <w:sz w:val="20"/>
                <w:szCs w:val="20"/>
                <w:color w:val="auto"/>
              </w:rPr>
            </w:pPr>
            <w:r>
              <w:rPr>
                <w:rFonts w:ascii="Arial" w:cs="Arial" w:eastAsia="Arial" w:hAnsi="Arial"/>
                <w:sz w:val="12"/>
                <w:szCs w:val="12"/>
                <w:b w:val="1"/>
                <w:bCs w:val="1"/>
                <w:color w:val="auto"/>
              </w:rPr>
              <w:t>Credicorp Ltd.</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Quarter</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3"/>
          </w:tcPr>
          <w:p>
            <w:pPr>
              <w:ind w:left="640"/>
              <w:spacing w:after="0"/>
              <w:rPr>
                <w:sz w:val="20"/>
                <w:szCs w:val="20"/>
                <w:color w:val="auto"/>
              </w:rPr>
            </w:pPr>
            <w:r>
              <w:rPr>
                <w:rFonts w:ascii="Arial" w:cs="Arial" w:eastAsia="Arial" w:hAnsi="Arial"/>
                <w:sz w:val="12"/>
                <w:szCs w:val="12"/>
                <w:b w:val="1"/>
                <w:bCs w:val="1"/>
                <w:color w:val="auto"/>
                <w:w w:val="99"/>
              </w:rPr>
              <w:t>% change</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3"/>
          </w:tcPr>
          <w:p>
            <w:pPr>
              <w:ind w:left="740"/>
              <w:spacing w:after="0"/>
              <w:rPr>
                <w:sz w:val="20"/>
                <w:szCs w:val="20"/>
                <w:color w:val="auto"/>
              </w:rPr>
            </w:pPr>
            <w:r>
              <w:rPr>
                <w:rFonts w:ascii="Arial" w:cs="Arial" w:eastAsia="Arial" w:hAnsi="Arial"/>
                <w:sz w:val="12"/>
                <w:szCs w:val="12"/>
                <w:b w:val="1"/>
                <w:bCs w:val="1"/>
                <w:color w:val="auto"/>
              </w:rPr>
              <w:t>YTD</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 change</w:t>
            </w:r>
          </w:p>
        </w:tc>
      </w:tr>
      <w:tr>
        <w:trPr>
          <w:trHeight w:val="140"/>
        </w:trPr>
        <w:tc>
          <w:tcPr>
            <w:tcW w:w="2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 000</w:t>
            </w:r>
          </w:p>
        </w:tc>
        <w:tc>
          <w:tcPr>
            <w:tcW w:w="1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2"/>
                <w:szCs w:val="12"/>
                <w:b w:val="1"/>
                <w:bCs w:val="1"/>
                <w:color w:val="auto"/>
              </w:rPr>
              <w:t>2Q19</w:t>
            </w:r>
          </w:p>
        </w:tc>
        <w:tc>
          <w:tcPr>
            <w:tcW w:w="24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1Q20</w:t>
            </w:r>
          </w:p>
        </w:tc>
        <w:tc>
          <w:tcPr>
            <w:tcW w:w="22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2Q20</w:t>
            </w:r>
          </w:p>
        </w:tc>
        <w:tc>
          <w:tcPr>
            <w:tcW w:w="2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QoQ</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2"/>
                <w:szCs w:val="12"/>
                <w:b w:val="1"/>
                <w:bCs w:val="1"/>
                <w:color w:val="auto"/>
              </w:rPr>
              <w:t>YoY</w:t>
            </w:r>
          </w:p>
        </w:tc>
        <w:tc>
          <w:tcPr>
            <w:tcW w:w="2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2"/>
                <w:szCs w:val="12"/>
                <w:b w:val="1"/>
                <w:bCs w:val="1"/>
                <w:color w:val="auto"/>
              </w:rPr>
              <w:t>Jun 19</w:t>
            </w: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2"/>
                <w:szCs w:val="12"/>
                <w:b w:val="1"/>
                <w:bCs w:val="1"/>
                <w:color w:val="auto"/>
              </w:rPr>
              <w:t>Jun 20</w:t>
            </w:r>
          </w:p>
        </w:tc>
        <w:tc>
          <w:tcPr>
            <w:tcW w:w="20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Jun 20 / Jun 19</w:t>
            </w:r>
          </w:p>
        </w:tc>
        <w:tc>
          <w:tcPr>
            <w:tcW w:w="140" w:type="dxa"/>
            <w:vAlign w:val="bottom"/>
            <w:tcBorders>
              <w:bottom w:val="single" w:sz="8" w:color="CCEEFF"/>
            </w:tcBorders>
          </w:tcPr>
          <w:p>
            <w:pPr>
              <w:spacing w:after="0"/>
              <w:rPr>
                <w:sz w:val="12"/>
                <w:szCs w:val="12"/>
                <w:color w:val="auto"/>
              </w:rPr>
            </w:pPr>
          </w:p>
        </w:tc>
      </w:tr>
      <w:tr>
        <w:trPr>
          <w:trHeight w:val="167"/>
        </w:trPr>
        <w:tc>
          <w:tcPr>
            <w:tcW w:w="2920" w:type="dxa"/>
            <w:vAlign w:val="bottom"/>
            <w:shd w:val="clear" w:color="auto" w:fill="CCEEFF"/>
          </w:tcPr>
          <w:p>
            <w:pPr>
              <w:spacing w:after="0" w:line="167" w:lineRule="exact"/>
              <w:rPr>
                <w:sz w:val="20"/>
                <w:szCs w:val="20"/>
                <w:color w:val="auto"/>
              </w:rPr>
            </w:pPr>
            <w:r>
              <w:rPr>
                <w:rFonts w:ascii="Arial" w:cs="Arial" w:eastAsia="Arial" w:hAnsi="Arial"/>
                <w:sz w:val="12"/>
                <w:szCs w:val="12"/>
                <w:color w:val="auto"/>
              </w:rPr>
              <w:t xml:space="preserve">Net interest income </w:t>
            </w:r>
            <w:r>
              <w:rPr>
                <w:rFonts w:ascii="Arial" w:cs="Arial" w:eastAsia="Arial" w:hAnsi="Arial"/>
                <w:sz w:val="19"/>
                <w:szCs w:val="19"/>
                <w:color w:val="auto"/>
                <w:vertAlign w:val="superscript"/>
              </w:rPr>
              <w:t>(1)</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2,252,403</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2,379,300</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1,961,128</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-17.6%</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-12.9%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4,449,571</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4,340,428</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-2.5%</w:t>
            </w:r>
          </w:p>
        </w:tc>
      </w:tr>
      <w:tr>
        <w:trPr>
          <w:trHeight w:val="119"/>
        </w:trPr>
        <w:tc>
          <w:tcPr>
            <w:tcW w:w="3040" w:type="dxa"/>
            <w:vAlign w:val="bottom"/>
            <w:gridSpan w:val="2"/>
          </w:tcPr>
          <w:p>
            <w:pPr>
              <w:spacing w:after="0" w:line="120" w:lineRule="exact"/>
              <w:rPr>
                <w:sz w:val="20"/>
                <w:szCs w:val="20"/>
                <w:color w:val="auto"/>
              </w:rPr>
            </w:pPr>
            <w:r>
              <w:rPr>
                <w:rFonts w:ascii="Arial" w:cs="Arial" w:eastAsia="Arial" w:hAnsi="Arial"/>
                <w:sz w:val="12"/>
                <w:szCs w:val="12"/>
                <w:color w:val="auto"/>
              </w:rPr>
              <w:t>Provision for credit losses on loan portfolio, net of</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48"/>
        </w:trPr>
        <w:tc>
          <w:tcPr>
            <w:tcW w:w="3040" w:type="dxa"/>
            <w:vAlign w:val="bottom"/>
            <w:gridSpan w:val="2"/>
          </w:tcPr>
          <w:p>
            <w:pPr>
              <w:spacing w:after="0"/>
              <w:rPr>
                <w:sz w:val="20"/>
                <w:szCs w:val="20"/>
                <w:color w:val="auto"/>
              </w:rPr>
            </w:pPr>
            <w:r>
              <w:rPr>
                <w:rFonts w:ascii="Arial" w:cs="Arial" w:eastAsia="Arial" w:hAnsi="Arial"/>
                <w:sz w:val="12"/>
                <w:szCs w:val="12"/>
                <w:color w:val="auto"/>
              </w:rPr>
              <w:t>recoveries</w:t>
            </w: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(448,294)</w:t>
            </w: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(1,341,481)</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(2,540,457)</w:t>
            </w: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89.4%</w:t>
            </w:r>
          </w:p>
        </w:tc>
        <w:tc>
          <w:tcPr>
            <w:tcW w:w="2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466.7%</w:t>
            </w: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(831,505)</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(3,881,938)</w:t>
            </w:r>
          </w:p>
        </w:tc>
        <w:tc>
          <w:tcPr>
            <w:tcW w:w="1140" w:type="dxa"/>
            <w:vAlign w:val="bottom"/>
            <w:gridSpan w:val="2"/>
          </w:tcPr>
          <w:p>
            <w:pPr>
              <w:jc w:val="right"/>
              <w:ind w:right="20"/>
              <w:spacing w:after="0"/>
              <w:rPr>
                <w:sz w:val="20"/>
                <w:szCs w:val="20"/>
                <w:color w:val="auto"/>
              </w:rPr>
            </w:pPr>
            <w:r>
              <w:rPr>
                <w:rFonts w:ascii="Arial" w:cs="Arial" w:eastAsia="Arial" w:hAnsi="Arial"/>
                <w:sz w:val="12"/>
                <w:szCs w:val="12"/>
                <w:color w:val="auto"/>
              </w:rPr>
              <w:t>366.9%</w:t>
            </w:r>
          </w:p>
        </w:tc>
      </w:tr>
      <w:tr>
        <w:trPr>
          <w:trHeight w:val="173"/>
        </w:trPr>
        <w:tc>
          <w:tcPr>
            <w:tcW w:w="3040" w:type="dxa"/>
            <w:vAlign w:val="bottom"/>
            <w:gridSpan w:val="2"/>
            <w:shd w:val="clear" w:color="auto" w:fill="CCEEFF"/>
          </w:tcPr>
          <w:p>
            <w:pPr>
              <w:spacing w:after="0" w:line="174" w:lineRule="exact"/>
              <w:rPr>
                <w:sz w:val="20"/>
                <w:szCs w:val="20"/>
                <w:color w:val="auto"/>
              </w:rPr>
            </w:pPr>
            <w:r>
              <w:rPr>
                <w:rFonts w:ascii="Arial" w:cs="Arial" w:eastAsia="Arial" w:hAnsi="Arial"/>
                <w:sz w:val="12"/>
                <w:szCs w:val="12"/>
                <w:b w:val="1"/>
                <w:bCs w:val="1"/>
                <w:color w:val="auto"/>
              </w:rPr>
              <w:t xml:space="preserve">Risk-adjusted net interest income </w:t>
            </w:r>
            <w:r>
              <w:rPr>
                <w:rFonts w:ascii="Arial" w:cs="Arial" w:eastAsia="Arial" w:hAnsi="Arial"/>
                <w:sz w:val="20"/>
                <w:szCs w:val="20"/>
                <w:b w:val="1"/>
                <w:bCs w:val="1"/>
                <w:color w:val="auto"/>
                <w:vertAlign w:val="superscript"/>
              </w:rPr>
              <w:t>( 1 )</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1,804,109</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1,037,819</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(579,329)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-155.8%</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-132.1%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3,618,066</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458,490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-87.3%</w:t>
            </w:r>
          </w:p>
        </w:tc>
      </w:tr>
      <w:tr>
        <w:trPr>
          <w:trHeight w:val="173"/>
        </w:trPr>
        <w:tc>
          <w:tcPr>
            <w:tcW w:w="3040" w:type="dxa"/>
            <w:vAlign w:val="bottom"/>
            <w:gridSpan w:val="2"/>
          </w:tcPr>
          <w:p>
            <w:pPr>
              <w:spacing w:after="0" w:line="174" w:lineRule="exact"/>
              <w:rPr>
                <w:sz w:val="20"/>
                <w:szCs w:val="20"/>
                <w:color w:val="auto"/>
              </w:rPr>
            </w:pPr>
            <w:r>
              <w:rPr>
                <w:rFonts w:ascii="Arial" w:cs="Arial" w:eastAsia="Arial" w:hAnsi="Arial"/>
                <w:sz w:val="12"/>
                <w:szCs w:val="12"/>
                <w:color w:val="auto"/>
              </w:rPr>
              <w:t xml:space="preserve">Non-financial income </w:t>
            </w:r>
            <w:r>
              <w:rPr>
                <w:rFonts w:ascii="Arial" w:cs="Arial" w:eastAsia="Arial" w:hAnsi="Arial"/>
                <w:sz w:val="20"/>
                <w:szCs w:val="20"/>
                <w:color w:val="auto"/>
                <w:vertAlign w:val="superscript"/>
              </w:rPr>
              <w:t>(1)</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1,195,115</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957,864</w:t>
            </w:r>
          </w:p>
        </w:tc>
        <w:tc>
          <w:tcPr>
            <w:tcW w:w="780" w:type="dxa"/>
            <w:vAlign w:val="bottom"/>
          </w:tcPr>
          <w:p>
            <w:pPr>
              <w:jc w:val="right"/>
              <w:spacing w:after="0"/>
              <w:rPr>
                <w:sz w:val="20"/>
                <w:szCs w:val="20"/>
                <w:color w:val="auto"/>
              </w:rPr>
            </w:pPr>
            <w:r>
              <w:rPr>
                <w:rFonts w:ascii="Arial" w:cs="Arial" w:eastAsia="Arial" w:hAnsi="Arial"/>
                <w:sz w:val="12"/>
                <w:szCs w:val="12"/>
                <w:color w:val="auto"/>
              </w:rPr>
              <w:t>1,015,349</w:t>
            </w:r>
          </w:p>
        </w:tc>
        <w:tc>
          <w:tcPr>
            <w:tcW w:w="2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6.0%</w:t>
            </w:r>
          </w:p>
        </w:tc>
        <w:tc>
          <w:tcPr>
            <w:tcW w:w="2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-15.0%</w:t>
            </w: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2,371,452</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1,973,214</w:t>
            </w:r>
          </w:p>
        </w:tc>
        <w:tc>
          <w:tcPr>
            <w:tcW w:w="20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2"/>
                <w:szCs w:val="12"/>
                <w:color w:val="auto"/>
              </w:rPr>
              <w:t>-16.8%</w:t>
            </w:r>
          </w:p>
        </w:tc>
      </w:tr>
      <w:tr>
        <w:trPr>
          <w:trHeight w:val="173"/>
        </w:trPr>
        <w:tc>
          <w:tcPr>
            <w:tcW w:w="3040" w:type="dxa"/>
            <w:vAlign w:val="bottom"/>
            <w:gridSpan w:val="2"/>
            <w:shd w:val="clear" w:color="auto" w:fill="CCEEFF"/>
          </w:tcPr>
          <w:p>
            <w:pPr>
              <w:spacing w:after="0" w:line="174" w:lineRule="exact"/>
              <w:rPr>
                <w:sz w:val="20"/>
                <w:szCs w:val="20"/>
                <w:color w:val="auto"/>
              </w:rPr>
            </w:pPr>
            <w:r>
              <w:rPr>
                <w:rFonts w:ascii="Arial" w:cs="Arial" w:eastAsia="Arial" w:hAnsi="Arial"/>
                <w:sz w:val="12"/>
                <w:szCs w:val="12"/>
                <w:color w:val="auto"/>
              </w:rPr>
              <w:t xml:space="preserve">Insurance underwriting result </w:t>
            </w:r>
            <w:r>
              <w:rPr>
                <w:rFonts w:ascii="Arial" w:cs="Arial" w:eastAsia="Arial" w:hAnsi="Arial"/>
                <w:sz w:val="20"/>
                <w:szCs w:val="20"/>
                <w:color w:val="auto"/>
                <w:vertAlign w:val="superscript"/>
              </w:rPr>
              <w:t>(1)</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118,225</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141,926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135,680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-4.4%</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14.8%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227,336</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277,606</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22.1%</w:t>
            </w:r>
          </w:p>
        </w:tc>
      </w:tr>
      <w:tr>
        <w:trPr>
          <w:trHeight w:val="173"/>
        </w:trPr>
        <w:tc>
          <w:tcPr>
            <w:tcW w:w="3040" w:type="dxa"/>
            <w:vAlign w:val="bottom"/>
            <w:gridSpan w:val="2"/>
          </w:tcPr>
          <w:p>
            <w:pPr>
              <w:spacing w:after="0" w:line="174" w:lineRule="exact"/>
              <w:rPr>
                <w:sz w:val="20"/>
                <w:szCs w:val="20"/>
                <w:color w:val="auto"/>
              </w:rPr>
            </w:pPr>
            <w:r>
              <w:rPr>
                <w:rFonts w:ascii="Arial" w:cs="Arial" w:eastAsia="Arial" w:hAnsi="Arial"/>
                <w:sz w:val="12"/>
                <w:szCs w:val="12"/>
                <w:color w:val="auto"/>
              </w:rPr>
              <w:t xml:space="preserve">Total expenses </w:t>
            </w:r>
            <w:r>
              <w:rPr>
                <w:rFonts w:ascii="Arial" w:cs="Arial" w:eastAsia="Arial" w:hAnsi="Arial"/>
                <w:sz w:val="20"/>
                <w:szCs w:val="20"/>
                <w:color w:val="auto"/>
                <w:vertAlign w:val="superscript"/>
              </w:rPr>
              <w:t>(1)</w:t>
            </w: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(1,582,452)</w:t>
            </w: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(1,778,635)</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(1,627,912)</w:t>
            </w: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-8.5%</w:t>
            </w:r>
          </w:p>
        </w:tc>
        <w:tc>
          <w:tcPr>
            <w:tcW w:w="2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2.9%</w:t>
            </w: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(3,136,428)</w:t>
            </w:r>
          </w:p>
        </w:tc>
        <w:tc>
          <w:tcPr>
            <w:tcW w:w="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(3,406,547)</w:t>
            </w:r>
          </w:p>
        </w:tc>
        <w:tc>
          <w:tcPr>
            <w:tcW w:w="1140" w:type="dxa"/>
            <w:vAlign w:val="bottom"/>
            <w:gridSpan w:val="2"/>
          </w:tcPr>
          <w:p>
            <w:pPr>
              <w:jc w:val="right"/>
              <w:ind w:right="20"/>
              <w:spacing w:after="0"/>
              <w:rPr>
                <w:sz w:val="20"/>
                <w:szCs w:val="20"/>
                <w:color w:val="auto"/>
              </w:rPr>
            </w:pPr>
            <w:r>
              <w:rPr>
                <w:rFonts w:ascii="Arial" w:cs="Arial" w:eastAsia="Arial" w:hAnsi="Arial"/>
                <w:sz w:val="12"/>
                <w:szCs w:val="12"/>
                <w:color w:val="auto"/>
              </w:rPr>
              <w:t>8.6%</w:t>
            </w:r>
          </w:p>
        </w:tc>
      </w:tr>
      <w:tr>
        <w:trPr>
          <w:trHeight w:val="133"/>
        </w:trPr>
        <w:tc>
          <w:tcPr>
            <w:tcW w:w="304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Profit before income tax (1)</w:t>
            </w:r>
          </w:p>
        </w:tc>
        <w:tc>
          <w:tcPr>
            <w:tcW w:w="8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1,534,997</w:t>
            </w:r>
          </w:p>
        </w:tc>
        <w:tc>
          <w:tcPr>
            <w:tcW w:w="2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b w:val="1"/>
                <w:bCs w:val="1"/>
                <w:color w:val="auto"/>
              </w:rPr>
              <w:t>358,974</w:t>
            </w:r>
          </w:p>
        </w:tc>
        <w:tc>
          <w:tcPr>
            <w:tcW w:w="9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b w:val="1"/>
                <w:bCs w:val="1"/>
                <w:color w:val="auto"/>
              </w:rPr>
              <w:t>(1,056,212)</w:t>
            </w:r>
          </w:p>
        </w:tc>
        <w:tc>
          <w:tcPr>
            <w:tcW w:w="102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b w:val="1"/>
                <w:bCs w:val="1"/>
                <w:color w:val="auto"/>
              </w:rPr>
              <w:t>-394.2%</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b w:val="1"/>
                <w:bCs w:val="1"/>
                <w:color w:val="auto"/>
              </w:rPr>
              <w:t>-168.8%</w:t>
            </w:r>
          </w:p>
        </w:tc>
        <w:tc>
          <w:tcPr>
            <w:tcW w:w="98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b w:val="1"/>
                <w:bCs w:val="1"/>
                <w:color w:val="auto"/>
              </w:rPr>
              <w:t>3,080,426</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b w:val="1"/>
                <w:bCs w:val="1"/>
                <w:color w:val="auto"/>
              </w:rPr>
              <w:t>(697,237)</w:t>
            </w:r>
          </w:p>
        </w:tc>
        <w:tc>
          <w:tcPr>
            <w:tcW w:w="114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-122.6%</w:t>
            </w:r>
          </w:p>
        </w:tc>
      </w:tr>
      <w:tr>
        <w:trPr>
          <w:trHeight w:val="173"/>
        </w:trPr>
        <w:tc>
          <w:tcPr>
            <w:tcW w:w="3040" w:type="dxa"/>
            <w:vAlign w:val="bottom"/>
            <w:gridSpan w:val="2"/>
          </w:tcPr>
          <w:p>
            <w:pPr>
              <w:spacing w:after="0" w:line="174" w:lineRule="exact"/>
              <w:rPr>
                <w:sz w:val="20"/>
                <w:szCs w:val="20"/>
                <w:color w:val="auto"/>
              </w:rPr>
            </w:pPr>
            <w:r>
              <w:rPr>
                <w:rFonts w:ascii="Arial" w:cs="Arial" w:eastAsia="Arial" w:hAnsi="Arial"/>
                <w:sz w:val="12"/>
                <w:szCs w:val="12"/>
                <w:color w:val="auto"/>
              </w:rPr>
              <w:t xml:space="preserve">Income taxes </w:t>
            </w:r>
            <w:r>
              <w:rPr>
                <w:rFonts w:ascii="Arial" w:cs="Arial" w:eastAsia="Arial" w:hAnsi="Arial"/>
                <w:sz w:val="20"/>
                <w:szCs w:val="20"/>
                <w:color w:val="auto"/>
                <w:vertAlign w:val="superscript"/>
              </w:rPr>
              <w:t>(1)</w:t>
            </w: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(414,466)</w:t>
            </w: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(145,799)</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414,775</w:t>
            </w: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-384.5%</w:t>
            </w:r>
          </w:p>
        </w:tc>
        <w:tc>
          <w:tcPr>
            <w:tcW w:w="2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-200.1%</w:t>
            </w: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(836,631)</w:t>
            </w:r>
          </w:p>
        </w:tc>
        <w:tc>
          <w:tcPr>
            <w:tcW w:w="8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268,976</w:t>
            </w:r>
          </w:p>
        </w:tc>
        <w:tc>
          <w:tcPr>
            <w:tcW w:w="1140" w:type="dxa"/>
            <w:vAlign w:val="bottom"/>
            <w:gridSpan w:val="2"/>
          </w:tcPr>
          <w:p>
            <w:pPr>
              <w:jc w:val="right"/>
              <w:ind w:right="20"/>
              <w:spacing w:after="0"/>
              <w:rPr>
                <w:sz w:val="20"/>
                <w:szCs w:val="20"/>
                <w:color w:val="auto"/>
              </w:rPr>
            </w:pPr>
            <w:r>
              <w:rPr>
                <w:rFonts w:ascii="Arial" w:cs="Arial" w:eastAsia="Arial" w:hAnsi="Arial"/>
                <w:sz w:val="12"/>
                <w:szCs w:val="12"/>
                <w:color w:val="auto"/>
              </w:rPr>
              <w:t>-132.1%</w:t>
            </w:r>
          </w:p>
        </w:tc>
      </w:tr>
      <w:tr>
        <w:trPr>
          <w:trHeight w:val="133"/>
        </w:trPr>
        <w:tc>
          <w:tcPr>
            <w:tcW w:w="304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Net profit</w:t>
            </w:r>
          </w:p>
        </w:tc>
        <w:tc>
          <w:tcPr>
            <w:tcW w:w="8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1,120,531</w:t>
            </w:r>
          </w:p>
        </w:tc>
        <w:tc>
          <w:tcPr>
            <w:tcW w:w="2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b w:val="1"/>
                <w:bCs w:val="1"/>
                <w:color w:val="auto"/>
              </w:rPr>
              <w:t>213,175</w:t>
            </w:r>
          </w:p>
        </w:tc>
        <w:tc>
          <w:tcPr>
            <w:tcW w:w="9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b w:val="1"/>
                <w:bCs w:val="1"/>
                <w:color w:val="auto"/>
              </w:rPr>
              <w:t>(641,437)</w:t>
            </w:r>
          </w:p>
        </w:tc>
        <w:tc>
          <w:tcPr>
            <w:tcW w:w="102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b w:val="1"/>
                <w:bCs w:val="1"/>
                <w:color w:val="auto"/>
              </w:rPr>
              <w:t>-400.9%</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b w:val="1"/>
                <w:bCs w:val="1"/>
                <w:color w:val="auto"/>
              </w:rPr>
              <w:t>-157.2%</w:t>
            </w:r>
          </w:p>
        </w:tc>
        <w:tc>
          <w:tcPr>
            <w:tcW w:w="98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b w:val="1"/>
                <w:bCs w:val="1"/>
                <w:color w:val="auto"/>
              </w:rPr>
              <w:t>2,243,795</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b w:val="1"/>
                <w:bCs w:val="1"/>
                <w:color w:val="auto"/>
              </w:rPr>
              <w:t>(428,261)</w:t>
            </w:r>
          </w:p>
        </w:tc>
        <w:tc>
          <w:tcPr>
            <w:tcW w:w="114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-119.1%</w:t>
            </w:r>
          </w:p>
        </w:tc>
      </w:tr>
      <w:tr>
        <w:trPr>
          <w:trHeight w:val="133"/>
        </w:trPr>
        <w:tc>
          <w:tcPr>
            <w:tcW w:w="3040" w:type="dxa"/>
            <w:vAlign w:val="bottom"/>
            <w:gridSpan w:val="2"/>
          </w:tcPr>
          <w:p>
            <w:pPr>
              <w:spacing w:after="0" w:line="134" w:lineRule="exact"/>
              <w:rPr>
                <w:sz w:val="20"/>
                <w:szCs w:val="20"/>
                <w:color w:val="auto"/>
              </w:rPr>
            </w:pPr>
            <w:r>
              <w:rPr>
                <w:rFonts w:ascii="Arial" w:cs="Arial" w:eastAsia="Arial" w:hAnsi="Arial"/>
                <w:sz w:val="12"/>
                <w:szCs w:val="12"/>
                <w:color w:val="auto"/>
              </w:rPr>
              <w:t>Non-controlling interest</w:t>
            </w:r>
          </w:p>
        </w:tc>
        <w:tc>
          <w:tcPr>
            <w:tcW w:w="104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21,958</w:t>
            </w:r>
          </w:p>
        </w:tc>
        <w:tc>
          <w:tcPr>
            <w:tcW w:w="104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3,901</w:t>
            </w:r>
          </w:p>
        </w:tc>
        <w:tc>
          <w:tcPr>
            <w:tcW w:w="9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(21,046)</w:t>
            </w:r>
          </w:p>
        </w:tc>
        <w:tc>
          <w:tcPr>
            <w:tcW w:w="10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-639.5%</w:t>
            </w:r>
          </w:p>
        </w:tc>
        <w:tc>
          <w:tcPr>
            <w:tcW w:w="200" w:type="dxa"/>
            <w:vAlign w:val="bottom"/>
          </w:tcPr>
          <w:p>
            <w:pPr>
              <w:spacing w:after="0"/>
              <w:rPr>
                <w:sz w:val="11"/>
                <w:szCs w:val="11"/>
                <w:color w:val="auto"/>
              </w:rPr>
            </w:pP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-195.8%</w:t>
            </w:r>
          </w:p>
        </w:tc>
        <w:tc>
          <w:tcPr>
            <w:tcW w:w="98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44,355</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(17,145)</w:t>
            </w:r>
          </w:p>
        </w:tc>
        <w:tc>
          <w:tcPr>
            <w:tcW w:w="114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-138.7%</w:t>
            </w:r>
          </w:p>
        </w:tc>
      </w:tr>
      <w:tr>
        <w:trPr>
          <w:trHeight w:val="133"/>
        </w:trPr>
        <w:tc>
          <w:tcPr>
            <w:tcW w:w="304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Net profit attributable to Credicorp</w:t>
            </w:r>
          </w:p>
        </w:tc>
        <w:tc>
          <w:tcPr>
            <w:tcW w:w="8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1,098,573</w:t>
            </w:r>
          </w:p>
        </w:tc>
        <w:tc>
          <w:tcPr>
            <w:tcW w:w="2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b w:val="1"/>
                <w:bCs w:val="1"/>
                <w:color w:val="auto"/>
              </w:rPr>
              <w:t>209,274</w:t>
            </w:r>
          </w:p>
        </w:tc>
        <w:tc>
          <w:tcPr>
            <w:tcW w:w="9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b w:val="1"/>
                <w:bCs w:val="1"/>
                <w:color w:val="auto"/>
              </w:rPr>
              <w:t>(620,391)</w:t>
            </w:r>
          </w:p>
        </w:tc>
        <w:tc>
          <w:tcPr>
            <w:tcW w:w="102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b w:val="1"/>
                <w:bCs w:val="1"/>
                <w:color w:val="auto"/>
              </w:rPr>
              <w:t>-396.4%</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b w:val="1"/>
                <w:bCs w:val="1"/>
                <w:color w:val="auto"/>
              </w:rPr>
              <w:t>-156.5%</w:t>
            </w:r>
          </w:p>
        </w:tc>
        <w:tc>
          <w:tcPr>
            <w:tcW w:w="98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b w:val="1"/>
                <w:bCs w:val="1"/>
                <w:color w:val="auto"/>
              </w:rPr>
              <w:t>2,199,440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b w:val="1"/>
                <w:bCs w:val="1"/>
                <w:color w:val="auto"/>
              </w:rPr>
              <w:t>(411,116)</w:t>
            </w:r>
          </w:p>
        </w:tc>
        <w:tc>
          <w:tcPr>
            <w:tcW w:w="114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-118.7%</w:t>
            </w:r>
          </w:p>
        </w:tc>
      </w:tr>
      <w:tr>
        <w:trPr>
          <w:trHeight w:val="133"/>
        </w:trPr>
        <w:tc>
          <w:tcPr>
            <w:tcW w:w="3040" w:type="dxa"/>
            <w:vAlign w:val="bottom"/>
            <w:gridSpan w:val="2"/>
          </w:tcPr>
          <w:p>
            <w:pPr>
              <w:spacing w:after="0" w:line="134" w:lineRule="exact"/>
              <w:rPr>
                <w:sz w:val="20"/>
                <w:szCs w:val="20"/>
                <w:color w:val="auto"/>
              </w:rPr>
            </w:pPr>
            <w:r>
              <w:rPr>
                <w:rFonts w:ascii="Arial" w:cs="Arial" w:eastAsia="Arial" w:hAnsi="Arial"/>
                <w:sz w:val="12"/>
                <w:szCs w:val="12"/>
                <w:color w:val="auto"/>
              </w:rPr>
              <w:t>Net income / share (S/)</w:t>
            </w:r>
          </w:p>
        </w:tc>
        <w:tc>
          <w:tcPr>
            <w:tcW w:w="800" w:type="dxa"/>
            <w:vAlign w:val="bottom"/>
          </w:tcPr>
          <w:p>
            <w:pPr>
              <w:jc w:val="right"/>
              <w:spacing w:after="0" w:line="134" w:lineRule="exact"/>
              <w:rPr>
                <w:sz w:val="20"/>
                <w:szCs w:val="20"/>
                <w:color w:val="auto"/>
              </w:rPr>
            </w:pPr>
            <w:r>
              <w:rPr>
                <w:rFonts w:ascii="Arial" w:cs="Arial" w:eastAsia="Arial" w:hAnsi="Arial"/>
                <w:sz w:val="12"/>
                <w:szCs w:val="12"/>
                <w:color w:val="auto"/>
              </w:rPr>
              <w:t>13.77</w:t>
            </w:r>
          </w:p>
        </w:tc>
        <w:tc>
          <w:tcPr>
            <w:tcW w:w="240" w:type="dxa"/>
            <w:vAlign w:val="bottom"/>
          </w:tcPr>
          <w:p>
            <w:pPr>
              <w:spacing w:after="0"/>
              <w:rPr>
                <w:sz w:val="11"/>
                <w:szCs w:val="11"/>
                <w:color w:val="auto"/>
              </w:rPr>
            </w:pPr>
          </w:p>
        </w:tc>
        <w:tc>
          <w:tcPr>
            <w:tcW w:w="104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2.62</w:t>
            </w:r>
          </w:p>
        </w:tc>
        <w:tc>
          <w:tcPr>
            <w:tcW w:w="9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(7.78)</w:t>
            </w:r>
          </w:p>
        </w:tc>
        <w:tc>
          <w:tcPr>
            <w:tcW w:w="10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-396.4%</w:t>
            </w:r>
          </w:p>
        </w:tc>
        <w:tc>
          <w:tcPr>
            <w:tcW w:w="200" w:type="dxa"/>
            <w:vAlign w:val="bottom"/>
          </w:tcPr>
          <w:p>
            <w:pPr>
              <w:spacing w:after="0"/>
              <w:rPr>
                <w:sz w:val="11"/>
                <w:szCs w:val="11"/>
                <w:color w:val="auto"/>
              </w:rPr>
            </w:pP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-156.5%</w:t>
            </w:r>
          </w:p>
        </w:tc>
        <w:tc>
          <w:tcPr>
            <w:tcW w:w="98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27.58</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(5.15)</w:t>
            </w:r>
          </w:p>
        </w:tc>
        <w:tc>
          <w:tcPr>
            <w:tcW w:w="114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-118.7%</w:t>
            </w:r>
          </w:p>
        </w:tc>
      </w:tr>
      <w:tr>
        <w:trPr>
          <w:trHeight w:val="133"/>
        </w:trPr>
        <w:tc>
          <w:tcPr>
            <w:tcW w:w="304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color w:val="auto"/>
              </w:rPr>
              <w:t>Loans</w:t>
            </w:r>
          </w:p>
        </w:tc>
        <w:tc>
          <w:tcPr>
            <w:tcW w:w="8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109,381,123</w:t>
            </w:r>
          </w:p>
        </w:tc>
        <w:tc>
          <w:tcPr>
            <w:tcW w:w="2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120,708,515</w:t>
            </w:r>
          </w:p>
        </w:tc>
        <w:tc>
          <w:tcPr>
            <w:tcW w:w="7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132,741,720</w:t>
            </w:r>
          </w:p>
        </w:tc>
        <w:tc>
          <w:tcPr>
            <w:tcW w:w="2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10.0%</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21.4%</w:t>
            </w:r>
          </w:p>
        </w:tc>
        <w:tc>
          <w:tcPr>
            <w:tcW w:w="98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109,381,123</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132,741,720</w:t>
            </w:r>
          </w:p>
        </w:tc>
        <w:tc>
          <w:tcPr>
            <w:tcW w:w="2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21.4%</w:t>
            </w:r>
          </w:p>
        </w:tc>
      </w:tr>
      <w:tr>
        <w:trPr>
          <w:trHeight w:val="133"/>
        </w:trPr>
        <w:tc>
          <w:tcPr>
            <w:tcW w:w="3040" w:type="dxa"/>
            <w:vAlign w:val="bottom"/>
            <w:gridSpan w:val="2"/>
          </w:tcPr>
          <w:p>
            <w:pPr>
              <w:spacing w:after="0" w:line="134" w:lineRule="exact"/>
              <w:rPr>
                <w:sz w:val="20"/>
                <w:szCs w:val="20"/>
                <w:color w:val="auto"/>
              </w:rPr>
            </w:pPr>
            <w:r>
              <w:rPr>
                <w:rFonts w:ascii="Arial" w:cs="Arial" w:eastAsia="Arial" w:hAnsi="Arial"/>
                <w:sz w:val="12"/>
                <w:szCs w:val="12"/>
                <w:color w:val="auto"/>
              </w:rPr>
              <w:t>Deposits and obligations</w:t>
            </w:r>
          </w:p>
        </w:tc>
        <w:tc>
          <w:tcPr>
            <w:tcW w:w="800" w:type="dxa"/>
            <w:vAlign w:val="bottom"/>
          </w:tcPr>
          <w:p>
            <w:pPr>
              <w:jc w:val="right"/>
              <w:spacing w:after="0" w:line="134" w:lineRule="exact"/>
              <w:rPr>
                <w:sz w:val="20"/>
                <w:szCs w:val="20"/>
                <w:color w:val="auto"/>
              </w:rPr>
            </w:pPr>
            <w:r>
              <w:rPr>
                <w:rFonts w:ascii="Arial" w:cs="Arial" w:eastAsia="Arial" w:hAnsi="Arial"/>
                <w:sz w:val="12"/>
                <w:szCs w:val="12"/>
                <w:color w:val="auto"/>
              </w:rPr>
              <w:t>103,157,044</w:t>
            </w:r>
          </w:p>
        </w:tc>
        <w:tc>
          <w:tcPr>
            <w:tcW w:w="240" w:type="dxa"/>
            <w:vAlign w:val="bottom"/>
          </w:tcPr>
          <w:p>
            <w:pPr>
              <w:spacing w:after="0"/>
              <w:rPr>
                <w:sz w:val="11"/>
                <w:szCs w:val="11"/>
                <w:color w:val="auto"/>
              </w:rPr>
            </w:pPr>
          </w:p>
        </w:tc>
        <w:tc>
          <w:tcPr>
            <w:tcW w:w="104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119,563,545</w:t>
            </w:r>
          </w:p>
        </w:tc>
        <w:tc>
          <w:tcPr>
            <w:tcW w:w="780" w:type="dxa"/>
            <w:vAlign w:val="bottom"/>
          </w:tcPr>
          <w:p>
            <w:pPr>
              <w:jc w:val="right"/>
              <w:spacing w:after="0" w:line="134" w:lineRule="exact"/>
              <w:rPr>
                <w:sz w:val="20"/>
                <w:szCs w:val="20"/>
                <w:color w:val="auto"/>
              </w:rPr>
            </w:pPr>
            <w:r>
              <w:rPr>
                <w:rFonts w:ascii="Arial" w:cs="Arial" w:eastAsia="Arial" w:hAnsi="Arial"/>
                <w:sz w:val="12"/>
                <w:szCs w:val="12"/>
                <w:color w:val="auto"/>
              </w:rPr>
              <w:t>129,664,332</w:t>
            </w:r>
          </w:p>
        </w:tc>
        <w:tc>
          <w:tcPr>
            <w:tcW w:w="200" w:type="dxa"/>
            <w:vAlign w:val="bottom"/>
          </w:tcPr>
          <w:p>
            <w:pPr>
              <w:spacing w:after="0"/>
              <w:rPr>
                <w:sz w:val="11"/>
                <w:szCs w:val="11"/>
                <w:color w:val="auto"/>
              </w:rPr>
            </w:pPr>
          </w:p>
        </w:tc>
        <w:tc>
          <w:tcPr>
            <w:tcW w:w="10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8.4%</w:t>
            </w:r>
          </w:p>
        </w:tc>
        <w:tc>
          <w:tcPr>
            <w:tcW w:w="200" w:type="dxa"/>
            <w:vAlign w:val="bottom"/>
          </w:tcPr>
          <w:p>
            <w:pPr>
              <w:spacing w:after="0"/>
              <w:rPr>
                <w:sz w:val="11"/>
                <w:szCs w:val="11"/>
                <w:color w:val="auto"/>
              </w:rPr>
            </w:pP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25.7%</w:t>
            </w:r>
          </w:p>
        </w:tc>
        <w:tc>
          <w:tcPr>
            <w:tcW w:w="98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103,157,044</w:t>
            </w:r>
          </w:p>
        </w:tc>
        <w:tc>
          <w:tcPr>
            <w:tcW w:w="8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129,664,332</w:t>
            </w:r>
          </w:p>
        </w:tc>
        <w:tc>
          <w:tcPr>
            <w:tcW w:w="200" w:type="dxa"/>
            <w:vAlign w:val="bottom"/>
          </w:tcPr>
          <w:p>
            <w:pPr>
              <w:spacing w:after="0"/>
              <w:rPr>
                <w:sz w:val="11"/>
                <w:szCs w:val="11"/>
                <w:color w:val="auto"/>
              </w:rPr>
            </w:pPr>
          </w:p>
        </w:tc>
        <w:tc>
          <w:tcPr>
            <w:tcW w:w="114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25.7%</w:t>
            </w:r>
          </w:p>
        </w:tc>
      </w:tr>
      <w:tr>
        <w:trPr>
          <w:trHeight w:val="133"/>
        </w:trPr>
        <w:tc>
          <w:tcPr>
            <w:tcW w:w="304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color w:val="auto"/>
              </w:rPr>
              <w:t>Net equity</w:t>
            </w:r>
          </w:p>
        </w:tc>
        <w:tc>
          <w:tcPr>
            <w:tcW w:w="104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25,221,894</w:t>
            </w:r>
          </w:p>
        </w:tc>
        <w:tc>
          <w:tcPr>
            <w:tcW w:w="104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23,205,639</w:t>
            </w:r>
          </w:p>
        </w:tc>
        <w:tc>
          <w:tcPr>
            <w:tcW w:w="98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23,396,028</w:t>
            </w:r>
          </w:p>
        </w:tc>
        <w:tc>
          <w:tcPr>
            <w:tcW w:w="10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0.8%</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-7.2%</w:t>
            </w:r>
          </w:p>
        </w:tc>
        <w:tc>
          <w:tcPr>
            <w:tcW w:w="98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25,221,894</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23,396,028</w:t>
            </w:r>
          </w:p>
        </w:tc>
        <w:tc>
          <w:tcPr>
            <w:tcW w:w="114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-7.2%</w:t>
            </w:r>
          </w:p>
        </w:tc>
      </w:tr>
      <w:tr>
        <w:trPr>
          <w:trHeight w:val="133"/>
        </w:trPr>
        <w:tc>
          <w:tcPr>
            <w:tcW w:w="30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Profitability</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73"/>
        </w:trPr>
        <w:tc>
          <w:tcPr>
            <w:tcW w:w="3040" w:type="dxa"/>
            <w:vAlign w:val="bottom"/>
            <w:gridSpan w:val="2"/>
            <w:shd w:val="clear" w:color="auto" w:fill="CCEEFF"/>
          </w:tcPr>
          <w:p>
            <w:pPr>
              <w:spacing w:after="0" w:line="174" w:lineRule="exact"/>
              <w:rPr>
                <w:sz w:val="20"/>
                <w:szCs w:val="20"/>
                <w:color w:val="auto"/>
              </w:rPr>
            </w:pPr>
            <w:r>
              <w:rPr>
                <w:rFonts w:ascii="Arial" w:cs="Arial" w:eastAsia="Arial" w:hAnsi="Arial"/>
                <w:sz w:val="12"/>
                <w:szCs w:val="12"/>
                <w:color w:val="auto"/>
              </w:rPr>
              <w:t xml:space="preserve">Net interest margin </w:t>
            </w:r>
            <w:r>
              <w:rPr>
                <w:rFonts w:ascii="Arial" w:cs="Arial" w:eastAsia="Arial" w:hAnsi="Arial"/>
                <w:sz w:val="20"/>
                <w:szCs w:val="20"/>
                <w:color w:val="auto"/>
                <w:vertAlign w:val="superscript"/>
              </w:rPr>
              <w:t>(1)(2)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5.47%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5.35%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4.03%</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2"/>
                <w:szCs w:val="12"/>
                <w:color w:val="auto"/>
              </w:rPr>
              <w:t>-132 pbs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-144 pbs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5.41%</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4.55%</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-86 bps</w:t>
            </w:r>
          </w:p>
        </w:tc>
      </w:tr>
      <w:tr>
        <w:trPr>
          <w:trHeight w:val="173"/>
        </w:trPr>
        <w:tc>
          <w:tcPr>
            <w:tcW w:w="3040" w:type="dxa"/>
            <w:vAlign w:val="bottom"/>
            <w:gridSpan w:val="2"/>
          </w:tcPr>
          <w:p>
            <w:pPr>
              <w:spacing w:after="0" w:line="174" w:lineRule="exact"/>
              <w:rPr>
                <w:sz w:val="20"/>
                <w:szCs w:val="20"/>
                <w:color w:val="auto"/>
              </w:rPr>
            </w:pPr>
            <w:r>
              <w:rPr>
                <w:rFonts w:ascii="Arial" w:cs="Arial" w:eastAsia="Arial" w:hAnsi="Arial"/>
                <w:sz w:val="12"/>
                <w:szCs w:val="12"/>
                <w:color w:val="auto"/>
              </w:rPr>
              <w:t xml:space="preserve">Risk-adjusted Net interest margin </w:t>
            </w:r>
            <w:r>
              <w:rPr>
                <w:rFonts w:ascii="Arial" w:cs="Arial" w:eastAsia="Arial" w:hAnsi="Arial"/>
                <w:sz w:val="20"/>
                <w:szCs w:val="20"/>
                <w:color w:val="auto"/>
                <w:vertAlign w:val="superscript"/>
              </w:rPr>
              <w:t>(1)(2)</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4.38%</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2.33%</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-1.19%</w:t>
            </w:r>
          </w:p>
        </w:tc>
        <w:tc>
          <w:tcPr>
            <w:tcW w:w="1220" w:type="dxa"/>
            <w:vAlign w:val="bottom"/>
            <w:gridSpan w:val="3"/>
          </w:tcPr>
          <w:p>
            <w:pPr>
              <w:jc w:val="right"/>
              <w:ind w:right="440"/>
              <w:spacing w:after="0"/>
              <w:rPr>
                <w:sz w:val="20"/>
                <w:szCs w:val="20"/>
                <w:color w:val="auto"/>
              </w:rPr>
            </w:pPr>
            <w:r>
              <w:rPr>
                <w:rFonts w:ascii="Arial" w:cs="Arial" w:eastAsia="Arial" w:hAnsi="Arial"/>
                <w:sz w:val="12"/>
                <w:szCs w:val="12"/>
                <w:color w:val="auto"/>
              </w:rPr>
              <w:t>-352 pbs</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-557 pbs</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4.40%</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0.48%</w:t>
            </w: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-392 bps</w:t>
            </w:r>
          </w:p>
        </w:tc>
      </w:tr>
      <w:tr>
        <w:trPr>
          <w:trHeight w:val="173"/>
        </w:trPr>
        <w:tc>
          <w:tcPr>
            <w:tcW w:w="3040" w:type="dxa"/>
            <w:vAlign w:val="bottom"/>
            <w:gridSpan w:val="2"/>
            <w:shd w:val="clear" w:color="auto" w:fill="CCEEFF"/>
          </w:tcPr>
          <w:p>
            <w:pPr>
              <w:spacing w:after="0" w:line="174" w:lineRule="exact"/>
              <w:rPr>
                <w:sz w:val="20"/>
                <w:szCs w:val="20"/>
                <w:color w:val="auto"/>
              </w:rPr>
            </w:pPr>
            <w:r>
              <w:rPr>
                <w:rFonts w:ascii="Arial" w:cs="Arial" w:eastAsia="Arial" w:hAnsi="Arial"/>
                <w:sz w:val="12"/>
                <w:szCs w:val="12"/>
                <w:color w:val="auto"/>
              </w:rPr>
              <w:t xml:space="preserve">Funding cost </w:t>
            </w:r>
            <w:r>
              <w:rPr>
                <w:rFonts w:ascii="Arial" w:cs="Arial" w:eastAsia="Arial" w:hAnsi="Arial"/>
                <w:sz w:val="20"/>
                <w:szCs w:val="20"/>
                <w:color w:val="auto"/>
                <w:vertAlign w:val="superscript"/>
              </w:rPr>
              <w:t>(1)(2)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1.86%</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2"/>
                <w:szCs w:val="12"/>
                <w:color w:val="auto"/>
              </w:rPr>
              <w:t>-28 pbs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-60 pbs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2.40%</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1.95%</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-45 bps</w:t>
            </w:r>
          </w:p>
        </w:tc>
      </w:tr>
      <w:tr>
        <w:trPr>
          <w:trHeight w:val="173"/>
        </w:trPr>
        <w:tc>
          <w:tcPr>
            <w:tcW w:w="3040" w:type="dxa"/>
            <w:vAlign w:val="bottom"/>
            <w:gridSpan w:val="2"/>
          </w:tcPr>
          <w:p>
            <w:pPr>
              <w:spacing w:after="0" w:line="174" w:lineRule="exact"/>
              <w:rPr>
                <w:sz w:val="20"/>
                <w:szCs w:val="20"/>
                <w:color w:val="auto"/>
              </w:rPr>
            </w:pPr>
            <w:r>
              <w:rPr>
                <w:rFonts w:ascii="Arial" w:cs="Arial" w:eastAsia="Arial" w:hAnsi="Arial"/>
                <w:sz w:val="12"/>
                <w:szCs w:val="12"/>
                <w:color w:val="auto"/>
              </w:rPr>
              <w:t xml:space="preserve">ROAE </w:t>
            </w:r>
            <w:r>
              <w:rPr>
                <w:rFonts w:ascii="Arial" w:cs="Arial" w:eastAsia="Arial" w:hAnsi="Arial"/>
                <w:sz w:val="20"/>
                <w:szCs w:val="20"/>
                <w:color w:val="auto"/>
                <w:vertAlign w:val="superscript"/>
              </w:rPr>
              <w:t>(2)</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18.0%</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3.4%</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-10.7%</w:t>
            </w:r>
          </w:p>
        </w:tc>
        <w:tc>
          <w:tcPr>
            <w:tcW w:w="1220" w:type="dxa"/>
            <w:vAlign w:val="bottom"/>
            <w:gridSpan w:val="3"/>
          </w:tcPr>
          <w:p>
            <w:pPr>
              <w:jc w:val="right"/>
              <w:ind w:right="440"/>
              <w:spacing w:after="0"/>
              <w:rPr>
                <w:sz w:val="20"/>
                <w:szCs w:val="20"/>
                <w:color w:val="auto"/>
              </w:rPr>
            </w:pPr>
            <w:r>
              <w:rPr>
                <w:rFonts w:ascii="Arial" w:cs="Arial" w:eastAsia="Arial" w:hAnsi="Arial"/>
                <w:sz w:val="12"/>
                <w:szCs w:val="12"/>
                <w:color w:val="auto"/>
              </w:rPr>
              <w:t>-1410 pbs</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-2870 pbs</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17.90%</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-3.31%</w:t>
            </w: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-2120 bps</w:t>
            </w:r>
          </w:p>
        </w:tc>
      </w:tr>
      <w:tr>
        <w:trPr>
          <w:trHeight w:val="173"/>
        </w:trPr>
        <w:tc>
          <w:tcPr>
            <w:tcW w:w="3040" w:type="dxa"/>
            <w:vAlign w:val="bottom"/>
            <w:gridSpan w:val="2"/>
            <w:shd w:val="clear" w:color="auto" w:fill="CCEEFF"/>
          </w:tcPr>
          <w:p>
            <w:pPr>
              <w:spacing w:after="0" w:line="174" w:lineRule="exact"/>
              <w:rPr>
                <w:sz w:val="20"/>
                <w:szCs w:val="20"/>
                <w:color w:val="auto"/>
              </w:rPr>
            </w:pPr>
            <w:r>
              <w:rPr>
                <w:rFonts w:ascii="Arial" w:cs="Arial" w:eastAsia="Arial" w:hAnsi="Arial"/>
                <w:sz w:val="20"/>
                <w:szCs w:val="20"/>
                <w:color w:val="auto"/>
                <w:vertAlign w:val="subscript"/>
              </w:rPr>
              <w:t>ROAA</w:t>
            </w:r>
            <w:r>
              <w:rPr>
                <w:rFonts w:ascii="Arial" w:cs="Arial" w:eastAsia="Arial" w:hAnsi="Arial"/>
                <w:sz w:val="9"/>
                <w:szCs w:val="9"/>
                <w:color w:val="auto"/>
              </w:rPr>
              <w:t xml:space="preserve"> (1)(2)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2"/>
                <w:szCs w:val="12"/>
                <w:color w:val="auto"/>
              </w:rPr>
              <w:t>-160 pbs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-370 pbs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-0.4%</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-290 bps</w:t>
            </w:r>
          </w:p>
        </w:tc>
      </w:tr>
      <w:tr>
        <w:trPr>
          <w:trHeight w:val="133"/>
        </w:trPr>
        <w:tc>
          <w:tcPr>
            <w:tcW w:w="30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Loan portfolio quality</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73"/>
        </w:trPr>
        <w:tc>
          <w:tcPr>
            <w:tcW w:w="3040" w:type="dxa"/>
            <w:vAlign w:val="bottom"/>
            <w:gridSpan w:val="2"/>
            <w:shd w:val="clear" w:color="auto" w:fill="CCEEFF"/>
          </w:tcPr>
          <w:p>
            <w:pPr>
              <w:spacing w:after="0" w:line="174" w:lineRule="exact"/>
              <w:rPr>
                <w:sz w:val="20"/>
                <w:szCs w:val="20"/>
                <w:color w:val="auto"/>
              </w:rPr>
            </w:pPr>
            <w:r>
              <w:rPr>
                <w:rFonts w:ascii="Arial" w:cs="Arial" w:eastAsia="Arial" w:hAnsi="Arial"/>
                <w:sz w:val="12"/>
                <w:szCs w:val="12"/>
                <w:color w:val="auto"/>
              </w:rPr>
              <w:t xml:space="preserve">IOL ratio </w:t>
            </w:r>
            <w:r>
              <w:rPr>
                <w:rFonts w:ascii="Arial" w:cs="Arial" w:eastAsia="Arial" w:hAnsi="Arial"/>
                <w:sz w:val="20"/>
                <w:szCs w:val="20"/>
                <w:color w:val="auto"/>
                <w:vertAlign w:val="superscript"/>
              </w:rPr>
              <w:t>(3)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3.00%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2.89%</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2"/>
                <w:szCs w:val="12"/>
                <w:color w:val="auto"/>
              </w:rPr>
              <w:t>-8 pbs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 pbs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3.00%</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2.89%</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 bps</w:t>
            </w:r>
          </w:p>
        </w:tc>
      </w:tr>
      <w:tr>
        <w:trPr>
          <w:trHeight w:val="133"/>
        </w:trPr>
        <w:tc>
          <w:tcPr>
            <w:tcW w:w="3040" w:type="dxa"/>
            <w:vAlign w:val="bottom"/>
            <w:gridSpan w:val="2"/>
          </w:tcPr>
          <w:p>
            <w:pPr>
              <w:spacing w:after="0" w:line="134" w:lineRule="exact"/>
              <w:rPr>
                <w:sz w:val="20"/>
                <w:szCs w:val="20"/>
                <w:color w:val="auto"/>
              </w:rPr>
            </w:pPr>
            <w:r>
              <w:rPr>
                <w:rFonts w:ascii="Arial" w:cs="Arial" w:eastAsia="Arial" w:hAnsi="Arial"/>
                <w:sz w:val="12"/>
                <w:szCs w:val="12"/>
                <w:color w:val="auto"/>
              </w:rPr>
              <w:t>IOL over 90 days ratio</w:t>
            </w:r>
          </w:p>
        </w:tc>
        <w:tc>
          <w:tcPr>
            <w:tcW w:w="104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2.22%</w:t>
            </w:r>
          </w:p>
        </w:tc>
        <w:tc>
          <w:tcPr>
            <w:tcW w:w="104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1.86%</w:t>
            </w:r>
          </w:p>
        </w:tc>
        <w:tc>
          <w:tcPr>
            <w:tcW w:w="98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1.50%</w:t>
            </w:r>
          </w:p>
        </w:tc>
        <w:tc>
          <w:tcPr>
            <w:tcW w:w="1220" w:type="dxa"/>
            <w:vAlign w:val="bottom"/>
            <w:gridSpan w:val="3"/>
          </w:tcPr>
          <w:p>
            <w:pPr>
              <w:jc w:val="right"/>
              <w:ind w:right="440"/>
              <w:spacing w:after="0" w:line="134" w:lineRule="exact"/>
              <w:rPr>
                <w:sz w:val="20"/>
                <w:szCs w:val="20"/>
                <w:color w:val="auto"/>
              </w:rPr>
            </w:pPr>
            <w:r>
              <w:rPr>
                <w:rFonts w:ascii="Arial" w:cs="Arial" w:eastAsia="Arial" w:hAnsi="Arial"/>
                <w:sz w:val="12"/>
                <w:szCs w:val="12"/>
                <w:color w:val="auto"/>
              </w:rPr>
              <w:t>-36 pbs</w:t>
            </w:r>
          </w:p>
        </w:tc>
        <w:tc>
          <w:tcPr>
            <w:tcW w:w="82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-72 pbs</w:t>
            </w:r>
          </w:p>
        </w:tc>
        <w:tc>
          <w:tcPr>
            <w:tcW w:w="98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2.22%</w:t>
            </w:r>
          </w:p>
        </w:tc>
        <w:tc>
          <w:tcPr>
            <w:tcW w:w="80" w:type="dxa"/>
            <w:vAlign w:val="bottom"/>
          </w:tcPr>
          <w:p>
            <w:pPr>
              <w:spacing w:after="0"/>
              <w:rPr>
                <w:sz w:val="11"/>
                <w:szCs w:val="11"/>
                <w:color w:val="auto"/>
              </w:rPr>
            </w:pPr>
          </w:p>
        </w:tc>
        <w:tc>
          <w:tcPr>
            <w:tcW w:w="90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1.50%</w:t>
            </w:r>
          </w:p>
        </w:tc>
        <w:tc>
          <w:tcPr>
            <w:tcW w:w="114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-72 bps</w:t>
            </w:r>
          </w:p>
        </w:tc>
      </w:tr>
      <w:tr>
        <w:trPr>
          <w:trHeight w:val="173"/>
        </w:trPr>
        <w:tc>
          <w:tcPr>
            <w:tcW w:w="3040" w:type="dxa"/>
            <w:vAlign w:val="bottom"/>
            <w:gridSpan w:val="2"/>
            <w:shd w:val="clear" w:color="auto" w:fill="CCEEFF"/>
          </w:tcPr>
          <w:p>
            <w:pPr>
              <w:spacing w:after="0" w:line="174" w:lineRule="exact"/>
              <w:rPr>
                <w:sz w:val="20"/>
                <w:szCs w:val="20"/>
                <w:color w:val="auto"/>
              </w:rPr>
            </w:pPr>
            <w:r>
              <w:rPr>
                <w:rFonts w:ascii="Arial" w:cs="Arial" w:eastAsia="Arial" w:hAnsi="Arial"/>
                <w:sz w:val="12"/>
                <w:szCs w:val="12"/>
                <w:color w:val="auto"/>
              </w:rPr>
              <w:t xml:space="preserve">NPL ratio </w:t>
            </w:r>
            <w:r>
              <w:rPr>
                <w:rFonts w:ascii="Arial" w:cs="Arial" w:eastAsia="Arial" w:hAnsi="Arial"/>
                <w:sz w:val="20"/>
                <w:szCs w:val="20"/>
                <w:color w:val="auto"/>
                <w:vertAlign w:val="superscript"/>
              </w:rPr>
              <w:t>(4)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3.78%</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2"/>
                <w:szCs w:val="12"/>
                <w:color w:val="auto"/>
              </w:rPr>
              <w:t>-12 pbs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-33 pbs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4.11%</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3.78%</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-33 bps</w:t>
            </w:r>
          </w:p>
        </w:tc>
      </w:tr>
      <w:tr>
        <w:trPr>
          <w:trHeight w:val="173"/>
        </w:trPr>
        <w:tc>
          <w:tcPr>
            <w:tcW w:w="3040" w:type="dxa"/>
            <w:vAlign w:val="bottom"/>
            <w:gridSpan w:val="2"/>
          </w:tcPr>
          <w:p>
            <w:pPr>
              <w:spacing w:after="0" w:line="174" w:lineRule="exact"/>
              <w:rPr>
                <w:sz w:val="20"/>
                <w:szCs w:val="20"/>
                <w:color w:val="auto"/>
              </w:rPr>
            </w:pPr>
            <w:r>
              <w:rPr>
                <w:rFonts w:ascii="Arial" w:cs="Arial" w:eastAsia="Arial" w:hAnsi="Arial"/>
                <w:sz w:val="12"/>
                <w:szCs w:val="12"/>
                <w:color w:val="auto"/>
              </w:rPr>
              <w:t xml:space="preserve">Cost of risk </w:t>
            </w:r>
            <w:r>
              <w:rPr>
                <w:rFonts w:ascii="Arial" w:cs="Arial" w:eastAsia="Arial" w:hAnsi="Arial"/>
                <w:sz w:val="20"/>
                <w:szCs w:val="20"/>
                <w:color w:val="auto"/>
                <w:vertAlign w:val="superscript"/>
              </w:rPr>
              <w:t>(2)(5)</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1.64%</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4.45%</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7.66%</w:t>
            </w:r>
          </w:p>
        </w:tc>
        <w:tc>
          <w:tcPr>
            <w:tcW w:w="1220" w:type="dxa"/>
            <w:vAlign w:val="bottom"/>
            <w:gridSpan w:val="3"/>
          </w:tcPr>
          <w:p>
            <w:pPr>
              <w:jc w:val="right"/>
              <w:ind w:right="440"/>
              <w:spacing w:after="0"/>
              <w:rPr>
                <w:sz w:val="20"/>
                <w:szCs w:val="20"/>
                <w:color w:val="auto"/>
              </w:rPr>
            </w:pPr>
            <w:r>
              <w:rPr>
                <w:rFonts w:ascii="Arial" w:cs="Arial" w:eastAsia="Arial" w:hAnsi="Arial"/>
                <w:sz w:val="12"/>
                <w:szCs w:val="12"/>
                <w:color w:val="auto"/>
              </w:rPr>
              <w:t>321 pbs</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602 pbs</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1.52%</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5.85%</w:t>
            </w: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433 bps</w:t>
            </w:r>
          </w:p>
        </w:tc>
      </w:tr>
      <w:tr>
        <w:trPr>
          <w:trHeight w:val="133"/>
        </w:trPr>
        <w:tc>
          <w:tcPr>
            <w:tcW w:w="304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color w:val="auto"/>
              </w:rPr>
              <w:t>Coverage ratio of IOLs</w:t>
            </w:r>
          </w:p>
        </w:tc>
        <w:tc>
          <w:tcPr>
            <w:tcW w:w="104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148.5%</w:t>
            </w:r>
          </w:p>
        </w:tc>
        <w:tc>
          <w:tcPr>
            <w:tcW w:w="104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165.7%</w:t>
            </w:r>
          </w:p>
        </w:tc>
        <w:tc>
          <w:tcPr>
            <w:tcW w:w="98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218.9%</w:t>
            </w:r>
          </w:p>
        </w:tc>
        <w:tc>
          <w:tcPr>
            <w:tcW w:w="1220" w:type="dxa"/>
            <w:vAlign w:val="bottom"/>
            <w:gridSpan w:val="3"/>
            <w:shd w:val="clear" w:color="auto" w:fill="CCEEFF"/>
          </w:tcPr>
          <w:p>
            <w:pPr>
              <w:jc w:val="right"/>
              <w:ind w:right="440"/>
              <w:spacing w:after="0" w:line="134" w:lineRule="exact"/>
              <w:rPr>
                <w:sz w:val="20"/>
                <w:szCs w:val="20"/>
                <w:color w:val="auto"/>
              </w:rPr>
            </w:pPr>
            <w:r>
              <w:rPr>
                <w:rFonts w:ascii="Arial" w:cs="Arial" w:eastAsia="Arial" w:hAnsi="Arial"/>
                <w:sz w:val="12"/>
                <w:szCs w:val="12"/>
                <w:color w:val="auto"/>
              </w:rPr>
              <w:t>5320 pbs</w:t>
            </w:r>
          </w:p>
        </w:tc>
        <w:tc>
          <w:tcPr>
            <w:tcW w:w="82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7040 pbs</w:t>
            </w:r>
          </w:p>
        </w:tc>
        <w:tc>
          <w:tcPr>
            <w:tcW w:w="98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148.5%</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218.9%</w:t>
            </w:r>
          </w:p>
        </w:tc>
        <w:tc>
          <w:tcPr>
            <w:tcW w:w="114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7040 bps</w:t>
            </w:r>
          </w:p>
        </w:tc>
      </w:tr>
      <w:tr>
        <w:trPr>
          <w:trHeight w:val="133"/>
        </w:trPr>
        <w:tc>
          <w:tcPr>
            <w:tcW w:w="3040" w:type="dxa"/>
            <w:vAlign w:val="bottom"/>
            <w:gridSpan w:val="2"/>
          </w:tcPr>
          <w:p>
            <w:pPr>
              <w:spacing w:after="0" w:line="134" w:lineRule="exact"/>
              <w:rPr>
                <w:sz w:val="20"/>
                <w:szCs w:val="20"/>
                <w:color w:val="auto"/>
              </w:rPr>
            </w:pPr>
            <w:r>
              <w:rPr>
                <w:rFonts w:ascii="Arial" w:cs="Arial" w:eastAsia="Arial" w:hAnsi="Arial"/>
                <w:sz w:val="12"/>
                <w:szCs w:val="12"/>
                <w:color w:val="auto"/>
              </w:rPr>
              <w:t>Coverage ratio of IOL 90-days</w:t>
            </w:r>
          </w:p>
        </w:tc>
        <w:tc>
          <w:tcPr>
            <w:tcW w:w="104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201.3%</w:t>
            </w:r>
          </w:p>
        </w:tc>
        <w:tc>
          <w:tcPr>
            <w:tcW w:w="104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264.8%</w:t>
            </w:r>
          </w:p>
        </w:tc>
        <w:tc>
          <w:tcPr>
            <w:tcW w:w="98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423.2%</w:t>
            </w:r>
          </w:p>
        </w:tc>
        <w:tc>
          <w:tcPr>
            <w:tcW w:w="1220" w:type="dxa"/>
            <w:vAlign w:val="bottom"/>
            <w:gridSpan w:val="3"/>
          </w:tcPr>
          <w:p>
            <w:pPr>
              <w:jc w:val="right"/>
              <w:ind w:right="440"/>
              <w:spacing w:after="0" w:line="134" w:lineRule="exact"/>
              <w:rPr>
                <w:sz w:val="20"/>
                <w:szCs w:val="20"/>
                <w:color w:val="auto"/>
              </w:rPr>
            </w:pPr>
            <w:r>
              <w:rPr>
                <w:rFonts w:ascii="Arial" w:cs="Arial" w:eastAsia="Arial" w:hAnsi="Arial"/>
                <w:sz w:val="12"/>
                <w:szCs w:val="12"/>
                <w:color w:val="auto"/>
              </w:rPr>
              <w:t>15840 pbs</w:t>
            </w:r>
          </w:p>
        </w:tc>
        <w:tc>
          <w:tcPr>
            <w:tcW w:w="82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w w:val="99"/>
              </w:rPr>
              <w:t>22190 pbs</w:t>
            </w:r>
          </w:p>
        </w:tc>
        <w:tc>
          <w:tcPr>
            <w:tcW w:w="98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201.3%</w:t>
            </w:r>
          </w:p>
        </w:tc>
        <w:tc>
          <w:tcPr>
            <w:tcW w:w="80" w:type="dxa"/>
            <w:vAlign w:val="bottom"/>
          </w:tcPr>
          <w:p>
            <w:pPr>
              <w:spacing w:after="0"/>
              <w:rPr>
                <w:sz w:val="11"/>
                <w:szCs w:val="11"/>
                <w:color w:val="auto"/>
              </w:rPr>
            </w:pPr>
          </w:p>
        </w:tc>
        <w:tc>
          <w:tcPr>
            <w:tcW w:w="90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423.2%</w:t>
            </w:r>
          </w:p>
        </w:tc>
        <w:tc>
          <w:tcPr>
            <w:tcW w:w="114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22190 bps</w:t>
            </w:r>
          </w:p>
        </w:tc>
      </w:tr>
      <w:tr>
        <w:trPr>
          <w:trHeight w:val="133"/>
        </w:trPr>
        <w:tc>
          <w:tcPr>
            <w:tcW w:w="304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color w:val="auto"/>
              </w:rPr>
              <w:t>Coverage ratio of NPLs</w:t>
            </w:r>
          </w:p>
        </w:tc>
        <w:tc>
          <w:tcPr>
            <w:tcW w:w="104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108.5%</w:t>
            </w:r>
          </w:p>
        </w:tc>
        <w:tc>
          <w:tcPr>
            <w:tcW w:w="104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126.1%</w:t>
            </w:r>
          </w:p>
        </w:tc>
        <w:tc>
          <w:tcPr>
            <w:tcW w:w="98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167.5%</w:t>
            </w:r>
          </w:p>
        </w:tc>
        <w:tc>
          <w:tcPr>
            <w:tcW w:w="1220" w:type="dxa"/>
            <w:vAlign w:val="bottom"/>
            <w:gridSpan w:val="3"/>
            <w:shd w:val="clear" w:color="auto" w:fill="CCEEFF"/>
          </w:tcPr>
          <w:p>
            <w:pPr>
              <w:jc w:val="right"/>
              <w:ind w:right="440"/>
              <w:spacing w:after="0" w:line="134" w:lineRule="exact"/>
              <w:rPr>
                <w:sz w:val="20"/>
                <w:szCs w:val="20"/>
                <w:color w:val="auto"/>
              </w:rPr>
            </w:pPr>
            <w:r>
              <w:rPr>
                <w:rFonts w:ascii="Arial" w:cs="Arial" w:eastAsia="Arial" w:hAnsi="Arial"/>
                <w:sz w:val="12"/>
                <w:szCs w:val="12"/>
                <w:color w:val="auto"/>
              </w:rPr>
              <w:t>4140 pbs</w:t>
            </w:r>
          </w:p>
        </w:tc>
        <w:tc>
          <w:tcPr>
            <w:tcW w:w="82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5900 pbs</w:t>
            </w:r>
          </w:p>
        </w:tc>
        <w:tc>
          <w:tcPr>
            <w:tcW w:w="98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108.5%</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167.5%</w:t>
            </w:r>
          </w:p>
        </w:tc>
        <w:tc>
          <w:tcPr>
            <w:tcW w:w="114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5900 bps</w:t>
            </w:r>
          </w:p>
        </w:tc>
      </w:tr>
      <w:tr>
        <w:trPr>
          <w:trHeight w:val="133"/>
        </w:trPr>
        <w:tc>
          <w:tcPr>
            <w:tcW w:w="30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Operating efficiency</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73"/>
        </w:trPr>
        <w:tc>
          <w:tcPr>
            <w:tcW w:w="3040" w:type="dxa"/>
            <w:vAlign w:val="bottom"/>
            <w:gridSpan w:val="2"/>
            <w:shd w:val="clear" w:color="auto" w:fill="CCEEFF"/>
          </w:tcPr>
          <w:p>
            <w:pPr>
              <w:spacing w:after="0" w:line="174" w:lineRule="exact"/>
              <w:rPr>
                <w:sz w:val="20"/>
                <w:szCs w:val="20"/>
                <w:color w:val="auto"/>
              </w:rPr>
            </w:pPr>
            <w:r>
              <w:rPr>
                <w:rFonts w:ascii="Arial" w:cs="Arial" w:eastAsia="Arial" w:hAnsi="Arial"/>
                <w:sz w:val="12"/>
                <w:szCs w:val="12"/>
                <w:color w:val="auto"/>
              </w:rPr>
              <w:t xml:space="preserve">Efficiency ratio </w:t>
            </w:r>
            <w:r>
              <w:rPr>
                <w:rFonts w:ascii="Arial" w:cs="Arial" w:eastAsia="Arial" w:hAnsi="Arial"/>
                <w:sz w:val="20"/>
                <w:szCs w:val="20"/>
                <w:color w:val="auto"/>
                <w:vertAlign w:val="superscript"/>
              </w:rPr>
              <w:t>(6)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43.1%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43.4%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50.1%</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2"/>
                <w:szCs w:val="12"/>
                <w:color w:val="auto"/>
              </w:rPr>
              <w:t>670 pbs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700 pbs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42.8%</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46.4%</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360 bps</w:t>
            </w:r>
          </w:p>
        </w:tc>
      </w:tr>
      <w:tr>
        <w:trPr>
          <w:trHeight w:val="173"/>
        </w:trPr>
        <w:tc>
          <w:tcPr>
            <w:tcW w:w="3040" w:type="dxa"/>
            <w:vAlign w:val="bottom"/>
            <w:gridSpan w:val="2"/>
          </w:tcPr>
          <w:p>
            <w:pPr>
              <w:spacing w:after="0" w:line="174" w:lineRule="exact"/>
              <w:rPr>
                <w:sz w:val="20"/>
                <w:szCs w:val="20"/>
                <w:color w:val="auto"/>
              </w:rPr>
            </w:pPr>
            <w:r>
              <w:rPr>
                <w:rFonts w:ascii="Arial" w:cs="Arial" w:eastAsia="Arial" w:hAnsi="Arial"/>
                <w:sz w:val="12"/>
                <w:szCs w:val="12"/>
                <w:color w:val="auto"/>
              </w:rPr>
              <w:t xml:space="preserve">Operating expenses / Total average assets </w:t>
            </w:r>
            <w:r>
              <w:rPr>
                <w:rFonts w:ascii="Arial" w:cs="Arial" w:eastAsia="Arial" w:hAnsi="Arial"/>
                <w:sz w:val="20"/>
                <w:szCs w:val="20"/>
                <w:color w:val="auto"/>
                <w:vertAlign w:val="superscript"/>
              </w:rPr>
              <w:t>(1)(7)</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3.69%</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3.57%</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3.07%</w:t>
            </w:r>
          </w:p>
        </w:tc>
        <w:tc>
          <w:tcPr>
            <w:tcW w:w="1220" w:type="dxa"/>
            <w:vAlign w:val="bottom"/>
            <w:gridSpan w:val="3"/>
          </w:tcPr>
          <w:p>
            <w:pPr>
              <w:jc w:val="right"/>
              <w:ind w:right="440"/>
              <w:spacing w:after="0"/>
              <w:rPr>
                <w:sz w:val="20"/>
                <w:szCs w:val="20"/>
                <w:color w:val="auto"/>
              </w:rPr>
            </w:pPr>
            <w:r>
              <w:rPr>
                <w:rFonts w:ascii="Arial" w:cs="Arial" w:eastAsia="Arial" w:hAnsi="Arial"/>
                <w:sz w:val="12"/>
                <w:szCs w:val="12"/>
                <w:color w:val="auto"/>
              </w:rPr>
              <w:t>-50 pbs</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-62 pbs</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3.64%</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3.26%</w:t>
            </w: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-38 bps</w:t>
            </w:r>
          </w:p>
        </w:tc>
      </w:tr>
      <w:tr>
        <w:trPr>
          <w:trHeight w:val="133"/>
        </w:trPr>
        <w:tc>
          <w:tcPr>
            <w:tcW w:w="304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Insurance ratios</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73"/>
        </w:trPr>
        <w:tc>
          <w:tcPr>
            <w:tcW w:w="3040" w:type="dxa"/>
            <w:vAlign w:val="bottom"/>
            <w:gridSpan w:val="2"/>
          </w:tcPr>
          <w:p>
            <w:pPr>
              <w:spacing w:after="0" w:line="174" w:lineRule="exact"/>
              <w:rPr>
                <w:sz w:val="20"/>
                <w:szCs w:val="20"/>
                <w:color w:val="auto"/>
              </w:rPr>
            </w:pPr>
            <w:r>
              <w:rPr>
                <w:rFonts w:ascii="Arial" w:cs="Arial" w:eastAsia="Arial" w:hAnsi="Arial"/>
                <w:sz w:val="12"/>
                <w:szCs w:val="12"/>
                <w:color w:val="auto"/>
              </w:rPr>
              <w:t xml:space="preserve">Combined ratio of P&amp;C </w:t>
            </w:r>
            <w:r>
              <w:rPr>
                <w:rFonts w:ascii="Arial" w:cs="Arial" w:eastAsia="Arial" w:hAnsi="Arial"/>
                <w:sz w:val="20"/>
                <w:szCs w:val="20"/>
                <w:color w:val="auto"/>
                <w:vertAlign w:val="superscript"/>
              </w:rPr>
              <w:t>(8)(9)</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97.5%</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94.4%</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79.8%</w:t>
            </w:r>
          </w:p>
        </w:tc>
        <w:tc>
          <w:tcPr>
            <w:tcW w:w="1220" w:type="dxa"/>
            <w:vAlign w:val="bottom"/>
            <w:gridSpan w:val="3"/>
          </w:tcPr>
          <w:p>
            <w:pPr>
              <w:jc w:val="right"/>
              <w:ind w:right="440"/>
              <w:spacing w:after="0"/>
              <w:rPr>
                <w:sz w:val="20"/>
                <w:szCs w:val="20"/>
                <w:color w:val="auto"/>
              </w:rPr>
            </w:pPr>
            <w:r>
              <w:rPr>
                <w:rFonts w:ascii="Arial" w:cs="Arial" w:eastAsia="Arial" w:hAnsi="Arial"/>
                <w:sz w:val="12"/>
                <w:szCs w:val="12"/>
                <w:color w:val="auto"/>
              </w:rPr>
              <w:t>-1460 pbs</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-1770 pbs</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97.5%</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79.8%</w:t>
            </w: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-1770 bps</w:t>
            </w:r>
          </w:p>
        </w:tc>
      </w:tr>
      <w:tr>
        <w:trPr>
          <w:trHeight w:val="173"/>
        </w:trPr>
        <w:tc>
          <w:tcPr>
            <w:tcW w:w="3040" w:type="dxa"/>
            <w:vAlign w:val="bottom"/>
            <w:gridSpan w:val="2"/>
            <w:shd w:val="clear" w:color="auto" w:fill="CCEEFF"/>
          </w:tcPr>
          <w:p>
            <w:pPr>
              <w:spacing w:after="0" w:line="174" w:lineRule="exact"/>
              <w:rPr>
                <w:sz w:val="20"/>
                <w:szCs w:val="20"/>
                <w:color w:val="auto"/>
              </w:rPr>
            </w:pPr>
            <w:r>
              <w:rPr>
                <w:rFonts w:ascii="Arial" w:cs="Arial" w:eastAsia="Arial" w:hAnsi="Arial"/>
                <w:sz w:val="12"/>
                <w:szCs w:val="12"/>
                <w:color w:val="auto"/>
              </w:rPr>
              <w:t xml:space="preserve">Loss ratio </w:t>
            </w:r>
            <w:r>
              <w:rPr>
                <w:rFonts w:ascii="Arial" w:cs="Arial" w:eastAsia="Arial" w:hAnsi="Arial"/>
                <w:sz w:val="20"/>
                <w:szCs w:val="20"/>
                <w:color w:val="auto"/>
                <w:vertAlign w:val="superscript"/>
              </w:rPr>
              <w:t>(9)(10)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64.1%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59.9%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59.8%</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2"/>
                <w:szCs w:val="12"/>
                <w:color w:val="auto"/>
              </w:rPr>
              <w:t>-10 pbs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-430 pbs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64.9%</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59.8%</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-510 bps</w:t>
            </w:r>
          </w:p>
        </w:tc>
      </w:tr>
      <w:tr>
        <w:trPr>
          <w:trHeight w:val="173"/>
        </w:trPr>
        <w:tc>
          <w:tcPr>
            <w:tcW w:w="3040" w:type="dxa"/>
            <w:vAlign w:val="bottom"/>
            <w:gridSpan w:val="2"/>
          </w:tcPr>
          <w:p>
            <w:pPr>
              <w:spacing w:after="0" w:line="174" w:lineRule="exact"/>
              <w:rPr>
                <w:sz w:val="20"/>
                <w:szCs w:val="20"/>
                <w:color w:val="auto"/>
              </w:rPr>
            </w:pPr>
            <w:r>
              <w:rPr>
                <w:rFonts w:ascii="Arial" w:cs="Arial" w:eastAsia="Arial" w:hAnsi="Arial"/>
                <w:sz w:val="12"/>
                <w:szCs w:val="12"/>
                <w:b w:val="1"/>
                <w:bCs w:val="1"/>
                <w:color w:val="auto"/>
              </w:rPr>
              <w:t xml:space="preserve">Capital adequacy </w:t>
            </w:r>
            <w:r>
              <w:rPr>
                <w:rFonts w:ascii="Arial" w:cs="Arial" w:eastAsia="Arial" w:hAnsi="Arial"/>
                <w:sz w:val="20"/>
                <w:szCs w:val="20"/>
                <w:b w:val="1"/>
                <w:bCs w:val="1"/>
                <w:color w:val="auto"/>
                <w:vertAlign w:val="superscript"/>
              </w:rPr>
              <w:t>(11)</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3"/>
        </w:trPr>
        <w:tc>
          <w:tcPr>
            <w:tcW w:w="3040" w:type="dxa"/>
            <w:vAlign w:val="bottom"/>
            <w:gridSpan w:val="2"/>
            <w:shd w:val="clear" w:color="auto" w:fill="CCEEFF"/>
          </w:tcPr>
          <w:p>
            <w:pPr>
              <w:spacing w:after="0" w:line="174" w:lineRule="exact"/>
              <w:rPr>
                <w:sz w:val="20"/>
                <w:szCs w:val="20"/>
                <w:color w:val="auto"/>
              </w:rPr>
            </w:pPr>
            <w:r>
              <w:rPr>
                <w:rFonts w:ascii="Arial" w:cs="Arial" w:eastAsia="Arial" w:hAnsi="Arial"/>
                <w:sz w:val="12"/>
                <w:szCs w:val="12"/>
                <w:color w:val="auto"/>
              </w:rPr>
              <w:t xml:space="preserve">BIS ratio </w:t>
            </w:r>
            <w:r>
              <w:rPr>
                <w:rFonts w:ascii="Arial" w:cs="Arial" w:eastAsia="Arial" w:hAnsi="Arial"/>
                <w:sz w:val="20"/>
                <w:szCs w:val="20"/>
                <w:color w:val="auto"/>
                <w:vertAlign w:val="superscript"/>
              </w:rPr>
              <w:t>(12)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14.95%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13.52%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14.80%</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2"/>
                <w:szCs w:val="12"/>
                <w:color w:val="auto"/>
              </w:rPr>
              <w:t>128 pbs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 pbs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14.95%</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14.80%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-15 bps</w:t>
            </w:r>
          </w:p>
        </w:tc>
      </w:tr>
      <w:tr>
        <w:trPr>
          <w:trHeight w:val="173"/>
        </w:trPr>
        <w:tc>
          <w:tcPr>
            <w:tcW w:w="3040" w:type="dxa"/>
            <w:vAlign w:val="bottom"/>
            <w:gridSpan w:val="2"/>
          </w:tcPr>
          <w:p>
            <w:pPr>
              <w:spacing w:after="0" w:line="174" w:lineRule="exact"/>
              <w:rPr>
                <w:sz w:val="20"/>
                <w:szCs w:val="20"/>
                <w:color w:val="auto"/>
              </w:rPr>
            </w:pPr>
            <w:r>
              <w:rPr>
                <w:rFonts w:ascii="Arial" w:cs="Arial" w:eastAsia="Arial" w:hAnsi="Arial"/>
                <w:sz w:val="12"/>
                <w:szCs w:val="12"/>
                <w:color w:val="auto"/>
              </w:rPr>
              <w:t xml:space="preserve">Tier 1 ratio </w:t>
            </w:r>
            <w:r>
              <w:rPr>
                <w:rFonts w:ascii="Arial" w:cs="Arial" w:eastAsia="Arial" w:hAnsi="Arial"/>
                <w:sz w:val="20"/>
                <w:szCs w:val="20"/>
                <w:color w:val="auto"/>
                <w:vertAlign w:val="superscript"/>
              </w:rPr>
              <w:t>(13)</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11.33%</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10.33%</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10.54%</w:t>
            </w:r>
          </w:p>
        </w:tc>
        <w:tc>
          <w:tcPr>
            <w:tcW w:w="1220" w:type="dxa"/>
            <w:vAlign w:val="bottom"/>
            <w:gridSpan w:val="3"/>
          </w:tcPr>
          <w:p>
            <w:pPr>
              <w:jc w:val="right"/>
              <w:ind w:right="440"/>
              <w:spacing w:after="0"/>
              <w:rPr>
                <w:sz w:val="20"/>
                <w:szCs w:val="20"/>
                <w:color w:val="auto"/>
              </w:rPr>
            </w:pPr>
            <w:r>
              <w:rPr>
                <w:rFonts w:ascii="Arial" w:cs="Arial" w:eastAsia="Arial" w:hAnsi="Arial"/>
                <w:sz w:val="12"/>
                <w:szCs w:val="12"/>
                <w:color w:val="auto"/>
              </w:rPr>
              <w:t>21 pbs</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-79 pbs</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11.33%</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10.54%</w:t>
            </w: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-79 bps</w:t>
            </w:r>
          </w:p>
        </w:tc>
      </w:tr>
      <w:tr>
        <w:trPr>
          <w:trHeight w:val="173"/>
        </w:trPr>
        <w:tc>
          <w:tcPr>
            <w:tcW w:w="3040" w:type="dxa"/>
            <w:vAlign w:val="bottom"/>
            <w:gridSpan w:val="2"/>
            <w:shd w:val="clear" w:color="auto" w:fill="CCEEFF"/>
          </w:tcPr>
          <w:p>
            <w:pPr>
              <w:spacing w:after="0" w:line="174" w:lineRule="exact"/>
              <w:rPr>
                <w:sz w:val="20"/>
                <w:szCs w:val="20"/>
                <w:color w:val="auto"/>
              </w:rPr>
            </w:pPr>
            <w:r>
              <w:rPr>
                <w:rFonts w:ascii="Arial" w:cs="Arial" w:eastAsia="Arial" w:hAnsi="Arial"/>
                <w:sz w:val="12"/>
                <w:szCs w:val="12"/>
                <w:color w:val="auto"/>
              </w:rPr>
              <w:t xml:space="preserve">Common equity tier 1 ratio </w:t>
            </w:r>
            <w:r>
              <w:rPr>
                <w:rFonts w:ascii="Arial" w:cs="Arial" w:eastAsia="Arial" w:hAnsi="Arial"/>
                <w:sz w:val="20"/>
                <w:szCs w:val="20"/>
                <w:color w:val="auto"/>
                <w:vertAlign w:val="superscript"/>
              </w:rPr>
              <w:t>(14)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11.82%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11.89%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11.22%</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2"/>
                <w:szCs w:val="12"/>
                <w:color w:val="auto"/>
              </w:rPr>
              <w:t>-67 pbs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-60 pbs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11.82%</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11.22%</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-60 bps</w:t>
            </w:r>
          </w:p>
        </w:tc>
      </w:tr>
      <w:tr>
        <w:trPr>
          <w:trHeight w:val="173"/>
        </w:trPr>
        <w:tc>
          <w:tcPr>
            <w:tcW w:w="3040" w:type="dxa"/>
            <w:vAlign w:val="bottom"/>
            <w:gridSpan w:val="2"/>
          </w:tcPr>
          <w:p>
            <w:pPr>
              <w:spacing w:after="0" w:line="174" w:lineRule="exact"/>
              <w:rPr>
                <w:sz w:val="20"/>
                <w:szCs w:val="20"/>
                <w:color w:val="auto"/>
              </w:rPr>
            </w:pPr>
            <w:r>
              <w:rPr>
                <w:rFonts w:ascii="Arial" w:cs="Arial" w:eastAsia="Arial" w:hAnsi="Arial"/>
                <w:sz w:val="12"/>
                <w:szCs w:val="12"/>
                <w:b w:val="1"/>
                <w:bCs w:val="1"/>
                <w:color w:val="auto"/>
              </w:rPr>
              <w:t xml:space="preserve">Employees </w:t>
            </w:r>
            <w:r>
              <w:rPr>
                <w:rFonts w:ascii="Arial" w:cs="Arial" w:eastAsia="Arial" w:hAnsi="Arial"/>
                <w:sz w:val="20"/>
                <w:szCs w:val="20"/>
                <w:b w:val="1"/>
                <w:bCs w:val="1"/>
                <w:color w:val="auto"/>
                <w:vertAlign w:val="superscript"/>
              </w:rPr>
              <w:t>(1)</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34,963</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38,641</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38,219</w:t>
            </w: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-1.1%</w:t>
            </w:r>
          </w:p>
        </w:tc>
        <w:tc>
          <w:tcPr>
            <w:tcW w:w="2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9.3%</w:t>
            </w: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34,963</w:t>
            </w:r>
          </w:p>
        </w:tc>
        <w:tc>
          <w:tcPr>
            <w:tcW w:w="8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38,219</w:t>
            </w:r>
          </w:p>
        </w:tc>
        <w:tc>
          <w:tcPr>
            <w:tcW w:w="1140" w:type="dxa"/>
            <w:vAlign w:val="bottom"/>
            <w:gridSpan w:val="2"/>
          </w:tcPr>
          <w:p>
            <w:pPr>
              <w:jc w:val="right"/>
              <w:ind w:right="20"/>
              <w:spacing w:after="0"/>
              <w:rPr>
                <w:sz w:val="20"/>
                <w:szCs w:val="20"/>
                <w:color w:val="auto"/>
              </w:rPr>
            </w:pPr>
            <w:r>
              <w:rPr>
                <w:rFonts w:ascii="Arial" w:cs="Arial" w:eastAsia="Arial" w:hAnsi="Arial"/>
                <w:sz w:val="12"/>
                <w:szCs w:val="12"/>
                <w:color w:val="auto"/>
              </w:rPr>
              <w:t>9.3%</w:t>
            </w:r>
          </w:p>
        </w:tc>
      </w:tr>
      <w:tr>
        <w:trPr>
          <w:trHeight w:val="133"/>
        </w:trPr>
        <w:tc>
          <w:tcPr>
            <w:tcW w:w="304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Share Information</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3"/>
        </w:trPr>
        <w:tc>
          <w:tcPr>
            <w:tcW w:w="3040" w:type="dxa"/>
            <w:vAlign w:val="bottom"/>
            <w:gridSpan w:val="2"/>
          </w:tcPr>
          <w:p>
            <w:pPr>
              <w:spacing w:after="0" w:line="134" w:lineRule="exact"/>
              <w:rPr>
                <w:sz w:val="20"/>
                <w:szCs w:val="20"/>
                <w:color w:val="auto"/>
              </w:rPr>
            </w:pPr>
            <w:r>
              <w:rPr>
                <w:rFonts w:ascii="Arial" w:cs="Arial" w:eastAsia="Arial" w:hAnsi="Arial"/>
                <w:sz w:val="12"/>
                <w:szCs w:val="12"/>
                <w:color w:val="auto"/>
              </w:rPr>
              <w:t>Outstanding Shares</w:t>
            </w:r>
          </w:p>
        </w:tc>
        <w:tc>
          <w:tcPr>
            <w:tcW w:w="104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94,382</w:t>
            </w:r>
          </w:p>
        </w:tc>
        <w:tc>
          <w:tcPr>
            <w:tcW w:w="104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94,382</w:t>
            </w:r>
          </w:p>
        </w:tc>
        <w:tc>
          <w:tcPr>
            <w:tcW w:w="98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94,382</w:t>
            </w:r>
          </w:p>
        </w:tc>
        <w:tc>
          <w:tcPr>
            <w:tcW w:w="10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0.0%</w:t>
            </w:r>
          </w:p>
        </w:tc>
        <w:tc>
          <w:tcPr>
            <w:tcW w:w="200" w:type="dxa"/>
            <w:vAlign w:val="bottom"/>
          </w:tcPr>
          <w:p>
            <w:pPr>
              <w:spacing w:after="0"/>
              <w:rPr>
                <w:sz w:val="11"/>
                <w:szCs w:val="11"/>
                <w:color w:val="auto"/>
              </w:rPr>
            </w:pP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0.0%</w:t>
            </w:r>
          </w:p>
        </w:tc>
        <w:tc>
          <w:tcPr>
            <w:tcW w:w="98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94,382</w:t>
            </w:r>
          </w:p>
        </w:tc>
        <w:tc>
          <w:tcPr>
            <w:tcW w:w="80" w:type="dxa"/>
            <w:vAlign w:val="bottom"/>
          </w:tcPr>
          <w:p>
            <w:pPr>
              <w:spacing w:after="0"/>
              <w:rPr>
                <w:sz w:val="11"/>
                <w:szCs w:val="11"/>
                <w:color w:val="auto"/>
              </w:rPr>
            </w:pPr>
          </w:p>
        </w:tc>
        <w:tc>
          <w:tcPr>
            <w:tcW w:w="90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94,382</w:t>
            </w:r>
          </w:p>
        </w:tc>
        <w:tc>
          <w:tcPr>
            <w:tcW w:w="114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0.0%</w:t>
            </w:r>
          </w:p>
        </w:tc>
      </w:tr>
      <w:tr>
        <w:trPr>
          <w:trHeight w:val="173"/>
        </w:trPr>
        <w:tc>
          <w:tcPr>
            <w:tcW w:w="3040" w:type="dxa"/>
            <w:vAlign w:val="bottom"/>
            <w:gridSpan w:val="2"/>
            <w:shd w:val="clear" w:color="auto" w:fill="CCEEFF"/>
          </w:tcPr>
          <w:p>
            <w:pPr>
              <w:ind w:left="140"/>
              <w:spacing w:after="0" w:line="174" w:lineRule="exact"/>
              <w:rPr>
                <w:sz w:val="20"/>
                <w:szCs w:val="20"/>
                <w:color w:val="auto"/>
              </w:rPr>
            </w:pPr>
            <w:r>
              <w:rPr>
                <w:rFonts w:ascii="Arial" w:cs="Arial" w:eastAsia="Arial" w:hAnsi="Arial"/>
                <w:sz w:val="12"/>
                <w:szCs w:val="12"/>
                <w:color w:val="auto"/>
              </w:rPr>
              <w:t xml:space="preserve">Treasury Shares </w:t>
            </w:r>
            <w:r>
              <w:rPr>
                <w:rFonts w:ascii="Arial" w:cs="Arial" w:eastAsia="Arial" w:hAnsi="Arial"/>
                <w:sz w:val="20"/>
                <w:szCs w:val="20"/>
                <w:color w:val="auto"/>
                <w:vertAlign w:val="superscript"/>
              </w:rPr>
              <w:t>(1)(15)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14,872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14,977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14,977</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0.0%</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14,872</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14,977</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0.7%</w:t>
            </w:r>
          </w:p>
        </w:tc>
      </w:tr>
      <w:tr>
        <w:trPr>
          <w:trHeight w:val="269"/>
        </w:trPr>
        <w:tc>
          <w:tcPr>
            <w:tcW w:w="3040" w:type="dxa"/>
            <w:vAlign w:val="bottom"/>
            <w:gridSpan w:val="2"/>
          </w:tcPr>
          <w:p>
            <w:pPr>
              <w:ind w:left="140"/>
              <w:spacing w:after="0"/>
              <w:rPr>
                <w:sz w:val="20"/>
                <w:szCs w:val="20"/>
                <w:color w:val="auto"/>
              </w:rPr>
            </w:pPr>
            <w:r>
              <w:rPr>
                <w:rFonts w:ascii="Arial" w:cs="Arial" w:eastAsia="Arial" w:hAnsi="Arial"/>
                <w:sz w:val="12"/>
                <w:szCs w:val="12"/>
                <w:color w:val="auto"/>
              </w:rPr>
              <w:t xml:space="preserve">Floating Shares </w:t>
            </w:r>
            <w:r>
              <w:rPr>
                <w:rFonts w:ascii="Arial" w:cs="Arial" w:eastAsia="Arial" w:hAnsi="Arial"/>
                <w:sz w:val="20"/>
                <w:szCs w:val="20"/>
                <w:color w:val="auto"/>
                <w:vertAlign w:val="superscript"/>
              </w:rPr>
              <w:t>(1)</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79,510</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79,405</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79,405</w:t>
            </w: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0.0%</w:t>
            </w:r>
          </w:p>
        </w:tc>
        <w:tc>
          <w:tcPr>
            <w:tcW w:w="200" w:type="dxa"/>
            <w:vAlign w:val="bottom"/>
          </w:tcPr>
          <w:p>
            <w:pPr>
              <w:spacing w:after="0"/>
              <w:rPr>
                <w:sz w:val="23"/>
                <w:szCs w:val="2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-0.1%</w:t>
            </w: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79,510</w:t>
            </w:r>
          </w:p>
        </w:tc>
        <w:tc>
          <w:tcPr>
            <w:tcW w:w="8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79,405</w:t>
            </w:r>
          </w:p>
        </w:tc>
        <w:tc>
          <w:tcPr>
            <w:tcW w:w="1140" w:type="dxa"/>
            <w:vAlign w:val="bottom"/>
            <w:gridSpan w:val="2"/>
          </w:tcPr>
          <w:p>
            <w:pPr>
              <w:jc w:val="right"/>
              <w:ind w:right="20"/>
              <w:spacing w:after="0"/>
              <w:rPr>
                <w:sz w:val="20"/>
                <w:szCs w:val="20"/>
                <w:color w:val="auto"/>
              </w:rPr>
            </w:pPr>
            <w:r>
              <w:rPr>
                <w:rFonts w:ascii="Arial" w:cs="Arial" w:eastAsia="Arial" w:hAnsi="Arial"/>
                <w:sz w:val="12"/>
                <w:szCs w:val="12"/>
                <w:color w:val="auto"/>
              </w:rPr>
              <w:t>-0.1%</w:t>
            </w:r>
          </w:p>
        </w:tc>
      </w:tr>
    </w:tbl>
    <w:p>
      <w:pPr>
        <w:spacing w:after="0" w:line="104" w:lineRule="exact"/>
        <w:rPr>
          <w:sz w:val="20"/>
          <w:szCs w:val="20"/>
          <w:color w:val="auto"/>
        </w:rPr>
      </w:pPr>
    </w:p>
    <w:p>
      <w:pPr>
        <w:ind w:left="180" w:hanging="173"/>
        <w:spacing w:after="0"/>
        <w:tabs>
          <w:tab w:leader="none" w:pos="180" w:val="left"/>
        </w:tabs>
        <w:numPr>
          <w:ilvl w:val="0"/>
          <w:numId w:val="1"/>
        </w:numPr>
        <w:rPr>
          <w:rFonts w:ascii="Arial" w:cs="Arial" w:eastAsia="Arial" w:hAnsi="Arial"/>
          <w:sz w:val="12"/>
          <w:szCs w:val="12"/>
          <w:color w:val="auto"/>
        </w:rPr>
      </w:pPr>
      <w:r>
        <w:rPr>
          <w:rFonts w:ascii="Arial" w:cs="Arial" w:eastAsia="Arial" w:hAnsi="Arial"/>
          <w:sz w:val="12"/>
          <w:szCs w:val="12"/>
          <w:color w:val="auto"/>
        </w:rPr>
        <w:t>Figures differ from previously reported, please consider the data presented on this report.</w:t>
      </w:r>
    </w:p>
    <w:p>
      <w:pPr>
        <w:spacing w:after="0" w:line="5" w:lineRule="exact"/>
        <w:rPr>
          <w:rFonts w:ascii="Arial" w:cs="Arial" w:eastAsia="Arial" w:hAnsi="Arial"/>
          <w:sz w:val="12"/>
          <w:szCs w:val="12"/>
          <w:color w:val="auto"/>
        </w:rPr>
      </w:pPr>
    </w:p>
    <w:p>
      <w:pPr>
        <w:ind w:left="180" w:hanging="173"/>
        <w:spacing w:after="0" w:line="232" w:lineRule="auto"/>
        <w:tabs>
          <w:tab w:leader="none" w:pos="180" w:val="left"/>
        </w:tabs>
        <w:numPr>
          <w:ilvl w:val="0"/>
          <w:numId w:val="1"/>
        </w:numPr>
        <w:rPr>
          <w:rFonts w:ascii="Arial" w:cs="Arial" w:eastAsia="Arial" w:hAnsi="Arial"/>
          <w:sz w:val="12"/>
          <w:szCs w:val="12"/>
          <w:color w:val="auto"/>
        </w:rPr>
      </w:pPr>
      <w:r>
        <w:rPr>
          <w:rFonts w:ascii="Arial" w:cs="Arial" w:eastAsia="Arial" w:hAnsi="Arial"/>
          <w:sz w:val="12"/>
          <w:szCs w:val="12"/>
          <w:color w:val="auto"/>
        </w:rPr>
        <w:t>Annualized.</w:t>
      </w:r>
    </w:p>
    <w:p>
      <w:pPr>
        <w:ind w:left="180" w:hanging="173"/>
        <w:spacing w:after="0" w:line="232" w:lineRule="auto"/>
        <w:tabs>
          <w:tab w:leader="none" w:pos="18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Internal overdue loans: includes overdue loans and loans under legal collection, according to our internal policy for overdue loans. Internal Overdue ratio: Internal overdue loans / Total loans.</w:t>
      </w:r>
    </w:p>
    <w:p>
      <w:pPr>
        <w:ind w:left="180" w:hanging="173"/>
        <w:spacing w:after="0" w:line="232" w:lineRule="auto"/>
        <w:tabs>
          <w:tab w:leader="none" w:pos="180" w:val="left"/>
        </w:tabs>
        <w:numPr>
          <w:ilvl w:val="0"/>
          <w:numId w:val="1"/>
        </w:numPr>
        <w:rPr>
          <w:rFonts w:ascii="Arial" w:cs="Arial" w:eastAsia="Arial" w:hAnsi="Arial"/>
          <w:sz w:val="12"/>
          <w:szCs w:val="12"/>
          <w:color w:val="auto"/>
        </w:rPr>
      </w:pPr>
      <w:r>
        <w:rPr>
          <w:rFonts w:ascii="Arial" w:cs="Arial" w:eastAsia="Arial" w:hAnsi="Arial"/>
          <w:sz w:val="12"/>
          <w:szCs w:val="12"/>
          <w:color w:val="auto"/>
        </w:rPr>
        <w:t>Non-performing loans (NPL): Internal overdue loans + Refinanced loans. NPL ratio: NPL / Total loans.</w:t>
      </w:r>
    </w:p>
    <w:p>
      <w:pPr>
        <w:ind w:left="180" w:hanging="173"/>
        <w:spacing w:after="0" w:line="232" w:lineRule="auto"/>
        <w:tabs>
          <w:tab w:leader="none" w:pos="180" w:val="left"/>
        </w:tabs>
        <w:numPr>
          <w:ilvl w:val="0"/>
          <w:numId w:val="1"/>
        </w:numPr>
        <w:rPr>
          <w:rFonts w:ascii="Arial" w:cs="Arial" w:eastAsia="Arial" w:hAnsi="Arial"/>
          <w:sz w:val="12"/>
          <w:szCs w:val="12"/>
          <w:color w:val="auto"/>
        </w:rPr>
      </w:pPr>
      <w:r>
        <w:rPr>
          <w:rFonts w:ascii="Arial" w:cs="Arial" w:eastAsia="Arial" w:hAnsi="Arial"/>
          <w:sz w:val="12"/>
          <w:szCs w:val="12"/>
          <w:color w:val="auto"/>
        </w:rPr>
        <w:t>Cost of risk: Annualized Provision for credit losses on loan portfolio, net of recoveries / Total loans.</w:t>
      </w:r>
    </w:p>
    <w:p>
      <w:pPr>
        <w:ind w:firstLine="7"/>
        <w:spacing w:after="0" w:line="232" w:lineRule="auto"/>
        <w:tabs>
          <w:tab w:leader="none" w:pos="180" w:val="left"/>
        </w:tabs>
        <w:numPr>
          <w:ilvl w:val="0"/>
          <w:numId w:val="1"/>
        </w:numPr>
        <w:rPr>
          <w:rFonts w:ascii="Arial" w:cs="Arial" w:eastAsia="Arial" w:hAnsi="Arial"/>
          <w:sz w:val="12"/>
          <w:szCs w:val="12"/>
          <w:color w:val="auto"/>
        </w:rPr>
      </w:pPr>
      <w:r>
        <w:rPr>
          <w:rFonts w:ascii="Arial" w:cs="Arial" w:eastAsia="Arial" w:hAnsi="Arial"/>
          <w:sz w:val="12"/>
          <w:szCs w:val="12"/>
          <w:color w:val="auto"/>
        </w:rPr>
        <w:t>Efficiency ratio = (Salaries and employee benefits + Administrative expenses + Depreciation and amortization + Association in participation + Acquisition cost) / (Net interest income + Fee Income + Net gain on foreign exchange transactions + Net Gain From associates + Net gain on derivatives held for trading + Result on exchange differences + Net Premiums Earned).</w:t>
      </w:r>
    </w:p>
    <w:p>
      <w:pPr>
        <w:ind w:left="180" w:hanging="173"/>
        <w:spacing w:after="0" w:line="232" w:lineRule="auto"/>
        <w:tabs>
          <w:tab w:leader="none" w:pos="180" w:val="left"/>
        </w:tabs>
        <w:numPr>
          <w:ilvl w:val="0"/>
          <w:numId w:val="1"/>
        </w:numPr>
        <w:rPr>
          <w:rFonts w:ascii="Arial" w:cs="Arial" w:eastAsia="Arial" w:hAnsi="Arial"/>
          <w:sz w:val="12"/>
          <w:szCs w:val="12"/>
          <w:color w:val="auto"/>
        </w:rPr>
      </w:pPr>
      <w:r>
        <w:rPr>
          <w:rFonts w:ascii="Arial" w:cs="Arial" w:eastAsia="Arial" w:hAnsi="Arial"/>
          <w:sz w:val="12"/>
          <w:szCs w:val="12"/>
          <w:color w:val="auto"/>
        </w:rPr>
        <w:t>Operating expenses / Average of Total Assets. Average is calculated with period-beginning and period-ending balances. "</w:t>
      </w:r>
    </w:p>
    <w:p>
      <w:pPr>
        <w:ind w:left="180" w:hanging="173"/>
        <w:spacing w:after="0" w:line="232" w:lineRule="auto"/>
        <w:tabs>
          <w:tab w:leader="none" w:pos="180" w:val="left"/>
        </w:tabs>
        <w:numPr>
          <w:ilvl w:val="0"/>
          <w:numId w:val="1"/>
        </w:numPr>
        <w:rPr>
          <w:rFonts w:ascii="Arial" w:cs="Arial" w:eastAsia="Arial" w:hAnsi="Arial"/>
          <w:sz w:val="12"/>
          <w:szCs w:val="12"/>
          <w:color w:val="auto"/>
        </w:rPr>
      </w:pPr>
      <w:r>
        <w:rPr>
          <w:rFonts w:ascii="Arial" w:cs="Arial" w:eastAsia="Arial" w:hAnsi="Arial"/>
          <w:sz w:val="12"/>
          <w:szCs w:val="12"/>
          <w:color w:val="auto"/>
        </w:rPr>
        <w:t>Combined ratio = (Net claims / Net earned premiums) + [(Acquisition cost + Operating expenses) / Net earned premiums]. Does not include Life insurance business.</w:t>
      </w:r>
    </w:p>
    <w:p>
      <w:pPr>
        <w:ind w:left="180" w:hanging="173"/>
        <w:spacing w:after="0" w:line="232" w:lineRule="auto"/>
        <w:tabs>
          <w:tab w:leader="none" w:pos="180" w:val="left"/>
        </w:tabs>
        <w:numPr>
          <w:ilvl w:val="0"/>
          <w:numId w:val="1"/>
        </w:numPr>
        <w:rPr>
          <w:rFonts w:ascii="Arial" w:cs="Arial" w:eastAsia="Arial" w:hAnsi="Arial"/>
          <w:sz w:val="12"/>
          <w:szCs w:val="12"/>
          <w:color w:val="auto"/>
        </w:rPr>
      </w:pPr>
      <w:r>
        <w:rPr>
          <w:rFonts w:ascii="Arial" w:cs="Arial" w:eastAsia="Arial" w:hAnsi="Arial"/>
          <w:sz w:val="12"/>
          <w:szCs w:val="12"/>
          <w:color w:val="auto"/>
        </w:rPr>
        <w:t>Considers Grupo Pacifico's figures before eliminations for consolidation to Credicorp.</w:t>
      </w:r>
    </w:p>
    <w:p>
      <w:pPr>
        <w:ind w:left="240" w:hanging="233"/>
        <w:spacing w:after="0" w:line="232" w:lineRule="auto"/>
        <w:tabs>
          <w:tab w:leader="none" w:pos="240" w:val="left"/>
        </w:tabs>
        <w:numPr>
          <w:ilvl w:val="0"/>
          <w:numId w:val="1"/>
        </w:numPr>
        <w:rPr>
          <w:rFonts w:ascii="Arial" w:cs="Arial" w:eastAsia="Arial" w:hAnsi="Arial"/>
          <w:sz w:val="12"/>
          <w:szCs w:val="12"/>
          <w:color w:val="auto"/>
        </w:rPr>
      </w:pPr>
      <w:r>
        <w:rPr>
          <w:rFonts w:ascii="Arial" w:cs="Arial" w:eastAsia="Arial" w:hAnsi="Arial"/>
          <w:sz w:val="12"/>
          <w:szCs w:val="12"/>
          <w:color w:val="auto"/>
        </w:rPr>
        <w:t>Net claims / Net earned premiums.</w:t>
      </w:r>
    </w:p>
    <w:p>
      <w:pPr>
        <w:ind w:left="240" w:hanging="233"/>
        <w:spacing w:after="0" w:line="232" w:lineRule="auto"/>
        <w:tabs>
          <w:tab w:leader="none" w:pos="240" w:val="left"/>
        </w:tabs>
        <w:numPr>
          <w:ilvl w:val="0"/>
          <w:numId w:val="1"/>
        </w:numPr>
        <w:rPr>
          <w:rFonts w:ascii="Arial" w:cs="Arial" w:eastAsia="Arial" w:hAnsi="Arial"/>
          <w:sz w:val="12"/>
          <w:szCs w:val="12"/>
          <w:color w:val="auto"/>
        </w:rPr>
      </w:pPr>
      <w:r>
        <w:rPr>
          <w:rFonts w:ascii="Arial" w:cs="Arial" w:eastAsia="Arial" w:hAnsi="Arial"/>
          <w:sz w:val="12"/>
          <w:szCs w:val="12"/>
          <w:color w:val="auto"/>
        </w:rPr>
        <w:t>All Capital ratios are for BCP Stand-alone and based on Peru GAAP.</w:t>
      </w:r>
    </w:p>
    <w:p>
      <w:pPr>
        <w:ind w:left="240" w:hanging="233"/>
        <w:spacing w:after="0" w:line="232" w:lineRule="auto"/>
        <w:tabs>
          <w:tab w:leader="none" w:pos="24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Regulatory Capital / Risk-weighted assets (legal minimum = 10% since July 2011).</w:t>
      </w:r>
    </w:p>
    <w:p>
      <w:pPr>
        <w:ind w:right="20" w:firstLine="7"/>
        <w:spacing w:after="0" w:line="253" w:lineRule="auto"/>
        <w:tabs>
          <w:tab w:leader="none" w:pos="250" w:val="left"/>
        </w:tabs>
        <w:numPr>
          <w:ilvl w:val="0"/>
          <w:numId w:val="1"/>
        </w:numPr>
        <w:rPr>
          <w:rFonts w:ascii="Arial" w:cs="Arial" w:eastAsia="Arial" w:hAnsi="Arial"/>
          <w:sz w:val="11"/>
          <w:szCs w:val="11"/>
          <w:color w:val="auto"/>
        </w:rPr>
      </w:pPr>
      <w:r>
        <w:rPr>
          <w:rFonts w:ascii="Arial" w:cs="Arial" w:eastAsia="Arial" w:hAnsi="Arial"/>
          <w:sz w:val="11"/>
          <w:szCs w:val="11"/>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right="20" w:firstLine="7"/>
        <w:spacing w:after="0" w:line="232" w:lineRule="auto"/>
        <w:tabs>
          <w:tab w:leader="none" w:pos="247" w:val="left"/>
        </w:tabs>
        <w:numPr>
          <w:ilvl w:val="0"/>
          <w:numId w:val="1"/>
        </w:numPr>
        <w:rPr>
          <w:rFonts w:ascii="Arial" w:cs="Arial" w:eastAsia="Arial" w:hAnsi="Arial"/>
          <w:sz w:val="12"/>
          <w:szCs w:val="12"/>
          <w:color w:val="auto"/>
        </w:rPr>
      </w:pPr>
      <w:r>
        <w:rPr>
          <w:rFonts w:ascii="Arial" w:cs="Arial" w:eastAsia="Arial" w:hAnsi="Arial"/>
          <w:sz w:val="12"/>
          <w:szCs w:val="12"/>
          <w:color w:val="auto"/>
        </w:rPr>
        <w:t>Common Equity Tier I = Capital + Reserves – 100% of applicable deductions (investment in subsidiaries, goodwill, intangibles and net deferred taxes that rely on future profitability) + retained earnings + unrealized gains.</w:t>
      </w:r>
    </w:p>
    <w:p>
      <w:pPr>
        <w:spacing w:after="0" w:line="232" w:lineRule="auto"/>
        <w:rPr>
          <w:rFonts w:ascii="Arial" w:cs="Arial" w:eastAsia="Arial" w:hAnsi="Arial"/>
          <w:sz w:val="12"/>
          <w:szCs w:val="12"/>
          <w:color w:val="auto"/>
        </w:rPr>
      </w:pPr>
      <w:r>
        <w:rPr>
          <w:rFonts w:ascii="Arial" w:cs="Arial" w:eastAsia="Arial" w:hAnsi="Arial"/>
          <w:sz w:val="12"/>
          <w:szCs w:val="12"/>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ind w:left="240" w:hanging="233"/>
        <w:spacing w:after="0"/>
        <w:tabs>
          <w:tab w:leader="none" w:pos="24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 shares held by Atlantic Security Holding Corporation (ASHC) and share-based payments.</w:t>
      </w:r>
    </w:p>
    <w:p>
      <w:pPr>
        <w:spacing w:after="0" w:line="200" w:lineRule="exact"/>
        <w:rPr>
          <w:sz w:val="20"/>
          <w:szCs w:val="20"/>
          <w:color w:val="auto"/>
        </w:rPr>
      </w:pPr>
    </w:p>
    <w:p>
      <w:pPr>
        <w:spacing w:after="0" w:line="212"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Credicorp and subsidiaries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040" w:type="dxa"/>
            <w:vAlign w:val="bottom"/>
            <w:gridSpan w:val="2"/>
          </w:tcPr>
          <w:p>
            <w:pPr>
              <w:spacing w:after="0"/>
              <w:rPr>
                <w:sz w:val="20"/>
                <w:szCs w:val="20"/>
                <w:color w:val="auto"/>
              </w:rPr>
            </w:pPr>
            <w:r>
              <w:rPr>
                <w:rFonts w:ascii="Arial" w:cs="Arial" w:eastAsia="Arial" w:hAnsi="Arial"/>
                <w:sz w:val="12"/>
                <w:szCs w:val="12"/>
                <w:b w:val="1"/>
                <w:bCs w:val="1"/>
                <w:color w:val="auto"/>
              </w:rPr>
              <w:t>Earnings contribution *</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Quarter</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3"/>
          </w:tcPr>
          <w:p>
            <w:pPr>
              <w:ind w:left="640"/>
              <w:spacing w:after="0"/>
              <w:rPr>
                <w:sz w:val="20"/>
                <w:szCs w:val="20"/>
                <w:color w:val="auto"/>
              </w:rPr>
            </w:pPr>
            <w:r>
              <w:rPr>
                <w:rFonts w:ascii="Arial" w:cs="Arial" w:eastAsia="Arial" w:hAnsi="Arial"/>
                <w:sz w:val="12"/>
                <w:szCs w:val="12"/>
                <w:b w:val="1"/>
                <w:bCs w:val="1"/>
                <w:color w:val="auto"/>
                <w:w w:val="99"/>
              </w:rPr>
              <w:t>% change</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3"/>
          </w:tcPr>
          <w:p>
            <w:pPr>
              <w:ind w:left="740"/>
              <w:spacing w:after="0"/>
              <w:rPr>
                <w:sz w:val="20"/>
                <w:szCs w:val="20"/>
                <w:color w:val="auto"/>
              </w:rPr>
            </w:pPr>
            <w:r>
              <w:rPr>
                <w:rFonts w:ascii="Arial" w:cs="Arial" w:eastAsia="Arial" w:hAnsi="Arial"/>
                <w:sz w:val="12"/>
                <w:szCs w:val="12"/>
                <w:b w:val="1"/>
                <w:bCs w:val="1"/>
                <w:color w:val="auto"/>
              </w:rPr>
              <w:t>Year</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 change</w:t>
            </w:r>
          </w:p>
        </w:tc>
      </w:tr>
      <w:tr>
        <w:trPr>
          <w:trHeight w:val="140"/>
        </w:trPr>
        <w:tc>
          <w:tcPr>
            <w:tcW w:w="3040" w:type="dxa"/>
            <w:vAlign w:val="bottom"/>
            <w:gridSpan w:val="2"/>
          </w:tcPr>
          <w:p>
            <w:pPr>
              <w:spacing w:after="0"/>
              <w:rPr>
                <w:sz w:val="20"/>
                <w:szCs w:val="20"/>
                <w:color w:val="auto"/>
              </w:rPr>
            </w:pPr>
            <w:r>
              <w:rPr>
                <w:rFonts w:ascii="Arial" w:cs="Arial" w:eastAsia="Arial" w:hAnsi="Arial"/>
                <w:sz w:val="12"/>
                <w:szCs w:val="12"/>
                <w:b w:val="1"/>
                <w:bCs w:val="1"/>
                <w:color w:val="auto"/>
              </w:rPr>
              <w:t>S/ 000</w:t>
            </w:r>
          </w:p>
        </w:tc>
        <w:tc>
          <w:tcPr>
            <w:tcW w:w="104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2"/>
                <w:szCs w:val="12"/>
                <w:b w:val="1"/>
                <w:bCs w:val="1"/>
                <w:color w:val="auto"/>
              </w:rPr>
              <w:t>2Q19</w:t>
            </w:r>
          </w:p>
        </w:tc>
        <w:tc>
          <w:tcPr>
            <w:tcW w:w="104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2"/>
                <w:szCs w:val="12"/>
                <w:b w:val="1"/>
                <w:bCs w:val="1"/>
                <w:color w:val="auto"/>
              </w:rPr>
              <w:t>1Q20</w:t>
            </w:r>
          </w:p>
        </w:tc>
        <w:tc>
          <w:tcPr>
            <w:tcW w:w="780" w:type="dxa"/>
            <w:vAlign w:val="bottom"/>
            <w:tcBorders>
              <w:top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2Q20</w:t>
            </w:r>
          </w:p>
        </w:tc>
        <w:tc>
          <w:tcPr>
            <w:tcW w:w="200" w:type="dxa"/>
            <w:vAlign w:val="bottom"/>
          </w:tcPr>
          <w:p>
            <w:pPr>
              <w:spacing w:after="0"/>
              <w:rPr>
                <w:sz w:val="12"/>
                <w:szCs w:val="12"/>
                <w:color w:val="auto"/>
              </w:rPr>
            </w:pPr>
          </w:p>
        </w:tc>
        <w:tc>
          <w:tcPr>
            <w:tcW w:w="1220" w:type="dxa"/>
            <w:vAlign w:val="bottom"/>
            <w:tcBorders>
              <w:top w:val="single" w:sz="8" w:color="auto"/>
            </w:tcBorders>
            <w:gridSpan w:val="3"/>
          </w:tcPr>
          <w:p>
            <w:pPr>
              <w:ind w:left="260"/>
              <w:spacing w:after="0"/>
              <w:rPr>
                <w:sz w:val="20"/>
                <w:szCs w:val="20"/>
                <w:color w:val="auto"/>
              </w:rPr>
            </w:pPr>
            <w:r>
              <w:rPr>
                <w:rFonts w:ascii="Arial" w:cs="Arial" w:eastAsia="Arial" w:hAnsi="Arial"/>
                <w:sz w:val="12"/>
                <w:szCs w:val="12"/>
                <w:b w:val="1"/>
                <w:bCs w:val="1"/>
                <w:color w:val="auto"/>
              </w:rPr>
              <w:t>QoQ</w:t>
            </w:r>
          </w:p>
        </w:tc>
        <w:tc>
          <w:tcPr>
            <w:tcW w:w="580" w:type="dxa"/>
            <w:vAlign w:val="bottom"/>
            <w:tcBorders>
              <w:top w:val="single" w:sz="8" w:color="auto"/>
            </w:tcBorders>
          </w:tcPr>
          <w:p>
            <w:pPr>
              <w:ind w:left="80"/>
              <w:spacing w:after="0"/>
              <w:rPr>
                <w:sz w:val="20"/>
                <w:szCs w:val="20"/>
                <w:color w:val="auto"/>
              </w:rPr>
            </w:pPr>
            <w:r>
              <w:rPr>
                <w:rFonts w:ascii="Arial" w:cs="Arial" w:eastAsia="Arial" w:hAnsi="Arial"/>
                <w:sz w:val="12"/>
                <w:szCs w:val="12"/>
                <w:b w:val="1"/>
                <w:bCs w:val="1"/>
                <w:color w:val="auto"/>
              </w:rPr>
              <w:t>YoY</w:t>
            </w:r>
          </w:p>
        </w:tc>
        <w:tc>
          <w:tcPr>
            <w:tcW w:w="240" w:type="dxa"/>
            <w:vAlign w:val="bottom"/>
          </w:tcPr>
          <w:p>
            <w:pPr>
              <w:spacing w:after="0"/>
              <w:rPr>
                <w:sz w:val="12"/>
                <w:szCs w:val="12"/>
                <w:color w:val="auto"/>
              </w:rPr>
            </w:pPr>
          </w:p>
        </w:tc>
        <w:tc>
          <w:tcPr>
            <w:tcW w:w="1100" w:type="dxa"/>
            <w:vAlign w:val="bottom"/>
            <w:tcBorders>
              <w:top w:val="single" w:sz="8" w:color="auto"/>
            </w:tcBorders>
            <w:gridSpan w:val="3"/>
          </w:tcPr>
          <w:p>
            <w:pPr>
              <w:ind w:left="200"/>
              <w:spacing w:after="0"/>
              <w:rPr>
                <w:sz w:val="20"/>
                <w:szCs w:val="20"/>
                <w:color w:val="auto"/>
              </w:rPr>
            </w:pPr>
            <w:r>
              <w:rPr>
                <w:rFonts w:ascii="Arial" w:cs="Arial" w:eastAsia="Arial" w:hAnsi="Arial"/>
                <w:sz w:val="12"/>
                <w:szCs w:val="12"/>
                <w:b w:val="1"/>
                <w:bCs w:val="1"/>
                <w:color w:val="auto"/>
              </w:rPr>
              <w:t>Jun 19</w:t>
            </w:r>
          </w:p>
        </w:tc>
        <w:tc>
          <w:tcPr>
            <w:tcW w:w="660" w:type="dxa"/>
            <w:vAlign w:val="bottom"/>
            <w:tcBorders>
              <w:top w:val="single" w:sz="8" w:color="auto"/>
            </w:tcBorders>
          </w:tcPr>
          <w:p>
            <w:pPr>
              <w:jc w:val="right"/>
              <w:ind w:right="158"/>
              <w:spacing w:after="0"/>
              <w:rPr>
                <w:sz w:val="20"/>
                <w:szCs w:val="20"/>
                <w:color w:val="auto"/>
              </w:rPr>
            </w:pPr>
            <w:r>
              <w:rPr>
                <w:rFonts w:ascii="Arial" w:cs="Arial" w:eastAsia="Arial" w:hAnsi="Arial"/>
                <w:sz w:val="12"/>
                <w:szCs w:val="12"/>
                <w:b w:val="1"/>
                <w:bCs w:val="1"/>
                <w:color w:val="auto"/>
              </w:rPr>
              <w:t>Jun 20</w:t>
            </w:r>
          </w:p>
        </w:tc>
        <w:tc>
          <w:tcPr>
            <w:tcW w:w="200" w:type="dxa"/>
            <w:vAlign w:val="bottom"/>
          </w:tcPr>
          <w:p>
            <w:pPr>
              <w:spacing w:after="0"/>
              <w:rPr>
                <w:sz w:val="12"/>
                <w:szCs w:val="12"/>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Jun 20 / Jun 19</w:t>
            </w:r>
          </w:p>
        </w:tc>
        <w:tc>
          <w:tcPr>
            <w:tcW w:w="140" w:type="dxa"/>
            <w:vAlign w:val="bottom"/>
          </w:tcPr>
          <w:p>
            <w:pPr>
              <w:spacing w:after="0"/>
              <w:rPr>
                <w:sz w:val="12"/>
                <w:szCs w:val="12"/>
                <w:color w:val="auto"/>
              </w:rPr>
            </w:pPr>
          </w:p>
        </w:tc>
      </w:tr>
      <w:tr>
        <w:trPr>
          <w:trHeight w:val="127"/>
        </w:trPr>
        <w:tc>
          <w:tcPr>
            <w:tcW w:w="2920" w:type="dxa"/>
            <w:vAlign w:val="bottom"/>
            <w:tcBorders>
              <w:top w:val="single" w:sz="8" w:color="auto"/>
            </w:tcBorders>
            <w:shd w:val="clear" w:color="auto" w:fill="CCEEFF"/>
          </w:tcPr>
          <w:p>
            <w:pPr>
              <w:spacing w:after="0" w:line="127" w:lineRule="exact"/>
              <w:rPr>
                <w:sz w:val="20"/>
                <w:szCs w:val="20"/>
                <w:color w:val="auto"/>
              </w:rPr>
            </w:pPr>
            <w:r>
              <w:rPr>
                <w:rFonts w:ascii="Arial" w:cs="Arial" w:eastAsia="Arial" w:hAnsi="Arial"/>
                <w:sz w:val="12"/>
                <w:szCs w:val="12"/>
                <w:b w:val="1"/>
                <w:bCs w:val="1"/>
                <w:color w:val="auto"/>
              </w:rPr>
              <w:t>Universal Banking</w:t>
            </w: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r>
      <w:tr>
        <w:trPr>
          <w:trHeight w:val="133"/>
        </w:trPr>
        <w:tc>
          <w:tcPr>
            <w:tcW w:w="3040" w:type="dxa"/>
            <w:vAlign w:val="bottom"/>
            <w:gridSpan w:val="2"/>
          </w:tcPr>
          <w:p>
            <w:pPr>
              <w:ind w:left="40"/>
              <w:spacing w:after="0" w:line="134" w:lineRule="exact"/>
              <w:rPr>
                <w:sz w:val="20"/>
                <w:szCs w:val="20"/>
                <w:color w:val="auto"/>
              </w:rPr>
            </w:pPr>
            <w:r>
              <w:rPr>
                <w:rFonts w:ascii="Arial" w:cs="Arial" w:eastAsia="Arial" w:hAnsi="Arial"/>
                <w:sz w:val="12"/>
                <w:szCs w:val="12"/>
                <w:color w:val="auto"/>
              </w:rPr>
              <w:t>BCP Stand-alone</w:t>
            </w:r>
          </w:p>
        </w:tc>
        <w:tc>
          <w:tcPr>
            <w:tcW w:w="800" w:type="dxa"/>
            <w:vAlign w:val="bottom"/>
          </w:tcPr>
          <w:p>
            <w:pPr>
              <w:jc w:val="right"/>
              <w:spacing w:after="0" w:line="134" w:lineRule="exact"/>
              <w:rPr>
                <w:sz w:val="20"/>
                <w:szCs w:val="20"/>
                <w:color w:val="auto"/>
              </w:rPr>
            </w:pPr>
            <w:r>
              <w:rPr>
                <w:rFonts w:ascii="Arial" w:cs="Arial" w:eastAsia="Arial" w:hAnsi="Arial"/>
                <w:sz w:val="12"/>
                <w:szCs w:val="12"/>
                <w:color w:val="auto"/>
              </w:rPr>
              <w:t>790,383</w:t>
            </w:r>
          </w:p>
        </w:tc>
        <w:tc>
          <w:tcPr>
            <w:tcW w:w="240" w:type="dxa"/>
            <w:vAlign w:val="bottom"/>
          </w:tcPr>
          <w:p>
            <w:pPr>
              <w:spacing w:after="0"/>
              <w:rPr>
                <w:sz w:val="11"/>
                <w:szCs w:val="11"/>
                <w:color w:val="auto"/>
              </w:rPr>
            </w:pPr>
          </w:p>
        </w:tc>
        <w:tc>
          <w:tcPr>
            <w:tcW w:w="104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142,204</w:t>
            </w:r>
          </w:p>
        </w:tc>
        <w:tc>
          <w:tcPr>
            <w:tcW w:w="9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(528,404)</w:t>
            </w:r>
          </w:p>
        </w:tc>
        <w:tc>
          <w:tcPr>
            <w:tcW w:w="10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-471.6%</w:t>
            </w:r>
          </w:p>
        </w:tc>
        <w:tc>
          <w:tcPr>
            <w:tcW w:w="200" w:type="dxa"/>
            <w:vAlign w:val="bottom"/>
          </w:tcPr>
          <w:p>
            <w:pPr>
              <w:spacing w:after="0"/>
              <w:rPr>
                <w:sz w:val="11"/>
                <w:szCs w:val="11"/>
                <w:color w:val="auto"/>
              </w:rPr>
            </w:pP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-166.9%</w:t>
            </w:r>
          </w:p>
        </w:tc>
        <w:tc>
          <w:tcPr>
            <w:tcW w:w="98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1,606,349</w:t>
            </w:r>
          </w:p>
        </w:tc>
        <w:tc>
          <w:tcPr>
            <w:tcW w:w="120" w:type="dxa"/>
            <w:vAlign w:val="bottom"/>
          </w:tcPr>
          <w:p>
            <w:pPr>
              <w:spacing w:after="0"/>
              <w:rPr>
                <w:sz w:val="11"/>
                <w:szCs w:val="11"/>
                <w:color w:val="auto"/>
              </w:rPr>
            </w:pPr>
          </w:p>
        </w:tc>
        <w:tc>
          <w:tcPr>
            <w:tcW w:w="86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(386,200)</w:t>
            </w:r>
          </w:p>
        </w:tc>
        <w:tc>
          <w:tcPr>
            <w:tcW w:w="114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-124.0%</w:t>
            </w:r>
          </w:p>
        </w:tc>
      </w:tr>
      <w:tr>
        <w:trPr>
          <w:trHeight w:val="133"/>
        </w:trPr>
        <w:tc>
          <w:tcPr>
            <w:tcW w:w="3040" w:type="dxa"/>
            <w:vAlign w:val="bottom"/>
            <w:gridSpan w:val="2"/>
            <w:shd w:val="clear" w:color="auto" w:fill="CCEEFF"/>
          </w:tcPr>
          <w:p>
            <w:pPr>
              <w:ind w:left="40"/>
              <w:spacing w:after="0" w:line="134" w:lineRule="exact"/>
              <w:rPr>
                <w:sz w:val="20"/>
                <w:szCs w:val="20"/>
                <w:color w:val="auto"/>
              </w:rPr>
            </w:pPr>
            <w:r>
              <w:rPr>
                <w:rFonts w:ascii="Arial" w:cs="Arial" w:eastAsia="Arial" w:hAnsi="Arial"/>
                <w:sz w:val="12"/>
                <w:szCs w:val="12"/>
                <w:color w:val="auto"/>
              </w:rPr>
              <w:t>BCP Bolivia</w:t>
            </w:r>
          </w:p>
        </w:tc>
        <w:tc>
          <w:tcPr>
            <w:tcW w:w="104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26,806</w:t>
            </w:r>
          </w:p>
        </w:tc>
        <w:tc>
          <w:tcPr>
            <w:tcW w:w="104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6,829</w:t>
            </w:r>
          </w:p>
        </w:tc>
        <w:tc>
          <w:tcPr>
            <w:tcW w:w="9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(39,583)</w:t>
            </w:r>
          </w:p>
        </w:tc>
        <w:tc>
          <w:tcPr>
            <w:tcW w:w="10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-679.6%</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-247.7%</w:t>
            </w:r>
          </w:p>
        </w:tc>
        <w:tc>
          <w:tcPr>
            <w:tcW w:w="98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39,446</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(32,754)</w:t>
            </w:r>
          </w:p>
        </w:tc>
        <w:tc>
          <w:tcPr>
            <w:tcW w:w="114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-183.0%</w:t>
            </w:r>
          </w:p>
        </w:tc>
      </w:tr>
      <w:tr>
        <w:trPr>
          <w:trHeight w:val="133"/>
        </w:trPr>
        <w:tc>
          <w:tcPr>
            <w:tcW w:w="30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Microfinance</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3"/>
        </w:trPr>
        <w:tc>
          <w:tcPr>
            <w:tcW w:w="3040" w:type="dxa"/>
            <w:vAlign w:val="bottom"/>
            <w:gridSpan w:val="2"/>
            <w:shd w:val="clear" w:color="auto" w:fill="CCEEFF"/>
          </w:tcPr>
          <w:p>
            <w:pPr>
              <w:ind w:left="40"/>
              <w:spacing w:after="0" w:line="134" w:lineRule="exact"/>
              <w:rPr>
                <w:sz w:val="20"/>
                <w:szCs w:val="20"/>
                <w:color w:val="auto"/>
              </w:rPr>
            </w:pPr>
            <w:r>
              <w:rPr>
                <w:rFonts w:ascii="Arial" w:cs="Arial" w:eastAsia="Arial" w:hAnsi="Arial"/>
                <w:sz w:val="12"/>
                <w:szCs w:val="12"/>
                <w:color w:val="auto"/>
              </w:rPr>
              <w:t>Mibanco (1)</w:t>
            </w:r>
          </w:p>
        </w:tc>
        <w:tc>
          <w:tcPr>
            <w:tcW w:w="104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96,906</w:t>
            </w:r>
          </w:p>
        </w:tc>
        <w:tc>
          <w:tcPr>
            <w:tcW w:w="104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33,326</w:t>
            </w:r>
          </w:p>
        </w:tc>
        <w:tc>
          <w:tcPr>
            <w:tcW w:w="9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(271,439)</w:t>
            </w:r>
          </w:p>
        </w:tc>
        <w:tc>
          <w:tcPr>
            <w:tcW w:w="10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-914.5%</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-380.1%</w:t>
            </w:r>
          </w:p>
        </w:tc>
        <w:tc>
          <w:tcPr>
            <w:tcW w:w="98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196,517</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(238,113)</w:t>
            </w:r>
          </w:p>
        </w:tc>
        <w:tc>
          <w:tcPr>
            <w:tcW w:w="114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-221.2%</w:t>
            </w:r>
          </w:p>
        </w:tc>
      </w:tr>
      <w:tr>
        <w:trPr>
          <w:trHeight w:val="133"/>
        </w:trPr>
        <w:tc>
          <w:tcPr>
            <w:tcW w:w="3040" w:type="dxa"/>
            <w:vAlign w:val="bottom"/>
            <w:gridSpan w:val="2"/>
          </w:tcPr>
          <w:p>
            <w:pPr>
              <w:ind w:left="40"/>
              <w:spacing w:after="0" w:line="134" w:lineRule="exact"/>
              <w:rPr>
                <w:sz w:val="20"/>
                <w:szCs w:val="20"/>
                <w:color w:val="auto"/>
              </w:rPr>
            </w:pPr>
            <w:r>
              <w:rPr>
                <w:rFonts w:ascii="Arial" w:cs="Arial" w:eastAsia="Arial" w:hAnsi="Arial"/>
                <w:sz w:val="12"/>
                <w:szCs w:val="12"/>
                <w:color w:val="auto"/>
              </w:rPr>
              <w:t>Bancompartir S.A</w:t>
            </w:r>
          </w:p>
        </w:tc>
        <w:tc>
          <w:tcPr>
            <w:tcW w:w="104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(3,412)</w:t>
            </w:r>
          </w:p>
        </w:tc>
        <w:tc>
          <w:tcPr>
            <w:tcW w:w="9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(12,932)</w:t>
            </w:r>
          </w:p>
        </w:tc>
        <w:tc>
          <w:tcPr>
            <w:tcW w:w="10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279.0%</w:t>
            </w:r>
          </w:p>
        </w:tc>
        <w:tc>
          <w:tcPr>
            <w:tcW w:w="200" w:type="dxa"/>
            <w:vAlign w:val="bottom"/>
          </w:tcPr>
          <w:p>
            <w:pPr>
              <w:spacing w:after="0"/>
              <w:rPr>
                <w:sz w:val="11"/>
                <w:szCs w:val="11"/>
                <w:color w:val="auto"/>
              </w:rPr>
            </w:pP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0.0%</w:t>
            </w:r>
          </w:p>
        </w:tc>
        <w:tc>
          <w:tcPr>
            <w:tcW w:w="98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(16,344)</w:t>
            </w:r>
          </w:p>
        </w:tc>
        <w:tc>
          <w:tcPr>
            <w:tcW w:w="114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0.0%</w:t>
            </w:r>
          </w:p>
        </w:tc>
      </w:tr>
      <w:tr>
        <w:trPr>
          <w:trHeight w:val="133"/>
        </w:trPr>
        <w:tc>
          <w:tcPr>
            <w:tcW w:w="3040" w:type="dxa"/>
            <w:vAlign w:val="bottom"/>
            <w:gridSpan w:val="2"/>
            <w:shd w:val="clear" w:color="auto" w:fill="CCEEFF"/>
          </w:tcPr>
          <w:p>
            <w:pPr>
              <w:ind w:left="40"/>
              <w:spacing w:after="0" w:line="134" w:lineRule="exact"/>
              <w:rPr>
                <w:sz w:val="20"/>
                <w:szCs w:val="20"/>
                <w:color w:val="auto"/>
              </w:rPr>
            </w:pPr>
            <w:r>
              <w:rPr>
                <w:rFonts w:ascii="Arial" w:cs="Arial" w:eastAsia="Arial" w:hAnsi="Arial"/>
                <w:sz w:val="12"/>
                <w:szCs w:val="12"/>
                <w:color w:val="auto"/>
              </w:rPr>
              <w:t>Encumbra</w:t>
            </w:r>
          </w:p>
        </w:tc>
        <w:tc>
          <w:tcPr>
            <w:tcW w:w="8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1,263</w:t>
            </w:r>
          </w:p>
        </w:tc>
        <w:tc>
          <w:tcPr>
            <w:tcW w:w="2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1,047</w:t>
            </w:r>
          </w:p>
        </w:tc>
        <w:tc>
          <w:tcPr>
            <w:tcW w:w="9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(1,164)</w:t>
            </w:r>
          </w:p>
        </w:tc>
        <w:tc>
          <w:tcPr>
            <w:tcW w:w="10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-211.2%</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-192.2%</w:t>
            </w:r>
          </w:p>
        </w:tc>
        <w:tc>
          <w:tcPr>
            <w:tcW w:w="98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3,088</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(117)</w:t>
            </w:r>
          </w:p>
        </w:tc>
        <w:tc>
          <w:tcPr>
            <w:tcW w:w="114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-103.8%</w:t>
            </w:r>
          </w:p>
        </w:tc>
      </w:tr>
      <w:tr>
        <w:trPr>
          <w:trHeight w:val="133"/>
        </w:trPr>
        <w:tc>
          <w:tcPr>
            <w:tcW w:w="30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Insurance and Pensions</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3"/>
        </w:trPr>
        <w:tc>
          <w:tcPr>
            <w:tcW w:w="3040" w:type="dxa"/>
            <w:vAlign w:val="bottom"/>
            <w:gridSpan w:val="2"/>
            <w:shd w:val="clear" w:color="auto" w:fill="CCEEFF"/>
          </w:tcPr>
          <w:p>
            <w:pPr>
              <w:ind w:left="40"/>
              <w:spacing w:after="0" w:line="134" w:lineRule="exact"/>
              <w:rPr>
                <w:sz w:val="20"/>
                <w:szCs w:val="20"/>
                <w:color w:val="auto"/>
              </w:rPr>
            </w:pPr>
            <w:r>
              <w:rPr>
                <w:rFonts w:ascii="Arial" w:cs="Arial" w:eastAsia="Arial" w:hAnsi="Arial"/>
                <w:sz w:val="12"/>
                <w:szCs w:val="12"/>
                <w:color w:val="auto"/>
              </w:rPr>
              <w:t>Grupo Pacifico (2)</w:t>
            </w:r>
          </w:p>
        </w:tc>
        <w:tc>
          <w:tcPr>
            <w:tcW w:w="104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97,133</w:t>
            </w:r>
          </w:p>
        </w:tc>
        <w:tc>
          <w:tcPr>
            <w:tcW w:w="104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98,661</w:t>
            </w:r>
          </w:p>
        </w:tc>
        <w:tc>
          <w:tcPr>
            <w:tcW w:w="98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99,686</w:t>
            </w:r>
          </w:p>
        </w:tc>
        <w:tc>
          <w:tcPr>
            <w:tcW w:w="10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1.0%</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2.6%</w:t>
            </w:r>
          </w:p>
        </w:tc>
        <w:tc>
          <w:tcPr>
            <w:tcW w:w="98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174,290</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198,347</w:t>
            </w:r>
          </w:p>
        </w:tc>
        <w:tc>
          <w:tcPr>
            <w:tcW w:w="114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13.8%</w:t>
            </w:r>
          </w:p>
        </w:tc>
      </w:tr>
      <w:tr>
        <w:trPr>
          <w:trHeight w:val="133"/>
        </w:trPr>
        <w:tc>
          <w:tcPr>
            <w:tcW w:w="3040" w:type="dxa"/>
            <w:vAlign w:val="bottom"/>
            <w:gridSpan w:val="2"/>
          </w:tcPr>
          <w:p>
            <w:pPr>
              <w:ind w:left="40"/>
              <w:spacing w:after="0" w:line="134" w:lineRule="exact"/>
              <w:rPr>
                <w:sz w:val="20"/>
                <w:szCs w:val="20"/>
                <w:color w:val="auto"/>
              </w:rPr>
            </w:pPr>
            <w:r>
              <w:rPr>
                <w:rFonts w:ascii="Arial" w:cs="Arial" w:eastAsia="Arial" w:hAnsi="Arial"/>
                <w:sz w:val="12"/>
                <w:szCs w:val="12"/>
                <w:color w:val="auto"/>
              </w:rPr>
              <w:t>Prima AFP</w:t>
            </w:r>
          </w:p>
        </w:tc>
        <w:tc>
          <w:tcPr>
            <w:tcW w:w="104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50,367</w:t>
            </w:r>
          </w:p>
        </w:tc>
        <w:tc>
          <w:tcPr>
            <w:tcW w:w="10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(4,079)</w:t>
            </w:r>
          </w:p>
        </w:tc>
        <w:tc>
          <w:tcPr>
            <w:tcW w:w="98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51,232</w:t>
            </w:r>
          </w:p>
        </w:tc>
        <w:tc>
          <w:tcPr>
            <w:tcW w:w="10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1356.0%</w:t>
            </w:r>
          </w:p>
        </w:tc>
        <w:tc>
          <w:tcPr>
            <w:tcW w:w="200" w:type="dxa"/>
            <w:vAlign w:val="bottom"/>
          </w:tcPr>
          <w:p>
            <w:pPr>
              <w:spacing w:after="0"/>
              <w:rPr>
                <w:sz w:val="11"/>
                <w:szCs w:val="11"/>
                <w:color w:val="auto"/>
              </w:rPr>
            </w:pP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1.7%</w:t>
            </w:r>
          </w:p>
        </w:tc>
        <w:tc>
          <w:tcPr>
            <w:tcW w:w="98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107,367</w:t>
            </w:r>
          </w:p>
        </w:tc>
        <w:tc>
          <w:tcPr>
            <w:tcW w:w="120" w:type="dxa"/>
            <w:vAlign w:val="bottom"/>
          </w:tcPr>
          <w:p>
            <w:pPr>
              <w:spacing w:after="0"/>
              <w:rPr>
                <w:sz w:val="11"/>
                <w:szCs w:val="11"/>
                <w:color w:val="auto"/>
              </w:rPr>
            </w:pPr>
          </w:p>
        </w:tc>
        <w:tc>
          <w:tcPr>
            <w:tcW w:w="8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47,153</w:t>
            </w:r>
          </w:p>
        </w:tc>
        <w:tc>
          <w:tcPr>
            <w:tcW w:w="114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-56.1%</w:t>
            </w:r>
          </w:p>
        </w:tc>
      </w:tr>
      <w:tr>
        <w:trPr>
          <w:trHeight w:val="133"/>
        </w:trPr>
        <w:tc>
          <w:tcPr>
            <w:tcW w:w="304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Investment Banking and Wealth Management</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3"/>
        </w:trPr>
        <w:tc>
          <w:tcPr>
            <w:tcW w:w="3040" w:type="dxa"/>
            <w:vAlign w:val="bottom"/>
            <w:gridSpan w:val="2"/>
          </w:tcPr>
          <w:p>
            <w:pPr>
              <w:ind w:left="40"/>
              <w:spacing w:after="0" w:line="134" w:lineRule="exact"/>
              <w:rPr>
                <w:sz w:val="20"/>
                <w:szCs w:val="20"/>
                <w:color w:val="auto"/>
              </w:rPr>
            </w:pPr>
            <w:r>
              <w:rPr>
                <w:rFonts w:ascii="Arial" w:cs="Arial" w:eastAsia="Arial" w:hAnsi="Arial"/>
                <w:sz w:val="12"/>
                <w:szCs w:val="12"/>
                <w:color w:val="auto"/>
              </w:rPr>
              <w:t>Credicorp Capital</w:t>
            </w:r>
          </w:p>
        </w:tc>
        <w:tc>
          <w:tcPr>
            <w:tcW w:w="104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10,823</w:t>
            </w:r>
          </w:p>
        </w:tc>
        <w:tc>
          <w:tcPr>
            <w:tcW w:w="104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359</w:t>
            </w:r>
          </w:p>
        </w:tc>
        <w:tc>
          <w:tcPr>
            <w:tcW w:w="98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15,616</w:t>
            </w:r>
          </w:p>
        </w:tc>
        <w:tc>
          <w:tcPr>
            <w:tcW w:w="1220" w:type="dxa"/>
            <w:vAlign w:val="bottom"/>
            <w:gridSpan w:val="3"/>
          </w:tcPr>
          <w:p>
            <w:pPr>
              <w:ind w:left="560"/>
              <w:spacing w:after="0" w:line="134" w:lineRule="exact"/>
              <w:rPr>
                <w:sz w:val="20"/>
                <w:szCs w:val="20"/>
                <w:color w:val="auto"/>
              </w:rPr>
            </w:pPr>
            <w:r>
              <w:rPr>
                <w:rFonts w:ascii="Arial" w:cs="Arial" w:eastAsia="Arial" w:hAnsi="Arial"/>
                <w:sz w:val="12"/>
                <w:szCs w:val="12"/>
                <w:color w:val="auto"/>
              </w:rPr>
              <w:t>N/A</w:t>
            </w: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44.3%</w:t>
            </w:r>
          </w:p>
        </w:tc>
        <w:tc>
          <w:tcPr>
            <w:tcW w:w="98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26,242</w:t>
            </w:r>
          </w:p>
        </w:tc>
        <w:tc>
          <w:tcPr>
            <w:tcW w:w="120" w:type="dxa"/>
            <w:vAlign w:val="bottom"/>
          </w:tcPr>
          <w:p>
            <w:pPr>
              <w:spacing w:after="0"/>
              <w:rPr>
                <w:sz w:val="11"/>
                <w:szCs w:val="11"/>
                <w:color w:val="auto"/>
              </w:rPr>
            </w:pPr>
          </w:p>
        </w:tc>
        <w:tc>
          <w:tcPr>
            <w:tcW w:w="8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15,975</w:t>
            </w:r>
          </w:p>
        </w:tc>
        <w:tc>
          <w:tcPr>
            <w:tcW w:w="114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-39.1%</w:t>
            </w:r>
          </w:p>
        </w:tc>
      </w:tr>
      <w:tr>
        <w:trPr>
          <w:trHeight w:val="133"/>
        </w:trPr>
        <w:tc>
          <w:tcPr>
            <w:tcW w:w="3040" w:type="dxa"/>
            <w:vAlign w:val="bottom"/>
            <w:gridSpan w:val="2"/>
            <w:shd w:val="clear" w:color="auto" w:fill="CCEEFF"/>
          </w:tcPr>
          <w:p>
            <w:pPr>
              <w:ind w:left="40"/>
              <w:spacing w:after="0" w:line="134" w:lineRule="exact"/>
              <w:rPr>
                <w:sz w:val="20"/>
                <w:szCs w:val="20"/>
                <w:color w:val="auto"/>
              </w:rPr>
            </w:pPr>
            <w:r>
              <w:rPr>
                <w:rFonts w:ascii="Arial" w:cs="Arial" w:eastAsia="Arial" w:hAnsi="Arial"/>
                <w:sz w:val="12"/>
                <w:szCs w:val="12"/>
                <w:color w:val="auto"/>
              </w:rPr>
              <w:t>Atlantic Security Bank</w:t>
            </w:r>
          </w:p>
        </w:tc>
        <w:tc>
          <w:tcPr>
            <w:tcW w:w="104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50,592</w:t>
            </w:r>
          </w:p>
        </w:tc>
        <w:tc>
          <w:tcPr>
            <w:tcW w:w="10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(512)</w:t>
            </w:r>
          </w:p>
        </w:tc>
        <w:tc>
          <w:tcPr>
            <w:tcW w:w="98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127,105</w:t>
            </w:r>
          </w:p>
        </w:tc>
        <w:tc>
          <w:tcPr>
            <w:tcW w:w="10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24925.2%</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151.2%</w:t>
            </w:r>
          </w:p>
        </w:tc>
        <w:tc>
          <w:tcPr>
            <w:tcW w:w="98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100,340</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126,593</w:t>
            </w:r>
          </w:p>
        </w:tc>
        <w:tc>
          <w:tcPr>
            <w:tcW w:w="114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26.2%</w:t>
            </w:r>
          </w:p>
        </w:tc>
      </w:tr>
      <w:tr>
        <w:trPr>
          <w:trHeight w:val="147"/>
        </w:trPr>
        <w:tc>
          <w:tcPr>
            <w:tcW w:w="3040" w:type="dxa"/>
            <w:vAlign w:val="bottom"/>
            <w:gridSpan w:val="2"/>
          </w:tcPr>
          <w:p>
            <w:pPr>
              <w:spacing w:after="0"/>
              <w:rPr>
                <w:sz w:val="20"/>
                <w:szCs w:val="20"/>
                <w:color w:val="auto"/>
              </w:rPr>
            </w:pPr>
            <w:r>
              <w:rPr>
                <w:rFonts w:ascii="Arial" w:cs="Arial" w:eastAsia="Arial" w:hAnsi="Arial"/>
                <w:sz w:val="12"/>
                <w:szCs w:val="12"/>
                <w:b w:val="1"/>
                <w:bCs w:val="1"/>
                <w:color w:val="auto"/>
              </w:rPr>
              <w:t>Others (3)</w:t>
            </w: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(25,700)</w:t>
            </w: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(65,149)</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(60,507)</w:t>
            </w: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7.1%</w:t>
            </w:r>
          </w:p>
        </w:tc>
        <w:tc>
          <w:tcPr>
            <w:tcW w:w="2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-135.4%</w:t>
            </w: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(54,199)</w:t>
            </w:r>
          </w:p>
        </w:tc>
        <w:tc>
          <w:tcPr>
            <w:tcW w:w="12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(125,656)</w:t>
            </w:r>
          </w:p>
        </w:tc>
        <w:tc>
          <w:tcPr>
            <w:tcW w:w="1140" w:type="dxa"/>
            <w:vAlign w:val="bottom"/>
            <w:gridSpan w:val="2"/>
          </w:tcPr>
          <w:p>
            <w:pPr>
              <w:jc w:val="right"/>
              <w:ind w:right="20"/>
              <w:spacing w:after="0"/>
              <w:rPr>
                <w:sz w:val="20"/>
                <w:szCs w:val="20"/>
                <w:color w:val="auto"/>
              </w:rPr>
            </w:pPr>
            <w:r>
              <w:rPr>
                <w:rFonts w:ascii="Arial" w:cs="Arial" w:eastAsia="Arial" w:hAnsi="Arial"/>
                <w:sz w:val="12"/>
                <w:szCs w:val="12"/>
                <w:color w:val="auto"/>
              </w:rPr>
              <w:t>131.8%</w:t>
            </w:r>
          </w:p>
        </w:tc>
      </w:tr>
      <w:tr>
        <w:trPr>
          <w:trHeight w:val="147"/>
        </w:trPr>
        <w:tc>
          <w:tcPr>
            <w:tcW w:w="30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Net income attributed to Credicorp</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1,098,573</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209,274</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(620,390)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-396.4%</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-156.5%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2,199,440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(411,116)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-118.7%</w:t>
            </w:r>
          </w:p>
        </w:tc>
      </w:tr>
    </w:tbl>
    <w:p>
      <w:pPr>
        <w:spacing w:after="0" w:line="199" w:lineRule="exact"/>
        <w:rPr>
          <w:sz w:val="20"/>
          <w:szCs w:val="20"/>
          <w:color w:val="auto"/>
        </w:rPr>
      </w:pPr>
    </w:p>
    <w:p>
      <w:pPr>
        <w:ind w:right="4620"/>
        <w:spacing w:after="0"/>
        <w:rPr>
          <w:sz w:val="20"/>
          <w:szCs w:val="20"/>
          <w:color w:val="auto"/>
        </w:rPr>
      </w:pPr>
      <w:r>
        <w:rPr>
          <w:rFonts w:ascii="Arial" w:cs="Arial" w:eastAsia="Arial" w:hAnsi="Arial"/>
          <w:sz w:val="12"/>
          <w:szCs w:val="12"/>
          <w:color w:val="auto"/>
        </w:rPr>
        <w:t>*Contributions to Credicorp reflect the eliminations for consolidation purposes (e.g. eliminations for transactions among Credicorp’s subsidiaries or between Credicorp and its subsidiaries).</w:t>
      </w:r>
    </w:p>
    <w:p>
      <w:pPr>
        <w:ind w:left="180" w:hanging="173"/>
        <w:spacing w:after="0" w:line="233" w:lineRule="auto"/>
        <w:tabs>
          <w:tab w:leader="none" w:pos="18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figure is lower than the net income of Mibanco because Credicorp owns 99.921% of Mibanco (directly and indirectly).</w:t>
      </w:r>
    </w:p>
    <w:p>
      <w:pPr>
        <w:ind w:left="180" w:hanging="173"/>
        <w:spacing w:after="0" w:line="232" w:lineRule="auto"/>
        <w:tabs>
          <w:tab w:leader="none" w:pos="18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contribution is higher than Grupo Pacifico’s net income because Credicorp owns 65.20% directly, and 33.59% through Grupo Credito.</w:t>
      </w:r>
    </w:p>
    <w:p>
      <w:pPr>
        <w:ind w:left="180" w:hanging="173"/>
        <w:spacing w:after="0"/>
        <w:tabs>
          <w:tab w:leader="none" w:pos="180" w:val="left"/>
        </w:tabs>
        <w:numPr>
          <w:ilvl w:val="0"/>
          <w:numId w:val="2"/>
        </w:numPr>
        <w:rPr>
          <w:rFonts w:ascii="Arial" w:cs="Arial" w:eastAsia="Arial" w:hAnsi="Arial"/>
          <w:sz w:val="12"/>
          <w:szCs w:val="12"/>
          <w:color w:val="auto"/>
        </w:rPr>
      </w:pPr>
      <w:r>
        <w:rPr>
          <w:rFonts w:ascii="Arial" w:cs="Arial" w:eastAsia="Arial" w:hAnsi="Arial"/>
          <w:sz w:val="12"/>
          <w:szCs w:val="12"/>
          <w:color w:val="auto"/>
        </w:rPr>
        <w:t>Includes Grupo Credito excluding Prima (Servicorp and Emisiones BCP Latam), others of Atlantic Security Holding Corporation and others of Credicorp Ltd.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9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Borders>
              <w:bottom w:val="single" w:sz="8" w:color="auto"/>
            </w:tcBorders>
            <w:gridSpan w:val="3"/>
          </w:tcPr>
          <w:p>
            <w:pPr>
              <w:ind w:left="900"/>
              <w:spacing w:after="0"/>
              <w:rPr>
                <w:sz w:val="20"/>
                <w:szCs w:val="20"/>
                <w:color w:val="auto"/>
              </w:rPr>
            </w:pPr>
            <w:r>
              <w:rPr>
                <w:rFonts w:ascii="Arial" w:cs="Arial" w:eastAsia="Arial" w:hAnsi="Arial"/>
                <w:sz w:val="18"/>
                <w:szCs w:val="18"/>
                <w:b w:val="1"/>
                <w:bCs w:val="1"/>
                <w:color w:val="auto"/>
              </w:rPr>
              <w:t>Year</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2"/>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ROAE</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2Q19</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1Q20</w:t>
            </w:r>
          </w:p>
        </w:tc>
        <w:tc>
          <w:tcPr>
            <w:tcW w:w="960" w:type="dxa"/>
            <w:vAlign w:val="bottom"/>
          </w:tcPr>
          <w:p>
            <w:pPr>
              <w:ind w:left="280"/>
              <w:spacing w:after="0"/>
              <w:rPr>
                <w:sz w:val="20"/>
                <w:szCs w:val="20"/>
                <w:color w:val="auto"/>
              </w:rPr>
            </w:pPr>
            <w:r>
              <w:rPr>
                <w:rFonts w:ascii="Arial" w:cs="Arial" w:eastAsia="Arial" w:hAnsi="Arial"/>
                <w:sz w:val="18"/>
                <w:szCs w:val="18"/>
                <w:b w:val="1"/>
                <w:bCs w:val="1"/>
                <w:color w:val="auto"/>
              </w:rPr>
              <w:t>2Q20</w:t>
            </w:r>
          </w:p>
        </w:tc>
        <w:tc>
          <w:tcPr>
            <w:tcW w:w="240" w:type="dxa"/>
            <w:vAlign w:val="bottom"/>
          </w:tcPr>
          <w:p>
            <w:pPr>
              <w:spacing w:after="0"/>
              <w:rPr>
                <w:sz w:val="19"/>
                <w:szCs w:val="19"/>
                <w:color w:val="auto"/>
              </w:rPr>
            </w:pPr>
          </w:p>
        </w:tc>
        <w:tc>
          <w:tcPr>
            <w:tcW w:w="1340" w:type="dxa"/>
            <w:vAlign w:val="bottom"/>
            <w:gridSpan w:val="3"/>
          </w:tcPr>
          <w:p>
            <w:pPr>
              <w:ind w:left="220"/>
              <w:spacing w:after="0"/>
              <w:rPr>
                <w:sz w:val="20"/>
                <w:szCs w:val="20"/>
                <w:color w:val="auto"/>
              </w:rPr>
            </w:pPr>
            <w:r>
              <w:rPr>
                <w:rFonts w:ascii="Arial" w:cs="Arial" w:eastAsia="Arial" w:hAnsi="Arial"/>
                <w:sz w:val="18"/>
                <w:szCs w:val="18"/>
                <w:b w:val="1"/>
                <w:bCs w:val="1"/>
                <w:color w:val="auto"/>
              </w:rPr>
              <w:t>Jun 19</w:t>
            </w:r>
          </w:p>
        </w:tc>
        <w:tc>
          <w:tcPr>
            <w:tcW w:w="800" w:type="dxa"/>
            <w:vAlign w:val="bottom"/>
          </w:tcPr>
          <w:p>
            <w:pPr>
              <w:ind w:left="80"/>
              <w:spacing w:after="0"/>
              <w:rPr>
                <w:sz w:val="20"/>
                <w:szCs w:val="20"/>
                <w:color w:val="auto"/>
              </w:rPr>
            </w:pPr>
            <w:r>
              <w:rPr>
                <w:rFonts w:ascii="Arial" w:cs="Arial" w:eastAsia="Arial" w:hAnsi="Arial"/>
                <w:sz w:val="18"/>
                <w:szCs w:val="18"/>
                <w:b w:val="1"/>
                <w:bCs w:val="1"/>
                <w:color w:val="auto"/>
              </w:rPr>
              <w:t>Jun 20</w:t>
            </w:r>
          </w:p>
        </w:tc>
        <w:tc>
          <w:tcPr>
            <w:tcW w:w="160" w:type="dxa"/>
            <w:vAlign w:val="bottom"/>
          </w:tcPr>
          <w:p>
            <w:pPr>
              <w:spacing w:after="0"/>
              <w:rPr>
                <w:sz w:val="19"/>
                <w:szCs w:val="19"/>
                <w:color w:val="auto"/>
              </w:rPr>
            </w:pPr>
          </w:p>
        </w:tc>
      </w:tr>
      <w:tr>
        <w:trPr>
          <w:trHeight w:val="207"/>
        </w:trPr>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Universal Banking</w:t>
            </w: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3"/>
        </w:trPr>
        <w:tc>
          <w:tcPr>
            <w:tcW w:w="3100" w:type="dxa"/>
            <w:vAlign w:val="bottom"/>
            <w:gridSpan w:val="2"/>
          </w:tcPr>
          <w:p>
            <w:pPr>
              <w:ind w:left="60"/>
              <w:spacing w:after="0"/>
              <w:rPr>
                <w:sz w:val="20"/>
                <w:szCs w:val="20"/>
                <w:color w:val="auto"/>
              </w:rPr>
            </w:pPr>
            <w:r>
              <w:rPr>
                <w:rFonts w:ascii="Arial" w:cs="Arial" w:eastAsia="Arial" w:hAnsi="Arial"/>
                <w:sz w:val="18"/>
                <w:szCs w:val="18"/>
                <w:i w:val="1"/>
                <w:iCs w:val="1"/>
                <w:color w:val="auto"/>
              </w:rPr>
              <w:t>BCP Stand-alone</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21.5%</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3.5%</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-13.6%</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21.5%</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i w:val="1"/>
                <w:iCs w:val="1"/>
                <w:color w:val="auto"/>
              </w:rPr>
              <w:t>-5.0%</w:t>
            </w:r>
          </w:p>
        </w:tc>
      </w:tr>
      <w:tr>
        <w:trPr>
          <w:trHeight w:val="213"/>
        </w:trPr>
        <w:tc>
          <w:tcPr>
            <w:tcW w:w="310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rPr>
              <w:t>BCP Bolivia</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15.8%</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3.8%</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-22.5%</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11.4%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-9.1%</w:t>
            </w:r>
          </w:p>
        </w:tc>
      </w:tr>
      <w:tr>
        <w:trPr>
          <w:trHeight w:val="213"/>
        </w:trPr>
        <w:tc>
          <w:tcPr>
            <w:tcW w:w="3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Microfinance</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4"/>
        </w:trPr>
        <w:tc>
          <w:tcPr>
            <w:tcW w:w="3100" w:type="dxa"/>
            <w:vAlign w:val="bottom"/>
            <w:gridSpan w:val="2"/>
            <w:shd w:val="clear" w:color="auto" w:fill="CCEEFF"/>
          </w:tcPr>
          <w:p>
            <w:pPr>
              <w:ind w:left="60"/>
              <w:spacing w:after="0" w:line="253" w:lineRule="exact"/>
              <w:rPr>
                <w:sz w:val="20"/>
                <w:szCs w:val="20"/>
                <w:color w:val="auto"/>
              </w:rPr>
            </w:pPr>
            <w:r>
              <w:rPr>
                <w:rFonts w:ascii="Arial" w:cs="Arial" w:eastAsia="Arial" w:hAnsi="Arial"/>
                <w:sz w:val="18"/>
                <w:szCs w:val="18"/>
                <w:i w:val="1"/>
                <w:iCs w:val="1"/>
                <w:color w:val="auto"/>
              </w:rPr>
              <w:t xml:space="preserve">Mibanco </w:t>
            </w:r>
            <w:r>
              <w:rPr>
                <w:rFonts w:ascii="Arial" w:cs="Arial" w:eastAsia="Arial" w:hAnsi="Arial"/>
                <w:sz w:val="29"/>
                <w:szCs w:val="29"/>
                <w:i w:val="1"/>
                <w:iCs w:val="1"/>
                <w:color w:val="auto"/>
                <w:vertAlign w:val="superscript"/>
              </w:rPr>
              <w:t>(1)</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20.0%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6.5%</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-56.0%</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20.4%</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-24.8%</w:t>
            </w:r>
          </w:p>
        </w:tc>
      </w:tr>
      <w:tr>
        <w:trPr>
          <w:trHeight w:val="213"/>
        </w:trPr>
        <w:tc>
          <w:tcPr>
            <w:tcW w:w="3100" w:type="dxa"/>
            <w:vAlign w:val="bottom"/>
            <w:gridSpan w:val="2"/>
          </w:tcPr>
          <w:p>
            <w:pPr>
              <w:ind w:left="60"/>
              <w:spacing w:after="0"/>
              <w:rPr>
                <w:sz w:val="20"/>
                <w:szCs w:val="20"/>
                <w:color w:val="auto"/>
              </w:rPr>
            </w:pPr>
            <w:r>
              <w:rPr>
                <w:rFonts w:ascii="Arial" w:cs="Arial" w:eastAsia="Arial" w:hAnsi="Arial"/>
                <w:sz w:val="18"/>
                <w:szCs w:val="18"/>
                <w:i w:val="1"/>
                <w:iCs w:val="1"/>
                <w:color w:val="auto"/>
              </w:rPr>
              <w:t>Bancompartir</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0.0%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-10.9%</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-59.4%</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0.0%</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i w:val="1"/>
                <w:iCs w:val="1"/>
                <w:color w:val="auto"/>
              </w:rPr>
              <w:t>-30.6%</w:t>
            </w:r>
          </w:p>
        </w:tc>
      </w:tr>
      <w:tr>
        <w:trPr>
          <w:trHeight w:val="213"/>
        </w:trPr>
        <w:tc>
          <w:tcPr>
            <w:tcW w:w="310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rPr>
              <w:t>Encumbra</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8.4%</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7.4%</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-8.5%</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10.5%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-0.4%</w:t>
            </w:r>
          </w:p>
        </w:tc>
      </w:tr>
      <w:tr>
        <w:trPr>
          <w:trHeight w:val="213"/>
        </w:trPr>
        <w:tc>
          <w:tcPr>
            <w:tcW w:w="3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Insurance and Pensions</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4"/>
        </w:trPr>
        <w:tc>
          <w:tcPr>
            <w:tcW w:w="3100" w:type="dxa"/>
            <w:vAlign w:val="bottom"/>
            <w:gridSpan w:val="2"/>
            <w:shd w:val="clear" w:color="auto" w:fill="CCEEFF"/>
          </w:tcPr>
          <w:p>
            <w:pPr>
              <w:ind w:left="60"/>
              <w:spacing w:after="0" w:line="253" w:lineRule="exact"/>
              <w:rPr>
                <w:sz w:val="20"/>
                <w:szCs w:val="20"/>
                <w:color w:val="auto"/>
              </w:rPr>
            </w:pPr>
            <w:r>
              <w:rPr>
                <w:rFonts w:ascii="Arial" w:cs="Arial" w:eastAsia="Arial" w:hAnsi="Arial"/>
                <w:sz w:val="18"/>
                <w:szCs w:val="18"/>
                <w:i w:val="1"/>
                <w:iCs w:val="1"/>
                <w:color w:val="auto"/>
              </w:rPr>
              <w:t xml:space="preserve">Grupo Pacifico </w:t>
            </w:r>
            <w:r>
              <w:rPr>
                <w:rFonts w:ascii="Arial" w:cs="Arial" w:eastAsia="Arial" w:hAnsi="Arial"/>
                <w:sz w:val="29"/>
                <w:szCs w:val="29"/>
                <w:i w:val="1"/>
                <w:iCs w:val="1"/>
                <w:color w:val="auto"/>
                <w:vertAlign w:val="superscript"/>
              </w:rPr>
              <w:t>(2)</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13.6%</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14.4%</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14.5%</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12.3%</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14.2%</w:t>
            </w:r>
          </w:p>
        </w:tc>
      </w:tr>
      <w:tr>
        <w:trPr>
          <w:trHeight w:val="213"/>
        </w:trPr>
        <w:tc>
          <w:tcPr>
            <w:tcW w:w="3100" w:type="dxa"/>
            <w:vAlign w:val="bottom"/>
            <w:gridSpan w:val="2"/>
          </w:tcPr>
          <w:p>
            <w:pPr>
              <w:ind w:left="60"/>
              <w:spacing w:after="0"/>
              <w:rPr>
                <w:sz w:val="20"/>
                <w:szCs w:val="20"/>
                <w:color w:val="auto"/>
              </w:rPr>
            </w:pPr>
            <w:r>
              <w:rPr>
                <w:rFonts w:ascii="Arial" w:cs="Arial" w:eastAsia="Arial" w:hAnsi="Arial"/>
                <w:sz w:val="18"/>
                <w:szCs w:val="18"/>
                <w:i w:val="1"/>
                <w:iCs w:val="1"/>
                <w:color w:val="auto"/>
              </w:rPr>
              <w:t>Prima</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33.3%</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-2.6%</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35.8%</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34.0%</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i w:val="1"/>
                <w:iCs w:val="1"/>
                <w:color w:val="auto"/>
              </w:rPr>
              <w:t>14.6%</w:t>
            </w:r>
          </w:p>
        </w:tc>
      </w:tr>
      <w:tr>
        <w:trPr>
          <w:trHeight w:val="199"/>
        </w:trPr>
        <w:tc>
          <w:tcPr>
            <w:tcW w:w="310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b w:val="1"/>
                <w:bCs w:val="1"/>
                <w:i w:val="1"/>
                <w:iCs w:val="1"/>
                <w:color w:val="auto"/>
              </w:rPr>
              <w:t>Investment Banking and Wealth</w:t>
            </w: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8"/>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Management</w:t>
            </w: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3"/>
        </w:trPr>
        <w:tc>
          <w:tcPr>
            <w:tcW w:w="3100" w:type="dxa"/>
            <w:vAlign w:val="bottom"/>
            <w:gridSpan w:val="2"/>
          </w:tcPr>
          <w:p>
            <w:pPr>
              <w:ind w:left="60"/>
              <w:spacing w:after="0"/>
              <w:rPr>
                <w:sz w:val="20"/>
                <w:szCs w:val="20"/>
                <w:color w:val="auto"/>
              </w:rPr>
            </w:pPr>
            <w:r>
              <w:rPr>
                <w:rFonts w:ascii="Arial" w:cs="Arial" w:eastAsia="Arial" w:hAnsi="Arial"/>
                <w:sz w:val="18"/>
                <w:szCs w:val="18"/>
                <w:i w:val="1"/>
                <w:iCs w:val="1"/>
                <w:color w:val="auto"/>
              </w:rPr>
              <w:t>Credicorp Capital</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7.7%</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0.2%</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10.2%</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8.3%</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i w:val="1"/>
                <w:iCs w:val="1"/>
                <w:color w:val="auto"/>
              </w:rPr>
              <w:t>4.9%</w:t>
            </w:r>
          </w:p>
        </w:tc>
      </w:tr>
      <w:tr>
        <w:trPr>
          <w:trHeight w:val="213"/>
        </w:trPr>
        <w:tc>
          <w:tcPr>
            <w:tcW w:w="310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rPr>
              <w:t>Atlantic Security Bank</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25.7%</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-0.3%</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73.5%</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25.1%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34.3%</w:t>
            </w:r>
          </w:p>
        </w:tc>
      </w:tr>
      <w:tr>
        <w:trPr>
          <w:trHeight w:val="226"/>
        </w:trPr>
        <w:tc>
          <w:tcPr>
            <w:tcW w:w="3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Credicorp</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i w:val="1"/>
                <w:iCs w:val="1"/>
                <w:color w:val="auto"/>
              </w:rPr>
              <w:t>18.0%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i w:val="1"/>
                <w:iCs w:val="1"/>
                <w:color w:val="auto"/>
              </w:rPr>
              <w:t>3.4%</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i w:val="1"/>
                <w:iCs w:val="1"/>
                <w:color w:val="auto"/>
              </w:rPr>
              <w:t>-10.7%</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i w:val="1"/>
                <w:iCs w:val="1"/>
                <w:color w:val="auto"/>
              </w:rPr>
              <w:t>17.9%</w:t>
            </w: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-3.3%</w:t>
            </w:r>
          </w:p>
        </w:tc>
      </w:tr>
    </w:tbl>
    <w:p>
      <w:pPr>
        <w:spacing w:after="0" w:line="186" w:lineRule="exact"/>
        <w:rPr>
          <w:sz w:val="20"/>
          <w:szCs w:val="20"/>
          <w:color w:val="auto"/>
        </w:rPr>
      </w:pPr>
    </w:p>
    <w:p>
      <w:pPr>
        <w:ind w:right="1040"/>
        <w:spacing w:after="0" w:line="255" w:lineRule="auto"/>
        <w:rPr>
          <w:sz w:val="20"/>
          <w:szCs w:val="20"/>
          <w:color w:val="auto"/>
        </w:rPr>
      </w:pPr>
      <w:r>
        <w:rPr>
          <w:rFonts w:ascii="Arial" w:cs="Arial" w:eastAsia="Arial" w:hAnsi="Arial"/>
          <w:sz w:val="18"/>
          <w:szCs w:val="18"/>
          <w:color w:val="auto"/>
        </w:rPr>
        <w:t>'(1) ROAE including goodwill of BCP from the acquisition of Edyficar (Approximately US$ 50.7 million) was 18.6% in 2Q19, 6.1% in 1Q20 and -52.2% in 2Q20. YTD was 19.1% for June 2019 and -23.1% for June 2020.</w:t>
      </w:r>
    </w:p>
    <w:p>
      <w:pPr>
        <w:jc w:val="both"/>
        <w:ind w:right="1040" w:firstLine="7"/>
        <w:spacing w:after="0" w:line="251" w:lineRule="auto"/>
        <w:tabs>
          <w:tab w:leader="none" w:pos="274" w:val="left"/>
        </w:tabs>
        <w:numPr>
          <w:ilvl w:val="0"/>
          <w:numId w:val="3"/>
        </w:numPr>
        <w:rPr>
          <w:rFonts w:ascii="Arial" w:cs="Arial" w:eastAsia="Arial" w:hAnsi="Arial"/>
          <w:sz w:val="18"/>
          <w:szCs w:val="18"/>
          <w:color w:val="auto"/>
        </w:rPr>
      </w:pPr>
      <w:r>
        <w:rPr>
          <w:rFonts w:ascii="Arial" w:cs="Arial" w:eastAsia="Arial" w:hAnsi="Arial"/>
          <w:sz w:val="18"/>
          <w:szCs w:val="18"/>
          <w:color w:val="auto"/>
        </w:rPr>
        <w:t>Figures include unrealized gains or losses that are considered in Pacifico’s Net Equity from the investment portfolio of Pacifico Vida. ROAE excluding such unrealized gains was 18.6% in 2Q19, 16.5% in 1Q20 and 16.7% in 2Q20." YTD was 15.9% for June 2019 and 17.0% for June 2020.</w:t>
      </w:r>
    </w:p>
    <w:p>
      <w:pPr>
        <w:spacing w:after="0" w:line="200" w:lineRule="exact"/>
        <w:rPr>
          <w:sz w:val="20"/>
          <w:szCs w:val="20"/>
          <w:color w:val="auto"/>
        </w:rPr>
      </w:pPr>
    </w:p>
    <w:p>
      <w:pPr>
        <w:spacing w:after="0" w:line="20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ind w:left="460" w:hanging="453"/>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Interest-earning assets (IEA)</w:t>
      </w: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At the end of June 2020, IEAs registered growth of +13.9% QoQ and +24.7% YoY, which was primarily attributable to loan growth and, to a lesser extent, to an increase in available funds and investments. Loans, the group’s most profitable asset, posted growth of +10.3% QoQ and +16.8% YoY in average daily balances, which was mainly due to the increase registered in loans at BCP Stand-alone, where growth was led by Middle-Market and SME segments after BCRP injected liquidity through the Reactiva Peru financial relief program. If we exclude the effect generated by Government Programs (Reactiva Perú and FAE-Mype), loans from the Structural Portfolio registered growth of +3.8% QoQ and +9.8% YoY in average daily balances. This growth was attributable to expansion at BCP Stand-alone.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ind w:left="420"/>
              <w:spacing w:after="0"/>
              <w:rPr>
                <w:sz w:val="20"/>
                <w:szCs w:val="20"/>
                <w:color w:val="auto"/>
              </w:rPr>
            </w:pPr>
            <w:r>
              <w:rPr>
                <w:rFonts w:ascii="Arial" w:cs="Arial" w:eastAsia="Arial" w:hAnsi="Arial"/>
                <w:sz w:val="18"/>
                <w:szCs w:val="18"/>
                <w:b w:val="1"/>
                <w:bCs w:val="1"/>
                <w:color w:val="auto"/>
              </w:rPr>
              <w:t>As of</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gridSpan w:val="3"/>
          </w:tcPr>
          <w:p>
            <w:pPr>
              <w:ind w:left="160"/>
              <w:spacing w:after="0"/>
              <w:rPr>
                <w:sz w:val="20"/>
                <w:szCs w:val="20"/>
                <w:color w:val="auto"/>
              </w:rPr>
            </w:pPr>
            <w:r>
              <w:rPr>
                <w:rFonts w:ascii="Arial" w:cs="Arial" w:eastAsia="Arial" w:hAnsi="Arial"/>
                <w:sz w:val="18"/>
                <w:szCs w:val="18"/>
                <w:b w:val="1"/>
                <w:bCs w:val="1"/>
                <w:color w:val="auto"/>
                <w:w w:val="99"/>
              </w:rPr>
              <w:t>% change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1"/>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Jun 19</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Mar 20</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Jun 20</w:t>
            </w:r>
          </w:p>
        </w:tc>
        <w:tc>
          <w:tcPr>
            <w:tcW w:w="2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w w:val="97"/>
              </w:rPr>
              <w:t>QoQ</w:t>
            </w:r>
          </w:p>
        </w:tc>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08"/>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17,298,234</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19,162,140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29,425,115</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53.6%</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70.1%</w:t>
            </w:r>
          </w:p>
        </w:tc>
      </w:tr>
      <w:tr>
        <w:trPr>
          <w:trHeight w:val="213"/>
        </w:trPr>
        <w:tc>
          <w:tcPr>
            <w:tcW w:w="398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190,415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376,289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5,403</w:t>
            </w:r>
          </w:p>
        </w:tc>
        <w:tc>
          <w:tcPr>
            <w:tcW w:w="8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-98.6%</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-97.2%</w:t>
            </w:r>
          </w:p>
        </w:tc>
      </w:tr>
      <w:tr>
        <w:trPr>
          <w:trHeight w:val="254"/>
        </w:trPr>
        <w:tc>
          <w:tcPr>
            <w:tcW w:w="398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 xml:space="preserve">Total investments </w:t>
            </w:r>
            <w:r>
              <w:rPr>
                <w:rFonts w:ascii="Arial" w:cs="Arial" w:eastAsia="Arial" w:hAnsi="Arial"/>
                <w:sz w:val="29"/>
                <w:szCs w:val="29"/>
                <w:color w:val="auto"/>
                <w:vertAlign w:val="superscript"/>
              </w:rPr>
              <w:t>(1)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34,414,427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36,816,653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41,637,044</w:t>
            </w:r>
          </w:p>
        </w:tc>
        <w:tc>
          <w:tcPr>
            <w:tcW w:w="8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3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r>
      <w:tr>
        <w:trPr>
          <w:trHeight w:val="199"/>
        </w:trPr>
        <w:tc>
          <w:tcPr>
            <w:tcW w:w="3980" w:type="dxa"/>
            <w:vAlign w:val="bottom"/>
            <w:gridSpan w:val="2"/>
          </w:tcPr>
          <w:p>
            <w:pPr>
              <w:spacing w:after="0" w:line="199" w:lineRule="exact"/>
              <w:rPr>
                <w:sz w:val="20"/>
                <w:szCs w:val="20"/>
                <w:color w:val="auto"/>
              </w:rPr>
            </w:pPr>
            <w:r>
              <w:rPr>
                <w:rFonts w:ascii="Arial" w:cs="Arial" w:eastAsia="Arial" w:hAnsi="Arial"/>
                <w:sz w:val="18"/>
                <w:szCs w:val="18"/>
                <w:color w:val="auto"/>
                <w:w w:val="94"/>
              </w:rPr>
              <w:t>Cash collateral, reverse repurchase agreements and</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7"/>
        </w:trPr>
        <w:tc>
          <w:tcPr>
            <w:tcW w:w="3980" w:type="dxa"/>
            <w:vAlign w:val="bottom"/>
            <w:gridSpan w:val="2"/>
          </w:tcPr>
          <w:p>
            <w:pPr>
              <w:spacing w:after="0"/>
              <w:rPr>
                <w:sz w:val="20"/>
                <w:szCs w:val="20"/>
                <w:color w:val="auto"/>
              </w:rPr>
            </w:pPr>
            <w:r>
              <w:rPr>
                <w:rFonts w:ascii="Arial" w:cs="Arial" w:eastAsia="Arial" w:hAnsi="Arial"/>
                <w:sz w:val="18"/>
                <w:szCs w:val="18"/>
                <w:color w:val="auto"/>
              </w:rPr>
              <w:t>securities borrowing</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4,445,749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4,424,345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2,920,789</w:t>
            </w:r>
          </w:p>
        </w:tc>
        <w:tc>
          <w:tcPr>
            <w:tcW w:w="84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-34.0%</w:t>
            </w:r>
          </w:p>
        </w:tc>
        <w:tc>
          <w:tcPr>
            <w:tcW w:w="3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r>
      <w:tr>
        <w:trPr>
          <w:trHeight w:val="200"/>
        </w:trPr>
        <w:tc>
          <w:tcPr>
            <w:tcW w:w="398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1"/>
              </w:rPr>
              <w:t>Financial assets designated at fair value through profit</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28"/>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 loss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588,074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559,321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662,634</w:t>
            </w:r>
          </w:p>
        </w:tc>
        <w:tc>
          <w:tcPr>
            <w:tcW w:w="8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r>
      <w:tr>
        <w:trPr>
          <w:trHeight w:val="254"/>
        </w:trPr>
        <w:tc>
          <w:tcPr>
            <w:tcW w:w="3980" w:type="dxa"/>
            <w:vAlign w:val="bottom"/>
            <w:gridSpan w:val="2"/>
          </w:tcPr>
          <w:p>
            <w:pPr>
              <w:spacing w:after="0" w:line="253" w:lineRule="exact"/>
              <w:rPr>
                <w:sz w:val="20"/>
                <w:szCs w:val="20"/>
                <w:color w:val="auto"/>
              </w:rPr>
            </w:pPr>
            <w:r>
              <w:rPr>
                <w:rFonts w:ascii="Arial" w:cs="Arial" w:eastAsia="Arial" w:hAnsi="Arial"/>
                <w:sz w:val="18"/>
                <w:szCs w:val="18"/>
                <w:color w:val="auto"/>
              </w:rPr>
              <w:t xml:space="preserve">Total loans </w:t>
            </w:r>
            <w:r>
              <w:rPr>
                <w:rFonts w:ascii="Arial" w:cs="Arial" w:eastAsia="Arial" w:hAnsi="Arial"/>
                <w:sz w:val="29"/>
                <w:szCs w:val="29"/>
                <w:color w:val="auto"/>
                <w:vertAlign w:val="superscript"/>
              </w:rPr>
              <w:t>(2)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109,381,123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120,708,515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132,741,720</w:t>
            </w:r>
          </w:p>
        </w:tc>
        <w:tc>
          <w:tcPr>
            <w:tcW w:w="84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r>
      <w:tr>
        <w:trPr>
          <w:trHeight w:val="213"/>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interest earning assets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166,318,022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182,047,263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207,392,705</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13.9%</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24.7%</w:t>
            </w:r>
          </w:p>
        </w:tc>
      </w:tr>
    </w:tbl>
    <w:p>
      <w:pPr>
        <w:spacing w:after="0" w:line="199" w:lineRule="exact"/>
        <w:rPr>
          <w:sz w:val="20"/>
          <w:szCs w:val="20"/>
          <w:color w:val="auto"/>
        </w:rPr>
      </w:pPr>
    </w:p>
    <w:p>
      <w:pPr>
        <w:ind w:left="260" w:hanging="253"/>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19" w:lineRule="exact"/>
        <w:rPr>
          <w:rFonts w:ascii="Arial" w:cs="Arial" w:eastAsia="Arial" w:hAnsi="Arial"/>
          <w:sz w:val="18"/>
          <w:szCs w:val="18"/>
          <w:color w:val="auto"/>
        </w:rPr>
      </w:pPr>
    </w:p>
    <w:p>
      <w:pPr>
        <w:ind w:left="260" w:hanging="253"/>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Quarter-end balances.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ind w:left="420"/>
              <w:spacing w:after="0"/>
              <w:rPr>
                <w:sz w:val="20"/>
                <w:szCs w:val="20"/>
                <w:color w:val="auto"/>
              </w:rPr>
            </w:pPr>
            <w:r>
              <w:rPr>
                <w:rFonts w:ascii="Arial" w:cs="Arial" w:eastAsia="Arial" w:hAnsi="Arial"/>
                <w:sz w:val="18"/>
                <w:szCs w:val="18"/>
                <w:b w:val="1"/>
                <w:bCs w:val="1"/>
                <w:color w:val="auto"/>
              </w:rPr>
              <w:t>As of</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gridSpan w:val="3"/>
          </w:tcPr>
          <w:p>
            <w:pPr>
              <w:ind w:left="140"/>
              <w:spacing w:after="0"/>
              <w:rPr>
                <w:sz w:val="20"/>
                <w:szCs w:val="20"/>
                <w:color w:val="auto"/>
              </w:rPr>
            </w:pPr>
            <w:r>
              <w:rPr>
                <w:rFonts w:ascii="Arial" w:cs="Arial" w:eastAsia="Arial" w:hAnsi="Arial"/>
                <w:sz w:val="18"/>
                <w:szCs w:val="18"/>
                <w:b w:val="1"/>
                <w:bCs w:val="1"/>
                <w:color w:val="auto"/>
                <w:w w:val="99"/>
              </w:rPr>
              <w:t>% change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1"/>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Jun 19</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Mar 20</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Jun 20</w:t>
            </w:r>
          </w:p>
        </w:tc>
        <w:tc>
          <w:tcPr>
            <w:tcW w:w="2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QoQ</w:t>
            </w: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08"/>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Fair value through profit or loss investments</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4,024,490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4,185,638</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5,118,994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22.3%</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3"/>
              </w:rPr>
              <w:t>27.2%</w:t>
            </w:r>
          </w:p>
        </w:tc>
      </w:tr>
      <w:tr>
        <w:trPr>
          <w:trHeight w:val="199"/>
        </w:trPr>
        <w:tc>
          <w:tcPr>
            <w:tcW w:w="3980" w:type="dxa"/>
            <w:vAlign w:val="bottom"/>
            <w:gridSpan w:val="2"/>
          </w:tcPr>
          <w:p>
            <w:pPr>
              <w:spacing w:after="0" w:line="199" w:lineRule="exact"/>
              <w:rPr>
                <w:sz w:val="20"/>
                <w:szCs w:val="20"/>
                <w:color w:val="auto"/>
              </w:rPr>
            </w:pPr>
            <w:r>
              <w:rPr>
                <w:rFonts w:ascii="Arial" w:cs="Arial" w:eastAsia="Arial" w:hAnsi="Arial"/>
                <w:sz w:val="18"/>
                <w:szCs w:val="18"/>
                <w:color w:val="auto"/>
              </w:rPr>
              <w:t>Fair value through other comprehensive income</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7"/>
        </w:trPr>
        <w:tc>
          <w:tcPr>
            <w:tcW w:w="398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26,800,577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28,388,372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32,213,665</w:t>
            </w:r>
          </w:p>
        </w:tc>
        <w:tc>
          <w:tcPr>
            <w:tcW w:w="86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13.5%</w:t>
            </w:r>
          </w:p>
        </w:tc>
        <w:tc>
          <w:tcPr>
            <w:tcW w:w="340" w:type="dxa"/>
            <w:vAlign w:val="bottom"/>
          </w:tcPr>
          <w:p>
            <w:pPr>
              <w:spacing w:after="0"/>
              <w:rPr>
                <w:sz w:val="19"/>
                <w:szCs w:val="19"/>
                <w:color w:val="auto"/>
              </w:rPr>
            </w:pP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w w:val="93"/>
              </w:rPr>
              <w:t>20.2%</w:t>
            </w:r>
          </w:p>
        </w:tc>
      </w:tr>
      <w:tr>
        <w:trPr>
          <w:trHeight w:val="214"/>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Amortized cost investments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3,589,360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4,242,643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4,304,385</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3"/>
              </w:rPr>
              <w:t>19.9%</w:t>
            </w: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34,414,427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36,816,653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41,637,044</w:t>
            </w:r>
          </w:p>
        </w:tc>
        <w:tc>
          <w:tcPr>
            <w:tcW w:w="86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13.1%</w:t>
            </w:r>
          </w:p>
        </w:tc>
        <w:tc>
          <w:tcPr>
            <w:tcW w:w="340" w:type="dxa"/>
            <w:vAlign w:val="bottom"/>
          </w:tcPr>
          <w:p>
            <w:pPr>
              <w:spacing w:after="0"/>
              <w:rPr>
                <w:sz w:val="20"/>
                <w:szCs w:val="20"/>
                <w:color w:val="auto"/>
              </w:rPr>
            </w:pPr>
          </w:p>
        </w:tc>
        <w:tc>
          <w:tcPr>
            <w:tcW w:w="1080" w:type="dxa"/>
            <w:vAlign w:val="bottom"/>
            <w:gridSpan w:val="2"/>
          </w:tcPr>
          <w:p>
            <w:pPr>
              <w:ind w:left="580"/>
              <w:spacing w:after="0"/>
              <w:rPr>
                <w:sz w:val="20"/>
                <w:szCs w:val="20"/>
                <w:color w:val="auto"/>
              </w:rPr>
            </w:pPr>
            <w:r>
              <w:rPr>
                <w:rFonts w:ascii="Arial" w:cs="Arial" w:eastAsia="Arial" w:hAnsi="Arial"/>
                <w:sz w:val="18"/>
                <w:szCs w:val="18"/>
                <w:b w:val="1"/>
                <w:bCs w:val="1"/>
                <w:color w:val="auto"/>
                <w:w w:val="93"/>
              </w:rPr>
              <w:t>21.0%</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Evolution of IEA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loans</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Total loans, measured in quarter-end balances, grew +10.0% QoQ. This growth was driven by the fact that BCP Stand-alone was awarded, via tenders, the right to distribute a large share of the total amount offered in the first phase of the government’s largest financial relief program for businesses, Reactiva Peru (Over 40% share of disbursed amount as of June 2020). Mibanco was awarded an important share of the total amount offered by the government’s relief program FAE-Mype (S/385 million in loans as of June 2020) and was also granted a small share of the Reactiva Peru program. If we exclude the loans associated with government programs (Reactiva Perú and FAE-Mype), loans from the “Structural Portfolio” measured in quarter-end balances at BCP Stand-alone registered a contraction of -2.4% QoQ and +7.7% YoY.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portfolio’s quarterly evolution was primarily driven by a variation in loan balances at BCP Stand-alone, which registered significant growth in 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Wholesale Banking and Retail Banking segments:</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increase in portfolio growth was attributable to Wholesale Banking and was driven primarily by Corporate Banking and to a lesser extent by Middle Market Banking, where loan growth was significantly bolstered by the Reactiva Peru program.</w:t>
      </w:r>
    </w:p>
    <w:p>
      <w:pPr>
        <w:spacing w:after="0" w:line="17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Retail Banking portfolio registered considerable growth, which was led by the SME Business and SME-Pyme segments. Notwithstanding, quarter-end balances in the Credit Card, Consumer and Mortgage segments fell in a context marked by government lockdowns to control Covid-19. These measures paralyzed much of the economic apparatus, negatively affecting disbursements in these portfolios.</w:t>
      </w:r>
    </w:p>
    <w:p>
      <w:pPr>
        <w:spacing w:after="0" w:line="381"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p>
      <w:pPr>
        <w:jc w:val="both"/>
        <w:spacing w:after="0" w:line="289" w:lineRule="auto"/>
        <w:rPr>
          <w:sz w:val="20"/>
          <w:szCs w:val="20"/>
          <w:color w:val="auto"/>
        </w:rPr>
      </w:pPr>
      <w:r>
        <w:rPr>
          <w:rFonts w:ascii="Arial" w:cs="Arial" w:eastAsia="Arial" w:hAnsi="Arial"/>
          <w:sz w:val="16"/>
          <w:szCs w:val="16"/>
          <w:color w:val="auto"/>
        </w:rPr>
        <w:t>In YoY terms, loans, measured in quarter-end balances, increased +21.4%. This growth was primarily attributable to the loan disbursement rights that BCP was awarded under the Reactiva Peru financial relief program. The YoY increase in loans was also attributable, although to a lesser extent, to an exchange rate effect on FC loans, which was driven by the 7.6% appreciation in the US Dollar. If we eliminate the exchange rate effect, total loan growth situates at 18.3% YoY in real terms. At the end of June 2020, FC loans accounted for 35.5% of total loans, which represents a drop with regard to the 39.7% reported in 2Q19. This decrease was driven by the increase in LC disbursements for the Reactiva Peru program and, to a lesser extent, by growth in the Retail Banking portfolio prior to the pandemic. Year-on-year expansion was attributable, in order of the contribution to total growth, to the following:</w:t>
      </w:r>
    </w:p>
    <w:p>
      <w:pPr>
        <w:spacing w:after="0" w:line="16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Growth in the Wholesale Portfolio, which was led by Corporate Banking due to an increase in disbursement in LC and FC for working capital and medium term, fixed-rate financing, followed by expansion in Middle Market Banking, which also significantly contributed to portfolio growth given that more disbursements were made for working capital in LC under Reactiva Perú. It is important to note that the increase in the balances of both segments is attributable, although to a lesser extent, to the exchange rate effect caused by the appreciation in the US Dollar.</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Loan growth in the Retail Banking portfolio, which was led by SME-Pyme and SME-Business, reflected the increase in disbursements in LC for Reactiva Perú, followed by Mortgage and Consumer. Loans in quarter-end balances for the Credit Card segment fell after card use decreased during the lockdown imposed by the Government.</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Portfolio growth at BCP Bolivia (+15.1% YoY) and Mibanco (+5.0% YoY). At BCP Bolivia, growth was primarily attributable to the favorable evolution of Retail Banking until the end of 1Q20, while in 2Q20 Wholesale Banking led growth after the evolution of the Consumer, Mortgage and Credit Card segments was negatively affected by the quarantine. At Mibanco, growth in quarter-end balances was primarily attributable to the Reactiva Perú and FAE-Mype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Total investments increased +13.1% QoQ and +21.0% YoY due to growth in investments through the fair value through other comprehensive income portfolio at BCP Stand-alone, given that the excess liquidity generated by the Reactiva Peru program was used to purchase more profitable low-risk assets. The recovery posted by this portfolio positively contributed to growth in investments. Unrealized gains in this portfolio have recovered to the levels posted in December 2019 and have offset the losses generated by a market depression at the end of 1Q20 due to the pandemic. Growth in total investments was also attributable, although to a lesser extent, to expansion in the fair value through profit or loss investments due to an increase in sovereigns and other regional investment opportunities that surged in the 2Q20 in line with business reopenings and a gradual recovery in LatAm economies. This was aimed at bolstering the profitability of the company’s liquid assets, which have increased.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IEA</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Available funds increased 53.6% QoQ and 70.1% YoY due to growth in the balances held in the BCRP special account (time deposits). A significant portion of Reactiva Peru’s loans are held in clients’ current accounts; this excess in liquidity is held in a time deposit at BCR given that there are few liquid and short-term investments available and investment rates are low. The increase in available funds was also associated with the additional liquidity provided by Credicorp’s first bond issuance in 2Q20.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Credicorp Loans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Loan evolution by business segment</w:t>
      </w:r>
    </w:p>
    <w:p>
      <w:pPr>
        <w:spacing w:after="0" w:line="2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Next, we will discuss loan composition by subsidiary and business segment measured in average daily balances. These balances provide the most complete picture of how loan interest, which constitutes Credicorp’s primary source of income, has evolved. Additionally, average daily balances reflect trends or variations to a different degree than quarter-end balances which may include pre-payments or loans made at the end of the quarter. In comparative terms, these payments, affect average daily balances less than quarter-end balances and as such, the former provide a more balanced picture of loan evolution.</w:t>
      </w:r>
    </w:p>
    <w:p>
      <w:pPr>
        <w:spacing w:after="0" w:line="373"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 w:name="page9"/>
    <w:bookmarkEnd w:id="8"/>
    <w:p>
      <w:pPr>
        <w:jc w:val="both"/>
        <w:spacing w:after="0" w:line="271" w:lineRule="auto"/>
        <w:rPr>
          <w:sz w:val="20"/>
          <w:szCs w:val="20"/>
          <w:color w:val="auto"/>
        </w:rPr>
      </w:pPr>
      <w:r>
        <w:rPr>
          <w:rFonts w:ascii="Arial" w:cs="Arial" w:eastAsia="Arial" w:hAnsi="Arial"/>
          <w:sz w:val="17"/>
          <w:szCs w:val="17"/>
          <w:color w:val="auto"/>
        </w:rPr>
        <w:t>Average daily balances registered growth of +10.3% QoQ and +16.8% YoY. This was primarily associated with growth in balances in Wholesale Banking and in the SME Business and SME-Pyme segments in Retail Banking within BCP Stand-alone, which was attributable to the bank’s significant stake in the Government’s financial relief program “Reactiva Peru.” If we exclude loans associated with the Government’s financial relief programs, loans in the “Structural Portfolio” grew +3.8% QoQ and +9.8% YoY. In contrast, Credit Card balances fell due to a drop in card use during the government-mandated lockdown. QoQ and YoY growth in loan balances was concentrated in local currency.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Loan evolution measured in average daily balances by segment </w:t>
      </w:r>
      <w:r>
        <w:rPr>
          <w:rFonts w:ascii="Arial" w:cs="Arial" w:eastAsia="Arial" w:hAnsi="Arial"/>
          <w:sz w:val="29"/>
          <w:szCs w:val="29"/>
          <w:b w:val="1"/>
          <w:bCs w:val="1"/>
          <w:color w:val="auto"/>
          <w:vertAlign w:val="superscript"/>
        </w:rPr>
        <w:t>(1)(2)</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auto"/>
              </w:rPr>
              <w:t>TOTAL LOANS</w:t>
            </w: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Structural</w:t>
            </w:r>
          </w:p>
        </w:tc>
        <w:tc>
          <w:tcPr>
            <w:tcW w:w="132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4"/>
          </w:tcPr>
          <w:p>
            <w:pPr>
              <w:ind w:left="260"/>
              <w:spacing w:after="0"/>
              <w:rPr>
                <w:sz w:val="20"/>
                <w:szCs w:val="20"/>
                <w:color w:val="auto"/>
              </w:rPr>
            </w:pPr>
            <w:r>
              <w:rPr>
                <w:rFonts w:ascii="Arial" w:cs="Arial" w:eastAsia="Arial" w:hAnsi="Arial"/>
                <w:sz w:val="14"/>
                <w:szCs w:val="14"/>
                <w:b w:val="1"/>
                <w:bCs w:val="1"/>
                <w:color w:val="auto"/>
              </w:rPr>
              <w:t>% change</w:t>
            </w:r>
          </w:p>
        </w:tc>
        <w:tc>
          <w:tcPr>
            <w:tcW w:w="2240" w:type="dxa"/>
            <w:vAlign w:val="bottom"/>
            <w:gridSpan w:val="3"/>
            <w:vMerge w:val="restart"/>
          </w:tcPr>
          <w:p>
            <w:pPr>
              <w:jc w:val="right"/>
              <w:ind w:right="509"/>
              <w:spacing w:after="0"/>
              <w:rPr>
                <w:sz w:val="20"/>
                <w:szCs w:val="20"/>
                <w:color w:val="auto"/>
              </w:rPr>
            </w:pPr>
            <w:r>
              <w:rPr>
                <w:rFonts w:ascii="Arial" w:cs="Arial" w:eastAsia="Arial" w:hAnsi="Arial"/>
                <w:sz w:val="14"/>
                <w:szCs w:val="14"/>
                <w:b w:val="1"/>
                <w:bCs w:val="1"/>
                <w:color w:val="auto"/>
              </w:rPr>
              <w:t>% Part. in total loans</w:t>
            </w:r>
          </w:p>
        </w:tc>
        <w:tc>
          <w:tcPr>
            <w:tcW w:w="92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Structural</w:t>
            </w:r>
          </w:p>
        </w:tc>
        <w:tc>
          <w:tcPr>
            <w:tcW w:w="0" w:type="dxa"/>
            <w:vAlign w:val="bottom"/>
          </w:tcPr>
          <w:p>
            <w:pPr>
              <w:spacing w:after="0"/>
              <w:rPr>
                <w:sz w:val="1"/>
                <w:szCs w:val="1"/>
                <w:color w:val="auto"/>
              </w:rPr>
            </w:pPr>
          </w:p>
        </w:tc>
      </w:tr>
      <w:tr>
        <w:trPr>
          <w:trHeight w:val="147"/>
        </w:trPr>
        <w:tc>
          <w:tcPr>
            <w:tcW w:w="2120" w:type="dxa"/>
            <w:vAlign w:val="bottom"/>
          </w:tcPr>
          <w:p>
            <w:pPr>
              <w:spacing w:after="0"/>
              <w:rPr>
                <w:sz w:val="12"/>
                <w:szCs w:val="12"/>
                <w:color w:val="auto"/>
              </w:rPr>
            </w:pPr>
          </w:p>
        </w:tc>
        <w:tc>
          <w:tcPr>
            <w:tcW w:w="2300" w:type="dxa"/>
            <w:vAlign w:val="bottom"/>
            <w:gridSpan w:val="3"/>
          </w:tcPr>
          <w:p>
            <w:pPr>
              <w:jc w:val="right"/>
              <w:ind w:right="469"/>
              <w:spacing w:after="0" w:line="147" w:lineRule="exact"/>
              <w:rPr>
                <w:sz w:val="20"/>
                <w:szCs w:val="20"/>
                <w:color w:val="auto"/>
              </w:rPr>
            </w:pPr>
            <w:r>
              <w:rPr>
                <w:rFonts w:ascii="Arial" w:cs="Arial" w:eastAsia="Arial" w:hAnsi="Arial"/>
                <w:sz w:val="14"/>
                <w:szCs w:val="14"/>
                <w:i w:val="1"/>
                <w:iCs w:val="1"/>
                <w:color w:val="auto"/>
              </w:rPr>
              <w:t>Expressed in million S/</w:t>
            </w:r>
          </w:p>
        </w:tc>
        <w:tc>
          <w:tcPr>
            <w:tcW w:w="1000" w:type="dxa"/>
            <w:vAlign w:val="bottom"/>
            <w:gridSpan w:val="2"/>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1340" w:type="dxa"/>
            <w:vAlign w:val="bottom"/>
            <w:gridSpan w:val="4"/>
          </w:tcPr>
          <w:p>
            <w:pPr>
              <w:ind w:left="260"/>
              <w:spacing w:after="0" w:line="147" w:lineRule="exact"/>
              <w:rPr>
                <w:sz w:val="20"/>
                <w:szCs w:val="20"/>
                <w:color w:val="auto"/>
              </w:rPr>
            </w:pPr>
            <w:r>
              <w:rPr>
                <w:rFonts w:ascii="Arial" w:cs="Arial" w:eastAsia="Arial" w:hAnsi="Arial"/>
                <w:sz w:val="14"/>
                <w:szCs w:val="14"/>
                <w:b w:val="1"/>
                <w:bCs w:val="1"/>
                <w:color w:val="auto"/>
              </w:rPr>
              <w:t>Structural</w:t>
            </w:r>
          </w:p>
        </w:tc>
        <w:tc>
          <w:tcPr>
            <w:tcW w:w="2240" w:type="dxa"/>
            <w:vAlign w:val="bottom"/>
            <w:gridSpan w:val="3"/>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2Q19</w:t>
            </w: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1Q20</w:t>
            </w:r>
          </w:p>
        </w:tc>
        <w:tc>
          <w:tcPr>
            <w:tcW w:w="7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2Q20</w:t>
            </w:r>
          </w:p>
        </w:tc>
        <w:tc>
          <w:tcPr>
            <w:tcW w:w="10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2Q20</w:t>
            </w: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QoQ</w:t>
            </w:r>
          </w:p>
        </w:tc>
        <w:tc>
          <w:tcPr>
            <w:tcW w:w="6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YoY</w:t>
            </w: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QoQ</w:t>
            </w:r>
          </w:p>
        </w:tc>
        <w:tc>
          <w:tcPr>
            <w:tcW w:w="6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YoY</w:t>
            </w:r>
          </w:p>
        </w:tc>
        <w:tc>
          <w:tcPr>
            <w:tcW w:w="7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2Q19</w:t>
            </w: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1Q20</w:t>
            </w:r>
          </w:p>
        </w:tc>
        <w:tc>
          <w:tcPr>
            <w:tcW w:w="7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2Q20</w:t>
            </w:r>
          </w:p>
        </w:tc>
        <w:tc>
          <w:tcPr>
            <w:tcW w:w="9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2Q20</w:t>
            </w:r>
          </w:p>
        </w:tc>
        <w:tc>
          <w:tcPr>
            <w:tcW w:w="0" w:type="dxa"/>
            <w:vAlign w:val="bottom"/>
          </w:tcPr>
          <w:p>
            <w:pPr>
              <w:spacing w:after="0"/>
              <w:rPr>
                <w:sz w:val="1"/>
                <w:szCs w:val="1"/>
                <w:color w:val="auto"/>
              </w:rPr>
            </w:pPr>
          </w:p>
        </w:tc>
      </w:tr>
      <w:tr>
        <w:trPr>
          <w:trHeight w:val="140"/>
        </w:trPr>
        <w:tc>
          <w:tcPr>
            <w:tcW w:w="2120" w:type="dxa"/>
            <w:vAlign w:val="bottom"/>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BCP Stand-alone</w:t>
            </w:r>
          </w:p>
        </w:tc>
        <w:tc>
          <w:tcPr>
            <w:tcW w:w="840" w:type="dxa"/>
            <w:vAlign w:val="bottom"/>
            <w:shd w:val="clear" w:color="auto" w:fill="CCEEFF"/>
          </w:tcPr>
          <w:p>
            <w:pPr>
              <w:jc w:val="right"/>
              <w:ind w:right="49"/>
              <w:spacing w:after="0" w:line="140" w:lineRule="exact"/>
              <w:rPr>
                <w:sz w:val="20"/>
                <w:szCs w:val="20"/>
                <w:color w:val="auto"/>
              </w:rPr>
            </w:pPr>
            <w:r>
              <w:rPr>
                <w:rFonts w:ascii="Arial" w:cs="Arial" w:eastAsia="Arial" w:hAnsi="Arial"/>
                <w:sz w:val="14"/>
                <w:szCs w:val="14"/>
                <w:b w:val="1"/>
                <w:bCs w:val="1"/>
                <w:color w:val="auto"/>
              </w:rPr>
              <w:t>89,632</w:t>
            </w:r>
          </w:p>
        </w:tc>
        <w:tc>
          <w:tcPr>
            <w:tcW w:w="720" w:type="dxa"/>
            <w:vAlign w:val="bottom"/>
            <w:shd w:val="clear" w:color="auto" w:fill="CCEEFF"/>
          </w:tcPr>
          <w:p>
            <w:pPr>
              <w:jc w:val="right"/>
              <w:ind w:right="29"/>
              <w:spacing w:after="0" w:line="140" w:lineRule="exact"/>
              <w:rPr>
                <w:sz w:val="20"/>
                <w:szCs w:val="20"/>
                <w:color w:val="auto"/>
              </w:rPr>
            </w:pPr>
            <w:r>
              <w:rPr>
                <w:rFonts w:ascii="Arial" w:cs="Arial" w:eastAsia="Arial" w:hAnsi="Arial"/>
                <w:sz w:val="14"/>
                <w:szCs w:val="14"/>
                <w:b w:val="1"/>
                <w:bCs w:val="1"/>
                <w:color w:val="auto"/>
              </w:rPr>
              <w:t>95,083</w:t>
            </w:r>
          </w:p>
        </w:tc>
        <w:tc>
          <w:tcPr>
            <w:tcW w:w="740" w:type="dxa"/>
            <w:vAlign w:val="bottom"/>
            <w:shd w:val="clear" w:color="auto" w:fill="CCEEFF"/>
          </w:tcPr>
          <w:p>
            <w:pPr>
              <w:jc w:val="right"/>
              <w:ind w:right="29"/>
              <w:spacing w:after="0" w:line="140" w:lineRule="exact"/>
              <w:rPr>
                <w:sz w:val="20"/>
                <w:szCs w:val="20"/>
                <w:color w:val="auto"/>
              </w:rPr>
            </w:pPr>
            <w:r>
              <w:rPr>
                <w:rFonts w:ascii="Arial" w:cs="Arial" w:eastAsia="Arial" w:hAnsi="Arial"/>
                <w:sz w:val="14"/>
                <w:szCs w:val="14"/>
                <w:b w:val="1"/>
                <w:bCs w:val="1"/>
                <w:color w:val="auto"/>
              </w:rPr>
              <w:t>106,612</w:t>
            </w:r>
          </w:p>
        </w:tc>
        <w:tc>
          <w:tcPr>
            <w:tcW w:w="100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4"/>
                <w:szCs w:val="14"/>
                <w:b w:val="1"/>
                <w:bCs w:val="1"/>
                <w:color w:val="auto"/>
              </w:rPr>
              <w:t>99,220</w:t>
            </w:r>
          </w:p>
        </w:tc>
        <w:tc>
          <w:tcPr>
            <w:tcW w:w="68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4"/>
                <w:szCs w:val="14"/>
                <w:b w:val="1"/>
                <w:bCs w:val="1"/>
                <w:color w:val="auto"/>
              </w:rPr>
              <w:t>12.1%</w:t>
            </w:r>
          </w:p>
        </w:tc>
        <w:tc>
          <w:tcPr>
            <w:tcW w:w="64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4"/>
                <w:szCs w:val="14"/>
                <w:b w:val="1"/>
                <w:bCs w:val="1"/>
                <w:color w:val="auto"/>
              </w:rPr>
              <w:t>18.9%</w:t>
            </w:r>
          </w:p>
        </w:tc>
        <w:tc>
          <w:tcPr>
            <w:tcW w:w="68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4"/>
                <w:szCs w:val="14"/>
                <w:b w:val="1"/>
                <w:bCs w:val="1"/>
                <w:color w:val="auto"/>
              </w:rPr>
              <w:t>4.4%</w:t>
            </w:r>
          </w:p>
        </w:tc>
        <w:tc>
          <w:tcPr>
            <w:tcW w:w="6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b w:val="1"/>
                <w:bCs w:val="1"/>
                <w:color w:val="auto"/>
              </w:rPr>
              <w:t>10.7%</w:t>
            </w:r>
          </w:p>
        </w:tc>
        <w:tc>
          <w:tcPr>
            <w:tcW w:w="740" w:type="dxa"/>
            <w:vAlign w:val="bottom"/>
            <w:shd w:val="clear" w:color="auto" w:fill="CCEEFF"/>
          </w:tcPr>
          <w:p>
            <w:pPr>
              <w:jc w:val="right"/>
              <w:ind w:right="29"/>
              <w:spacing w:after="0" w:line="140" w:lineRule="exact"/>
              <w:rPr>
                <w:sz w:val="20"/>
                <w:szCs w:val="20"/>
                <w:color w:val="auto"/>
              </w:rPr>
            </w:pPr>
            <w:r>
              <w:rPr>
                <w:rFonts w:ascii="Arial" w:cs="Arial" w:eastAsia="Arial" w:hAnsi="Arial"/>
                <w:sz w:val="14"/>
                <w:szCs w:val="14"/>
                <w:b w:val="1"/>
                <w:bCs w:val="1"/>
                <w:color w:val="auto"/>
              </w:rPr>
              <w:t>81.9%</w:t>
            </w:r>
          </w:p>
        </w:tc>
        <w:tc>
          <w:tcPr>
            <w:tcW w:w="760" w:type="dxa"/>
            <w:vAlign w:val="bottom"/>
            <w:shd w:val="clear" w:color="auto" w:fill="CCEEFF"/>
          </w:tcPr>
          <w:p>
            <w:pPr>
              <w:jc w:val="right"/>
              <w:ind w:right="49"/>
              <w:spacing w:after="0" w:line="140" w:lineRule="exact"/>
              <w:rPr>
                <w:sz w:val="20"/>
                <w:szCs w:val="20"/>
                <w:color w:val="auto"/>
              </w:rPr>
            </w:pPr>
            <w:r>
              <w:rPr>
                <w:rFonts w:ascii="Arial" w:cs="Arial" w:eastAsia="Arial" w:hAnsi="Arial"/>
                <w:sz w:val="14"/>
                <w:szCs w:val="14"/>
                <w:b w:val="1"/>
                <w:bCs w:val="1"/>
                <w:color w:val="auto"/>
              </w:rPr>
              <w:t>82.1%</w:t>
            </w:r>
          </w:p>
        </w:tc>
        <w:tc>
          <w:tcPr>
            <w:tcW w:w="740" w:type="dxa"/>
            <w:vAlign w:val="bottom"/>
            <w:shd w:val="clear" w:color="auto" w:fill="CCEEFF"/>
          </w:tcPr>
          <w:p>
            <w:pPr>
              <w:jc w:val="right"/>
              <w:ind w:right="29"/>
              <w:spacing w:after="0" w:line="140" w:lineRule="exact"/>
              <w:rPr>
                <w:sz w:val="20"/>
                <w:szCs w:val="20"/>
                <w:color w:val="auto"/>
              </w:rPr>
            </w:pPr>
            <w:r>
              <w:rPr>
                <w:rFonts w:ascii="Arial" w:cs="Arial" w:eastAsia="Arial" w:hAnsi="Arial"/>
                <w:sz w:val="14"/>
                <w:szCs w:val="14"/>
                <w:b w:val="1"/>
                <w:bCs w:val="1"/>
                <w:color w:val="auto"/>
              </w:rPr>
              <w:t>83.4%</w:t>
            </w:r>
          </w:p>
        </w:tc>
        <w:tc>
          <w:tcPr>
            <w:tcW w:w="92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b w:val="1"/>
                <w:bCs w:val="1"/>
                <w:color w:val="auto"/>
              </w:rPr>
              <w:t>82.5%</w:t>
            </w:r>
          </w:p>
        </w:tc>
        <w:tc>
          <w:tcPr>
            <w:tcW w:w="0" w:type="dxa"/>
            <w:vAlign w:val="bottom"/>
          </w:tcPr>
          <w:p>
            <w:pPr>
              <w:spacing w:after="0"/>
              <w:rPr>
                <w:sz w:val="1"/>
                <w:szCs w:val="1"/>
                <w:color w:val="auto"/>
              </w:rPr>
            </w:pPr>
          </w:p>
        </w:tc>
      </w:tr>
      <w:tr>
        <w:trPr>
          <w:trHeight w:val="147"/>
        </w:trPr>
        <w:tc>
          <w:tcPr>
            <w:tcW w:w="2120" w:type="dxa"/>
            <w:vAlign w:val="bottom"/>
          </w:tcPr>
          <w:p>
            <w:pPr>
              <w:ind w:left="160"/>
              <w:spacing w:after="0" w:line="147" w:lineRule="exact"/>
              <w:rPr>
                <w:sz w:val="20"/>
                <w:szCs w:val="20"/>
                <w:color w:val="auto"/>
              </w:rPr>
            </w:pPr>
            <w:r>
              <w:rPr>
                <w:rFonts w:ascii="Arial" w:cs="Arial" w:eastAsia="Arial" w:hAnsi="Arial"/>
                <w:sz w:val="14"/>
                <w:szCs w:val="14"/>
                <w:b w:val="1"/>
                <w:bCs w:val="1"/>
                <w:color w:val="auto"/>
              </w:rPr>
              <w:t>Wholesale Banking</w:t>
            </w:r>
          </w:p>
        </w:tc>
        <w:tc>
          <w:tcPr>
            <w:tcW w:w="840" w:type="dxa"/>
            <w:vAlign w:val="bottom"/>
          </w:tcPr>
          <w:p>
            <w:pPr>
              <w:jc w:val="right"/>
              <w:ind w:right="49"/>
              <w:spacing w:after="0" w:line="147" w:lineRule="exact"/>
              <w:rPr>
                <w:sz w:val="20"/>
                <w:szCs w:val="20"/>
                <w:color w:val="auto"/>
              </w:rPr>
            </w:pPr>
            <w:r>
              <w:rPr>
                <w:rFonts w:ascii="Arial" w:cs="Arial" w:eastAsia="Arial" w:hAnsi="Arial"/>
                <w:sz w:val="14"/>
                <w:szCs w:val="14"/>
                <w:b w:val="1"/>
                <w:bCs w:val="1"/>
                <w:color w:val="auto"/>
              </w:rPr>
              <w:t>45,883</w:t>
            </w:r>
          </w:p>
        </w:tc>
        <w:tc>
          <w:tcPr>
            <w:tcW w:w="720" w:type="dxa"/>
            <w:vAlign w:val="bottom"/>
          </w:tcPr>
          <w:p>
            <w:pPr>
              <w:jc w:val="right"/>
              <w:ind w:right="29"/>
              <w:spacing w:after="0" w:line="147" w:lineRule="exact"/>
              <w:rPr>
                <w:sz w:val="20"/>
                <w:szCs w:val="20"/>
                <w:color w:val="auto"/>
              </w:rPr>
            </w:pPr>
            <w:r>
              <w:rPr>
                <w:rFonts w:ascii="Arial" w:cs="Arial" w:eastAsia="Arial" w:hAnsi="Arial"/>
                <w:sz w:val="14"/>
                <w:szCs w:val="14"/>
                <w:b w:val="1"/>
                <w:bCs w:val="1"/>
                <w:color w:val="auto"/>
              </w:rPr>
              <w:t>47,658</w:t>
            </w:r>
          </w:p>
        </w:tc>
        <w:tc>
          <w:tcPr>
            <w:tcW w:w="740" w:type="dxa"/>
            <w:vAlign w:val="bottom"/>
          </w:tcPr>
          <w:p>
            <w:pPr>
              <w:jc w:val="right"/>
              <w:ind w:right="29"/>
              <w:spacing w:after="0" w:line="147" w:lineRule="exact"/>
              <w:rPr>
                <w:sz w:val="20"/>
                <w:szCs w:val="20"/>
                <w:color w:val="auto"/>
              </w:rPr>
            </w:pPr>
            <w:r>
              <w:rPr>
                <w:rFonts w:ascii="Arial" w:cs="Arial" w:eastAsia="Arial" w:hAnsi="Arial"/>
                <w:sz w:val="14"/>
                <w:szCs w:val="14"/>
                <w:b w:val="1"/>
                <w:bCs w:val="1"/>
                <w:color w:val="auto"/>
              </w:rPr>
              <w:t>55,942</w:t>
            </w:r>
          </w:p>
        </w:tc>
        <w:tc>
          <w:tcPr>
            <w:tcW w:w="1000" w:type="dxa"/>
            <w:vAlign w:val="bottom"/>
            <w:gridSpan w:val="2"/>
          </w:tcPr>
          <w:p>
            <w:pPr>
              <w:jc w:val="right"/>
              <w:ind w:right="80"/>
              <w:spacing w:after="0" w:line="147" w:lineRule="exact"/>
              <w:rPr>
                <w:sz w:val="20"/>
                <w:szCs w:val="20"/>
                <w:color w:val="auto"/>
              </w:rPr>
            </w:pPr>
            <w:r>
              <w:rPr>
                <w:rFonts w:ascii="Arial" w:cs="Arial" w:eastAsia="Arial" w:hAnsi="Arial"/>
                <w:sz w:val="14"/>
                <w:szCs w:val="14"/>
                <w:b w:val="1"/>
                <w:bCs w:val="1"/>
                <w:color w:val="auto"/>
              </w:rPr>
              <w:t>52,630</w:t>
            </w:r>
          </w:p>
        </w:tc>
        <w:tc>
          <w:tcPr>
            <w:tcW w:w="680" w:type="dxa"/>
            <w:vAlign w:val="bottom"/>
            <w:gridSpan w:val="2"/>
          </w:tcPr>
          <w:p>
            <w:pPr>
              <w:jc w:val="right"/>
              <w:ind w:right="80"/>
              <w:spacing w:after="0" w:line="147" w:lineRule="exact"/>
              <w:rPr>
                <w:sz w:val="20"/>
                <w:szCs w:val="20"/>
                <w:color w:val="auto"/>
              </w:rPr>
            </w:pPr>
            <w:r>
              <w:rPr>
                <w:rFonts w:ascii="Arial" w:cs="Arial" w:eastAsia="Arial" w:hAnsi="Arial"/>
                <w:sz w:val="14"/>
                <w:szCs w:val="14"/>
                <w:b w:val="1"/>
                <w:bCs w:val="1"/>
                <w:color w:val="auto"/>
              </w:rPr>
              <w:t>17.4%</w:t>
            </w:r>
          </w:p>
        </w:tc>
        <w:tc>
          <w:tcPr>
            <w:tcW w:w="640" w:type="dxa"/>
            <w:vAlign w:val="bottom"/>
            <w:gridSpan w:val="2"/>
          </w:tcPr>
          <w:p>
            <w:pPr>
              <w:jc w:val="right"/>
              <w:ind w:right="80"/>
              <w:spacing w:after="0" w:line="147" w:lineRule="exact"/>
              <w:rPr>
                <w:sz w:val="20"/>
                <w:szCs w:val="20"/>
                <w:color w:val="auto"/>
              </w:rPr>
            </w:pPr>
            <w:r>
              <w:rPr>
                <w:rFonts w:ascii="Arial" w:cs="Arial" w:eastAsia="Arial" w:hAnsi="Arial"/>
                <w:sz w:val="14"/>
                <w:szCs w:val="14"/>
                <w:b w:val="1"/>
                <w:bCs w:val="1"/>
                <w:color w:val="auto"/>
              </w:rPr>
              <w:t>21.9%</w:t>
            </w:r>
          </w:p>
        </w:tc>
        <w:tc>
          <w:tcPr>
            <w:tcW w:w="680" w:type="dxa"/>
            <w:vAlign w:val="bottom"/>
            <w:gridSpan w:val="2"/>
          </w:tcPr>
          <w:p>
            <w:pPr>
              <w:jc w:val="right"/>
              <w:ind w:right="80"/>
              <w:spacing w:after="0" w:line="147" w:lineRule="exact"/>
              <w:rPr>
                <w:sz w:val="20"/>
                <w:szCs w:val="20"/>
                <w:color w:val="auto"/>
              </w:rPr>
            </w:pPr>
            <w:r>
              <w:rPr>
                <w:rFonts w:ascii="Arial" w:cs="Arial" w:eastAsia="Arial" w:hAnsi="Arial"/>
                <w:sz w:val="14"/>
                <w:szCs w:val="14"/>
                <w:b w:val="1"/>
                <w:bCs w:val="1"/>
                <w:color w:val="auto"/>
              </w:rPr>
              <w:t>10.4%</w:t>
            </w:r>
          </w:p>
        </w:tc>
        <w:tc>
          <w:tcPr>
            <w:tcW w:w="660" w:type="dxa"/>
            <w:vAlign w:val="bottom"/>
            <w:gridSpan w:val="2"/>
          </w:tcPr>
          <w:p>
            <w:pPr>
              <w:jc w:val="right"/>
              <w:ind w:right="100"/>
              <w:spacing w:after="0" w:line="147" w:lineRule="exact"/>
              <w:rPr>
                <w:sz w:val="20"/>
                <w:szCs w:val="20"/>
                <w:color w:val="auto"/>
              </w:rPr>
            </w:pPr>
            <w:r>
              <w:rPr>
                <w:rFonts w:ascii="Arial" w:cs="Arial" w:eastAsia="Arial" w:hAnsi="Arial"/>
                <w:sz w:val="14"/>
                <w:szCs w:val="14"/>
                <w:b w:val="1"/>
                <w:bCs w:val="1"/>
                <w:color w:val="auto"/>
              </w:rPr>
              <w:t>14.7%</w:t>
            </w:r>
          </w:p>
        </w:tc>
        <w:tc>
          <w:tcPr>
            <w:tcW w:w="740" w:type="dxa"/>
            <w:vAlign w:val="bottom"/>
          </w:tcPr>
          <w:p>
            <w:pPr>
              <w:jc w:val="right"/>
              <w:ind w:right="29"/>
              <w:spacing w:after="0" w:line="147" w:lineRule="exact"/>
              <w:rPr>
                <w:sz w:val="20"/>
                <w:szCs w:val="20"/>
                <w:color w:val="auto"/>
              </w:rPr>
            </w:pPr>
            <w:r>
              <w:rPr>
                <w:rFonts w:ascii="Arial" w:cs="Arial" w:eastAsia="Arial" w:hAnsi="Arial"/>
                <w:sz w:val="14"/>
                <w:szCs w:val="14"/>
                <w:b w:val="1"/>
                <w:bCs w:val="1"/>
                <w:color w:val="auto"/>
              </w:rPr>
              <w:t>41.9%</w:t>
            </w:r>
          </w:p>
        </w:tc>
        <w:tc>
          <w:tcPr>
            <w:tcW w:w="760" w:type="dxa"/>
            <w:vAlign w:val="bottom"/>
          </w:tcPr>
          <w:p>
            <w:pPr>
              <w:jc w:val="right"/>
              <w:ind w:right="49"/>
              <w:spacing w:after="0" w:line="147" w:lineRule="exact"/>
              <w:rPr>
                <w:sz w:val="20"/>
                <w:szCs w:val="20"/>
                <w:color w:val="auto"/>
              </w:rPr>
            </w:pPr>
            <w:r>
              <w:rPr>
                <w:rFonts w:ascii="Arial" w:cs="Arial" w:eastAsia="Arial" w:hAnsi="Arial"/>
                <w:sz w:val="14"/>
                <w:szCs w:val="14"/>
                <w:b w:val="1"/>
                <w:bCs w:val="1"/>
                <w:color w:val="auto"/>
              </w:rPr>
              <w:t>41.2%</w:t>
            </w:r>
          </w:p>
        </w:tc>
        <w:tc>
          <w:tcPr>
            <w:tcW w:w="740" w:type="dxa"/>
            <w:vAlign w:val="bottom"/>
          </w:tcPr>
          <w:p>
            <w:pPr>
              <w:jc w:val="right"/>
              <w:ind w:right="29"/>
              <w:spacing w:after="0" w:line="147" w:lineRule="exact"/>
              <w:rPr>
                <w:sz w:val="20"/>
                <w:szCs w:val="20"/>
                <w:color w:val="auto"/>
              </w:rPr>
            </w:pPr>
            <w:r>
              <w:rPr>
                <w:rFonts w:ascii="Arial" w:cs="Arial" w:eastAsia="Arial" w:hAnsi="Arial"/>
                <w:sz w:val="14"/>
                <w:szCs w:val="14"/>
                <w:b w:val="1"/>
                <w:bCs w:val="1"/>
                <w:color w:val="auto"/>
              </w:rPr>
              <w:t>43.8%</w:t>
            </w:r>
          </w:p>
        </w:tc>
        <w:tc>
          <w:tcPr>
            <w:tcW w:w="92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43.8%</w:t>
            </w:r>
          </w:p>
        </w:tc>
        <w:tc>
          <w:tcPr>
            <w:tcW w:w="0" w:type="dxa"/>
            <w:vAlign w:val="bottom"/>
          </w:tcPr>
          <w:p>
            <w:pPr>
              <w:spacing w:after="0"/>
              <w:rPr>
                <w:sz w:val="1"/>
                <w:szCs w:val="1"/>
                <w:color w:val="auto"/>
              </w:rPr>
            </w:pPr>
          </w:p>
        </w:tc>
      </w:tr>
      <w:tr>
        <w:trPr>
          <w:trHeight w:val="147"/>
        </w:trPr>
        <w:tc>
          <w:tcPr>
            <w:tcW w:w="2120" w:type="dxa"/>
            <w:vAlign w:val="bottom"/>
            <w:shd w:val="clear" w:color="auto" w:fill="CCEEFF"/>
          </w:tcPr>
          <w:p>
            <w:pPr>
              <w:ind w:left="320"/>
              <w:spacing w:after="0" w:line="128" w:lineRule="exact"/>
              <w:rPr>
                <w:sz w:val="20"/>
                <w:szCs w:val="20"/>
                <w:color w:val="auto"/>
              </w:rPr>
            </w:pPr>
            <w:r>
              <w:rPr>
                <w:rFonts w:ascii="Arial" w:cs="Arial" w:eastAsia="Arial" w:hAnsi="Arial"/>
                <w:sz w:val="14"/>
                <w:szCs w:val="14"/>
                <w:color w:val="auto"/>
              </w:rPr>
              <w:t>Corporate</w:t>
            </w:r>
          </w:p>
        </w:tc>
        <w:tc>
          <w:tcPr>
            <w:tcW w:w="840" w:type="dxa"/>
            <w:vAlign w:val="bottom"/>
            <w:shd w:val="clear" w:color="auto" w:fill="CCEEFF"/>
          </w:tcPr>
          <w:p>
            <w:pPr>
              <w:jc w:val="right"/>
              <w:ind w:right="49"/>
              <w:spacing w:after="0" w:line="128" w:lineRule="exact"/>
              <w:rPr>
                <w:sz w:val="20"/>
                <w:szCs w:val="20"/>
                <w:color w:val="auto"/>
              </w:rPr>
            </w:pPr>
            <w:r>
              <w:rPr>
                <w:rFonts w:ascii="Arial" w:cs="Arial" w:eastAsia="Arial" w:hAnsi="Arial"/>
                <w:sz w:val="14"/>
                <w:szCs w:val="14"/>
                <w:color w:val="auto"/>
              </w:rPr>
              <w:t>28,065</w:t>
            </w:r>
          </w:p>
        </w:tc>
        <w:tc>
          <w:tcPr>
            <w:tcW w:w="720" w:type="dxa"/>
            <w:vAlign w:val="bottom"/>
            <w:shd w:val="clear" w:color="auto" w:fill="CCEEFF"/>
          </w:tcPr>
          <w:p>
            <w:pPr>
              <w:jc w:val="right"/>
              <w:ind w:right="29"/>
              <w:spacing w:after="0" w:line="128" w:lineRule="exact"/>
              <w:rPr>
                <w:sz w:val="20"/>
                <w:szCs w:val="20"/>
                <w:color w:val="auto"/>
              </w:rPr>
            </w:pPr>
            <w:r>
              <w:rPr>
                <w:rFonts w:ascii="Arial" w:cs="Arial" w:eastAsia="Arial" w:hAnsi="Arial"/>
                <w:sz w:val="14"/>
                <w:szCs w:val="14"/>
                <w:color w:val="auto"/>
              </w:rPr>
              <w:t>29,146</w:t>
            </w:r>
          </w:p>
        </w:tc>
        <w:tc>
          <w:tcPr>
            <w:tcW w:w="740" w:type="dxa"/>
            <w:vAlign w:val="bottom"/>
            <w:shd w:val="clear" w:color="auto" w:fill="CCEEFF"/>
          </w:tcPr>
          <w:p>
            <w:pPr>
              <w:jc w:val="right"/>
              <w:ind w:right="29"/>
              <w:spacing w:after="0" w:line="128" w:lineRule="exact"/>
              <w:rPr>
                <w:sz w:val="20"/>
                <w:szCs w:val="20"/>
                <w:color w:val="auto"/>
              </w:rPr>
            </w:pPr>
            <w:r>
              <w:rPr>
                <w:rFonts w:ascii="Arial" w:cs="Arial" w:eastAsia="Arial" w:hAnsi="Arial"/>
                <w:sz w:val="14"/>
                <w:szCs w:val="14"/>
                <w:color w:val="auto"/>
              </w:rPr>
              <w:t>34,030</w:t>
            </w:r>
          </w:p>
        </w:tc>
        <w:tc>
          <w:tcPr>
            <w:tcW w:w="92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33,574</w:t>
            </w:r>
          </w:p>
        </w:tc>
        <w:tc>
          <w:tcPr>
            <w:tcW w:w="80" w:type="dxa"/>
            <w:vAlign w:val="bottom"/>
            <w:shd w:val="clear" w:color="auto" w:fill="BFD9F1"/>
          </w:tcPr>
          <w:p>
            <w:pPr>
              <w:spacing w:after="0"/>
              <w:rPr>
                <w:sz w:val="12"/>
                <w:szCs w:val="12"/>
                <w:color w:val="auto"/>
              </w:rPr>
            </w:pPr>
          </w:p>
        </w:tc>
        <w:tc>
          <w:tcPr>
            <w:tcW w:w="600" w:type="dxa"/>
            <w:vAlign w:val="bottom"/>
            <w:shd w:val="clear" w:color="auto" w:fill="BFD9F1"/>
          </w:tcPr>
          <w:p>
            <w:pPr>
              <w:jc w:val="right"/>
              <w:spacing w:after="0" w:line="128" w:lineRule="exact"/>
              <w:rPr>
                <w:sz w:val="20"/>
                <w:szCs w:val="20"/>
                <w:color w:val="auto"/>
              </w:rPr>
            </w:pPr>
            <w:r>
              <w:rPr>
                <w:rFonts w:ascii="Arial" w:cs="Arial" w:eastAsia="Arial" w:hAnsi="Arial"/>
                <w:sz w:val="14"/>
                <w:szCs w:val="14"/>
                <w:color w:val="auto"/>
              </w:rPr>
              <w:t>16.8%</w:t>
            </w:r>
          </w:p>
        </w:tc>
        <w:tc>
          <w:tcPr>
            <w:tcW w:w="80" w:type="dxa"/>
            <w:vAlign w:val="bottom"/>
            <w:shd w:val="clear" w:color="auto" w:fill="BFD9F1"/>
          </w:tcPr>
          <w:p>
            <w:pPr>
              <w:spacing w:after="0"/>
              <w:rPr>
                <w:sz w:val="12"/>
                <w:szCs w:val="12"/>
                <w:color w:val="auto"/>
              </w:rPr>
            </w:pPr>
          </w:p>
        </w:tc>
        <w:tc>
          <w:tcPr>
            <w:tcW w:w="640" w:type="dxa"/>
            <w:vAlign w:val="bottom"/>
            <w:gridSpan w:val="2"/>
            <w:shd w:val="clear" w:color="auto" w:fill="BFD9F1"/>
          </w:tcPr>
          <w:p>
            <w:pPr>
              <w:jc w:val="right"/>
              <w:ind w:right="80"/>
              <w:spacing w:after="0" w:line="128" w:lineRule="exact"/>
              <w:rPr>
                <w:sz w:val="20"/>
                <w:szCs w:val="20"/>
                <w:color w:val="auto"/>
              </w:rPr>
            </w:pPr>
            <w:r>
              <w:rPr>
                <w:rFonts w:ascii="Arial" w:cs="Arial" w:eastAsia="Arial" w:hAnsi="Arial"/>
                <w:sz w:val="14"/>
                <w:szCs w:val="14"/>
                <w:color w:val="auto"/>
              </w:rPr>
              <w:t>21.3%</w:t>
            </w:r>
          </w:p>
        </w:tc>
        <w:tc>
          <w:tcPr>
            <w:tcW w:w="680" w:type="dxa"/>
            <w:vAlign w:val="bottom"/>
            <w:gridSpan w:val="2"/>
            <w:shd w:val="clear" w:color="auto" w:fill="BFD9F1"/>
          </w:tcPr>
          <w:p>
            <w:pPr>
              <w:jc w:val="right"/>
              <w:ind w:right="80"/>
              <w:spacing w:after="0" w:line="128" w:lineRule="exact"/>
              <w:rPr>
                <w:sz w:val="20"/>
                <w:szCs w:val="20"/>
                <w:color w:val="auto"/>
              </w:rPr>
            </w:pPr>
            <w:r>
              <w:rPr>
                <w:rFonts w:ascii="Arial" w:cs="Arial" w:eastAsia="Arial" w:hAnsi="Arial"/>
                <w:sz w:val="14"/>
                <w:szCs w:val="14"/>
                <w:color w:val="auto"/>
              </w:rPr>
              <w:t>15.2%</w:t>
            </w:r>
          </w:p>
        </w:tc>
        <w:tc>
          <w:tcPr>
            <w:tcW w:w="560" w:type="dxa"/>
            <w:vAlign w:val="bottom"/>
            <w:shd w:val="clear" w:color="auto" w:fill="BFD9F1"/>
          </w:tcPr>
          <w:p>
            <w:pPr>
              <w:jc w:val="right"/>
              <w:spacing w:after="0" w:line="128" w:lineRule="exact"/>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9"/>
              <w:spacing w:after="0" w:line="128" w:lineRule="exact"/>
              <w:rPr>
                <w:sz w:val="20"/>
                <w:szCs w:val="20"/>
                <w:color w:val="auto"/>
              </w:rPr>
            </w:pPr>
            <w:r>
              <w:rPr>
                <w:rFonts w:ascii="Arial" w:cs="Arial" w:eastAsia="Arial" w:hAnsi="Arial"/>
                <w:sz w:val="14"/>
                <w:szCs w:val="14"/>
                <w:color w:val="auto"/>
              </w:rPr>
              <w:t>25.6%</w:t>
            </w:r>
          </w:p>
        </w:tc>
        <w:tc>
          <w:tcPr>
            <w:tcW w:w="760" w:type="dxa"/>
            <w:vAlign w:val="bottom"/>
            <w:shd w:val="clear" w:color="auto" w:fill="CCEEFF"/>
          </w:tcPr>
          <w:p>
            <w:pPr>
              <w:jc w:val="right"/>
              <w:ind w:right="49"/>
              <w:spacing w:after="0" w:line="128" w:lineRule="exact"/>
              <w:rPr>
                <w:sz w:val="20"/>
                <w:szCs w:val="20"/>
                <w:color w:val="auto"/>
              </w:rPr>
            </w:pPr>
            <w:r>
              <w:rPr>
                <w:rFonts w:ascii="Arial" w:cs="Arial" w:eastAsia="Arial" w:hAnsi="Arial"/>
                <w:sz w:val="14"/>
                <w:szCs w:val="14"/>
                <w:color w:val="auto"/>
              </w:rPr>
              <w:t>25.2%</w:t>
            </w:r>
          </w:p>
        </w:tc>
        <w:tc>
          <w:tcPr>
            <w:tcW w:w="740" w:type="dxa"/>
            <w:vAlign w:val="bottom"/>
            <w:shd w:val="clear" w:color="auto" w:fill="CCEEFF"/>
          </w:tcPr>
          <w:p>
            <w:pPr>
              <w:jc w:val="right"/>
              <w:ind w:right="29"/>
              <w:spacing w:after="0" w:line="128" w:lineRule="exact"/>
              <w:rPr>
                <w:sz w:val="20"/>
                <w:szCs w:val="20"/>
                <w:color w:val="auto"/>
              </w:rPr>
            </w:pPr>
            <w:r>
              <w:rPr>
                <w:rFonts w:ascii="Arial" w:cs="Arial" w:eastAsia="Arial" w:hAnsi="Arial"/>
                <w:sz w:val="14"/>
                <w:szCs w:val="14"/>
                <w:color w:val="auto"/>
              </w:rPr>
              <w:t>26.6%</w:t>
            </w:r>
          </w:p>
        </w:tc>
        <w:tc>
          <w:tcPr>
            <w:tcW w:w="92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47"/>
        </w:trPr>
        <w:tc>
          <w:tcPr>
            <w:tcW w:w="2120" w:type="dxa"/>
            <w:vAlign w:val="bottom"/>
          </w:tcPr>
          <w:p>
            <w:pPr>
              <w:ind w:left="320"/>
              <w:spacing w:after="0" w:line="147" w:lineRule="exact"/>
              <w:rPr>
                <w:sz w:val="20"/>
                <w:szCs w:val="20"/>
                <w:color w:val="auto"/>
              </w:rPr>
            </w:pPr>
            <w:r>
              <w:rPr>
                <w:rFonts w:ascii="Arial" w:cs="Arial" w:eastAsia="Arial" w:hAnsi="Arial"/>
                <w:sz w:val="14"/>
                <w:szCs w:val="14"/>
                <w:color w:val="auto"/>
              </w:rPr>
              <w:t>Middle - Market</w:t>
            </w:r>
          </w:p>
        </w:tc>
        <w:tc>
          <w:tcPr>
            <w:tcW w:w="840" w:type="dxa"/>
            <w:vAlign w:val="bottom"/>
          </w:tcPr>
          <w:p>
            <w:pPr>
              <w:jc w:val="right"/>
              <w:ind w:right="49"/>
              <w:spacing w:after="0" w:line="147" w:lineRule="exact"/>
              <w:rPr>
                <w:sz w:val="20"/>
                <w:szCs w:val="20"/>
                <w:color w:val="auto"/>
              </w:rPr>
            </w:pPr>
            <w:r>
              <w:rPr>
                <w:rFonts w:ascii="Arial" w:cs="Arial" w:eastAsia="Arial" w:hAnsi="Arial"/>
                <w:sz w:val="14"/>
                <w:szCs w:val="14"/>
                <w:color w:val="auto"/>
              </w:rPr>
              <w:t>17,818</w:t>
            </w:r>
          </w:p>
        </w:tc>
        <w:tc>
          <w:tcPr>
            <w:tcW w:w="720" w:type="dxa"/>
            <w:vAlign w:val="bottom"/>
          </w:tcPr>
          <w:p>
            <w:pPr>
              <w:jc w:val="right"/>
              <w:ind w:right="29"/>
              <w:spacing w:after="0" w:line="147" w:lineRule="exact"/>
              <w:rPr>
                <w:sz w:val="20"/>
                <w:szCs w:val="20"/>
                <w:color w:val="auto"/>
              </w:rPr>
            </w:pPr>
            <w:r>
              <w:rPr>
                <w:rFonts w:ascii="Arial" w:cs="Arial" w:eastAsia="Arial" w:hAnsi="Arial"/>
                <w:sz w:val="14"/>
                <w:szCs w:val="14"/>
                <w:color w:val="auto"/>
              </w:rPr>
              <w:t>18,511</w:t>
            </w:r>
          </w:p>
        </w:tc>
        <w:tc>
          <w:tcPr>
            <w:tcW w:w="740" w:type="dxa"/>
            <w:vAlign w:val="bottom"/>
          </w:tcPr>
          <w:p>
            <w:pPr>
              <w:jc w:val="right"/>
              <w:ind w:right="29"/>
              <w:spacing w:after="0" w:line="147" w:lineRule="exact"/>
              <w:rPr>
                <w:sz w:val="20"/>
                <w:szCs w:val="20"/>
                <w:color w:val="auto"/>
              </w:rPr>
            </w:pPr>
            <w:r>
              <w:rPr>
                <w:rFonts w:ascii="Arial" w:cs="Arial" w:eastAsia="Arial" w:hAnsi="Arial"/>
                <w:sz w:val="14"/>
                <w:szCs w:val="14"/>
                <w:color w:val="auto"/>
              </w:rPr>
              <w:t>21,912</w:t>
            </w: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19,056</w:t>
            </w:r>
          </w:p>
        </w:tc>
        <w:tc>
          <w:tcPr>
            <w:tcW w:w="80" w:type="dxa"/>
            <w:vAlign w:val="bottom"/>
            <w:shd w:val="clear" w:color="auto" w:fill="BFD9F1"/>
          </w:tcPr>
          <w:p>
            <w:pPr>
              <w:spacing w:after="0"/>
              <w:rPr>
                <w:sz w:val="12"/>
                <w:szCs w:val="12"/>
                <w:color w:val="auto"/>
              </w:rPr>
            </w:pPr>
          </w:p>
        </w:tc>
        <w:tc>
          <w:tcPr>
            <w:tcW w:w="600" w:type="dxa"/>
            <w:vAlign w:val="bottom"/>
            <w:shd w:val="clear" w:color="auto" w:fill="BFD9F1"/>
          </w:tcPr>
          <w:p>
            <w:pPr>
              <w:jc w:val="right"/>
              <w:spacing w:after="0" w:line="147" w:lineRule="exact"/>
              <w:rPr>
                <w:sz w:val="20"/>
                <w:szCs w:val="20"/>
                <w:color w:val="auto"/>
              </w:rPr>
            </w:pPr>
            <w:r>
              <w:rPr>
                <w:rFonts w:ascii="Arial" w:cs="Arial" w:eastAsia="Arial" w:hAnsi="Arial"/>
                <w:sz w:val="14"/>
                <w:szCs w:val="14"/>
                <w:color w:val="auto"/>
              </w:rPr>
              <w:t>18.4%</w:t>
            </w:r>
          </w:p>
        </w:tc>
        <w:tc>
          <w:tcPr>
            <w:tcW w:w="80" w:type="dxa"/>
            <w:vAlign w:val="bottom"/>
            <w:shd w:val="clear" w:color="auto" w:fill="BFD9F1"/>
          </w:tcPr>
          <w:p>
            <w:pPr>
              <w:spacing w:after="0"/>
              <w:rPr>
                <w:sz w:val="12"/>
                <w:szCs w:val="12"/>
                <w:color w:val="auto"/>
              </w:rPr>
            </w:pPr>
          </w:p>
        </w:tc>
        <w:tc>
          <w:tcPr>
            <w:tcW w:w="640" w:type="dxa"/>
            <w:vAlign w:val="bottom"/>
            <w:gridSpan w:val="2"/>
            <w:shd w:val="clear" w:color="auto" w:fill="BFD9F1"/>
          </w:tcPr>
          <w:p>
            <w:pPr>
              <w:jc w:val="right"/>
              <w:ind w:right="80"/>
              <w:spacing w:after="0" w:line="147" w:lineRule="exact"/>
              <w:rPr>
                <w:sz w:val="20"/>
                <w:szCs w:val="20"/>
                <w:color w:val="auto"/>
              </w:rPr>
            </w:pPr>
            <w:r>
              <w:rPr>
                <w:rFonts w:ascii="Arial" w:cs="Arial" w:eastAsia="Arial" w:hAnsi="Arial"/>
                <w:sz w:val="14"/>
                <w:szCs w:val="14"/>
                <w:color w:val="auto"/>
              </w:rPr>
              <w:t>23.0%</w:t>
            </w:r>
          </w:p>
        </w:tc>
        <w:tc>
          <w:tcPr>
            <w:tcW w:w="680" w:type="dxa"/>
            <w:vAlign w:val="bottom"/>
            <w:gridSpan w:val="2"/>
            <w:shd w:val="clear" w:color="auto" w:fill="BFD9F1"/>
          </w:tcPr>
          <w:p>
            <w:pPr>
              <w:jc w:val="right"/>
              <w:ind w:right="80"/>
              <w:spacing w:after="0" w:line="147" w:lineRule="exact"/>
              <w:rPr>
                <w:sz w:val="20"/>
                <w:szCs w:val="20"/>
                <w:color w:val="auto"/>
              </w:rPr>
            </w:pPr>
            <w:r>
              <w:rPr>
                <w:rFonts w:ascii="Arial" w:cs="Arial" w:eastAsia="Arial" w:hAnsi="Arial"/>
                <w:sz w:val="14"/>
                <w:szCs w:val="14"/>
                <w:color w:val="auto"/>
              </w:rPr>
              <w:t>2.9%</w:t>
            </w:r>
          </w:p>
        </w:tc>
        <w:tc>
          <w:tcPr>
            <w:tcW w:w="560" w:type="dxa"/>
            <w:vAlign w:val="bottom"/>
            <w:shd w:val="clear" w:color="auto" w:fill="BFD9F1"/>
          </w:tcPr>
          <w:p>
            <w:pPr>
              <w:jc w:val="right"/>
              <w:spacing w:after="0" w:line="147" w:lineRule="exact"/>
              <w:rPr>
                <w:sz w:val="20"/>
                <w:szCs w:val="20"/>
                <w:color w:val="auto"/>
              </w:rPr>
            </w:pPr>
            <w:r>
              <w:rPr>
                <w:rFonts w:ascii="Arial" w:cs="Arial" w:eastAsia="Arial" w:hAnsi="Arial"/>
                <w:sz w:val="14"/>
                <w:szCs w:val="14"/>
                <w:color w:val="auto"/>
              </w:rPr>
              <w:t>6.9%</w:t>
            </w:r>
          </w:p>
        </w:tc>
        <w:tc>
          <w:tcPr>
            <w:tcW w:w="100" w:type="dxa"/>
            <w:vAlign w:val="bottom"/>
          </w:tcPr>
          <w:p>
            <w:pPr>
              <w:spacing w:after="0"/>
              <w:rPr>
                <w:sz w:val="12"/>
                <w:szCs w:val="12"/>
                <w:color w:val="auto"/>
              </w:rPr>
            </w:pPr>
          </w:p>
        </w:tc>
        <w:tc>
          <w:tcPr>
            <w:tcW w:w="740" w:type="dxa"/>
            <w:vAlign w:val="bottom"/>
          </w:tcPr>
          <w:p>
            <w:pPr>
              <w:jc w:val="right"/>
              <w:ind w:right="29"/>
              <w:spacing w:after="0" w:line="147" w:lineRule="exact"/>
              <w:rPr>
                <w:sz w:val="20"/>
                <w:szCs w:val="20"/>
                <w:color w:val="auto"/>
              </w:rPr>
            </w:pPr>
            <w:r>
              <w:rPr>
                <w:rFonts w:ascii="Arial" w:cs="Arial" w:eastAsia="Arial" w:hAnsi="Arial"/>
                <w:sz w:val="14"/>
                <w:szCs w:val="14"/>
                <w:color w:val="auto"/>
              </w:rPr>
              <w:t>16.3%</w:t>
            </w:r>
          </w:p>
        </w:tc>
        <w:tc>
          <w:tcPr>
            <w:tcW w:w="760" w:type="dxa"/>
            <w:vAlign w:val="bottom"/>
          </w:tcPr>
          <w:p>
            <w:pPr>
              <w:jc w:val="right"/>
              <w:ind w:right="49"/>
              <w:spacing w:after="0" w:line="147" w:lineRule="exact"/>
              <w:rPr>
                <w:sz w:val="20"/>
                <w:szCs w:val="20"/>
                <w:color w:val="auto"/>
              </w:rPr>
            </w:pPr>
            <w:r>
              <w:rPr>
                <w:rFonts w:ascii="Arial" w:cs="Arial" w:eastAsia="Arial" w:hAnsi="Arial"/>
                <w:sz w:val="14"/>
                <w:szCs w:val="14"/>
                <w:color w:val="auto"/>
              </w:rPr>
              <w:t>16.0%</w:t>
            </w:r>
          </w:p>
        </w:tc>
        <w:tc>
          <w:tcPr>
            <w:tcW w:w="740" w:type="dxa"/>
            <w:vAlign w:val="bottom"/>
          </w:tcPr>
          <w:p>
            <w:pPr>
              <w:jc w:val="right"/>
              <w:ind w:right="29"/>
              <w:spacing w:after="0" w:line="147" w:lineRule="exact"/>
              <w:rPr>
                <w:sz w:val="20"/>
                <w:szCs w:val="20"/>
                <w:color w:val="auto"/>
              </w:rPr>
            </w:pPr>
            <w:r>
              <w:rPr>
                <w:rFonts w:ascii="Arial" w:cs="Arial" w:eastAsia="Arial" w:hAnsi="Arial"/>
                <w:sz w:val="14"/>
                <w:szCs w:val="14"/>
                <w:color w:val="auto"/>
              </w:rPr>
              <w:t>17.1%</w:t>
            </w: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47"/>
        </w:trPr>
        <w:tc>
          <w:tcPr>
            <w:tcW w:w="2120" w:type="dxa"/>
            <w:vAlign w:val="bottom"/>
            <w:shd w:val="clear" w:color="auto" w:fill="CCEEFF"/>
          </w:tcPr>
          <w:p>
            <w:pPr>
              <w:ind w:left="160"/>
              <w:spacing w:after="0" w:line="147" w:lineRule="exact"/>
              <w:rPr>
                <w:sz w:val="20"/>
                <w:szCs w:val="20"/>
                <w:color w:val="auto"/>
              </w:rPr>
            </w:pPr>
            <w:r>
              <w:rPr>
                <w:rFonts w:ascii="Arial" w:cs="Arial" w:eastAsia="Arial" w:hAnsi="Arial"/>
                <w:sz w:val="14"/>
                <w:szCs w:val="14"/>
                <w:b w:val="1"/>
                <w:bCs w:val="1"/>
                <w:color w:val="auto"/>
              </w:rPr>
              <w:t>Retail Banking</w:t>
            </w:r>
          </w:p>
        </w:tc>
        <w:tc>
          <w:tcPr>
            <w:tcW w:w="840" w:type="dxa"/>
            <w:vAlign w:val="bottom"/>
            <w:shd w:val="clear" w:color="auto" w:fill="CCEEFF"/>
          </w:tcPr>
          <w:p>
            <w:pPr>
              <w:jc w:val="right"/>
              <w:ind w:right="49"/>
              <w:spacing w:after="0" w:line="147" w:lineRule="exact"/>
              <w:rPr>
                <w:sz w:val="20"/>
                <w:szCs w:val="20"/>
                <w:color w:val="auto"/>
              </w:rPr>
            </w:pPr>
            <w:r>
              <w:rPr>
                <w:rFonts w:ascii="Arial" w:cs="Arial" w:eastAsia="Arial" w:hAnsi="Arial"/>
                <w:sz w:val="14"/>
                <w:szCs w:val="14"/>
                <w:b w:val="1"/>
                <w:bCs w:val="1"/>
                <w:color w:val="auto"/>
              </w:rPr>
              <w:t>43,749</w:t>
            </w:r>
          </w:p>
        </w:tc>
        <w:tc>
          <w:tcPr>
            <w:tcW w:w="72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b w:val="1"/>
                <w:bCs w:val="1"/>
                <w:color w:val="auto"/>
              </w:rPr>
              <w:t>47,425</w:t>
            </w:r>
          </w:p>
        </w:tc>
        <w:tc>
          <w:tcPr>
            <w:tcW w:w="74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b w:val="1"/>
                <w:bCs w:val="1"/>
                <w:color w:val="auto"/>
              </w:rPr>
              <w:t>50,670</w:t>
            </w:r>
          </w:p>
        </w:tc>
        <w:tc>
          <w:tcPr>
            <w:tcW w:w="10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b w:val="1"/>
                <w:bCs w:val="1"/>
                <w:color w:val="auto"/>
              </w:rPr>
              <w:t>46,590</w:t>
            </w:r>
          </w:p>
        </w:tc>
        <w:tc>
          <w:tcPr>
            <w:tcW w:w="6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b w:val="1"/>
                <w:bCs w:val="1"/>
                <w:color w:val="auto"/>
              </w:rPr>
              <w:t>6.8%</w:t>
            </w:r>
          </w:p>
        </w:tc>
        <w:tc>
          <w:tcPr>
            <w:tcW w:w="64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b w:val="1"/>
                <w:bCs w:val="1"/>
                <w:color w:val="auto"/>
              </w:rPr>
              <w:t>15.8%</w:t>
            </w:r>
          </w:p>
        </w:tc>
        <w:tc>
          <w:tcPr>
            <w:tcW w:w="6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b w:val="1"/>
                <w:bCs w:val="1"/>
                <w:color w:val="auto"/>
              </w:rPr>
              <w:t>-1.8%</w:t>
            </w:r>
          </w:p>
        </w:tc>
        <w:tc>
          <w:tcPr>
            <w:tcW w:w="6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b w:val="1"/>
                <w:bCs w:val="1"/>
                <w:color w:val="auto"/>
              </w:rPr>
              <w:t>6.5%</w:t>
            </w:r>
          </w:p>
        </w:tc>
        <w:tc>
          <w:tcPr>
            <w:tcW w:w="74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b w:val="1"/>
                <w:bCs w:val="1"/>
                <w:color w:val="auto"/>
              </w:rPr>
              <w:t>40.0%</w:t>
            </w:r>
          </w:p>
        </w:tc>
        <w:tc>
          <w:tcPr>
            <w:tcW w:w="760" w:type="dxa"/>
            <w:vAlign w:val="bottom"/>
            <w:shd w:val="clear" w:color="auto" w:fill="CCEEFF"/>
          </w:tcPr>
          <w:p>
            <w:pPr>
              <w:jc w:val="right"/>
              <w:ind w:right="49"/>
              <w:spacing w:after="0" w:line="147" w:lineRule="exact"/>
              <w:rPr>
                <w:sz w:val="20"/>
                <w:szCs w:val="20"/>
                <w:color w:val="auto"/>
              </w:rPr>
            </w:pPr>
            <w:r>
              <w:rPr>
                <w:rFonts w:ascii="Arial" w:cs="Arial" w:eastAsia="Arial" w:hAnsi="Arial"/>
                <w:sz w:val="14"/>
                <w:szCs w:val="14"/>
                <w:b w:val="1"/>
                <w:bCs w:val="1"/>
                <w:color w:val="auto"/>
              </w:rPr>
              <w:t>40.9%</w:t>
            </w:r>
          </w:p>
        </w:tc>
        <w:tc>
          <w:tcPr>
            <w:tcW w:w="74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b w:val="1"/>
                <w:bCs w:val="1"/>
                <w:color w:val="auto"/>
              </w:rPr>
              <w:t>39.7%</w:t>
            </w: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b w:val="1"/>
                <w:bCs w:val="1"/>
                <w:color w:val="auto"/>
              </w:rPr>
              <w:t>38.8%</w:t>
            </w:r>
          </w:p>
        </w:tc>
        <w:tc>
          <w:tcPr>
            <w:tcW w:w="0" w:type="dxa"/>
            <w:vAlign w:val="bottom"/>
          </w:tcPr>
          <w:p>
            <w:pPr>
              <w:spacing w:after="0"/>
              <w:rPr>
                <w:sz w:val="1"/>
                <w:szCs w:val="1"/>
                <w:color w:val="auto"/>
              </w:rPr>
            </w:pPr>
          </w:p>
        </w:tc>
      </w:tr>
      <w:tr>
        <w:trPr>
          <w:trHeight w:val="147"/>
        </w:trPr>
        <w:tc>
          <w:tcPr>
            <w:tcW w:w="2120" w:type="dxa"/>
            <w:vAlign w:val="bottom"/>
          </w:tcPr>
          <w:p>
            <w:pPr>
              <w:ind w:left="320"/>
              <w:spacing w:after="0" w:line="128" w:lineRule="exact"/>
              <w:rPr>
                <w:sz w:val="20"/>
                <w:szCs w:val="20"/>
                <w:color w:val="auto"/>
              </w:rPr>
            </w:pPr>
            <w:r>
              <w:rPr>
                <w:rFonts w:ascii="Arial" w:cs="Arial" w:eastAsia="Arial" w:hAnsi="Arial"/>
                <w:sz w:val="14"/>
                <w:szCs w:val="14"/>
                <w:color w:val="auto"/>
              </w:rPr>
              <w:t>SME - Business</w:t>
            </w:r>
          </w:p>
        </w:tc>
        <w:tc>
          <w:tcPr>
            <w:tcW w:w="840" w:type="dxa"/>
            <w:vAlign w:val="bottom"/>
          </w:tcPr>
          <w:p>
            <w:pPr>
              <w:jc w:val="right"/>
              <w:ind w:right="49"/>
              <w:spacing w:after="0" w:line="128" w:lineRule="exact"/>
              <w:rPr>
                <w:sz w:val="20"/>
                <w:szCs w:val="20"/>
                <w:color w:val="auto"/>
              </w:rPr>
            </w:pPr>
            <w:r>
              <w:rPr>
                <w:rFonts w:ascii="Arial" w:cs="Arial" w:eastAsia="Arial" w:hAnsi="Arial"/>
                <w:sz w:val="14"/>
                <w:szCs w:val="14"/>
                <w:color w:val="auto"/>
              </w:rPr>
              <w:t>5,340</w:t>
            </w:r>
          </w:p>
        </w:tc>
        <w:tc>
          <w:tcPr>
            <w:tcW w:w="720" w:type="dxa"/>
            <w:vAlign w:val="bottom"/>
          </w:tcPr>
          <w:p>
            <w:pPr>
              <w:jc w:val="right"/>
              <w:ind w:right="29"/>
              <w:spacing w:after="0" w:line="128" w:lineRule="exact"/>
              <w:rPr>
                <w:sz w:val="20"/>
                <w:szCs w:val="20"/>
                <w:color w:val="auto"/>
              </w:rPr>
            </w:pPr>
            <w:r>
              <w:rPr>
                <w:rFonts w:ascii="Arial" w:cs="Arial" w:eastAsia="Arial" w:hAnsi="Arial"/>
                <w:sz w:val="14"/>
                <w:szCs w:val="14"/>
                <w:color w:val="auto"/>
              </w:rPr>
              <w:t>5,456</w:t>
            </w:r>
          </w:p>
        </w:tc>
        <w:tc>
          <w:tcPr>
            <w:tcW w:w="740" w:type="dxa"/>
            <w:vAlign w:val="bottom"/>
          </w:tcPr>
          <w:p>
            <w:pPr>
              <w:jc w:val="right"/>
              <w:ind w:right="29"/>
              <w:spacing w:after="0" w:line="128" w:lineRule="exact"/>
              <w:rPr>
                <w:sz w:val="20"/>
                <w:szCs w:val="20"/>
                <w:color w:val="auto"/>
              </w:rPr>
            </w:pPr>
            <w:r>
              <w:rPr>
                <w:rFonts w:ascii="Arial" w:cs="Arial" w:eastAsia="Arial" w:hAnsi="Arial"/>
                <w:sz w:val="14"/>
                <w:szCs w:val="14"/>
                <w:color w:val="auto"/>
              </w:rPr>
              <w:t>7,532</w:t>
            </w:r>
          </w:p>
        </w:tc>
        <w:tc>
          <w:tcPr>
            <w:tcW w:w="920" w:type="dxa"/>
            <w:vAlign w:val="bottom"/>
          </w:tcPr>
          <w:p>
            <w:pPr>
              <w:jc w:val="right"/>
              <w:spacing w:after="0" w:line="128" w:lineRule="exact"/>
              <w:rPr>
                <w:sz w:val="20"/>
                <w:szCs w:val="20"/>
                <w:color w:val="auto"/>
              </w:rPr>
            </w:pPr>
            <w:r>
              <w:rPr>
                <w:rFonts w:ascii="Arial" w:cs="Arial" w:eastAsia="Arial" w:hAnsi="Arial"/>
                <w:sz w:val="14"/>
                <w:szCs w:val="14"/>
                <w:color w:val="auto"/>
              </w:rPr>
              <w:t>5,262</w:t>
            </w:r>
          </w:p>
        </w:tc>
        <w:tc>
          <w:tcPr>
            <w:tcW w:w="80" w:type="dxa"/>
            <w:vAlign w:val="bottom"/>
            <w:shd w:val="clear" w:color="auto" w:fill="BFD9F1"/>
          </w:tcPr>
          <w:p>
            <w:pPr>
              <w:spacing w:after="0"/>
              <w:rPr>
                <w:sz w:val="12"/>
                <w:szCs w:val="12"/>
                <w:color w:val="auto"/>
              </w:rPr>
            </w:pPr>
          </w:p>
        </w:tc>
        <w:tc>
          <w:tcPr>
            <w:tcW w:w="680" w:type="dxa"/>
            <w:vAlign w:val="bottom"/>
            <w:gridSpan w:val="2"/>
            <w:shd w:val="clear" w:color="auto" w:fill="BFD9F1"/>
          </w:tcPr>
          <w:p>
            <w:pPr>
              <w:jc w:val="right"/>
              <w:ind w:right="80"/>
              <w:spacing w:after="0" w:line="128" w:lineRule="exact"/>
              <w:rPr>
                <w:sz w:val="20"/>
                <w:szCs w:val="20"/>
                <w:color w:val="auto"/>
              </w:rPr>
            </w:pPr>
            <w:r>
              <w:rPr>
                <w:rFonts w:ascii="Arial" w:cs="Arial" w:eastAsia="Arial" w:hAnsi="Arial"/>
                <w:sz w:val="14"/>
                <w:szCs w:val="14"/>
                <w:color w:val="auto"/>
              </w:rPr>
              <w:t>38.0%</w:t>
            </w:r>
          </w:p>
        </w:tc>
        <w:tc>
          <w:tcPr>
            <w:tcW w:w="560" w:type="dxa"/>
            <w:vAlign w:val="bottom"/>
            <w:shd w:val="clear" w:color="auto" w:fill="BFD9F1"/>
          </w:tcPr>
          <w:p>
            <w:pPr>
              <w:jc w:val="right"/>
              <w:spacing w:after="0" w:line="128" w:lineRule="exact"/>
              <w:rPr>
                <w:sz w:val="20"/>
                <w:szCs w:val="20"/>
                <w:color w:val="auto"/>
              </w:rPr>
            </w:pPr>
            <w:r>
              <w:rPr>
                <w:rFonts w:ascii="Arial" w:cs="Arial" w:eastAsia="Arial" w:hAnsi="Arial"/>
                <w:sz w:val="14"/>
                <w:szCs w:val="14"/>
                <w:color w:val="auto"/>
              </w:rPr>
              <w:t>41.0%</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28" w:lineRule="exact"/>
              <w:rPr>
                <w:sz w:val="20"/>
                <w:szCs w:val="20"/>
                <w:color w:val="auto"/>
              </w:rPr>
            </w:pPr>
            <w:r>
              <w:rPr>
                <w:rFonts w:ascii="Arial" w:cs="Arial" w:eastAsia="Arial" w:hAnsi="Arial"/>
                <w:sz w:val="14"/>
                <w:szCs w:val="14"/>
                <w:color w:val="auto"/>
              </w:rPr>
              <w:t>-3.6%</w:t>
            </w:r>
          </w:p>
        </w:tc>
        <w:tc>
          <w:tcPr>
            <w:tcW w:w="660" w:type="dxa"/>
            <w:vAlign w:val="bottom"/>
            <w:gridSpan w:val="2"/>
          </w:tcPr>
          <w:p>
            <w:pPr>
              <w:jc w:val="right"/>
              <w:ind w:right="100"/>
              <w:spacing w:after="0" w:line="128" w:lineRule="exact"/>
              <w:rPr>
                <w:sz w:val="20"/>
                <w:szCs w:val="20"/>
                <w:color w:val="auto"/>
              </w:rPr>
            </w:pPr>
            <w:r>
              <w:rPr>
                <w:rFonts w:ascii="Arial" w:cs="Arial" w:eastAsia="Arial" w:hAnsi="Arial"/>
                <w:sz w:val="14"/>
                <w:szCs w:val="14"/>
                <w:color w:val="auto"/>
              </w:rPr>
              <w:t>-1.5%</w:t>
            </w:r>
          </w:p>
        </w:tc>
        <w:tc>
          <w:tcPr>
            <w:tcW w:w="740" w:type="dxa"/>
            <w:vAlign w:val="bottom"/>
          </w:tcPr>
          <w:p>
            <w:pPr>
              <w:jc w:val="right"/>
              <w:ind w:right="29"/>
              <w:spacing w:after="0" w:line="128" w:lineRule="exact"/>
              <w:rPr>
                <w:sz w:val="20"/>
                <w:szCs w:val="20"/>
                <w:color w:val="auto"/>
              </w:rPr>
            </w:pPr>
            <w:r>
              <w:rPr>
                <w:rFonts w:ascii="Arial" w:cs="Arial" w:eastAsia="Arial" w:hAnsi="Arial"/>
                <w:sz w:val="14"/>
                <w:szCs w:val="14"/>
                <w:color w:val="auto"/>
              </w:rPr>
              <w:t>4.9%</w:t>
            </w:r>
          </w:p>
        </w:tc>
        <w:tc>
          <w:tcPr>
            <w:tcW w:w="760" w:type="dxa"/>
            <w:vAlign w:val="bottom"/>
          </w:tcPr>
          <w:p>
            <w:pPr>
              <w:jc w:val="right"/>
              <w:ind w:right="49"/>
              <w:spacing w:after="0" w:line="128" w:lineRule="exact"/>
              <w:rPr>
                <w:sz w:val="20"/>
                <w:szCs w:val="20"/>
                <w:color w:val="auto"/>
              </w:rPr>
            </w:pPr>
            <w:r>
              <w:rPr>
                <w:rFonts w:ascii="Arial" w:cs="Arial" w:eastAsia="Arial" w:hAnsi="Arial"/>
                <w:sz w:val="14"/>
                <w:szCs w:val="14"/>
                <w:color w:val="auto"/>
              </w:rPr>
              <w:t>4.7%</w:t>
            </w:r>
          </w:p>
        </w:tc>
        <w:tc>
          <w:tcPr>
            <w:tcW w:w="740" w:type="dxa"/>
            <w:vAlign w:val="bottom"/>
          </w:tcPr>
          <w:p>
            <w:pPr>
              <w:jc w:val="right"/>
              <w:ind w:right="29"/>
              <w:spacing w:after="0" w:line="128" w:lineRule="exact"/>
              <w:rPr>
                <w:sz w:val="20"/>
                <w:szCs w:val="20"/>
                <w:color w:val="auto"/>
              </w:rPr>
            </w:pPr>
            <w:r>
              <w:rPr>
                <w:rFonts w:ascii="Arial" w:cs="Arial" w:eastAsia="Arial" w:hAnsi="Arial"/>
                <w:sz w:val="14"/>
                <w:szCs w:val="14"/>
                <w:color w:val="auto"/>
              </w:rPr>
              <w:t>5.9%</w:t>
            </w:r>
          </w:p>
        </w:tc>
        <w:tc>
          <w:tcPr>
            <w:tcW w:w="920" w:type="dxa"/>
            <w:vAlign w:val="bottom"/>
          </w:tcPr>
          <w:p>
            <w:pPr>
              <w:jc w:val="right"/>
              <w:spacing w:after="0" w:line="128"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7"/>
        </w:trPr>
        <w:tc>
          <w:tcPr>
            <w:tcW w:w="2120" w:type="dxa"/>
            <w:vAlign w:val="bottom"/>
            <w:shd w:val="clear" w:color="auto" w:fill="CCEEFF"/>
          </w:tcPr>
          <w:p>
            <w:pPr>
              <w:ind w:left="320"/>
              <w:spacing w:after="0" w:line="147" w:lineRule="exact"/>
              <w:rPr>
                <w:sz w:val="20"/>
                <w:szCs w:val="20"/>
                <w:color w:val="auto"/>
              </w:rPr>
            </w:pPr>
            <w:r>
              <w:rPr>
                <w:rFonts w:ascii="Arial" w:cs="Arial" w:eastAsia="Arial" w:hAnsi="Arial"/>
                <w:sz w:val="14"/>
                <w:szCs w:val="14"/>
                <w:color w:val="auto"/>
              </w:rPr>
              <w:t>SME - Pyme</w:t>
            </w:r>
          </w:p>
        </w:tc>
        <w:tc>
          <w:tcPr>
            <w:tcW w:w="840" w:type="dxa"/>
            <w:vAlign w:val="bottom"/>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9,558</w:t>
            </w:r>
          </w:p>
        </w:tc>
        <w:tc>
          <w:tcPr>
            <w:tcW w:w="72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10,330</w:t>
            </w:r>
          </w:p>
        </w:tc>
        <w:tc>
          <w:tcPr>
            <w:tcW w:w="74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11,928</w:t>
            </w:r>
          </w:p>
        </w:tc>
        <w:tc>
          <w:tcPr>
            <w:tcW w:w="10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10,118</w:t>
            </w: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15.5%</w:t>
            </w:r>
          </w:p>
        </w:tc>
        <w:tc>
          <w:tcPr>
            <w:tcW w:w="80" w:type="dxa"/>
            <w:vAlign w:val="bottom"/>
            <w:shd w:val="clear" w:color="auto" w:fill="BFD9F1"/>
          </w:tcPr>
          <w:p>
            <w:pPr>
              <w:spacing w:after="0"/>
              <w:rPr>
                <w:sz w:val="12"/>
                <w:szCs w:val="12"/>
                <w:color w:val="auto"/>
              </w:rPr>
            </w:pPr>
          </w:p>
        </w:tc>
        <w:tc>
          <w:tcPr>
            <w:tcW w:w="560" w:type="dxa"/>
            <w:vAlign w:val="bottom"/>
            <w:shd w:val="clear" w:color="auto" w:fill="BFD9F1"/>
          </w:tcPr>
          <w:p>
            <w:pPr>
              <w:jc w:val="right"/>
              <w:spacing w:after="0" w:line="147" w:lineRule="exact"/>
              <w:rPr>
                <w:sz w:val="20"/>
                <w:szCs w:val="20"/>
                <w:color w:val="auto"/>
              </w:rPr>
            </w:pPr>
            <w:r>
              <w:rPr>
                <w:rFonts w:ascii="Arial" w:cs="Arial" w:eastAsia="Arial" w:hAnsi="Arial"/>
                <w:sz w:val="14"/>
                <w:szCs w:val="14"/>
                <w:color w:val="auto"/>
              </w:rPr>
              <w:t>24.8%</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-2.0%</w:t>
            </w:r>
          </w:p>
        </w:tc>
        <w:tc>
          <w:tcPr>
            <w:tcW w:w="6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5.9%</w:t>
            </w:r>
          </w:p>
        </w:tc>
        <w:tc>
          <w:tcPr>
            <w:tcW w:w="74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8.7%</w:t>
            </w:r>
          </w:p>
        </w:tc>
        <w:tc>
          <w:tcPr>
            <w:tcW w:w="760" w:type="dxa"/>
            <w:vAlign w:val="bottom"/>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8.9%</w:t>
            </w:r>
          </w:p>
        </w:tc>
        <w:tc>
          <w:tcPr>
            <w:tcW w:w="74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9.3%</w:t>
            </w: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28"/>
        </w:trPr>
        <w:tc>
          <w:tcPr>
            <w:tcW w:w="2120" w:type="dxa"/>
            <w:vAlign w:val="bottom"/>
          </w:tcPr>
          <w:p>
            <w:pPr>
              <w:ind w:left="320"/>
              <w:spacing w:after="0" w:line="128" w:lineRule="exact"/>
              <w:rPr>
                <w:sz w:val="20"/>
                <w:szCs w:val="20"/>
                <w:color w:val="auto"/>
              </w:rPr>
            </w:pPr>
            <w:r>
              <w:rPr>
                <w:rFonts w:ascii="Arial" w:cs="Arial" w:eastAsia="Arial" w:hAnsi="Arial"/>
                <w:sz w:val="14"/>
                <w:szCs w:val="14"/>
                <w:color w:val="auto"/>
              </w:rPr>
              <w:t>Mortgage</w:t>
            </w:r>
          </w:p>
        </w:tc>
        <w:tc>
          <w:tcPr>
            <w:tcW w:w="840" w:type="dxa"/>
            <w:vAlign w:val="bottom"/>
          </w:tcPr>
          <w:p>
            <w:pPr>
              <w:jc w:val="right"/>
              <w:ind w:right="49"/>
              <w:spacing w:after="0" w:line="128" w:lineRule="exact"/>
              <w:rPr>
                <w:sz w:val="20"/>
                <w:szCs w:val="20"/>
                <w:color w:val="auto"/>
              </w:rPr>
            </w:pPr>
            <w:r>
              <w:rPr>
                <w:rFonts w:ascii="Arial" w:cs="Arial" w:eastAsia="Arial" w:hAnsi="Arial"/>
                <w:sz w:val="14"/>
                <w:szCs w:val="14"/>
                <w:color w:val="auto"/>
              </w:rPr>
              <w:t>15,539</w:t>
            </w:r>
          </w:p>
        </w:tc>
        <w:tc>
          <w:tcPr>
            <w:tcW w:w="720" w:type="dxa"/>
            <w:vAlign w:val="bottom"/>
          </w:tcPr>
          <w:p>
            <w:pPr>
              <w:jc w:val="right"/>
              <w:ind w:right="29"/>
              <w:spacing w:after="0" w:line="128" w:lineRule="exact"/>
              <w:rPr>
                <w:sz w:val="20"/>
                <w:szCs w:val="20"/>
                <w:color w:val="auto"/>
              </w:rPr>
            </w:pPr>
            <w:r>
              <w:rPr>
                <w:rFonts w:ascii="Arial" w:cs="Arial" w:eastAsia="Arial" w:hAnsi="Arial"/>
                <w:sz w:val="14"/>
                <w:szCs w:val="14"/>
                <w:color w:val="auto"/>
              </w:rPr>
              <w:t>16,905</w:t>
            </w:r>
          </w:p>
        </w:tc>
        <w:tc>
          <w:tcPr>
            <w:tcW w:w="740" w:type="dxa"/>
            <w:vAlign w:val="bottom"/>
          </w:tcPr>
          <w:p>
            <w:pPr>
              <w:jc w:val="right"/>
              <w:ind w:right="29"/>
              <w:spacing w:after="0" w:line="128" w:lineRule="exact"/>
              <w:rPr>
                <w:sz w:val="20"/>
                <w:szCs w:val="20"/>
                <w:color w:val="auto"/>
              </w:rPr>
            </w:pPr>
            <w:r>
              <w:rPr>
                <w:rFonts w:ascii="Arial" w:cs="Arial" w:eastAsia="Arial" w:hAnsi="Arial"/>
                <w:sz w:val="14"/>
                <w:szCs w:val="14"/>
                <w:color w:val="auto"/>
              </w:rPr>
              <w:t>16,939</w:t>
            </w:r>
          </w:p>
        </w:tc>
        <w:tc>
          <w:tcPr>
            <w:tcW w:w="1000" w:type="dxa"/>
            <w:vAlign w:val="bottom"/>
            <w:gridSpan w:val="2"/>
          </w:tcPr>
          <w:p>
            <w:pPr>
              <w:jc w:val="right"/>
              <w:ind w:right="80"/>
              <w:spacing w:after="0" w:line="128" w:lineRule="exact"/>
              <w:rPr>
                <w:sz w:val="20"/>
                <w:szCs w:val="20"/>
                <w:color w:val="auto"/>
              </w:rPr>
            </w:pPr>
            <w:r>
              <w:rPr>
                <w:rFonts w:ascii="Arial" w:cs="Arial" w:eastAsia="Arial" w:hAnsi="Arial"/>
                <w:sz w:val="14"/>
                <w:szCs w:val="14"/>
                <w:color w:val="auto"/>
              </w:rPr>
              <w:t>16,939</w:t>
            </w:r>
          </w:p>
        </w:tc>
        <w:tc>
          <w:tcPr>
            <w:tcW w:w="680" w:type="dxa"/>
            <w:vAlign w:val="bottom"/>
            <w:gridSpan w:val="2"/>
          </w:tcPr>
          <w:p>
            <w:pPr>
              <w:jc w:val="right"/>
              <w:ind w:right="80"/>
              <w:spacing w:after="0" w:line="128" w:lineRule="exact"/>
              <w:rPr>
                <w:sz w:val="20"/>
                <w:szCs w:val="20"/>
                <w:color w:val="auto"/>
              </w:rPr>
            </w:pPr>
            <w:r>
              <w:rPr>
                <w:rFonts w:ascii="Arial" w:cs="Arial" w:eastAsia="Arial" w:hAnsi="Arial"/>
                <w:sz w:val="14"/>
                <w:szCs w:val="14"/>
                <w:color w:val="auto"/>
              </w:rPr>
              <w:t>0.2%</w:t>
            </w:r>
          </w:p>
        </w:tc>
        <w:tc>
          <w:tcPr>
            <w:tcW w:w="640" w:type="dxa"/>
            <w:vAlign w:val="bottom"/>
            <w:gridSpan w:val="2"/>
          </w:tcPr>
          <w:p>
            <w:pPr>
              <w:jc w:val="right"/>
              <w:ind w:right="80"/>
              <w:spacing w:after="0" w:line="128" w:lineRule="exact"/>
              <w:rPr>
                <w:sz w:val="20"/>
                <w:szCs w:val="20"/>
                <w:color w:val="auto"/>
              </w:rPr>
            </w:pPr>
            <w:r>
              <w:rPr>
                <w:rFonts w:ascii="Arial" w:cs="Arial" w:eastAsia="Arial" w:hAnsi="Arial"/>
                <w:sz w:val="14"/>
                <w:szCs w:val="14"/>
                <w:color w:val="auto"/>
              </w:rPr>
              <w:t>9.0%</w:t>
            </w:r>
          </w:p>
        </w:tc>
        <w:tc>
          <w:tcPr>
            <w:tcW w:w="600" w:type="dxa"/>
            <w:vAlign w:val="bottom"/>
          </w:tcPr>
          <w:p>
            <w:pPr>
              <w:jc w:val="right"/>
              <w:spacing w:after="0" w:line="128" w:lineRule="exact"/>
              <w:rPr>
                <w:sz w:val="20"/>
                <w:szCs w:val="20"/>
                <w:color w:val="auto"/>
              </w:rPr>
            </w:pPr>
            <w:r>
              <w:rPr>
                <w:rFonts w:ascii="Arial" w:cs="Arial" w:eastAsia="Arial" w:hAnsi="Arial"/>
                <w:sz w:val="14"/>
                <w:szCs w:val="14"/>
                <w:color w:val="auto"/>
              </w:rPr>
              <w:t>0.2%</w:t>
            </w:r>
          </w:p>
        </w:tc>
        <w:tc>
          <w:tcPr>
            <w:tcW w:w="80" w:type="dxa"/>
            <w:vAlign w:val="bottom"/>
            <w:shd w:val="clear" w:color="auto" w:fill="BFD9F1"/>
          </w:tcPr>
          <w:p>
            <w:pPr>
              <w:spacing w:after="0"/>
              <w:rPr>
                <w:sz w:val="11"/>
                <w:szCs w:val="11"/>
                <w:color w:val="auto"/>
              </w:rPr>
            </w:pPr>
          </w:p>
        </w:tc>
        <w:tc>
          <w:tcPr>
            <w:tcW w:w="560" w:type="dxa"/>
            <w:vAlign w:val="bottom"/>
            <w:shd w:val="clear" w:color="auto" w:fill="BFD9F1"/>
          </w:tcPr>
          <w:p>
            <w:pPr>
              <w:jc w:val="right"/>
              <w:spacing w:after="0" w:line="128" w:lineRule="exact"/>
              <w:rPr>
                <w:sz w:val="20"/>
                <w:szCs w:val="20"/>
                <w:color w:val="auto"/>
              </w:rPr>
            </w:pPr>
            <w:r>
              <w:rPr>
                <w:rFonts w:ascii="Arial" w:cs="Arial" w:eastAsia="Arial" w:hAnsi="Arial"/>
                <w:sz w:val="14"/>
                <w:szCs w:val="14"/>
                <w:color w:val="auto"/>
              </w:rPr>
              <w:t>9.0%</w:t>
            </w:r>
          </w:p>
        </w:tc>
        <w:tc>
          <w:tcPr>
            <w:tcW w:w="100" w:type="dxa"/>
            <w:vAlign w:val="bottom"/>
          </w:tcPr>
          <w:p>
            <w:pPr>
              <w:spacing w:after="0"/>
              <w:rPr>
                <w:sz w:val="11"/>
                <w:szCs w:val="11"/>
                <w:color w:val="auto"/>
              </w:rPr>
            </w:pPr>
          </w:p>
        </w:tc>
        <w:tc>
          <w:tcPr>
            <w:tcW w:w="740" w:type="dxa"/>
            <w:vAlign w:val="bottom"/>
          </w:tcPr>
          <w:p>
            <w:pPr>
              <w:jc w:val="right"/>
              <w:ind w:right="29"/>
              <w:spacing w:after="0" w:line="128" w:lineRule="exact"/>
              <w:rPr>
                <w:sz w:val="20"/>
                <w:szCs w:val="20"/>
                <w:color w:val="auto"/>
              </w:rPr>
            </w:pPr>
            <w:r>
              <w:rPr>
                <w:rFonts w:ascii="Arial" w:cs="Arial" w:eastAsia="Arial" w:hAnsi="Arial"/>
                <w:sz w:val="14"/>
                <w:szCs w:val="14"/>
                <w:color w:val="auto"/>
              </w:rPr>
              <w:t>14.2%</w:t>
            </w:r>
          </w:p>
        </w:tc>
        <w:tc>
          <w:tcPr>
            <w:tcW w:w="760" w:type="dxa"/>
            <w:vAlign w:val="bottom"/>
          </w:tcPr>
          <w:p>
            <w:pPr>
              <w:jc w:val="right"/>
              <w:ind w:right="49"/>
              <w:spacing w:after="0" w:line="128" w:lineRule="exact"/>
              <w:rPr>
                <w:sz w:val="20"/>
                <w:szCs w:val="20"/>
                <w:color w:val="auto"/>
              </w:rPr>
            </w:pPr>
            <w:r>
              <w:rPr>
                <w:rFonts w:ascii="Arial" w:cs="Arial" w:eastAsia="Arial" w:hAnsi="Arial"/>
                <w:sz w:val="14"/>
                <w:szCs w:val="14"/>
                <w:color w:val="auto"/>
              </w:rPr>
              <w:t>14.6%</w:t>
            </w:r>
          </w:p>
        </w:tc>
        <w:tc>
          <w:tcPr>
            <w:tcW w:w="740" w:type="dxa"/>
            <w:vAlign w:val="bottom"/>
          </w:tcPr>
          <w:p>
            <w:pPr>
              <w:jc w:val="right"/>
              <w:ind w:right="29"/>
              <w:spacing w:after="0" w:line="128" w:lineRule="exact"/>
              <w:rPr>
                <w:sz w:val="20"/>
                <w:szCs w:val="20"/>
                <w:color w:val="auto"/>
              </w:rPr>
            </w:pPr>
            <w:r>
              <w:rPr>
                <w:rFonts w:ascii="Arial" w:cs="Arial" w:eastAsia="Arial" w:hAnsi="Arial"/>
                <w:sz w:val="14"/>
                <w:szCs w:val="14"/>
                <w:color w:val="auto"/>
              </w:rPr>
              <w:t>13.3%</w:t>
            </w:r>
          </w:p>
        </w:tc>
        <w:tc>
          <w:tcPr>
            <w:tcW w:w="920" w:type="dxa"/>
            <w:vAlign w:val="bottom"/>
          </w:tcPr>
          <w:p>
            <w:pPr>
              <w:jc w:val="right"/>
              <w:spacing w:after="0" w:line="128"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Consumer</w:t>
            </w: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7,878</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8,984</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9,118</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9,118</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15.7%</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BFD9F1"/>
          </w:tcPr>
          <w:p>
            <w:pPr>
              <w:spacing w:after="0"/>
              <w:rPr>
                <w:sz w:val="14"/>
                <w:szCs w:val="14"/>
                <w:color w:val="auto"/>
              </w:rPr>
            </w:pPr>
          </w:p>
        </w:tc>
        <w:tc>
          <w:tcPr>
            <w:tcW w:w="560" w:type="dxa"/>
            <w:vAlign w:val="bottom"/>
            <w:shd w:val="clear" w:color="auto" w:fill="BFD9F1"/>
          </w:tcPr>
          <w:p>
            <w:pPr>
              <w:jc w:val="right"/>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7.2%</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7.8%</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7.1%</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7"/>
        </w:trPr>
        <w:tc>
          <w:tcPr>
            <w:tcW w:w="2120" w:type="dxa"/>
            <w:vAlign w:val="bottom"/>
          </w:tcPr>
          <w:p>
            <w:pPr>
              <w:ind w:left="320"/>
              <w:spacing w:after="0" w:line="147" w:lineRule="exact"/>
              <w:rPr>
                <w:sz w:val="20"/>
                <w:szCs w:val="20"/>
                <w:color w:val="auto"/>
              </w:rPr>
            </w:pPr>
            <w:r>
              <w:rPr>
                <w:rFonts w:ascii="Arial" w:cs="Arial" w:eastAsia="Arial" w:hAnsi="Arial"/>
                <w:sz w:val="14"/>
                <w:szCs w:val="14"/>
                <w:color w:val="auto"/>
              </w:rPr>
              <w:t>Credit Card</w:t>
            </w:r>
          </w:p>
        </w:tc>
        <w:tc>
          <w:tcPr>
            <w:tcW w:w="840" w:type="dxa"/>
            <w:vAlign w:val="bottom"/>
          </w:tcPr>
          <w:p>
            <w:pPr>
              <w:jc w:val="right"/>
              <w:ind w:right="49"/>
              <w:spacing w:after="0" w:line="147" w:lineRule="exact"/>
              <w:rPr>
                <w:sz w:val="20"/>
                <w:szCs w:val="20"/>
                <w:color w:val="auto"/>
              </w:rPr>
            </w:pPr>
            <w:r>
              <w:rPr>
                <w:rFonts w:ascii="Arial" w:cs="Arial" w:eastAsia="Arial" w:hAnsi="Arial"/>
                <w:sz w:val="14"/>
                <w:szCs w:val="14"/>
                <w:color w:val="auto"/>
              </w:rPr>
              <w:t>5,433</w:t>
            </w:r>
          </w:p>
        </w:tc>
        <w:tc>
          <w:tcPr>
            <w:tcW w:w="720" w:type="dxa"/>
            <w:vAlign w:val="bottom"/>
          </w:tcPr>
          <w:p>
            <w:pPr>
              <w:jc w:val="right"/>
              <w:ind w:right="29"/>
              <w:spacing w:after="0" w:line="147" w:lineRule="exact"/>
              <w:rPr>
                <w:sz w:val="20"/>
                <w:szCs w:val="20"/>
                <w:color w:val="auto"/>
              </w:rPr>
            </w:pPr>
            <w:r>
              <w:rPr>
                <w:rFonts w:ascii="Arial" w:cs="Arial" w:eastAsia="Arial" w:hAnsi="Arial"/>
                <w:sz w:val="14"/>
                <w:szCs w:val="14"/>
                <w:color w:val="auto"/>
              </w:rPr>
              <w:t>5,750</w:t>
            </w:r>
          </w:p>
        </w:tc>
        <w:tc>
          <w:tcPr>
            <w:tcW w:w="740" w:type="dxa"/>
            <w:vAlign w:val="bottom"/>
          </w:tcPr>
          <w:p>
            <w:pPr>
              <w:jc w:val="right"/>
              <w:ind w:right="29"/>
              <w:spacing w:after="0" w:line="147" w:lineRule="exact"/>
              <w:rPr>
                <w:sz w:val="20"/>
                <w:szCs w:val="20"/>
                <w:color w:val="auto"/>
              </w:rPr>
            </w:pPr>
            <w:r>
              <w:rPr>
                <w:rFonts w:ascii="Arial" w:cs="Arial" w:eastAsia="Arial" w:hAnsi="Arial"/>
                <w:sz w:val="14"/>
                <w:szCs w:val="14"/>
                <w:color w:val="auto"/>
              </w:rPr>
              <w:t>5,153</w:t>
            </w: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5,153</w:t>
            </w:r>
          </w:p>
        </w:tc>
        <w:tc>
          <w:tcPr>
            <w:tcW w:w="80" w:type="dxa"/>
            <w:vAlign w:val="bottom"/>
            <w:shd w:val="clear" w:color="auto" w:fill="FCD5B4"/>
          </w:tcPr>
          <w:p>
            <w:pPr>
              <w:spacing w:after="0"/>
              <w:rPr>
                <w:sz w:val="12"/>
                <w:szCs w:val="12"/>
                <w:color w:val="auto"/>
              </w:rPr>
            </w:pPr>
          </w:p>
        </w:tc>
        <w:tc>
          <w:tcPr>
            <w:tcW w:w="680" w:type="dxa"/>
            <w:vAlign w:val="bottom"/>
            <w:gridSpan w:val="2"/>
            <w:shd w:val="clear" w:color="auto" w:fill="FCD5B4"/>
          </w:tcPr>
          <w:p>
            <w:pPr>
              <w:jc w:val="right"/>
              <w:ind w:right="80"/>
              <w:spacing w:after="0" w:line="147" w:lineRule="exact"/>
              <w:rPr>
                <w:sz w:val="20"/>
                <w:szCs w:val="20"/>
                <w:color w:val="auto"/>
              </w:rPr>
            </w:pPr>
            <w:r>
              <w:rPr>
                <w:rFonts w:ascii="Arial" w:cs="Arial" w:eastAsia="Arial" w:hAnsi="Arial"/>
                <w:sz w:val="14"/>
                <w:szCs w:val="14"/>
                <w:color w:val="auto"/>
              </w:rPr>
              <w:t>-10.4%</w:t>
            </w:r>
          </w:p>
        </w:tc>
        <w:tc>
          <w:tcPr>
            <w:tcW w:w="640" w:type="dxa"/>
            <w:vAlign w:val="bottom"/>
            <w:gridSpan w:val="2"/>
            <w:shd w:val="clear" w:color="auto" w:fill="FCD5B4"/>
          </w:tcPr>
          <w:p>
            <w:pPr>
              <w:jc w:val="right"/>
              <w:ind w:right="80"/>
              <w:spacing w:after="0" w:line="147" w:lineRule="exact"/>
              <w:rPr>
                <w:sz w:val="20"/>
                <w:szCs w:val="20"/>
                <w:color w:val="auto"/>
              </w:rPr>
            </w:pPr>
            <w:r>
              <w:rPr>
                <w:rFonts w:ascii="Arial" w:cs="Arial" w:eastAsia="Arial" w:hAnsi="Arial"/>
                <w:sz w:val="14"/>
                <w:szCs w:val="14"/>
                <w:color w:val="auto"/>
              </w:rPr>
              <w:t>-5.2%</w:t>
            </w:r>
          </w:p>
        </w:tc>
        <w:tc>
          <w:tcPr>
            <w:tcW w:w="680" w:type="dxa"/>
            <w:vAlign w:val="bottom"/>
            <w:gridSpan w:val="2"/>
            <w:shd w:val="clear" w:color="auto" w:fill="FCD5B4"/>
          </w:tcPr>
          <w:p>
            <w:pPr>
              <w:jc w:val="right"/>
              <w:ind w:right="80"/>
              <w:spacing w:after="0" w:line="147" w:lineRule="exact"/>
              <w:rPr>
                <w:sz w:val="20"/>
                <w:szCs w:val="20"/>
                <w:color w:val="auto"/>
              </w:rPr>
            </w:pPr>
            <w:r>
              <w:rPr>
                <w:rFonts w:ascii="Arial" w:cs="Arial" w:eastAsia="Arial" w:hAnsi="Arial"/>
                <w:sz w:val="14"/>
                <w:szCs w:val="14"/>
                <w:color w:val="auto"/>
              </w:rPr>
              <w:t>-10.4%</w:t>
            </w:r>
          </w:p>
        </w:tc>
        <w:tc>
          <w:tcPr>
            <w:tcW w:w="560" w:type="dxa"/>
            <w:vAlign w:val="bottom"/>
            <w:shd w:val="clear" w:color="auto" w:fill="FCD5B4"/>
          </w:tcPr>
          <w:p>
            <w:pPr>
              <w:jc w:val="right"/>
              <w:spacing w:after="0" w:line="147" w:lineRule="exact"/>
              <w:rPr>
                <w:sz w:val="20"/>
                <w:szCs w:val="20"/>
                <w:color w:val="auto"/>
              </w:rPr>
            </w:pPr>
            <w:r>
              <w:rPr>
                <w:rFonts w:ascii="Arial" w:cs="Arial" w:eastAsia="Arial" w:hAnsi="Arial"/>
                <w:sz w:val="14"/>
                <w:szCs w:val="14"/>
                <w:color w:val="auto"/>
              </w:rPr>
              <w:t>-5.2%</w:t>
            </w:r>
          </w:p>
        </w:tc>
        <w:tc>
          <w:tcPr>
            <w:tcW w:w="100" w:type="dxa"/>
            <w:vAlign w:val="bottom"/>
          </w:tcPr>
          <w:p>
            <w:pPr>
              <w:spacing w:after="0"/>
              <w:rPr>
                <w:sz w:val="12"/>
                <w:szCs w:val="12"/>
                <w:color w:val="auto"/>
              </w:rPr>
            </w:pPr>
          </w:p>
        </w:tc>
        <w:tc>
          <w:tcPr>
            <w:tcW w:w="740" w:type="dxa"/>
            <w:vAlign w:val="bottom"/>
          </w:tcPr>
          <w:p>
            <w:pPr>
              <w:jc w:val="right"/>
              <w:ind w:right="29"/>
              <w:spacing w:after="0" w:line="147" w:lineRule="exact"/>
              <w:rPr>
                <w:sz w:val="20"/>
                <w:szCs w:val="20"/>
                <w:color w:val="auto"/>
              </w:rPr>
            </w:pPr>
            <w:r>
              <w:rPr>
                <w:rFonts w:ascii="Arial" w:cs="Arial" w:eastAsia="Arial" w:hAnsi="Arial"/>
                <w:sz w:val="14"/>
                <w:szCs w:val="14"/>
                <w:color w:val="auto"/>
              </w:rPr>
              <w:t>5.0%</w:t>
            </w:r>
          </w:p>
        </w:tc>
        <w:tc>
          <w:tcPr>
            <w:tcW w:w="760" w:type="dxa"/>
            <w:vAlign w:val="bottom"/>
          </w:tcPr>
          <w:p>
            <w:pPr>
              <w:jc w:val="right"/>
              <w:ind w:right="49"/>
              <w:spacing w:after="0" w:line="147" w:lineRule="exact"/>
              <w:rPr>
                <w:sz w:val="20"/>
                <w:szCs w:val="20"/>
                <w:color w:val="auto"/>
              </w:rPr>
            </w:pPr>
            <w:r>
              <w:rPr>
                <w:rFonts w:ascii="Arial" w:cs="Arial" w:eastAsia="Arial" w:hAnsi="Arial"/>
                <w:sz w:val="14"/>
                <w:szCs w:val="14"/>
                <w:color w:val="auto"/>
              </w:rPr>
              <w:t>5.0%</w:t>
            </w:r>
          </w:p>
        </w:tc>
        <w:tc>
          <w:tcPr>
            <w:tcW w:w="740" w:type="dxa"/>
            <w:vAlign w:val="bottom"/>
          </w:tcPr>
          <w:p>
            <w:pPr>
              <w:jc w:val="right"/>
              <w:ind w:right="29"/>
              <w:spacing w:after="0" w:line="147" w:lineRule="exact"/>
              <w:rPr>
                <w:sz w:val="20"/>
                <w:szCs w:val="20"/>
                <w:color w:val="auto"/>
              </w:rPr>
            </w:pPr>
            <w:r>
              <w:rPr>
                <w:rFonts w:ascii="Arial" w:cs="Arial" w:eastAsia="Arial" w:hAnsi="Arial"/>
                <w:sz w:val="14"/>
                <w:szCs w:val="14"/>
                <w:color w:val="auto"/>
              </w:rPr>
              <w:t>4.0%</w:t>
            </w: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7"/>
        </w:trPr>
        <w:tc>
          <w:tcPr>
            <w:tcW w:w="212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Mibanco</w:t>
            </w:r>
          </w:p>
        </w:tc>
        <w:tc>
          <w:tcPr>
            <w:tcW w:w="840" w:type="dxa"/>
            <w:vAlign w:val="bottom"/>
            <w:shd w:val="clear" w:color="auto" w:fill="CCEEFF"/>
          </w:tcPr>
          <w:p>
            <w:pPr>
              <w:jc w:val="right"/>
              <w:ind w:right="49"/>
              <w:spacing w:after="0" w:line="147" w:lineRule="exact"/>
              <w:rPr>
                <w:sz w:val="20"/>
                <w:szCs w:val="20"/>
                <w:color w:val="auto"/>
              </w:rPr>
            </w:pPr>
            <w:r>
              <w:rPr>
                <w:rFonts w:ascii="Arial" w:cs="Arial" w:eastAsia="Arial" w:hAnsi="Arial"/>
                <w:sz w:val="14"/>
                <w:szCs w:val="14"/>
                <w:b w:val="1"/>
                <w:bCs w:val="1"/>
                <w:color w:val="auto"/>
              </w:rPr>
              <w:t>10,031</w:t>
            </w:r>
          </w:p>
        </w:tc>
        <w:tc>
          <w:tcPr>
            <w:tcW w:w="72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b w:val="1"/>
                <w:bCs w:val="1"/>
                <w:color w:val="auto"/>
              </w:rPr>
              <w:t>10,629</w:t>
            </w:r>
          </w:p>
        </w:tc>
        <w:tc>
          <w:tcPr>
            <w:tcW w:w="74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b w:val="1"/>
                <w:bCs w:val="1"/>
                <w:color w:val="auto"/>
              </w:rPr>
              <w:t>10,823</w:t>
            </w:r>
          </w:p>
        </w:tc>
        <w:tc>
          <w:tcPr>
            <w:tcW w:w="10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b w:val="1"/>
                <w:bCs w:val="1"/>
                <w:color w:val="auto"/>
              </w:rPr>
              <w:t>10,635</w:t>
            </w:r>
          </w:p>
        </w:tc>
        <w:tc>
          <w:tcPr>
            <w:tcW w:w="6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b w:val="1"/>
                <w:bCs w:val="1"/>
                <w:color w:val="auto"/>
              </w:rPr>
              <w:t>1.8%</w:t>
            </w:r>
          </w:p>
        </w:tc>
        <w:tc>
          <w:tcPr>
            <w:tcW w:w="64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b w:val="1"/>
                <w:bCs w:val="1"/>
                <w:color w:val="auto"/>
              </w:rPr>
              <w:t>7.9%</w:t>
            </w:r>
          </w:p>
        </w:tc>
        <w:tc>
          <w:tcPr>
            <w:tcW w:w="6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b w:val="1"/>
                <w:bCs w:val="1"/>
                <w:color w:val="auto"/>
              </w:rPr>
              <w:t>0.1%</w:t>
            </w:r>
          </w:p>
        </w:tc>
        <w:tc>
          <w:tcPr>
            <w:tcW w:w="6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b w:val="1"/>
                <w:bCs w:val="1"/>
                <w:color w:val="auto"/>
              </w:rPr>
              <w:t>6.0%</w:t>
            </w:r>
          </w:p>
        </w:tc>
        <w:tc>
          <w:tcPr>
            <w:tcW w:w="74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b w:val="1"/>
                <w:bCs w:val="1"/>
                <w:color w:val="auto"/>
              </w:rPr>
              <w:t>9.2%</w:t>
            </w:r>
          </w:p>
        </w:tc>
        <w:tc>
          <w:tcPr>
            <w:tcW w:w="760" w:type="dxa"/>
            <w:vAlign w:val="bottom"/>
            <w:shd w:val="clear" w:color="auto" w:fill="CCEEFF"/>
          </w:tcPr>
          <w:p>
            <w:pPr>
              <w:jc w:val="right"/>
              <w:ind w:right="49"/>
              <w:spacing w:after="0" w:line="147" w:lineRule="exact"/>
              <w:rPr>
                <w:sz w:val="20"/>
                <w:szCs w:val="20"/>
                <w:color w:val="auto"/>
              </w:rPr>
            </w:pPr>
            <w:r>
              <w:rPr>
                <w:rFonts w:ascii="Arial" w:cs="Arial" w:eastAsia="Arial" w:hAnsi="Arial"/>
                <w:sz w:val="14"/>
                <w:szCs w:val="14"/>
                <w:b w:val="1"/>
                <w:bCs w:val="1"/>
                <w:color w:val="auto"/>
              </w:rPr>
              <w:t>9.2%</w:t>
            </w:r>
          </w:p>
        </w:tc>
        <w:tc>
          <w:tcPr>
            <w:tcW w:w="74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b w:val="1"/>
                <w:bCs w:val="1"/>
                <w:color w:val="auto"/>
              </w:rPr>
              <w:t>8.5%</w:t>
            </w: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r>
        <w:trPr>
          <w:trHeight w:val="147"/>
        </w:trPr>
        <w:tc>
          <w:tcPr>
            <w:tcW w:w="2120" w:type="dxa"/>
            <w:vAlign w:val="bottom"/>
          </w:tcPr>
          <w:p>
            <w:pPr>
              <w:spacing w:after="0" w:line="147" w:lineRule="exact"/>
              <w:rPr>
                <w:sz w:val="20"/>
                <w:szCs w:val="20"/>
                <w:color w:val="auto"/>
              </w:rPr>
            </w:pPr>
            <w:r>
              <w:rPr>
                <w:rFonts w:ascii="Arial" w:cs="Arial" w:eastAsia="Arial" w:hAnsi="Arial"/>
                <w:sz w:val="14"/>
                <w:szCs w:val="14"/>
                <w:b w:val="1"/>
                <w:bCs w:val="1"/>
                <w:color w:val="auto"/>
              </w:rPr>
              <w:t>Bolivia</w:t>
            </w:r>
          </w:p>
        </w:tc>
        <w:tc>
          <w:tcPr>
            <w:tcW w:w="840" w:type="dxa"/>
            <w:vAlign w:val="bottom"/>
          </w:tcPr>
          <w:p>
            <w:pPr>
              <w:jc w:val="right"/>
              <w:ind w:right="49"/>
              <w:spacing w:after="0" w:line="147" w:lineRule="exact"/>
              <w:rPr>
                <w:sz w:val="20"/>
                <w:szCs w:val="20"/>
                <w:color w:val="auto"/>
              </w:rPr>
            </w:pPr>
            <w:r>
              <w:rPr>
                <w:rFonts w:ascii="Arial" w:cs="Arial" w:eastAsia="Arial" w:hAnsi="Arial"/>
                <w:sz w:val="14"/>
                <w:szCs w:val="14"/>
                <w:b w:val="1"/>
                <w:bCs w:val="1"/>
                <w:color w:val="auto"/>
              </w:rPr>
              <w:t>7,244</w:t>
            </w:r>
          </w:p>
        </w:tc>
        <w:tc>
          <w:tcPr>
            <w:tcW w:w="720" w:type="dxa"/>
            <w:vAlign w:val="bottom"/>
          </w:tcPr>
          <w:p>
            <w:pPr>
              <w:jc w:val="right"/>
              <w:ind w:right="29"/>
              <w:spacing w:after="0" w:line="147" w:lineRule="exact"/>
              <w:rPr>
                <w:sz w:val="20"/>
                <w:szCs w:val="20"/>
                <w:color w:val="auto"/>
              </w:rPr>
            </w:pPr>
            <w:r>
              <w:rPr>
                <w:rFonts w:ascii="Arial" w:cs="Arial" w:eastAsia="Arial" w:hAnsi="Arial"/>
                <w:sz w:val="14"/>
                <w:szCs w:val="14"/>
                <w:b w:val="1"/>
                <w:bCs w:val="1"/>
                <w:color w:val="auto"/>
              </w:rPr>
              <w:t>7,686</w:t>
            </w:r>
          </w:p>
        </w:tc>
        <w:tc>
          <w:tcPr>
            <w:tcW w:w="740" w:type="dxa"/>
            <w:vAlign w:val="bottom"/>
          </w:tcPr>
          <w:p>
            <w:pPr>
              <w:jc w:val="right"/>
              <w:ind w:right="29"/>
              <w:spacing w:after="0" w:line="147" w:lineRule="exact"/>
              <w:rPr>
                <w:sz w:val="20"/>
                <w:szCs w:val="20"/>
                <w:color w:val="auto"/>
              </w:rPr>
            </w:pPr>
            <w:r>
              <w:rPr>
                <w:rFonts w:ascii="Arial" w:cs="Arial" w:eastAsia="Arial" w:hAnsi="Arial"/>
                <w:sz w:val="14"/>
                <w:szCs w:val="14"/>
                <w:b w:val="1"/>
                <w:bCs w:val="1"/>
                <w:color w:val="auto"/>
              </w:rPr>
              <w:t>7,902</w:t>
            </w:r>
          </w:p>
        </w:tc>
        <w:tc>
          <w:tcPr>
            <w:tcW w:w="1000" w:type="dxa"/>
            <w:vAlign w:val="bottom"/>
            <w:gridSpan w:val="2"/>
          </w:tcPr>
          <w:p>
            <w:pPr>
              <w:jc w:val="right"/>
              <w:ind w:right="80"/>
              <w:spacing w:after="0" w:line="147" w:lineRule="exact"/>
              <w:rPr>
                <w:sz w:val="20"/>
                <w:szCs w:val="20"/>
                <w:color w:val="auto"/>
              </w:rPr>
            </w:pPr>
            <w:r>
              <w:rPr>
                <w:rFonts w:ascii="Arial" w:cs="Arial" w:eastAsia="Arial" w:hAnsi="Arial"/>
                <w:sz w:val="14"/>
                <w:szCs w:val="14"/>
                <w:b w:val="1"/>
                <w:bCs w:val="1"/>
                <w:color w:val="auto"/>
              </w:rPr>
              <w:t>7,902</w:t>
            </w:r>
          </w:p>
        </w:tc>
        <w:tc>
          <w:tcPr>
            <w:tcW w:w="680" w:type="dxa"/>
            <w:vAlign w:val="bottom"/>
            <w:gridSpan w:val="2"/>
          </w:tcPr>
          <w:p>
            <w:pPr>
              <w:jc w:val="right"/>
              <w:ind w:right="80"/>
              <w:spacing w:after="0" w:line="147" w:lineRule="exact"/>
              <w:rPr>
                <w:sz w:val="20"/>
                <w:szCs w:val="20"/>
                <w:color w:val="auto"/>
              </w:rPr>
            </w:pPr>
            <w:r>
              <w:rPr>
                <w:rFonts w:ascii="Arial" w:cs="Arial" w:eastAsia="Arial" w:hAnsi="Arial"/>
                <w:sz w:val="14"/>
                <w:szCs w:val="14"/>
                <w:b w:val="1"/>
                <w:bCs w:val="1"/>
                <w:color w:val="auto"/>
              </w:rPr>
              <w:t>2.8%</w:t>
            </w:r>
          </w:p>
        </w:tc>
        <w:tc>
          <w:tcPr>
            <w:tcW w:w="640" w:type="dxa"/>
            <w:vAlign w:val="bottom"/>
            <w:gridSpan w:val="2"/>
          </w:tcPr>
          <w:p>
            <w:pPr>
              <w:jc w:val="right"/>
              <w:ind w:right="80"/>
              <w:spacing w:after="0" w:line="147" w:lineRule="exact"/>
              <w:rPr>
                <w:sz w:val="20"/>
                <w:szCs w:val="20"/>
                <w:color w:val="auto"/>
              </w:rPr>
            </w:pPr>
            <w:r>
              <w:rPr>
                <w:rFonts w:ascii="Arial" w:cs="Arial" w:eastAsia="Arial" w:hAnsi="Arial"/>
                <w:sz w:val="14"/>
                <w:szCs w:val="14"/>
                <w:b w:val="1"/>
                <w:bCs w:val="1"/>
                <w:color w:val="auto"/>
              </w:rPr>
              <w:t>9.1%</w:t>
            </w:r>
          </w:p>
        </w:tc>
        <w:tc>
          <w:tcPr>
            <w:tcW w:w="680" w:type="dxa"/>
            <w:vAlign w:val="bottom"/>
            <w:gridSpan w:val="2"/>
          </w:tcPr>
          <w:p>
            <w:pPr>
              <w:jc w:val="right"/>
              <w:ind w:right="80"/>
              <w:spacing w:after="0" w:line="147" w:lineRule="exact"/>
              <w:rPr>
                <w:sz w:val="20"/>
                <w:szCs w:val="20"/>
                <w:color w:val="auto"/>
              </w:rPr>
            </w:pPr>
            <w:r>
              <w:rPr>
                <w:rFonts w:ascii="Arial" w:cs="Arial" w:eastAsia="Arial" w:hAnsi="Arial"/>
                <w:sz w:val="14"/>
                <w:szCs w:val="14"/>
                <w:b w:val="1"/>
                <w:bCs w:val="1"/>
                <w:color w:val="auto"/>
              </w:rPr>
              <w:t>2.8%</w:t>
            </w:r>
          </w:p>
        </w:tc>
        <w:tc>
          <w:tcPr>
            <w:tcW w:w="660" w:type="dxa"/>
            <w:vAlign w:val="bottom"/>
            <w:gridSpan w:val="2"/>
          </w:tcPr>
          <w:p>
            <w:pPr>
              <w:jc w:val="right"/>
              <w:ind w:right="100"/>
              <w:spacing w:after="0" w:line="147" w:lineRule="exact"/>
              <w:rPr>
                <w:sz w:val="20"/>
                <w:szCs w:val="20"/>
                <w:color w:val="auto"/>
              </w:rPr>
            </w:pPr>
            <w:r>
              <w:rPr>
                <w:rFonts w:ascii="Arial" w:cs="Arial" w:eastAsia="Arial" w:hAnsi="Arial"/>
                <w:sz w:val="14"/>
                <w:szCs w:val="14"/>
                <w:b w:val="1"/>
                <w:bCs w:val="1"/>
                <w:color w:val="auto"/>
              </w:rPr>
              <w:t>9.1%</w:t>
            </w:r>
          </w:p>
        </w:tc>
        <w:tc>
          <w:tcPr>
            <w:tcW w:w="740" w:type="dxa"/>
            <w:vAlign w:val="bottom"/>
          </w:tcPr>
          <w:p>
            <w:pPr>
              <w:jc w:val="right"/>
              <w:ind w:right="29"/>
              <w:spacing w:after="0" w:line="147" w:lineRule="exact"/>
              <w:rPr>
                <w:sz w:val="20"/>
                <w:szCs w:val="20"/>
                <w:color w:val="auto"/>
              </w:rPr>
            </w:pPr>
            <w:r>
              <w:rPr>
                <w:rFonts w:ascii="Arial" w:cs="Arial" w:eastAsia="Arial" w:hAnsi="Arial"/>
                <w:sz w:val="14"/>
                <w:szCs w:val="14"/>
                <w:b w:val="1"/>
                <w:bCs w:val="1"/>
                <w:color w:val="auto"/>
              </w:rPr>
              <w:t>6.6%</w:t>
            </w:r>
          </w:p>
        </w:tc>
        <w:tc>
          <w:tcPr>
            <w:tcW w:w="760" w:type="dxa"/>
            <w:vAlign w:val="bottom"/>
          </w:tcPr>
          <w:p>
            <w:pPr>
              <w:jc w:val="right"/>
              <w:ind w:right="49"/>
              <w:spacing w:after="0" w:line="147" w:lineRule="exact"/>
              <w:rPr>
                <w:sz w:val="20"/>
                <w:szCs w:val="20"/>
                <w:color w:val="auto"/>
              </w:rPr>
            </w:pPr>
            <w:r>
              <w:rPr>
                <w:rFonts w:ascii="Arial" w:cs="Arial" w:eastAsia="Arial" w:hAnsi="Arial"/>
                <w:sz w:val="14"/>
                <w:szCs w:val="14"/>
                <w:b w:val="1"/>
                <w:bCs w:val="1"/>
                <w:color w:val="auto"/>
              </w:rPr>
              <w:t>6.6%</w:t>
            </w:r>
          </w:p>
        </w:tc>
        <w:tc>
          <w:tcPr>
            <w:tcW w:w="740" w:type="dxa"/>
            <w:vAlign w:val="bottom"/>
          </w:tcPr>
          <w:p>
            <w:pPr>
              <w:jc w:val="right"/>
              <w:ind w:right="29"/>
              <w:spacing w:after="0" w:line="147" w:lineRule="exact"/>
              <w:rPr>
                <w:sz w:val="20"/>
                <w:szCs w:val="20"/>
                <w:color w:val="auto"/>
              </w:rPr>
            </w:pPr>
            <w:r>
              <w:rPr>
                <w:rFonts w:ascii="Arial" w:cs="Arial" w:eastAsia="Arial" w:hAnsi="Arial"/>
                <w:sz w:val="14"/>
                <w:szCs w:val="14"/>
                <w:b w:val="1"/>
                <w:bCs w:val="1"/>
                <w:color w:val="auto"/>
              </w:rPr>
              <w:t>6.2%</w:t>
            </w:r>
          </w:p>
        </w:tc>
        <w:tc>
          <w:tcPr>
            <w:tcW w:w="92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6.6%</w:t>
            </w:r>
          </w:p>
        </w:tc>
        <w:tc>
          <w:tcPr>
            <w:tcW w:w="0" w:type="dxa"/>
            <w:vAlign w:val="bottom"/>
          </w:tcPr>
          <w:p>
            <w:pPr>
              <w:spacing w:after="0"/>
              <w:rPr>
                <w:sz w:val="1"/>
                <w:szCs w:val="1"/>
                <w:color w:val="auto"/>
              </w:rPr>
            </w:pPr>
          </w:p>
        </w:tc>
      </w:tr>
      <w:tr>
        <w:trPr>
          <w:trHeight w:val="147"/>
        </w:trPr>
        <w:tc>
          <w:tcPr>
            <w:tcW w:w="212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ASB</w:t>
            </w:r>
          </w:p>
        </w:tc>
        <w:tc>
          <w:tcPr>
            <w:tcW w:w="840" w:type="dxa"/>
            <w:vAlign w:val="bottom"/>
            <w:shd w:val="clear" w:color="auto" w:fill="CCEEFF"/>
          </w:tcPr>
          <w:p>
            <w:pPr>
              <w:jc w:val="right"/>
              <w:ind w:right="49"/>
              <w:spacing w:after="0" w:line="147" w:lineRule="exact"/>
              <w:rPr>
                <w:sz w:val="20"/>
                <w:szCs w:val="20"/>
                <w:color w:val="auto"/>
              </w:rPr>
            </w:pPr>
            <w:r>
              <w:rPr>
                <w:rFonts w:ascii="Arial" w:cs="Arial" w:eastAsia="Arial" w:hAnsi="Arial"/>
                <w:sz w:val="14"/>
                <w:szCs w:val="14"/>
                <w:b w:val="1"/>
                <w:bCs w:val="1"/>
                <w:color w:val="auto"/>
              </w:rPr>
              <w:t>2,530</w:t>
            </w:r>
          </w:p>
        </w:tc>
        <w:tc>
          <w:tcPr>
            <w:tcW w:w="72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b w:val="1"/>
                <w:bCs w:val="1"/>
                <w:color w:val="auto"/>
              </w:rPr>
              <w:t>2,415</w:t>
            </w:r>
          </w:p>
        </w:tc>
        <w:tc>
          <w:tcPr>
            <w:tcW w:w="74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b w:val="1"/>
                <w:bCs w:val="1"/>
                <w:color w:val="auto"/>
              </w:rPr>
              <w:t>2,443</w:t>
            </w:r>
          </w:p>
        </w:tc>
        <w:tc>
          <w:tcPr>
            <w:tcW w:w="10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b w:val="1"/>
                <w:bCs w:val="1"/>
                <w:color w:val="auto"/>
              </w:rPr>
              <w:t>2,443</w:t>
            </w: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b w:val="1"/>
                <w:bCs w:val="1"/>
                <w:color w:val="auto"/>
              </w:rPr>
              <w:t>1.2%</w:t>
            </w:r>
          </w:p>
        </w:tc>
        <w:tc>
          <w:tcPr>
            <w:tcW w:w="80" w:type="dxa"/>
            <w:vAlign w:val="bottom"/>
            <w:shd w:val="clear" w:color="auto" w:fill="FCD5B4"/>
          </w:tcPr>
          <w:p>
            <w:pPr>
              <w:spacing w:after="0"/>
              <w:rPr>
                <w:sz w:val="12"/>
                <w:szCs w:val="12"/>
                <w:color w:val="auto"/>
              </w:rPr>
            </w:pPr>
          </w:p>
        </w:tc>
        <w:tc>
          <w:tcPr>
            <w:tcW w:w="560" w:type="dxa"/>
            <w:vAlign w:val="bottom"/>
            <w:shd w:val="clear" w:color="auto" w:fill="FCD5B4"/>
          </w:tcPr>
          <w:p>
            <w:pPr>
              <w:jc w:val="right"/>
              <w:spacing w:after="0" w:line="147" w:lineRule="exact"/>
              <w:rPr>
                <w:sz w:val="20"/>
                <w:szCs w:val="20"/>
                <w:color w:val="auto"/>
              </w:rPr>
            </w:pPr>
            <w:r>
              <w:rPr>
                <w:rFonts w:ascii="Arial" w:cs="Arial" w:eastAsia="Arial" w:hAnsi="Arial"/>
                <w:sz w:val="14"/>
                <w:szCs w:val="14"/>
                <w:b w:val="1"/>
                <w:bCs w:val="1"/>
                <w:color w:val="auto"/>
              </w:rPr>
              <w:t>-3.4%</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b w:val="1"/>
                <w:bCs w:val="1"/>
                <w:color w:val="auto"/>
              </w:rPr>
              <w:t>1.2%</w:t>
            </w:r>
          </w:p>
        </w:tc>
        <w:tc>
          <w:tcPr>
            <w:tcW w:w="80" w:type="dxa"/>
            <w:vAlign w:val="bottom"/>
            <w:shd w:val="clear" w:color="auto" w:fill="FCD5B4"/>
          </w:tcPr>
          <w:p>
            <w:pPr>
              <w:spacing w:after="0"/>
              <w:rPr>
                <w:sz w:val="12"/>
                <w:szCs w:val="12"/>
                <w:color w:val="auto"/>
              </w:rPr>
            </w:pPr>
          </w:p>
        </w:tc>
        <w:tc>
          <w:tcPr>
            <w:tcW w:w="560" w:type="dxa"/>
            <w:vAlign w:val="bottom"/>
            <w:shd w:val="clear" w:color="auto" w:fill="FCD5B4"/>
          </w:tcPr>
          <w:p>
            <w:pPr>
              <w:jc w:val="right"/>
              <w:spacing w:after="0" w:line="147" w:lineRule="exact"/>
              <w:rPr>
                <w:sz w:val="20"/>
                <w:szCs w:val="20"/>
                <w:color w:val="auto"/>
              </w:rPr>
            </w:pPr>
            <w:r>
              <w:rPr>
                <w:rFonts w:ascii="Arial" w:cs="Arial" w:eastAsia="Arial" w:hAnsi="Arial"/>
                <w:sz w:val="14"/>
                <w:szCs w:val="14"/>
                <w:b w:val="1"/>
                <w:bCs w:val="1"/>
                <w:color w:val="auto"/>
              </w:rPr>
              <w:t>-3.4%</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b w:val="1"/>
                <w:bCs w:val="1"/>
                <w:color w:val="auto"/>
              </w:rPr>
              <w:t>2.3%</w:t>
            </w:r>
          </w:p>
        </w:tc>
        <w:tc>
          <w:tcPr>
            <w:tcW w:w="760" w:type="dxa"/>
            <w:vAlign w:val="bottom"/>
            <w:shd w:val="clear" w:color="auto" w:fill="CCEEFF"/>
          </w:tcPr>
          <w:p>
            <w:pPr>
              <w:jc w:val="right"/>
              <w:ind w:right="49"/>
              <w:spacing w:after="0" w:line="147" w:lineRule="exact"/>
              <w:rPr>
                <w:sz w:val="20"/>
                <w:szCs w:val="20"/>
                <w:color w:val="auto"/>
              </w:rPr>
            </w:pPr>
            <w:r>
              <w:rPr>
                <w:rFonts w:ascii="Arial" w:cs="Arial" w:eastAsia="Arial" w:hAnsi="Arial"/>
                <w:sz w:val="14"/>
                <w:szCs w:val="14"/>
                <w:b w:val="1"/>
                <w:bCs w:val="1"/>
                <w:color w:val="auto"/>
              </w:rPr>
              <w:t>2.1%</w:t>
            </w:r>
          </w:p>
        </w:tc>
        <w:tc>
          <w:tcPr>
            <w:tcW w:w="740" w:type="dxa"/>
            <w:vAlign w:val="bottom"/>
            <w:shd w:val="clear" w:color="auto" w:fill="CCEEFF"/>
          </w:tcPr>
          <w:p>
            <w:pPr>
              <w:jc w:val="right"/>
              <w:ind w:right="29"/>
              <w:spacing w:after="0" w:line="147" w:lineRule="exact"/>
              <w:rPr>
                <w:sz w:val="20"/>
                <w:szCs w:val="20"/>
                <w:color w:val="auto"/>
              </w:rPr>
            </w:pPr>
            <w:r>
              <w:rPr>
                <w:rFonts w:ascii="Arial" w:cs="Arial" w:eastAsia="Arial" w:hAnsi="Arial"/>
                <w:sz w:val="14"/>
                <w:szCs w:val="14"/>
                <w:b w:val="1"/>
                <w:bCs w:val="1"/>
                <w:color w:val="auto"/>
              </w:rPr>
              <w:t>1.9%</w:t>
            </w: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185"/>
        </w:trPr>
        <w:tc>
          <w:tcPr>
            <w:tcW w:w="2120" w:type="dxa"/>
            <w:vAlign w:val="bottom"/>
          </w:tcPr>
          <w:p>
            <w:pPr>
              <w:spacing w:after="0"/>
              <w:rPr>
                <w:sz w:val="20"/>
                <w:szCs w:val="20"/>
                <w:color w:val="auto"/>
              </w:rPr>
            </w:pPr>
            <w:r>
              <w:rPr>
                <w:rFonts w:ascii="Arial" w:cs="Arial" w:eastAsia="Arial" w:hAnsi="Arial"/>
                <w:sz w:val="14"/>
                <w:szCs w:val="14"/>
                <w:b w:val="1"/>
                <w:bCs w:val="1"/>
                <w:color w:val="auto"/>
              </w:rPr>
              <w:t>BAP's total loans</w:t>
            </w:r>
          </w:p>
        </w:tc>
        <w:tc>
          <w:tcPr>
            <w:tcW w:w="840" w:type="dxa"/>
            <w:vAlign w:val="bottom"/>
          </w:tcPr>
          <w:p>
            <w:pPr>
              <w:jc w:val="right"/>
              <w:ind w:right="49"/>
              <w:spacing w:after="0"/>
              <w:rPr>
                <w:sz w:val="20"/>
                <w:szCs w:val="20"/>
                <w:color w:val="auto"/>
              </w:rPr>
            </w:pPr>
            <w:r>
              <w:rPr>
                <w:rFonts w:ascii="Arial" w:cs="Arial" w:eastAsia="Arial" w:hAnsi="Arial"/>
                <w:sz w:val="14"/>
                <w:szCs w:val="14"/>
                <w:b w:val="1"/>
                <w:bCs w:val="1"/>
                <w:color w:val="auto"/>
              </w:rPr>
              <w:t>109,436</w:t>
            </w:r>
          </w:p>
        </w:tc>
        <w:tc>
          <w:tcPr>
            <w:tcW w:w="720" w:type="dxa"/>
            <w:vAlign w:val="bottom"/>
          </w:tcPr>
          <w:p>
            <w:pPr>
              <w:jc w:val="right"/>
              <w:ind w:right="29"/>
              <w:spacing w:after="0"/>
              <w:rPr>
                <w:sz w:val="20"/>
                <w:szCs w:val="20"/>
                <w:color w:val="auto"/>
              </w:rPr>
            </w:pPr>
            <w:r>
              <w:rPr>
                <w:rFonts w:ascii="Arial" w:cs="Arial" w:eastAsia="Arial" w:hAnsi="Arial"/>
                <w:sz w:val="14"/>
                <w:szCs w:val="14"/>
                <w:b w:val="1"/>
                <w:bCs w:val="1"/>
                <w:color w:val="auto"/>
              </w:rPr>
              <w:t>115,813</w:t>
            </w:r>
          </w:p>
        </w:tc>
        <w:tc>
          <w:tcPr>
            <w:tcW w:w="740" w:type="dxa"/>
            <w:vAlign w:val="bottom"/>
          </w:tcPr>
          <w:p>
            <w:pPr>
              <w:jc w:val="right"/>
              <w:ind w:right="29"/>
              <w:spacing w:after="0"/>
              <w:rPr>
                <w:sz w:val="20"/>
                <w:szCs w:val="20"/>
                <w:color w:val="auto"/>
              </w:rPr>
            </w:pPr>
            <w:r>
              <w:rPr>
                <w:rFonts w:ascii="Arial" w:cs="Arial" w:eastAsia="Arial" w:hAnsi="Arial"/>
                <w:sz w:val="14"/>
                <w:szCs w:val="14"/>
                <w:b w:val="1"/>
                <w:bCs w:val="1"/>
                <w:color w:val="auto"/>
              </w:rPr>
              <w:t>127,780</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120,201</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10.3%</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16.8%</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3.8%</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9.8%</w:t>
            </w:r>
          </w:p>
        </w:tc>
        <w:tc>
          <w:tcPr>
            <w:tcW w:w="740" w:type="dxa"/>
            <w:vAlign w:val="bottom"/>
          </w:tcPr>
          <w:p>
            <w:pPr>
              <w:jc w:val="right"/>
              <w:ind w:right="29"/>
              <w:spacing w:after="0"/>
              <w:rPr>
                <w:sz w:val="20"/>
                <w:szCs w:val="20"/>
                <w:color w:val="auto"/>
              </w:rPr>
            </w:pPr>
            <w:r>
              <w:rPr>
                <w:rFonts w:ascii="Arial" w:cs="Arial" w:eastAsia="Arial" w:hAnsi="Arial"/>
                <w:sz w:val="14"/>
                <w:szCs w:val="14"/>
                <w:b w:val="1"/>
                <w:bCs w:val="1"/>
                <w:color w:val="auto"/>
              </w:rPr>
              <w:t>100.0%</w:t>
            </w: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rPr>
              <w:t>100.0%</w:t>
            </w:r>
          </w:p>
        </w:tc>
        <w:tc>
          <w:tcPr>
            <w:tcW w:w="740" w:type="dxa"/>
            <w:vAlign w:val="bottom"/>
          </w:tcPr>
          <w:p>
            <w:pPr>
              <w:jc w:val="right"/>
              <w:ind w:right="29"/>
              <w:spacing w:after="0"/>
              <w:rPr>
                <w:sz w:val="20"/>
                <w:szCs w:val="20"/>
                <w:color w:val="auto"/>
              </w:rPr>
            </w:pPr>
            <w:r>
              <w:rPr>
                <w:rFonts w:ascii="Arial" w:cs="Arial" w:eastAsia="Arial" w:hAnsi="Arial"/>
                <w:sz w:val="14"/>
                <w:szCs w:val="14"/>
                <w:b w:val="1"/>
                <w:bCs w:val="1"/>
                <w:color w:val="auto"/>
              </w:rPr>
              <w:t>100.0%</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640"/>
        <w:spacing w:after="0"/>
        <w:rPr>
          <w:sz w:val="20"/>
          <w:szCs w:val="20"/>
          <w:color w:val="auto"/>
        </w:rPr>
      </w:pPr>
      <w:r>
        <w:rPr>
          <w:sz w:val="1"/>
          <w:szCs w:val="1"/>
          <w:color w:val="auto"/>
        </w:rPr>
        <w:drawing>
          <wp:inline distT="0" distB="0" distL="0" distR="0">
            <wp:extent cx="406400" cy="13525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6400" cy="135255"/>
                    </a:xfrm>
                    <a:prstGeom prst="rect">
                      <a:avLst/>
                    </a:prstGeom>
                    <a:noFill/>
                    <a:ln>
                      <a:noFill/>
                    </a:ln>
                  </pic:spPr>
                </pic:pic>
              </a:graphicData>
            </a:graphic>
          </wp:inline>
        </w:drawing>
      </w:r>
      <w:r>
        <w:rPr>
          <w:rFonts w:ascii="Arial" w:cs="Arial" w:eastAsia="Arial" w:hAnsi="Arial"/>
          <w:sz w:val="18"/>
          <w:szCs w:val="18"/>
          <w:color w:val="auto"/>
        </w:rPr>
        <w:t>Highest growth in volumes</w:t>
      </w:r>
    </w:p>
    <w:p>
      <w:pPr>
        <w:spacing w:after="0" w:line="55" w:lineRule="exact"/>
        <w:rPr>
          <w:sz w:val="20"/>
          <w:szCs w:val="20"/>
          <w:color w:val="auto"/>
        </w:rPr>
      </w:pPr>
    </w:p>
    <w:p>
      <w:pPr>
        <w:ind w:left="640"/>
        <w:spacing w:after="0"/>
        <w:rPr>
          <w:sz w:val="20"/>
          <w:szCs w:val="20"/>
          <w:color w:val="auto"/>
        </w:rPr>
      </w:pPr>
      <w:r>
        <w:rPr>
          <w:sz w:val="1"/>
          <w:szCs w:val="1"/>
          <w:color w:val="auto"/>
        </w:rPr>
        <w:drawing>
          <wp:inline distT="0" distB="0" distL="0" distR="0">
            <wp:extent cx="406400" cy="13525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6400" cy="135255"/>
                    </a:xfrm>
                    <a:prstGeom prst="rect">
                      <a:avLst/>
                    </a:prstGeom>
                    <a:noFill/>
                    <a:ln>
                      <a:noFill/>
                    </a:ln>
                  </pic:spPr>
                </pic:pic>
              </a:graphicData>
            </a:graphic>
          </wp:inline>
        </w:drawing>
      </w:r>
      <w:r>
        <w:rPr>
          <w:rFonts w:ascii="Arial" w:cs="Arial" w:eastAsia="Arial" w:hAnsi="Arial"/>
          <w:sz w:val="18"/>
          <w:szCs w:val="18"/>
          <w:color w:val="auto"/>
        </w:rPr>
        <w:t>Largest contraction in volumes</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For consolidation purposes, loans generated in FC are converted to LC.</w:t>
      </w:r>
    </w:p>
    <w:p>
      <w:pPr>
        <w:spacing w:after="0" w:line="220" w:lineRule="exact"/>
        <w:rPr>
          <w:sz w:val="20"/>
          <w:szCs w:val="20"/>
          <w:color w:val="auto"/>
        </w:rPr>
      </w:pPr>
    </w:p>
    <w:p>
      <w:pPr>
        <w:ind w:left="440" w:hanging="313"/>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Work out unit, and other banking.</w:t>
      </w:r>
    </w:p>
    <w:p>
      <w:pPr>
        <w:spacing w:after="0" w:line="19" w:lineRule="exact"/>
        <w:rPr>
          <w:rFonts w:ascii="Arial" w:cs="Arial" w:eastAsia="Arial" w:hAnsi="Arial"/>
          <w:sz w:val="18"/>
          <w:szCs w:val="18"/>
          <w:color w:val="auto"/>
        </w:rPr>
      </w:pPr>
    </w:p>
    <w:p>
      <w:pPr>
        <w:ind w:left="440" w:hanging="313"/>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Structural Portfolio excludes the average daily balances from loans offered through Reactiva Peru y FAE-Mype Government Programs.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Growth QoQ in Average Daily Balances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millions of 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+10.3% (+3.8% Structural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151130</wp:posOffset>
            </wp:positionV>
            <wp:extent cx="6354445" cy="2592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54445" cy="2592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Structural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-121920</wp:posOffset>
            </wp:positionV>
            <wp:extent cx="339090" cy="271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9090" cy="271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Government programs</w:t>
      </w:r>
    </w:p>
    <w:p>
      <w:pPr>
        <w:spacing w:after="0" w:line="200" w:lineRule="exact"/>
        <w:rPr>
          <w:sz w:val="20"/>
          <w:szCs w:val="20"/>
          <w:color w:val="auto"/>
        </w:rPr>
      </w:pPr>
    </w:p>
    <w:p>
      <w:pPr>
        <w:spacing w:after="0" w:line="220"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The analysis by segment reveals QoQ growth in average daily loan balances in the portfolio’s Middle-Market and SMEs segments, which was in line with the effect generated by the Reactiva Peru financial relief program and with an increase in disbursements in the Corporate segment.</w:t>
      </w:r>
    </w:p>
    <w:p>
      <w:pPr>
        <w:spacing w:after="0" w:line="1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Wholesale Banking portfolio posted the highest contribution to growth. Growth was primarily attributable to the increase reported in balances in the Corporate segment, which required more financing for working capital and medium term fixed-rate loans in LC and FC. The effect of Reactiva Peru loans on this loan segment was limited. The Middle Market Banking segment also registered a significant increase in its contribution to total loan growth in Wholesale Banking. This growth was, unlike that of Corporate Banking, highly influenced by the presence of disbursements for Reactiva Peru.</w:t>
      </w:r>
    </w:p>
    <w:p>
      <w:pPr>
        <w:spacing w:after="0" w:line="373"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744" w:gutter="0" w:footer="0" w:header="0"/>
        </w:sectPr>
      </w:pPr>
    </w:p>
    <w:bookmarkStart w:id="9" w:name="page10"/>
    <w:bookmarkEnd w:id="9"/>
    <w:p>
      <w:pPr>
        <w:jc w:val="both"/>
        <w:spacing w:after="0" w:line="258" w:lineRule="auto"/>
        <w:rPr>
          <w:sz w:val="20"/>
          <w:szCs w:val="20"/>
          <w:color w:val="auto"/>
        </w:rPr>
      </w:pPr>
      <w:r>
        <w:rPr>
          <w:rFonts w:ascii="Arial" w:cs="Arial" w:eastAsia="Arial" w:hAnsi="Arial"/>
          <w:sz w:val="18"/>
          <w:szCs w:val="18"/>
          <w:color w:val="auto"/>
        </w:rPr>
        <w:t>Within the Retail Banking portfolio, the SME Business and SME-Pyme segments grew 38.0% and 15.5% respectively, which was primarily attributable to Reactiva Peru. Personal lines were affected by the pandemic and the consequent government-mandated lockdown as well as by the hold put on disbursements in a context in which full risk assessment proved inviable.</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microfinance portfolio at Mibanco also posted growth that was spurred by Government financial relief programs: Reactiva Peru and FAE (Fund for Business Support); nevertheless, this growth was partially offset by i) the lockdown, which paralyzed the commercial environment in which Mibanco operates and was further accentuated by ii) the suspension of disbursements in a context in which it was difficult to determine the full dimension of risk.</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Growth YoY in Average Daily Balances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millions of 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+16.8% (+9.8% Structural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15875</wp:posOffset>
            </wp:positionV>
            <wp:extent cx="6888480" cy="27622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88480" cy="276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Structural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-121920</wp:posOffset>
            </wp:positionV>
            <wp:extent cx="339090" cy="271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9090" cy="271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Government programs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YoY growth by segment, measured in average daily balances, reveals:</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Growth in Wholesale Banking, led by Corporate Banking (+S/5,965 million, +21.3% YoY) and due to an increase in disbursements in LC and FC and for working capital and medium term financing at fixed-rates, followed by Middle Market Banking, which registered significant growth (+S/4,094 million, +23.0% YoY); this was primarily driven by the effect of Reactiva Peru. It is important to note that growth in these segments was also attributable, although to a lesser extent, to the exchange rate effect generated by an appreciation in the US Dollar. 55.2% of the loans in the Corporate Banking segment and 45.4% in Middle Market Banking are in FC. If we exclude the exchange rate effect, the Corporate Banking and Middle Market Banking segments reported growth of 18.1% and 20.4% respectively. If we exclude the effect of the Government programs, Corporate Banking grew 19.6% YoY and Middle Market Banking, 6.9% YoY.</w:t>
      </w:r>
    </w:p>
    <w:p>
      <w:pPr>
        <w:spacing w:after="0" w:line="200" w:lineRule="exact"/>
        <w:rPr>
          <w:sz w:val="20"/>
          <w:szCs w:val="20"/>
          <w:color w:val="auto"/>
        </w:rPr>
      </w:pPr>
    </w:p>
    <w:p>
      <w:pPr>
        <w:spacing w:after="0" w:line="206"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0" w:name="page11"/>
    <w:bookmarkEnd w:id="10"/>
    <w:p>
      <w:pPr>
        <w:jc w:val="both"/>
        <w:spacing w:after="0" w:line="292" w:lineRule="auto"/>
        <w:rPr>
          <w:sz w:val="20"/>
          <w:szCs w:val="20"/>
          <w:color w:val="auto"/>
        </w:rPr>
      </w:pPr>
      <w:r>
        <w:rPr>
          <w:rFonts w:ascii="Arial" w:cs="Arial" w:eastAsia="Arial" w:hAnsi="Arial"/>
          <w:sz w:val="16"/>
          <w:szCs w:val="16"/>
          <w:color w:val="auto"/>
        </w:rPr>
        <w:t>Growth in Retail Banking was led by the SME-Pyme segment (+S/2,370 million, +24.8% YoY) and SME Business (+S/2,192 million, +41.0% YoY) due to the effect of Reactiva Peru. Expansion in these segments was followed by growth in Mortgage portfolio (+S/1,399 million, +9.0% YoY) and in the Consumer portfolio (+S/1,241 million, +15.7% YoY). Both of these segments registered significant growth until the end of 1Q20, when the pandemic began to generate effects. Credit Cards registered a decline YoY, which was attributable to limited card use during the government-mandated lockdown. If we exclude the effect of the Governments programs on portfolio growth, SME-Pyme expanded +5.9% YoY while SME Business contracted -1.5%.</w:t>
      </w:r>
    </w:p>
    <w:p>
      <w:pPr>
        <w:spacing w:after="0" w:line="16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Loan growth at Mibanco (+7.9% YoY) was associated with the favorable evolution of the microfinance industry until the end of 1Q20. After that, in 2Q20, growth was attributable to the Government’s financial relief programs, Reactiva Peru and FAE. At the end of 2Q20, Reactiva and FAE loans represented approximately 2% of Mibanco’s portfolio in average daily balances. If we exclude loans disbursed under the Reactiva Peru and FAE-Mype programs, Mibanco expanded +6.0% YoY. Mibanco has also provided reprogramming facilities to more than 86% of its portfolio, which is evidence of the solid support that the bank is offering its clients, many of whom, as microbusiness owners, have been particularly hard hit by the effects of the pandemic.</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+9.1% YoY growth in loans at BCP Bolivia. This evolution was primarily attributable to growth in the Retail Banking portfolio, which evolved favorably until 1Q20. In 2Q20, however, the decreases registered in the Consumer, Mortgage and Credit Card segments in Bolivia due to the lockdown led to a subsequent increase in Wholesale Banking’s share of total loans.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growth in average daily loan balances by segment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millions of 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+12.3% (+8.8% Structural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151130</wp:posOffset>
            </wp:positionV>
            <wp:extent cx="6752590" cy="269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52590" cy="269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Structural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-121920</wp:posOffset>
            </wp:positionV>
            <wp:extent cx="339090" cy="271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9090" cy="271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Government programs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YTD growth by segment measured in average daily balances shows: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Growth in Wholesale Banking, where the Corporate segment posted higher growth (+S/3,721 million, +13.4% YTD) due to an increase in disbursements in LC and FC for working capital and medium term fixed-rate loans followed by Middle Market Banking, which also registered significant growth (+S/2,488 million, +14.0% YTD), due primarily to Reactiva Peru loans. Growth in these segments was also attributable, although to a lesser extent, to the exchange rate effect caused by an appreciation in the US Dollar.</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Growth in Retail Banking, where the increase registered in the in the SME Pyme segment led the expansion (+S/1,643 million +17.3% YTD), spurred by Reactiva Peru disbursements. Other drivers of growth in this portfolio were the expansion in the Mortgage segment (+S/1,603 million, +10.5% YTD), which registered dynamic growth until the end of 1Q20; expansion in the Consumer segment (+S/1,290 millions, +16.6% YTD), which similar to the Mortgage segment, registered significant dynamism until 1Q20; and growth in SME Business (+S/1,195 million +22.5% YTD), which also reported a significant increase due to Reactiva Peru.</w:t>
      </w:r>
    </w:p>
    <w:p>
      <w:pPr>
        <w:spacing w:after="0" w:line="200" w:lineRule="exact"/>
        <w:rPr>
          <w:sz w:val="20"/>
          <w:szCs w:val="20"/>
          <w:color w:val="auto"/>
        </w:rPr>
      </w:pPr>
    </w:p>
    <w:p>
      <w:pPr>
        <w:spacing w:after="0" w:line="203"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1" w:name="page12"/>
    <w:bookmarkEnd w:id="11"/>
    <w:p>
      <w:pPr>
        <w:jc w:val="both"/>
        <w:spacing w:after="0" w:line="253" w:lineRule="auto"/>
        <w:rPr>
          <w:sz w:val="20"/>
          <w:szCs w:val="20"/>
          <w:color w:val="auto"/>
        </w:rPr>
      </w:pPr>
      <w:r>
        <w:rPr>
          <w:rFonts w:ascii="Arial" w:cs="Arial" w:eastAsia="Arial" w:hAnsi="Arial"/>
          <w:sz w:val="18"/>
          <w:szCs w:val="18"/>
          <w:color w:val="auto"/>
        </w:rPr>
        <w:t>Growth in Mibanco loans (+7.6% YTD) and BCP Bolivia loans (+8.7% YTD). Growth at Mibanco was associated with portfolio expansion until 1Q20 and with the Government’s financial relief programs, Reactiva Peru and FAE in 2Q20. With regard to BCP Bolivia, the evolution of average daily balances was due primarily to growth in the Retail Banking Portfolio as well as to higher growth in the Wholesale Banking portfolio than in the Retail Portfolio, given that the Consumer, Mortgage and Credit Card segments bore the brunt of the impact of the lockdown while business loans registered an uptick to maintain working capital.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Evolution of the level of dollarization by segment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Loan evolution by currency - average daily balances </w:t>
      </w:r>
      <w:r>
        <w:rPr>
          <w:rFonts w:ascii="Arial" w:cs="Arial" w:eastAsia="Arial" w:hAnsi="Arial"/>
          <w:sz w:val="29"/>
          <w:szCs w:val="29"/>
          <w:b w:val="1"/>
          <w:bCs w:val="1"/>
          <w:color w:val="auto"/>
          <w:vertAlign w:val="superscript"/>
        </w:rPr>
        <w:t>(1)(2)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920" w:type="dxa"/>
            <w:vAlign w:val="bottom"/>
          </w:tcPr>
          <w:p>
            <w:pPr>
              <w:spacing w:after="0"/>
              <w:rPr>
                <w:sz w:val="13"/>
                <w:szCs w:val="13"/>
                <w:color w:val="auto"/>
              </w:rPr>
            </w:pPr>
          </w:p>
        </w:tc>
        <w:tc>
          <w:tcPr>
            <w:tcW w:w="2640" w:type="dxa"/>
            <w:vAlign w:val="bottom"/>
            <w:gridSpan w:val="9"/>
          </w:tcPr>
          <w:p>
            <w:pPr>
              <w:ind w:left="240"/>
              <w:spacing w:after="0"/>
              <w:rPr>
                <w:sz w:val="20"/>
                <w:szCs w:val="20"/>
                <w:color w:val="auto"/>
              </w:rPr>
            </w:pPr>
            <w:r>
              <w:rPr>
                <w:rFonts w:ascii="Arial" w:cs="Arial" w:eastAsia="Arial" w:hAnsi="Arial"/>
                <w:sz w:val="12"/>
                <w:szCs w:val="12"/>
                <w:b w:val="1"/>
                <w:bCs w:val="1"/>
                <w:color w:val="auto"/>
              </w:rPr>
              <w:t>DOMESTIC CURRENCY LOANS</w:t>
            </w:r>
          </w:p>
        </w:tc>
        <w:tc>
          <w:tcPr>
            <w:tcW w:w="1160" w:type="dxa"/>
            <w:vAlign w:val="bottom"/>
            <w:gridSpan w:val="5"/>
            <w:vMerge w:val="restart"/>
          </w:tcPr>
          <w:p>
            <w:pPr>
              <w:jc w:val="right"/>
              <w:ind w:right="440"/>
              <w:spacing w:after="0"/>
              <w:rPr>
                <w:sz w:val="20"/>
                <w:szCs w:val="20"/>
                <w:color w:val="auto"/>
              </w:rPr>
            </w:pPr>
            <w:r>
              <w:rPr>
                <w:rFonts w:ascii="Arial" w:cs="Arial" w:eastAsia="Arial" w:hAnsi="Arial"/>
                <w:sz w:val="12"/>
                <w:szCs w:val="12"/>
                <w:b w:val="1"/>
                <w:bCs w:val="1"/>
                <w:color w:val="auto"/>
              </w:rPr>
              <w:t>% change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6"/>
          </w:tcPr>
          <w:p>
            <w:pPr>
              <w:ind w:left="260"/>
              <w:spacing w:after="0"/>
              <w:rPr>
                <w:sz w:val="20"/>
                <w:szCs w:val="20"/>
                <w:color w:val="auto"/>
              </w:rPr>
            </w:pPr>
            <w:r>
              <w:rPr>
                <w:rFonts w:ascii="Arial" w:cs="Arial" w:eastAsia="Arial" w:hAnsi="Arial"/>
                <w:sz w:val="12"/>
                <w:szCs w:val="12"/>
                <w:b w:val="1"/>
                <w:bCs w:val="1"/>
                <w:color w:val="auto"/>
              </w:rPr>
              <w:t>% change</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60" w:type="dxa"/>
            <w:vAlign w:val="bottom"/>
            <w:gridSpan w:val="7"/>
          </w:tcPr>
          <w:p>
            <w:pPr>
              <w:jc w:val="center"/>
              <w:ind w:right="140"/>
              <w:spacing w:after="0"/>
              <w:rPr>
                <w:sz w:val="20"/>
                <w:szCs w:val="20"/>
                <w:color w:val="auto"/>
              </w:rPr>
            </w:pPr>
            <w:r>
              <w:rPr>
                <w:rFonts w:ascii="Arial" w:cs="Arial" w:eastAsia="Arial" w:hAnsi="Arial"/>
                <w:sz w:val="12"/>
                <w:szCs w:val="12"/>
                <w:b w:val="1"/>
                <w:bCs w:val="1"/>
                <w:color w:val="auto"/>
              </w:rPr>
              <w:t>FOREIGN CURRENCY LOANS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w w:val="96"/>
              </w:rPr>
              <w:t>% part. by currency</w:t>
            </w:r>
          </w:p>
        </w:tc>
        <w:tc>
          <w:tcPr>
            <w:tcW w:w="0" w:type="dxa"/>
            <w:vAlign w:val="bottom"/>
          </w:tcPr>
          <w:p>
            <w:pPr>
              <w:spacing w:after="0"/>
              <w:rPr>
                <w:sz w:val="1"/>
                <w:szCs w:val="1"/>
                <w:color w:val="auto"/>
              </w:rPr>
            </w:pPr>
          </w:p>
        </w:tc>
      </w:tr>
      <w:tr>
        <w:trPr>
          <w:trHeight w:val="140"/>
        </w:trPr>
        <w:tc>
          <w:tcPr>
            <w:tcW w:w="920" w:type="dxa"/>
            <w:vAlign w:val="bottom"/>
          </w:tcPr>
          <w:p>
            <w:pPr>
              <w:spacing w:after="0"/>
              <w:rPr>
                <w:sz w:val="12"/>
                <w:szCs w:val="12"/>
                <w:color w:val="auto"/>
              </w:rPr>
            </w:pPr>
          </w:p>
        </w:tc>
        <w:tc>
          <w:tcPr>
            <w:tcW w:w="1800" w:type="dxa"/>
            <w:vAlign w:val="bottom"/>
            <w:tcBorders>
              <w:top w:val="single" w:sz="8" w:color="auto"/>
            </w:tcBorders>
            <w:gridSpan w:val="6"/>
          </w:tcPr>
          <w:p>
            <w:pPr>
              <w:jc w:val="right"/>
              <w:ind w:right="380"/>
              <w:spacing w:after="0"/>
              <w:rPr>
                <w:sz w:val="20"/>
                <w:szCs w:val="20"/>
                <w:color w:val="auto"/>
              </w:rPr>
            </w:pPr>
            <w:r>
              <w:rPr>
                <w:rFonts w:ascii="Arial" w:cs="Arial" w:eastAsia="Arial" w:hAnsi="Arial"/>
                <w:sz w:val="12"/>
                <w:szCs w:val="12"/>
                <w:i w:val="1"/>
                <w:iCs w:val="1"/>
                <w:color w:val="auto"/>
              </w:rPr>
              <w:t>Expressed in million 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95"/>
              </w:rPr>
              <w:t>Structural</w:t>
            </w:r>
          </w:p>
        </w:tc>
        <w:tc>
          <w:tcPr>
            <w:tcW w:w="280" w:type="dxa"/>
            <w:vAlign w:val="bottom"/>
            <w:gridSpan w:val="2"/>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5"/>
          </w:tcPr>
          <w:p>
            <w:pPr>
              <w:ind w:left="240"/>
              <w:spacing w:after="0"/>
              <w:rPr>
                <w:sz w:val="20"/>
                <w:szCs w:val="20"/>
                <w:color w:val="auto"/>
              </w:rPr>
            </w:pPr>
            <w:r>
              <w:rPr>
                <w:rFonts w:ascii="Arial" w:cs="Arial" w:eastAsia="Arial" w:hAnsi="Arial"/>
                <w:sz w:val="12"/>
                <w:szCs w:val="12"/>
                <w:b w:val="1"/>
                <w:bCs w:val="1"/>
                <w:color w:val="auto"/>
              </w:rPr>
              <w:t>Structural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2Q19</w:t>
            </w:r>
          </w:p>
        </w:tc>
        <w:tc>
          <w:tcPr>
            <w:tcW w:w="1920" w:type="dxa"/>
            <w:vAlign w:val="bottom"/>
            <w:tcBorders>
              <w:top w:val="single" w:sz="8" w:color="auto"/>
            </w:tcBorders>
            <w:gridSpan w:val="6"/>
          </w:tcPr>
          <w:p>
            <w:pPr>
              <w:jc w:val="center"/>
              <w:spacing w:after="0"/>
              <w:rPr>
                <w:sz w:val="20"/>
                <w:szCs w:val="20"/>
                <w:color w:val="auto"/>
              </w:rPr>
            </w:pPr>
            <w:r>
              <w:rPr>
                <w:rFonts w:ascii="Arial" w:cs="Arial" w:eastAsia="Arial" w:hAnsi="Arial"/>
                <w:sz w:val="12"/>
                <w:szCs w:val="12"/>
                <w:i w:val="1"/>
                <w:iCs w:val="1"/>
                <w:color w:val="auto"/>
                <w:w w:val="95"/>
              </w:rPr>
              <w:t>Expressed in million US$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auto"/>
              </w:rPr>
              <w:t>YoY</w:t>
            </w:r>
          </w:p>
        </w:tc>
        <w:tc>
          <w:tcPr>
            <w:tcW w:w="100" w:type="dxa"/>
            <w:vAlign w:val="bottom"/>
          </w:tcPr>
          <w:p>
            <w:pPr>
              <w:spacing w:after="0"/>
              <w:rPr>
                <w:sz w:val="12"/>
                <w:szCs w:val="12"/>
                <w:color w:val="auto"/>
              </w:rPr>
            </w:pPr>
          </w:p>
        </w:tc>
        <w:tc>
          <w:tcPr>
            <w:tcW w:w="840" w:type="dxa"/>
            <w:vAlign w:val="bottom"/>
            <w:tcBorders>
              <w:top w:val="single" w:sz="8" w:color="auto"/>
            </w:tcBorders>
            <w:gridSpan w:val="3"/>
          </w:tcPr>
          <w:p>
            <w:pPr>
              <w:jc w:val="center"/>
              <w:ind w:left="378"/>
              <w:spacing w:after="0"/>
              <w:rPr>
                <w:sz w:val="20"/>
                <w:szCs w:val="20"/>
                <w:color w:val="auto"/>
              </w:rPr>
            </w:pPr>
            <w:r>
              <w:rPr>
                <w:rFonts w:ascii="Arial" w:cs="Arial" w:eastAsia="Arial" w:hAnsi="Arial"/>
                <w:sz w:val="12"/>
                <w:szCs w:val="12"/>
                <w:color w:val="auto"/>
                <w:w w:val="95"/>
              </w:rPr>
              <w:t>2Q20</w:t>
            </w:r>
          </w:p>
        </w:tc>
        <w:tc>
          <w:tcPr>
            <w:tcW w:w="4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2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2"/>
                <w:szCs w:val="12"/>
                <w:b w:val="1"/>
                <w:bCs w:val="1"/>
                <w:color w:val="auto"/>
              </w:rPr>
              <w:t>2Q19</w:t>
            </w:r>
          </w:p>
        </w:tc>
        <w:tc>
          <w:tcPr>
            <w:tcW w:w="6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1Q20</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2Q20</w:t>
            </w:r>
          </w:p>
        </w:tc>
        <w:tc>
          <w:tcPr>
            <w:tcW w:w="100" w:type="dxa"/>
            <w:vAlign w:val="bottom"/>
          </w:tcPr>
          <w:p>
            <w:pPr>
              <w:spacing w:after="0"/>
              <w:rPr>
                <w:sz w:val="12"/>
                <w:szCs w:val="12"/>
                <w:color w:val="auto"/>
              </w:rPr>
            </w:pPr>
          </w:p>
        </w:tc>
        <w:tc>
          <w:tcPr>
            <w:tcW w:w="560" w:type="dxa"/>
            <w:vAlign w:val="bottom"/>
            <w:tcBorders>
              <w:top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2Q20</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2"/>
                <w:szCs w:val="12"/>
                <w:b w:val="1"/>
                <w:bCs w:val="1"/>
                <w:color w:val="auto"/>
                <w:w w:val="99"/>
              </w:rPr>
              <w:t>QoQ</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b w:val="1"/>
                <w:bCs w:val="1"/>
                <w:color w:val="auto"/>
              </w:rPr>
              <w:t>YoY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2"/>
                <w:szCs w:val="12"/>
                <w:b w:val="1"/>
                <w:bCs w:val="1"/>
                <w:color w:val="auto"/>
                <w:w w:val="99"/>
              </w:rPr>
              <w:t>QoQ</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ind w:left="40"/>
              <w:spacing w:after="0"/>
              <w:rPr>
                <w:sz w:val="20"/>
                <w:szCs w:val="20"/>
                <w:color w:val="auto"/>
              </w:rPr>
            </w:pPr>
            <w:r>
              <w:rPr>
                <w:rFonts w:ascii="Arial" w:cs="Arial" w:eastAsia="Arial" w:hAnsi="Arial"/>
                <w:sz w:val="12"/>
                <w:szCs w:val="12"/>
                <w:b w:val="1"/>
                <w:bCs w:val="1"/>
                <w:color w:val="auto"/>
              </w:rPr>
              <w:t>YoY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00" w:type="dxa"/>
            <w:vAlign w:val="bottom"/>
            <w:tcBorders>
              <w:top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1Q20</w:t>
            </w:r>
          </w:p>
        </w:tc>
        <w:tc>
          <w:tcPr>
            <w:tcW w:w="80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12"/>
                <w:szCs w:val="12"/>
                <w:b w:val="1"/>
                <w:bCs w:val="1"/>
                <w:color w:val="auto"/>
                <w:w w:val="95"/>
              </w:rPr>
              <w:t>2Q20</w:t>
            </w:r>
          </w:p>
        </w:tc>
        <w:tc>
          <w:tcPr>
            <w:tcW w:w="420" w:type="dxa"/>
            <w:vAlign w:val="bottom"/>
            <w:tcBorders>
              <w:top w:val="single" w:sz="8" w:color="auto"/>
            </w:tcBorders>
          </w:tcPr>
          <w:p>
            <w:pPr>
              <w:ind w:left="40"/>
              <w:spacing w:after="0"/>
              <w:rPr>
                <w:sz w:val="20"/>
                <w:szCs w:val="20"/>
                <w:color w:val="auto"/>
              </w:rPr>
            </w:pPr>
            <w:r>
              <w:rPr>
                <w:rFonts w:ascii="Arial" w:cs="Arial" w:eastAsia="Arial" w:hAnsi="Arial"/>
                <w:sz w:val="12"/>
                <w:szCs w:val="12"/>
                <w:b w:val="1"/>
                <w:bCs w:val="1"/>
                <w:color w:val="auto"/>
              </w:rPr>
              <w:t>QoQ</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gridSpan w:val="3"/>
          </w:tcPr>
          <w:p>
            <w:pPr>
              <w:ind w:left="160"/>
              <w:spacing w:after="0"/>
              <w:rPr>
                <w:sz w:val="20"/>
                <w:szCs w:val="20"/>
                <w:color w:val="auto"/>
              </w:rPr>
            </w:pPr>
            <w:r>
              <w:rPr>
                <w:rFonts w:ascii="Arial" w:cs="Arial" w:eastAsia="Arial" w:hAnsi="Arial"/>
                <w:sz w:val="12"/>
                <w:szCs w:val="12"/>
                <w:b w:val="1"/>
                <w:bCs w:val="1"/>
                <w:color w:val="auto"/>
              </w:rPr>
              <w:t>LC</w:t>
            </w:r>
          </w:p>
        </w:tc>
        <w:tc>
          <w:tcPr>
            <w:tcW w:w="420" w:type="dxa"/>
            <w:vAlign w:val="bottom"/>
            <w:tcBorders>
              <w:top w:val="single" w:sz="8" w:color="auto"/>
            </w:tcBorders>
          </w:tcPr>
          <w:p>
            <w:pPr>
              <w:ind w:left="80"/>
              <w:spacing w:after="0"/>
              <w:rPr>
                <w:sz w:val="20"/>
                <w:szCs w:val="20"/>
                <w:color w:val="auto"/>
              </w:rPr>
            </w:pPr>
            <w:r>
              <w:rPr>
                <w:rFonts w:ascii="Arial" w:cs="Arial" w:eastAsia="Arial" w:hAnsi="Arial"/>
                <w:sz w:val="12"/>
                <w:szCs w:val="12"/>
                <w:b w:val="1"/>
                <w:bCs w:val="1"/>
                <w:color w:val="auto"/>
              </w:rPr>
              <w:t>FC</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920" w:type="dxa"/>
            <w:vAlign w:val="bottom"/>
            <w:tcBorders>
              <w:top w:val="single" w:sz="8" w:color="CCEEFF"/>
            </w:tcBorders>
            <w:shd w:val="clear" w:color="auto" w:fill="CCEEFF"/>
          </w:tcPr>
          <w:p>
            <w:pPr>
              <w:spacing w:after="0" w:line="95" w:lineRule="exact"/>
              <w:rPr>
                <w:sz w:val="20"/>
                <w:szCs w:val="20"/>
                <w:color w:val="auto"/>
              </w:rPr>
            </w:pPr>
            <w:r>
              <w:rPr>
                <w:rFonts w:ascii="Arial" w:cs="Arial" w:eastAsia="Arial" w:hAnsi="Arial"/>
                <w:sz w:val="11"/>
                <w:szCs w:val="11"/>
                <w:b w:val="1"/>
                <w:bCs w:val="1"/>
                <w:color w:val="auto"/>
              </w:rPr>
              <w:t>BCP Stand-</w:t>
            </w:r>
          </w:p>
        </w:tc>
        <w:tc>
          <w:tcPr>
            <w:tcW w:w="48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alone</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56,165</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60,854</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70,857</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63,466</w:t>
            </w: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16.4%</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26.2%</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4.3%</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13.0%</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10,075</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10,009</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10,371</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3.6%</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2"/>
                <w:szCs w:val="12"/>
                <w:b w:val="1"/>
                <w:bCs w:val="1"/>
                <w:color w:val="auto"/>
              </w:rPr>
              <w:t>2.9%</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66.5%</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33.5%</w:t>
            </w:r>
          </w:p>
        </w:tc>
        <w:tc>
          <w:tcPr>
            <w:tcW w:w="0" w:type="dxa"/>
            <w:vAlign w:val="bottom"/>
          </w:tcPr>
          <w:p>
            <w:pPr>
              <w:spacing w:after="0"/>
              <w:rPr>
                <w:sz w:val="1"/>
                <w:szCs w:val="1"/>
                <w:color w:val="auto"/>
              </w:rPr>
            </w:pPr>
          </w:p>
        </w:tc>
      </w:tr>
      <w:tr>
        <w:trPr>
          <w:trHeight w:val="115"/>
        </w:trPr>
        <w:tc>
          <w:tcPr>
            <w:tcW w:w="920" w:type="dxa"/>
            <w:vAlign w:val="bottom"/>
          </w:tcPr>
          <w:p>
            <w:pPr>
              <w:ind w:left="160"/>
              <w:spacing w:after="0" w:line="115" w:lineRule="exact"/>
              <w:rPr>
                <w:sz w:val="20"/>
                <w:szCs w:val="20"/>
                <w:color w:val="auto"/>
              </w:rPr>
            </w:pPr>
            <w:r>
              <w:rPr>
                <w:rFonts w:ascii="Arial" w:cs="Arial" w:eastAsia="Arial" w:hAnsi="Arial"/>
                <w:sz w:val="12"/>
                <w:szCs w:val="12"/>
                <w:b w:val="1"/>
                <w:bCs w:val="1"/>
                <w:color w:val="auto"/>
              </w:rPr>
              <w:t>Wholesale</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Banking</w:t>
            </w:r>
          </w:p>
        </w:tc>
        <w:tc>
          <w:tcPr>
            <w:tcW w:w="6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19,876</w:t>
            </w:r>
          </w:p>
        </w:tc>
        <w:tc>
          <w:tcPr>
            <w:tcW w:w="6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20,733</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27,209</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23,896</w:t>
            </w:r>
          </w:p>
        </w:tc>
        <w:tc>
          <w:tcPr>
            <w:tcW w:w="10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b w:val="1"/>
                <w:bCs w:val="1"/>
                <w:color w:val="auto"/>
              </w:rPr>
              <w:t>31.2%</w:t>
            </w:r>
          </w:p>
        </w:tc>
        <w:tc>
          <w:tcPr>
            <w:tcW w:w="64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36.9%</w:t>
            </w:r>
          </w:p>
        </w:tc>
        <w:tc>
          <w:tcPr>
            <w:tcW w:w="72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rPr>
              <w:t>15.3%</w:t>
            </w:r>
          </w:p>
        </w:tc>
        <w:tc>
          <w:tcPr>
            <w:tcW w:w="72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rPr>
              <w:t>20.2%</w:t>
            </w:r>
          </w:p>
        </w:tc>
        <w:tc>
          <w:tcPr>
            <w:tcW w:w="80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7,829</w:t>
            </w: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7,873</w:t>
            </w:r>
          </w:p>
        </w:tc>
        <w:tc>
          <w:tcPr>
            <w:tcW w:w="18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8,335</w:t>
            </w: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5.9%</w:t>
            </w:r>
          </w:p>
        </w:tc>
        <w:tc>
          <w:tcPr>
            <w:tcW w:w="720" w:type="dxa"/>
            <w:vAlign w:val="bottom"/>
            <w:gridSpan w:val="4"/>
          </w:tcPr>
          <w:p>
            <w:pPr>
              <w:jc w:val="right"/>
              <w:spacing w:after="0"/>
              <w:rPr>
                <w:sz w:val="20"/>
                <w:szCs w:val="20"/>
                <w:color w:val="auto"/>
              </w:rPr>
            </w:pPr>
            <w:r>
              <w:rPr>
                <w:rFonts w:ascii="Arial" w:cs="Arial" w:eastAsia="Arial" w:hAnsi="Arial"/>
                <w:sz w:val="12"/>
                <w:szCs w:val="12"/>
                <w:b w:val="1"/>
                <w:bCs w:val="1"/>
                <w:color w:val="auto"/>
              </w:rPr>
              <w:t>6.5%</w:t>
            </w:r>
          </w:p>
        </w:tc>
        <w:tc>
          <w:tcPr>
            <w:tcW w:w="84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48.6%</w:t>
            </w:r>
          </w:p>
        </w:tc>
        <w:tc>
          <w:tcPr>
            <w:tcW w:w="10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2"/>
                <w:szCs w:val="12"/>
                <w:b w:val="1"/>
                <w:bCs w:val="1"/>
                <w:color w:val="auto"/>
              </w:rPr>
              <w:t>51.4%</w:t>
            </w:r>
          </w:p>
        </w:tc>
        <w:tc>
          <w:tcPr>
            <w:tcW w:w="0" w:type="dxa"/>
            <w:vAlign w:val="bottom"/>
          </w:tcPr>
          <w:p>
            <w:pPr>
              <w:spacing w:after="0"/>
              <w:rPr>
                <w:sz w:val="1"/>
                <w:szCs w:val="1"/>
                <w:color w:val="auto"/>
              </w:rPr>
            </w:pPr>
          </w:p>
        </w:tc>
      </w:tr>
      <w:tr>
        <w:trPr>
          <w:trHeight w:val="133"/>
        </w:trPr>
        <w:tc>
          <w:tcPr>
            <w:tcW w:w="920" w:type="dxa"/>
            <w:vAlign w:val="bottom"/>
            <w:shd w:val="clear" w:color="auto" w:fill="CCEEFF"/>
          </w:tcPr>
          <w:p>
            <w:pPr>
              <w:ind w:left="320"/>
              <w:spacing w:after="0" w:line="134" w:lineRule="exact"/>
              <w:rPr>
                <w:sz w:val="20"/>
                <w:szCs w:val="20"/>
                <w:color w:val="auto"/>
              </w:rPr>
            </w:pPr>
            <w:r>
              <w:rPr>
                <w:rFonts w:ascii="Arial" w:cs="Arial" w:eastAsia="Arial" w:hAnsi="Arial"/>
                <w:sz w:val="12"/>
                <w:szCs w:val="12"/>
                <w:color w:val="auto"/>
              </w:rPr>
              <w:t>Corporate</w:t>
            </w:r>
          </w:p>
        </w:tc>
        <w:tc>
          <w:tcPr>
            <w:tcW w:w="68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11,581</w:t>
            </w:r>
          </w:p>
        </w:tc>
        <w:tc>
          <w:tcPr>
            <w:tcW w:w="60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12,186</w:t>
            </w:r>
          </w:p>
        </w:tc>
        <w:tc>
          <w:tcPr>
            <w:tcW w:w="5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15,247</w:t>
            </w:r>
          </w:p>
        </w:tc>
        <w:tc>
          <w:tcPr>
            <w:tcW w:w="7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14,791</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BFD9F1"/>
          </w:tcPr>
          <w:p>
            <w:pPr>
              <w:jc w:val="right"/>
              <w:ind w:right="20"/>
              <w:spacing w:after="0" w:line="134" w:lineRule="exact"/>
              <w:rPr>
                <w:sz w:val="20"/>
                <w:szCs w:val="20"/>
                <w:color w:val="auto"/>
              </w:rPr>
            </w:pPr>
            <w:r>
              <w:rPr>
                <w:rFonts w:ascii="Arial" w:cs="Arial" w:eastAsia="Arial" w:hAnsi="Arial"/>
                <w:sz w:val="12"/>
                <w:szCs w:val="12"/>
                <w:color w:val="auto"/>
              </w:rPr>
              <w:t>25.1%</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BFD9F1"/>
          </w:tcPr>
          <w:p>
            <w:pPr>
              <w:jc w:val="right"/>
              <w:ind w:right="40"/>
              <w:spacing w:after="0" w:line="134" w:lineRule="exact"/>
              <w:rPr>
                <w:sz w:val="20"/>
                <w:szCs w:val="20"/>
                <w:color w:val="auto"/>
              </w:rPr>
            </w:pPr>
            <w:r>
              <w:rPr>
                <w:rFonts w:ascii="Arial" w:cs="Arial" w:eastAsia="Arial" w:hAnsi="Arial"/>
                <w:sz w:val="12"/>
                <w:szCs w:val="12"/>
                <w:color w:val="auto"/>
              </w:rPr>
              <w:t>31.6%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BFD9F1"/>
          </w:tcPr>
          <w:p>
            <w:pPr>
              <w:jc w:val="right"/>
              <w:ind w:right="40"/>
              <w:spacing w:after="0" w:line="134" w:lineRule="exact"/>
              <w:rPr>
                <w:sz w:val="20"/>
                <w:szCs w:val="20"/>
                <w:color w:val="auto"/>
              </w:rPr>
            </w:pPr>
            <w:r>
              <w:rPr>
                <w:rFonts w:ascii="Arial" w:cs="Arial" w:eastAsia="Arial" w:hAnsi="Arial"/>
                <w:sz w:val="12"/>
                <w:szCs w:val="12"/>
                <w:color w:val="auto"/>
              </w:rPr>
              <w:t>21.4%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BFD9F1"/>
          </w:tcPr>
          <w:p>
            <w:pPr>
              <w:jc w:val="right"/>
              <w:ind w:right="40"/>
              <w:spacing w:after="0" w:line="134" w:lineRule="exact"/>
              <w:rPr>
                <w:sz w:val="20"/>
                <w:szCs w:val="20"/>
                <w:color w:val="auto"/>
              </w:rPr>
            </w:pPr>
            <w:r>
              <w:rPr>
                <w:rFonts w:ascii="Arial" w:cs="Arial" w:eastAsia="Arial" w:hAnsi="Arial"/>
                <w:sz w:val="12"/>
                <w:szCs w:val="12"/>
                <w:color w:val="auto"/>
              </w:rPr>
              <w:t>27.7%</w:t>
            </w:r>
          </w:p>
        </w:tc>
        <w:tc>
          <w:tcPr>
            <w:tcW w:w="800" w:type="dxa"/>
            <w:vAlign w:val="bottom"/>
            <w:gridSpan w:val="3"/>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4,962</w:t>
            </w:r>
          </w:p>
        </w:tc>
        <w:tc>
          <w:tcPr>
            <w:tcW w:w="5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4,959</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5,449</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BFD9F1"/>
          </w:tcPr>
          <w:p>
            <w:pPr>
              <w:jc w:val="right"/>
              <w:ind w:right="40"/>
              <w:spacing w:after="0" w:line="134" w:lineRule="exact"/>
              <w:rPr>
                <w:sz w:val="20"/>
                <w:szCs w:val="20"/>
                <w:color w:val="auto"/>
              </w:rPr>
            </w:pPr>
            <w:r>
              <w:rPr>
                <w:rFonts w:ascii="Arial" w:cs="Arial" w:eastAsia="Arial" w:hAnsi="Arial"/>
                <w:sz w:val="12"/>
                <w:szCs w:val="12"/>
                <w:color w:val="auto"/>
              </w:rPr>
              <w:t>9.9%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BFD9F1"/>
          </w:tcPr>
          <w:p>
            <w:pPr>
              <w:jc w:val="right"/>
              <w:ind w:right="20"/>
              <w:spacing w:after="0" w:line="134" w:lineRule="exact"/>
              <w:rPr>
                <w:sz w:val="20"/>
                <w:szCs w:val="20"/>
                <w:color w:val="auto"/>
              </w:rPr>
            </w:pPr>
            <w:r>
              <w:rPr>
                <w:rFonts w:ascii="Arial" w:cs="Arial" w:eastAsia="Arial" w:hAnsi="Arial"/>
                <w:sz w:val="12"/>
                <w:szCs w:val="12"/>
                <w:color w:val="auto"/>
              </w:rPr>
              <w:t>9.8%</w:t>
            </w:r>
          </w:p>
        </w:tc>
        <w:tc>
          <w:tcPr>
            <w:tcW w:w="840" w:type="dxa"/>
            <w:vAlign w:val="bottom"/>
            <w:gridSpan w:val="3"/>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44.8%</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55.2%</w:t>
            </w:r>
          </w:p>
        </w:tc>
        <w:tc>
          <w:tcPr>
            <w:tcW w:w="0" w:type="dxa"/>
            <w:vAlign w:val="bottom"/>
          </w:tcPr>
          <w:p>
            <w:pPr>
              <w:spacing w:after="0"/>
              <w:rPr>
                <w:sz w:val="1"/>
                <w:szCs w:val="1"/>
                <w:color w:val="auto"/>
              </w:rPr>
            </w:pPr>
          </w:p>
        </w:tc>
      </w:tr>
      <w:tr>
        <w:trPr>
          <w:trHeight w:val="119"/>
        </w:trPr>
        <w:tc>
          <w:tcPr>
            <w:tcW w:w="920" w:type="dxa"/>
            <w:vAlign w:val="bottom"/>
          </w:tcPr>
          <w:p>
            <w:pPr>
              <w:ind w:left="320"/>
              <w:spacing w:after="0" w:line="120" w:lineRule="exact"/>
              <w:rPr>
                <w:sz w:val="20"/>
                <w:szCs w:val="20"/>
                <w:color w:val="auto"/>
              </w:rPr>
            </w:pPr>
            <w:r>
              <w:rPr>
                <w:rFonts w:ascii="Arial" w:cs="Arial" w:eastAsia="Arial" w:hAnsi="Arial"/>
                <w:sz w:val="12"/>
                <w:szCs w:val="12"/>
                <w:color w:val="auto"/>
              </w:rPr>
              <w:t>Middle-</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320"/>
              <w:spacing w:after="0"/>
              <w:rPr>
                <w:sz w:val="20"/>
                <w:szCs w:val="20"/>
                <w:color w:val="auto"/>
              </w:rPr>
            </w:pPr>
            <w:r>
              <w:rPr>
                <w:rFonts w:ascii="Arial" w:cs="Arial" w:eastAsia="Arial" w:hAnsi="Arial"/>
                <w:sz w:val="12"/>
                <w:szCs w:val="12"/>
                <w:color w:val="auto"/>
              </w:rPr>
              <w:t>Market</w:t>
            </w: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8,295</w:t>
            </w: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8,546</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11,962</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9,105</w:t>
            </w:r>
          </w:p>
        </w:tc>
        <w:tc>
          <w:tcPr>
            <w:tcW w:w="10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40.0%</w:t>
            </w:r>
          </w:p>
        </w:tc>
        <w:tc>
          <w:tcPr>
            <w:tcW w:w="10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44.2%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6.5%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9.8%</w:t>
            </w:r>
          </w:p>
        </w:tc>
        <w:tc>
          <w:tcPr>
            <w:tcW w:w="800" w:type="dxa"/>
            <w:vAlign w:val="bottom"/>
            <w:gridSpan w:val="3"/>
          </w:tcPr>
          <w:p>
            <w:pPr>
              <w:jc w:val="right"/>
              <w:ind w:right="180"/>
              <w:spacing w:after="0"/>
              <w:rPr>
                <w:sz w:val="20"/>
                <w:szCs w:val="20"/>
                <w:color w:val="auto"/>
              </w:rPr>
            </w:pPr>
            <w:r>
              <w:rPr>
                <w:rFonts w:ascii="Arial" w:cs="Arial" w:eastAsia="Arial" w:hAnsi="Arial"/>
                <w:sz w:val="12"/>
                <w:szCs w:val="12"/>
                <w:color w:val="auto"/>
              </w:rPr>
              <w:t>2,867</w:t>
            </w:r>
          </w:p>
        </w:tc>
        <w:tc>
          <w:tcPr>
            <w:tcW w:w="520" w:type="dxa"/>
            <w:vAlign w:val="bottom"/>
          </w:tcPr>
          <w:p>
            <w:pPr>
              <w:jc w:val="right"/>
              <w:spacing w:after="0"/>
              <w:rPr>
                <w:sz w:val="20"/>
                <w:szCs w:val="20"/>
                <w:color w:val="auto"/>
              </w:rPr>
            </w:pPr>
            <w:r>
              <w:rPr>
                <w:rFonts w:ascii="Arial" w:cs="Arial" w:eastAsia="Arial" w:hAnsi="Arial"/>
                <w:sz w:val="12"/>
                <w:szCs w:val="12"/>
                <w:color w:val="auto"/>
              </w:rPr>
              <w:t>2,914</w:t>
            </w:r>
          </w:p>
        </w:tc>
        <w:tc>
          <w:tcPr>
            <w:tcW w:w="18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2,886</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-0.9%</w:t>
            </w:r>
          </w:p>
        </w:tc>
        <w:tc>
          <w:tcPr>
            <w:tcW w:w="720" w:type="dxa"/>
            <w:vAlign w:val="bottom"/>
            <w:gridSpan w:val="4"/>
          </w:tcPr>
          <w:p>
            <w:pPr>
              <w:jc w:val="right"/>
              <w:ind w:right="20"/>
              <w:spacing w:after="0"/>
              <w:rPr>
                <w:sz w:val="20"/>
                <w:szCs w:val="20"/>
                <w:color w:val="auto"/>
              </w:rPr>
            </w:pPr>
            <w:r>
              <w:rPr>
                <w:rFonts w:ascii="Arial" w:cs="Arial" w:eastAsia="Arial" w:hAnsi="Arial"/>
                <w:sz w:val="12"/>
                <w:szCs w:val="12"/>
                <w:color w:val="auto"/>
              </w:rPr>
              <w:t>0.7%</w:t>
            </w:r>
          </w:p>
        </w:tc>
        <w:tc>
          <w:tcPr>
            <w:tcW w:w="840" w:type="dxa"/>
            <w:vAlign w:val="bottom"/>
            <w:gridSpan w:val="3"/>
          </w:tcPr>
          <w:p>
            <w:pPr>
              <w:jc w:val="right"/>
              <w:ind w:right="120"/>
              <w:spacing w:after="0"/>
              <w:rPr>
                <w:sz w:val="20"/>
                <w:szCs w:val="20"/>
                <w:color w:val="auto"/>
              </w:rPr>
            </w:pPr>
            <w:r>
              <w:rPr>
                <w:rFonts w:ascii="Arial" w:cs="Arial" w:eastAsia="Arial" w:hAnsi="Arial"/>
                <w:sz w:val="12"/>
                <w:szCs w:val="12"/>
                <w:color w:val="auto"/>
              </w:rPr>
              <w:t>54.6%</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45.4%</w:t>
            </w:r>
          </w:p>
        </w:tc>
        <w:tc>
          <w:tcPr>
            <w:tcW w:w="0" w:type="dxa"/>
            <w:vAlign w:val="bottom"/>
          </w:tcPr>
          <w:p>
            <w:pPr>
              <w:spacing w:after="0"/>
              <w:rPr>
                <w:sz w:val="1"/>
                <w:szCs w:val="1"/>
                <w:color w:val="auto"/>
              </w:rPr>
            </w:pPr>
          </w:p>
        </w:tc>
      </w:tr>
      <w:tr>
        <w:trPr>
          <w:trHeight w:val="115"/>
        </w:trPr>
        <w:tc>
          <w:tcPr>
            <w:tcW w:w="920" w:type="dxa"/>
            <w:vAlign w:val="bottom"/>
            <w:shd w:val="clear" w:color="auto" w:fill="CCEEFF"/>
          </w:tcPr>
          <w:p>
            <w:pPr>
              <w:ind w:left="160"/>
              <w:spacing w:after="0" w:line="115" w:lineRule="exact"/>
              <w:rPr>
                <w:sz w:val="20"/>
                <w:szCs w:val="20"/>
                <w:color w:val="auto"/>
              </w:rPr>
            </w:pPr>
            <w:r>
              <w:rPr>
                <w:rFonts w:ascii="Arial" w:cs="Arial" w:eastAsia="Arial" w:hAnsi="Arial"/>
                <w:sz w:val="12"/>
                <w:szCs w:val="12"/>
                <w:b w:val="1"/>
                <w:bCs w:val="1"/>
                <w:color w:val="auto"/>
              </w:rPr>
              <w:t>Retail</w:t>
            </w: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20" w:type="dxa"/>
            <w:vAlign w:val="bottom"/>
            <w:shd w:val="clear" w:color="auto" w:fill="CCEEFF"/>
          </w:tcPr>
          <w:p>
            <w:pPr>
              <w:ind w:left="160"/>
              <w:spacing w:after="0"/>
              <w:rPr>
                <w:sz w:val="20"/>
                <w:szCs w:val="20"/>
                <w:color w:val="auto"/>
              </w:rPr>
            </w:pPr>
            <w:r>
              <w:rPr>
                <w:rFonts w:ascii="Arial" w:cs="Arial" w:eastAsia="Arial" w:hAnsi="Arial"/>
                <w:sz w:val="12"/>
                <w:szCs w:val="12"/>
                <w:b w:val="1"/>
                <w:bCs w:val="1"/>
                <w:color w:val="auto"/>
              </w:rPr>
              <w:t>Banking</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36,289</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40,122</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43,649</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39,569</w:t>
            </w: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8.8%</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20.3%</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-1.4%</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9.0%</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2,246</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2,136</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2,036</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-4.7%</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2"/>
                <w:szCs w:val="12"/>
                <w:b w:val="1"/>
                <w:bCs w:val="1"/>
                <w:color w:val="auto"/>
              </w:rPr>
              <w:t>-9.3%</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86.1%</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13.9%</w:t>
            </w:r>
          </w:p>
        </w:tc>
        <w:tc>
          <w:tcPr>
            <w:tcW w:w="0" w:type="dxa"/>
            <w:vAlign w:val="bottom"/>
          </w:tcPr>
          <w:p>
            <w:pPr>
              <w:spacing w:after="0"/>
              <w:rPr>
                <w:sz w:val="1"/>
                <w:szCs w:val="1"/>
                <w:color w:val="auto"/>
              </w:rPr>
            </w:pPr>
          </w:p>
        </w:tc>
      </w:tr>
      <w:tr>
        <w:trPr>
          <w:trHeight w:val="119"/>
        </w:trPr>
        <w:tc>
          <w:tcPr>
            <w:tcW w:w="920" w:type="dxa"/>
            <w:vAlign w:val="bottom"/>
          </w:tcPr>
          <w:p>
            <w:pPr>
              <w:ind w:left="320"/>
              <w:spacing w:after="0" w:line="120" w:lineRule="exact"/>
              <w:rPr>
                <w:sz w:val="20"/>
                <w:szCs w:val="20"/>
                <w:color w:val="auto"/>
              </w:rPr>
            </w:pPr>
            <w:r>
              <w:rPr>
                <w:rFonts w:ascii="Arial" w:cs="Arial" w:eastAsia="Arial" w:hAnsi="Arial"/>
                <w:sz w:val="12"/>
                <w:szCs w:val="12"/>
                <w:color w:val="auto"/>
              </w:rPr>
              <w:t>SME -</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shd w:val="clear" w:color="auto" w:fill="BFD9F1"/>
          </w:tcPr>
          <w:p>
            <w:pPr>
              <w:spacing w:after="0"/>
              <w:rPr>
                <w:sz w:val="10"/>
                <w:szCs w:val="10"/>
                <w:color w:val="auto"/>
              </w:rPr>
            </w:pPr>
          </w:p>
        </w:tc>
        <w:tc>
          <w:tcPr>
            <w:tcW w:w="120" w:type="dxa"/>
            <w:vAlign w:val="bottom"/>
            <w:shd w:val="clear" w:color="auto" w:fill="BFD9F1"/>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shd w:val="clear" w:color="auto" w:fill="BFD9F1"/>
          </w:tcPr>
          <w:p>
            <w:pPr>
              <w:spacing w:after="0"/>
              <w:rPr>
                <w:sz w:val="10"/>
                <w:szCs w:val="10"/>
                <w:color w:val="auto"/>
              </w:rPr>
            </w:pPr>
          </w:p>
        </w:tc>
        <w:tc>
          <w:tcPr>
            <w:tcW w:w="140" w:type="dxa"/>
            <w:vAlign w:val="bottom"/>
            <w:shd w:val="clear" w:color="auto" w:fill="BFD9F1"/>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320"/>
              <w:spacing w:after="0"/>
              <w:rPr>
                <w:sz w:val="20"/>
                <w:szCs w:val="20"/>
                <w:color w:val="auto"/>
              </w:rPr>
            </w:pPr>
            <w:r>
              <w:rPr>
                <w:rFonts w:ascii="Arial" w:cs="Arial" w:eastAsia="Arial" w:hAnsi="Arial"/>
                <w:sz w:val="12"/>
                <w:szCs w:val="12"/>
                <w:color w:val="auto"/>
              </w:rPr>
              <w:t>Business</w:t>
            </w: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2,542</w:t>
            </w: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2,624</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4,740</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2,470</w:t>
            </w:r>
          </w:p>
        </w:tc>
        <w:tc>
          <w:tcPr>
            <w:tcW w:w="100" w:type="dxa"/>
            <w:vAlign w:val="bottom"/>
          </w:tcPr>
          <w:p>
            <w:pPr>
              <w:spacing w:after="0"/>
              <w:rPr>
                <w:sz w:val="12"/>
                <w:szCs w:val="12"/>
                <w:color w:val="auto"/>
              </w:rPr>
            </w:pPr>
          </w:p>
        </w:tc>
        <w:tc>
          <w:tcPr>
            <w:tcW w:w="520" w:type="dxa"/>
            <w:vAlign w:val="bottom"/>
            <w:gridSpan w:val="2"/>
            <w:shd w:val="clear" w:color="auto" w:fill="BFD9F1"/>
          </w:tcPr>
          <w:p>
            <w:pPr>
              <w:jc w:val="right"/>
              <w:ind w:right="20"/>
              <w:spacing w:after="0"/>
              <w:rPr>
                <w:sz w:val="20"/>
                <w:szCs w:val="20"/>
                <w:color w:val="auto"/>
              </w:rPr>
            </w:pPr>
            <w:r>
              <w:rPr>
                <w:rFonts w:ascii="Arial" w:cs="Arial" w:eastAsia="Arial" w:hAnsi="Arial"/>
                <w:sz w:val="12"/>
                <w:szCs w:val="12"/>
                <w:color w:val="auto"/>
              </w:rPr>
              <w:t>80.6%</w:t>
            </w:r>
          </w:p>
        </w:tc>
        <w:tc>
          <w:tcPr>
            <w:tcW w:w="100" w:type="dxa"/>
            <w:vAlign w:val="bottom"/>
          </w:tcPr>
          <w:p>
            <w:pPr>
              <w:spacing w:after="0"/>
              <w:rPr>
                <w:sz w:val="12"/>
                <w:szCs w:val="12"/>
                <w:color w:val="auto"/>
              </w:rPr>
            </w:pPr>
          </w:p>
        </w:tc>
        <w:tc>
          <w:tcPr>
            <w:tcW w:w="540" w:type="dxa"/>
            <w:vAlign w:val="bottom"/>
            <w:gridSpan w:val="2"/>
            <w:shd w:val="clear" w:color="auto" w:fill="BFD9F1"/>
          </w:tcPr>
          <w:p>
            <w:pPr>
              <w:jc w:val="right"/>
              <w:ind w:right="40"/>
              <w:spacing w:after="0"/>
              <w:rPr>
                <w:sz w:val="20"/>
                <w:szCs w:val="20"/>
                <w:color w:val="auto"/>
              </w:rPr>
            </w:pPr>
            <w:r>
              <w:rPr>
                <w:rFonts w:ascii="Arial" w:cs="Arial" w:eastAsia="Arial" w:hAnsi="Arial"/>
                <w:sz w:val="12"/>
                <w:szCs w:val="12"/>
                <w:color w:val="auto"/>
              </w:rPr>
              <w:t>86.5%</w:t>
            </w:r>
          </w:p>
        </w:tc>
        <w:tc>
          <w:tcPr>
            <w:tcW w:w="720" w:type="dxa"/>
            <w:vAlign w:val="bottom"/>
            <w:gridSpan w:val="4"/>
          </w:tcPr>
          <w:p>
            <w:pPr>
              <w:jc w:val="right"/>
              <w:ind w:right="40"/>
              <w:spacing w:after="0"/>
              <w:rPr>
                <w:sz w:val="20"/>
                <w:szCs w:val="20"/>
                <w:color w:val="auto"/>
              </w:rPr>
            </w:pPr>
            <w:r>
              <w:rPr>
                <w:rFonts w:ascii="Arial" w:cs="Arial" w:eastAsia="Arial" w:hAnsi="Arial"/>
                <w:sz w:val="12"/>
                <w:szCs w:val="12"/>
                <w:color w:val="auto"/>
              </w:rPr>
              <w:t>-5.9%</w:t>
            </w:r>
          </w:p>
        </w:tc>
        <w:tc>
          <w:tcPr>
            <w:tcW w:w="720" w:type="dxa"/>
            <w:vAlign w:val="bottom"/>
            <w:gridSpan w:val="4"/>
          </w:tcPr>
          <w:p>
            <w:pPr>
              <w:jc w:val="right"/>
              <w:ind w:right="40"/>
              <w:spacing w:after="0"/>
              <w:rPr>
                <w:sz w:val="20"/>
                <w:szCs w:val="20"/>
                <w:color w:val="auto"/>
              </w:rPr>
            </w:pPr>
            <w:r>
              <w:rPr>
                <w:rFonts w:ascii="Arial" w:cs="Arial" w:eastAsia="Arial" w:hAnsi="Arial"/>
                <w:sz w:val="12"/>
                <w:szCs w:val="12"/>
                <w:color w:val="auto"/>
              </w:rPr>
              <w:t>-2.8%</w:t>
            </w:r>
          </w:p>
        </w:tc>
        <w:tc>
          <w:tcPr>
            <w:tcW w:w="800" w:type="dxa"/>
            <w:vAlign w:val="bottom"/>
            <w:gridSpan w:val="3"/>
          </w:tcPr>
          <w:p>
            <w:pPr>
              <w:jc w:val="right"/>
              <w:ind w:right="180"/>
              <w:spacing w:after="0"/>
              <w:rPr>
                <w:sz w:val="20"/>
                <w:szCs w:val="20"/>
                <w:color w:val="auto"/>
              </w:rPr>
            </w:pPr>
            <w:r>
              <w:rPr>
                <w:rFonts w:ascii="Arial" w:cs="Arial" w:eastAsia="Arial" w:hAnsi="Arial"/>
                <w:sz w:val="12"/>
                <w:szCs w:val="12"/>
                <w:color w:val="auto"/>
              </w:rPr>
              <w:t>843</w:t>
            </w: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828</w:t>
            </w: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810</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-2.2%</w:t>
            </w:r>
          </w:p>
        </w:tc>
        <w:tc>
          <w:tcPr>
            <w:tcW w:w="720" w:type="dxa"/>
            <w:vAlign w:val="bottom"/>
            <w:gridSpan w:val="4"/>
          </w:tcPr>
          <w:p>
            <w:pPr>
              <w:jc w:val="right"/>
              <w:ind w:right="20"/>
              <w:spacing w:after="0"/>
              <w:rPr>
                <w:sz w:val="20"/>
                <w:szCs w:val="20"/>
                <w:color w:val="auto"/>
              </w:rPr>
            </w:pPr>
            <w:r>
              <w:rPr>
                <w:rFonts w:ascii="Arial" w:cs="Arial" w:eastAsia="Arial" w:hAnsi="Arial"/>
                <w:sz w:val="12"/>
                <w:szCs w:val="12"/>
                <w:color w:val="auto"/>
              </w:rPr>
              <w:t>-3.9%</w:t>
            </w:r>
          </w:p>
        </w:tc>
        <w:tc>
          <w:tcPr>
            <w:tcW w:w="840" w:type="dxa"/>
            <w:vAlign w:val="bottom"/>
            <w:gridSpan w:val="3"/>
          </w:tcPr>
          <w:p>
            <w:pPr>
              <w:jc w:val="right"/>
              <w:ind w:right="120"/>
              <w:spacing w:after="0"/>
              <w:rPr>
                <w:sz w:val="20"/>
                <w:szCs w:val="20"/>
                <w:color w:val="auto"/>
              </w:rPr>
            </w:pPr>
            <w:r>
              <w:rPr>
                <w:rFonts w:ascii="Arial" w:cs="Arial" w:eastAsia="Arial" w:hAnsi="Arial"/>
                <w:sz w:val="12"/>
                <w:szCs w:val="12"/>
                <w:color w:val="auto"/>
              </w:rPr>
              <w:t>62.9%</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37.1%</w:t>
            </w:r>
          </w:p>
        </w:tc>
        <w:tc>
          <w:tcPr>
            <w:tcW w:w="0" w:type="dxa"/>
            <w:vAlign w:val="bottom"/>
          </w:tcPr>
          <w:p>
            <w:pPr>
              <w:spacing w:after="0"/>
              <w:rPr>
                <w:sz w:val="1"/>
                <w:szCs w:val="1"/>
                <w:color w:val="auto"/>
              </w:rPr>
            </w:pPr>
          </w:p>
        </w:tc>
      </w:tr>
      <w:tr>
        <w:trPr>
          <w:trHeight w:val="119"/>
        </w:trPr>
        <w:tc>
          <w:tcPr>
            <w:tcW w:w="920" w:type="dxa"/>
            <w:vAlign w:val="bottom"/>
            <w:shd w:val="clear" w:color="auto" w:fill="CCEEFF"/>
          </w:tcPr>
          <w:p>
            <w:pPr>
              <w:ind w:left="320"/>
              <w:spacing w:after="0" w:line="120" w:lineRule="exact"/>
              <w:rPr>
                <w:sz w:val="20"/>
                <w:szCs w:val="20"/>
                <w:color w:val="auto"/>
              </w:rPr>
            </w:pPr>
            <w:r>
              <w:rPr>
                <w:rFonts w:ascii="Arial" w:cs="Arial" w:eastAsia="Arial" w:hAnsi="Arial"/>
                <w:sz w:val="12"/>
                <w:szCs w:val="12"/>
                <w:color w:val="auto"/>
              </w:rPr>
              <w:t>SME -</w:t>
            </w: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Pyme</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9,324</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10,104</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11,700</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9,891</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15.8%</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25.5%</w:t>
            </w: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2"/>
                <w:szCs w:val="12"/>
                <w:color w:val="auto"/>
              </w:rPr>
              <w:t>-2.1%</w:t>
            </w: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2"/>
                <w:szCs w:val="12"/>
                <w:color w:val="auto"/>
              </w:rPr>
              <w:t>6.1%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66</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0.0%</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2"/>
                <w:szCs w:val="12"/>
                <w:color w:val="auto"/>
              </w:rPr>
              <w:t>-6.4%</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98.1%</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33"/>
        </w:trPr>
        <w:tc>
          <w:tcPr>
            <w:tcW w:w="920" w:type="dxa"/>
            <w:vAlign w:val="bottom"/>
          </w:tcPr>
          <w:p>
            <w:pPr>
              <w:ind w:left="320"/>
              <w:spacing w:after="0" w:line="134" w:lineRule="exact"/>
              <w:rPr>
                <w:sz w:val="20"/>
                <w:szCs w:val="20"/>
                <w:color w:val="auto"/>
              </w:rPr>
            </w:pPr>
            <w:r>
              <w:rPr>
                <w:rFonts w:ascii="Arial" w:cs="Arial" w:eastAsia="Arial" w:hAnsi="Arial"/>
                <w:sz w:val="12"/>
                <w:szCs w:val="12"/>
                <w:color w:val="auto"/>
              </w:rPr>
              <w:t>Mortgage</w:t>
            </w:r>
          </w:p>
        </w:tc>
        <w:tc>
          <w:tcPr>
            <w:tcW w:w="68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13,008</w:t>
            </w:r>
          </w:p>
        </w:tc>
        <w:tc>
          <w:tcPr>
            <w:tcW w:w="60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14,698</w:t>
            </w:r>
          </w:p>
        </w:tc>
        <w:tc>
          <w:tcPr>
            <w:tcW w:w="52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14,794</w:t>
            </w:r>
          </w:p>
        </w:tc>
        <w:tc>
          <w:tcPr>
            <w:tcW w:w="7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14,794</w:t>
            </w:r>
          </w:p>
        </w:tc>
        <w:tc>
          <w:tcPr>
            <w:tcW w:w="100" w:type="dxa"/>
            <w:vAlign w:val="bottom"/>
          </w:tcPr>
          <w:p>
            <w:pPr>
              <w:spacing w:after="0"/>
              <w:rPr>
                <w:sz w:val="11"/>
                <w:szCs w:val="11"/>
                <w:color w:val="auto"/>
              </w:rPr>
            </w:pPr>
          </w:p>
        </w:tc>
        <w:tc>
          <w:tcPr>
            <w:tcW w:w="52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0.7%</w:t>
            </w:r>
          </w:p>
        </w:tc>
        <w:tc>
          <w:tcPr>
            <w:tcW w:w="100" w:type="dxa"/>
            <w:vAlign w:val="bottom"/>
          </w:tcPr>
          <w:p>
            <w:pPr>
              <w:spacing w:after="0"/>
              <w:rPr>
                <w:sz w:val="11"/>
                <w:szCs w:val="11"/>
                <w:color w:val="auto"/>
              </w:rPr>
            </w:pPr>
          </w:p>
        </w:tc>
        <w:tc>
          <w:tcPr>
            <w:tcW w:w="54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13.7%</w:t>
            </w:r>
          </w:p>
        </w:tc>
        <w:tc>
          <w:tcPr>
            <w:tcW w:w="720" w:type="dxa"/>
            <w:vAlign w:val="bottom"/>
            <w:gridSpan w:val="4"/>
          </w:tcPr>
          <w:p>
            <w:pPr>
              <w:jc w:val="right"/>
              <w:ind w:right="40"/>
              <w:spacing w:after="0" w:line="134" w:lineRule="exact"/>
              <w:rPr>
                <w:sz w:val="20"/>
                <w:szCs w:val="20"/>
                <w:color w:val="auto"/>
              </w:rPr>
            </w:pPr>
            <w:r>
              <w:rPr>
                <w:rFonts w:ascii="Arial" w:cs="Arial" w:eastAsia="Arial" w:hAnsi="Arial"/>
                <w:sz w:val="12"/>
                <w:szCs w:val="12"/>
                <w:color w:val="auto"/>
              </w:rPr>
              <w:t>0.7%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shd w:val="clear" w:color="auto" w:fill="BFD9F1"/>
          </w:tcPr>
          <w:p>
            <w:pPr>
              <w:jc w:val="right"/>
              <w:ind w:right="40"/>
              <w:spacing w:after="0" w:line="134" w:lineRule="exact"/>
              <w:rPr>
                <w:sz w:val="20"/>
                <w:szCs w:val="20"/>
                <w:color w:val="auto"/>
              </w:rPr>
            </w:pPr>
            <w:r>
              <w:rPr>
                <w:rFonts w:ascii="Arial" w:cs="Arial" w:eastAsia="Arial" w:hAnsi="Arial"/>
                <w:sz w:val="12"/>
                <w:szCs w:val="12"/>
                <w:color w:val="auto"/>
              </w:rPr>
              <w:t>13.7%</w:t>
            </w:r>
          </w:p>
        </w:tc>
        <w:tc>
          <w:tcPr>
            <w:tcW w:w="800" w:type="dxa"/>
            <w:vAlign w:val="bottom"/>
            <w:gridSpan w:val="3"/>
          </w:tcPr>
          <w:p>
            <w:pPr>
              <w:jc w:val="right"/>
              <w:ind w:right="180"/>
              <w:spacing w:after="0" w:line="134" w:lineRule="exact"/>
              <w:rPr>
                <w:sz w:val="20"/>
                <w:szCs w:val="20"/>
                <w:color w:val="auto"/>
              </w:rPr>
            </w:pPr>
            <w:r>
              <w:rPr>
                <w:rFonts w:ascii="Arial" w:cs="Arial" w:eastAsia="Arial" w:hAnsi="Arial"/>
                <w:sz w:val="12"/>
                <w:szCs w:val="12"/>
                <w:color w:val="auto"/>
              </w:rPr>
              <w:t>762</w:t>
            </w:r>
          </w:p>
        </w:tc>
        <w:tc>
          <w:tcPr>
            <w:tcW w:w="70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646</w:t>
            </w:r>
          </w:p>
        </w:tc>
        <w:tc>
          <w:tcPr>
            <w:tcW w:w="72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622</w:t>
            </w:r>
          </w:p>
        </w:tc>
        <w:tc>
          <w:tcPr>
            <w:tcW w:w="80" w:type="dxa"/>
            <w:vAlign w:val="bottom"/>
          </w:tcPr>
          <w:p>
            <w:pPr>
              <w:spacing w:after="0"/>
              <w:rPr>
                <w:sz w:val="11"/>
                <w:szCs w:val="11"/>
                <w:color w:val="auto"/>
              </w:rPr>
            </w:pPr>
          </w:p>
        </w:tc>
        <w:tc>
          <w:tcPr>
            <w:tcW w:w="56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-3.7%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shd w:val="clear" w:color="auto" w:fill="FCD5B4"/>
          </w:tcPr>
          <w:p>
            <w:pPr>
              <w:jc w:val="right"/>
              <w:ind w:right="20"/>
              <w:spacing w:after="0" w:line="134" w:lineRule="exact"/>
              <w:rPr>
                <w:sz w:val="20"/>
                <w:szCs w:val="20"/>
                <w:color w:val="auto"/>
              </w:rPr>
            </w:pPr>
            <w:r>
              <w:rPr>
                <w:rFonts w:ascii="Arial" w:cs="Arial" w:eastAsia="Arial" w:hAnsi="Arial"/>
                <w:sz w:val="12"/>
                <w:szCs w:val="12"/>
                <w:color w:val="auto"/>
              </w:rPr>
              <w:t>-18.4%</w:t>
            </w:r>
          </w:p>
        </w:tc>
        <w:tc>
          <w:tcPr>
            <w:tcW w:w="840" w:type="dxa"/>
            <w:vAlign w:val="bottom"/>
            <w:gridSpan w:val="3"/>
          </w:tcPr>
          <w:p>
            <w:pPr>
              <w:jc w:val="right"/>
              <w:ind w:right="120"/>
              <w:spacing w:after="0" w:line="134" w:lineRule="exact"/>
              <w:rPr>
                <w:sz w:val="20"/>
                <w:szCs w:val="20"/>
                <w:color w:val="auto"/>
              </w:rPr>
            </w:pPr>
            <w:r>
              <w:rPr>
                <w:rFonts w:ascii="Arial" w:cs="Arial" w:eastAsia="Arial" w:hAnsi="Arial"/>
                <w:sz w:val="12"/>
                <w:szCs w:val="12"/>
                <w:color w:val="auto"/>
              </w:rPr>
              <w:t>87.3%</w:t>
            </w:r>
          </w:p>
        </w:tc>
        <w:tc>
          <w:tcPr>
            <w:tcW w:w="100" w:type="dxa"/>
            <w:vAlign w:val="bottom"/>
          </w:tcPr>
          <w:p>
            <w:pPr>
              <w:spacing w:after="0"/>
              <w:rPr>
                <w:sz w:val="11"/>
                <w:szCs w:val="11"/>
                <w:color w:val="auto"/>
              </w:rPr>
            </w:pPr>
          </w:p>
        </w:tc>
        <w:tc>
          <w:tcPr>
            <w:tcW w:w="56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33"/>
        </w:trPr>
        <w:tc>
          <w:tcPr>
            <w:tcW w:w="920" w:type="dxa"/>
            <w:vAlign w:val="bottom"/>
            <w:shd w:val="clear" w:color="auto" w:fill="CCEEFF"/>
          </w:tcPr>
          <w:p>
            <w:pPr>
              <w:ind w:left="320"/>
              <w:spacing w:after="0" w:line="134" w:lineRule="exact"/>
              <w:rPr>
                <w:sz w:val="20"/>
                <w:szCs w:val="20"/>
                <w:color w:val="auto"/>
              </w:rPr>
            </w:pPr>
            <w:r>
              <w:rPr>
                <w:rFonts w:ascii="Arial" w:cs="Arial" w:eastAsia="Arial" w:hAnsi="Arial"/>
                <w:sz w:val="12"/>
                <w:szCs w:val="12"/>
                <w:color w:val="auto"/>
              </w:rPr>
              <w:t>Consumer</w:t>
            </w:r>
          </w:p>
        </w:tc>
        <w:tc>
          <w:tcPr>
            <w:tcW w:w="68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6,732</w:t>
            </w:r>
          </w:p>
        </w:tc>
        <w:tc>
          <w:tcPr>
            <w:tcW w:w="60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7,763</w:t>
            </w:r>
          </w:p>
        </w:tc>
        <w:tc>
          <w:tcPr>
            <w:tcW w:w="5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7,899</w:t>
            </w:r>
          </w:p>
        </w:tc>
        <w:tc>
          <w:tcPr>
            <w:tcW w:w="7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7,899</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1.7%</w:t>
            </w:r>
          </w:p>
        </w:tc>
        <w:tc>
          <w:tcPr>
            <w:tcW w:w="640" w:type="dxa"/>
            <w:vAlign w:val="bottom"/>
            <w:gridSpan w:val="3"/>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17.3%</w:t>
            </w:r>
          </w:p>
        </w:tc>
        <w:tc>
          <w:tcPr>
            <w:tcW w:w="720" w:type="dxa"/>
            <w:vAlign w:val="bottom"/>
            <w:gridSpan w:val="4"/>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17.3%</w:t>
            </w:r>
          </w:p>
        </w:tc>
        <w:tc>
          <w:tcPr>
            <w:tcW w:w="800" w:type="dxa"/>
            <w:vAlign w:val="bottom"/>
            <w:gridSpan w:val="3"/>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345</w:t>
            </w:r>
          </w:p>
        </w:tc>
        <w:tc>
          <w:tcPr>
            <w:tcW w:w="7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357</w:t>
            </w:r>
          </w:p>
        </w:tc>
        <w:tc>
          <w:tcPr>
            <w:tcW w:w="72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353</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-1.0%</w:t>
            </w:r>
          </w:p>
        </w:tc>
        <w:tc>
          <w:tcPr>
            <w:tcW w:w="720" w:type="dxa"/>
            <w:vAlign w:val="bottom"/>
            <w:gridSpan w:val="4"/>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2.4%</w:t>
            </w:r>
          </w:p>
        </w:tc>
        <w:tc>
          <w:tcPr>
            <w:tcW w:w="840" w:type="dxa"/>
            <w:vAlign w:val="bottom"/>
            <w:gridSpan w:val="3"/>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86.6%</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119"/>
        </w:trPr>
        <w:tc>
          <w:tcPr>
            <w:tcW w:w="920" w:type="dxa"/>
            <w:vAlign w:val="bottom"/>
          </w:tcPr>
          <w:p>
            <w:pPr>
              <w:ind w:left="320"/>
              <w:spacing w:after="0" w:line="120" w:lineRule="exact"/>
              <w:rPr>
                <w:sz w:val="20"/>
                <w:szCs w:val="20"/>
                <w:color w:val="auto"/>
              </w:rPr>
            </w:pPr>
            <w:r>
              <w:rPr>
                <w:rFonts w:ascii="Arial" w:cs="Arial" w:eastAsia="Arial" w:hAnsi="Arial"/>
                <w:sz w:val="12"/>
                <w:szCs w:val="12"/>
                <w:color w:val="auto"/>
              </w:rPr>
              <w:t>Credit</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shd w:val="clear" w:color="auto" w:fill="FCD5B4"/>
          </w:tcPr>
          <w:p>
            <w:pPr>
              <w:spacing w:after="0"/>
              <w:rPr>
                <w:sz w:val="10"/>
                <w:szCs w:val="10"/>
                <w:color w:val="auto"/>
              </w:rPr>
            </w:pPr>
          </w:p>
        </w:tc>
        <w:tc>
          <w:tcPr>
            <w:tcW w:w="120" w:type="dxa"/>
            <w:vAlign w:val="bottom"/>
            <w:shd w:val="clear" w:color="auto" w:fill="FCD5B4"/>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shd w:val="clear" w:color="auto" w:fill="FCD5B4"/>
          </w:tcPr>
          <w:p>
            <w:pPr>
              <w:spacing w:after="0"/>
              <w:rPr>
                <w:sz w:val="10"/>
                <w:szCs w:val="10"/>
                <w:color w:val="auto"/>
              </w:rPr>
            </w:pPr>
          </w:p>
        </w:tc>
        <w:tc>
          <w:tcPr>
            <w:tcW w:w="140" w:type="dxa"/>
            <w:vAlign w:val="bottom"/>
            <w:shd w:val="clear" w:color="auto" w:fill="FCD5B4"/>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shd w:val="clear" w:color="auto" w:fill="FCD5B4"/>
          </w:tcPr>
          <w:p>
            <w:pPr>
              <w:spacing w:after="0"/>
              <w:rPr>
                <w:sz w:val="10"/>
                <w:szCs w:val="10"/>
                <w:color w:val="auto"/>
              </w:rPr>
            </w:pPr>
          </w:p>
        </w:tc>
        <w:tc>
          <w:tcPr>
            <w:tcW w:w="140" w:type="dxa"/>
            <w:vAlign w:val="bottom"/>
            <w:shd w:val="clear" w:color="auto" w:fill="FCD5B4"/>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shd w:val="clear" w:color="auto" w:fill="FCD5B4"/>
          </w:tcPr>
          <w:p>
            <w:pPr>
              <w:spacing w:after="0"/>
              <w:rPr>
                <w:sz w:val="10"/>
                <w:szCs w:val="10"/>
                <w:color w:val="auto"/>
              </w:rPr>
            </w:pPr>
          </w:p>
        </w:tc>
        <w:tc>
          <w:tcPr>
            <w:tcW w:w="140" w:type="dxa"/>
            <w:vAlign w:val="bottom"/>
            <w:shd w:val="clear" w:color="auto" w:fill="FCD5B4"/>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320"/>
              <w:spacing w:after="0"/>
              <w:rPr>
                <w:sz w:val="20"/>
                <w:szCs w:val="20"/>
                <w:color w:val="auto"/>
              </w:rPr>
            </w:pPr>
            <w:r>
              <w:rPr>
                <w:rFonts w:ascii="Arial" w:cs="Arial" w:eastAsia="Arial" w:hAnsi="Arial"/>
                <w:sz w:val="12"/>
                <w:szCs w:val="12"/>
                <w:color w:val="auto"/>
              </w:rPr>
              <w:t>Card</w:t>
            </w: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4,684</w:t>
            </w: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4,932</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4,515</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4,515</w:t>
            </w:r>
          </w:p>
        </w:tc>
        <w:tc>
          <w:tcPr>
            <w:tcW w:w="100" w:type="dxa"/>
            <w:vAlign w:val="bottom"/>
          </w:tcPr>
          <w:p>
            <w:pPr>
              <w:spacing w:after="0"/>
              <w:rPr>
                <w:sz w:val="12"/>
                <w:szCs w:val="12"/>
                <w:color w:val="auto"/>
              </w:rPr>
            </w:pPr>
          </w:p>
        </w:tc>
        <w:tc>
          <w:tcPr>
            <w:tcW w:w="520" w:type="dxa"/>
            <w:vAlign w:val="bottom"/>
            <w:gridSpan w:val="2"/>
            <w:shd w:val="clear" w:color="auto" w:fill="FCD5B4"/>
          </w:tcPr>
          <w:p>
            <w:pPr>
              <w:jc w:val="right"/>
              <w:ind w:right="20"/>
              <w:spacing w:after="0"/>
              <w:rPr>
                <w:sz w:val="20"/>
                <w:szCs w:val="20"/>
                <w:color w:val="auto"/>
              </w:rPr>
            </w:pPr>
            <w:r>
              <w:rPr>
                <w:rFonts w:ascii="Arial" w:cs="Arial" w:eastAsia="Arial" w:hAnsi="Arial"/>
                <w:sz w:val="12"/>
                <w:szCs w:val="12"/>
                <w:color w:val="auto"/>
              </w:rPr>
              <w:t>-8.4%</w:t>
            </w:r>
          </w:p>
        </w:tc>
        <w:tc>
          <w:tcPr>
            <w:tcW w:w="100" w:type="dxa"/>
            <w:vAlign w:val="bottom"/>
          </w:tcPr>
          <w:p>
            <w:pPr>
              <w:spacing w:after="0"/>
              <w:rPr>
                <w:sz w:val="12"/>
                <w:szCs w:val="12"/>
                <w:color w:val="auto"/>
              </w:rPr>
            </w:pPr>
          </w:p>
        </w:tc>
        <w:tc>
          <w:tcPr>
            <w:tcW w:w="540" w:type="dxa"/>
            <w:vAlign w:val="bottom"/>
            <w:gridSpan w:val="2"/>
            <w:shd w:val="clear" w:color="auto" w:fill="FCD5B4"/>
          </w:tcPr>
          <w:p>
            <w:pPr>
              <w:jc w:val="right"/>
              <w:ind w:right="40"/>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shd w:val="clear" w:color="auto" w:fill="FCD5B4"/>
          </w:tcPr>
          <w:p>
            <w:pPr>
              <w:jc w:val="right"/>
              <w:ind w:right="40"/>
              <w:spacing w:after="0"/>
              <w:rPr>
                <w:sz w:val="20"/>
                <w:szCs w:val="20"/>
                <w:color w:val="auto"/>
              </w:rPr>
            </w:pPr>
            <w:r>
              <w:rPr>
                <w:rFonts w:ascii="Arial" w:cs="Arial" w:eastAsia="Arial" w:hAnsi="Arial"/>
                <w:sz w:val="12"/>
                <w:szCs w:val="12"/>
                <w:color w:val="auto"/>
              </w:rPr>
              <w:t>-8.4%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shd w:val="clear" w:color="auto" w:fill="FCD5B4"/>
          </w:tcPr>
          <w:p>
            <w:pPr>
              <w:jc w:val="right"/>
              <w:ind w:right="40"/>
              <w:spacing w:after="0"/>
              <w:rPr>
                <w:sz w:val="20"/>
                <w:szCs w:val="20"/>
                <w:color w:val="auto"/>
              </w:rPr>
            </w:pPr>
            <w:r>
              <w:rPr>
                <w:rFonts w:ascii="Arial" w:cs="Arial" w:eastAsia="Arial" w:hAnsi="Arial"/>
                <w:sz w:val="12"/>
                <w:szCs w:val="12"/>
                <w:color w:val="auto"/>
              </w:rPr>
              <w:t>-3.6%</w:t>
            </w:r>
          </w:p>
        </w:tc>
        <w:tc>
          <w:tcPr>
            <w:tcW w:w="800" w:type="dxa"/>
            <w:vAlign w:val="bottom"/>
            <w:gridSpan w:val="3"/>
          </w:tcPr>
          <w:p>
            <w:pPr>
              <w:jc w:val="right"/>
              <w:ind w:right="180"/>
              <w:spacing w:after="0"/>
              <w:rPr>
                <w:sz w:val="20"/>
                <w:szCs w:val="20"/>
                <w:color w:val="auto"/>
              </w:rPr>
            </w:pPr>
            <w:r>
              <w:rPr>
                <w:rFonts w:ascii="Arial" w:cs="Arial" w:eastAsia="Arial" w:hAnsi="Arial"/>
                <w:sz w:val="12"/>
                <w:szCs w:val="12"/>
                <w:color w:val="auto"/>
              </w:rPr>
              <w:t>226</w:t>
            </w: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239</w:t>
            </w: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185</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-22.6%</w:t>
            </w:r>
          </w:p>
        </w:tc>
        <w:tc>
          <w:tcPr>
            <w:tcW w:w="720" w:type="dxa"/>
            <w:vAlign w:val="bottom"/>
            <w:gridSpan w:val="4"/>
          </w:tcPr>
          <w:p>
            <w:pPr>
              <w:jc w:val="right"/>
              <w:ind w:right="20"/>
              <w:spacing w:after="0"/>
              <w:rPr>
                <w:sz w:val="20"/>
                <w:szCs w:val="20"/>
                <w:color w:val="auto"/>
              </w:rPr>
            </w:pPr>
            <w:r>
              <w:rPr>
                <w:rFonts w:ascii="Arial" w:cs="Arial" w:eastAsia="Arial" w:hAnsi="Arial"/>
                <w:sz w:val="12"/>
                <w:szCs w:val="12"/>
                <w:color w:val="auto"/>
              </w:rPr>
              <w:t>-18.0%</w:t>
            </w:r>
          </w:p>
        </w:tc>
        <w:tc>
          <w:tcPr>
            <w:tcW w:w="840" w:type="dxa"/>
            <w:vAlign w:val="bottom"/>
            <w:gridSpan w:val="3"/>
          </w:tcPr>
          <w:p>
            <w:pPr>
              <w:jc w:val="right"/>
              <w:ind w:right="120"/>
              <w:spacing w:after="0"/>
              <w:rPr>
                <w:sz w:val="20"/>
                <w:szCs w:val="20"/>
                <w:color w:val="auto"/>
              </w:rPr>
            </w:pPr>
            <w:r>
              <w:rPr>
                <w:rFonts w:ascii="Arial" w:cs="Arial" w:eastAsia="Arial" w:hAnsi="Arial"/>
                <w:sz w:val="12"/>
                <w:szCs w:val="12"/>
                <w:color w:val="auto"/>
              </w:rPr>
              <w:t>87.6%</w:t>
            </w:r>
          </w:p>
        </w:tc>
        <w:tc>
          <w:tcPr>
            <w:tcW w:w="10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12.4%</w:t>
            </w:r>
          </w:p>
        </w:tc>
        <w:tc>
          <w:tcPr>
            <w:tcW w:w="0" w:type="dxa"/>
            <w:vAlign w:val="bottom"/>
          </w:tcPr>
          <w:p>
            <w:pPr>
              <w:spacing w:after="0"/>
              <w:rPr>
                <w:sz w:val="1"/>
                <w:szCs w:val="1"/>
                <w:color w:val="auto"/>
              </w:rPr>
            </w:pPr>
          </w:p>
        </w:tc>
      </w:tr>
      <w:tr>
        <w:trPr>
          <w:trHeight w:val="133"/>
        </w:trPr>
        <w:tc>
          <w:tcPr>
            <w:tcW w:w="9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Mibanco</w:t>
            </w:r>
          </w:p>
        </w:tc>
        <w:tc>
          <w:tcPr>
            <w:tcW w:w="68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b w:val="1"/>
                <w:bCs w:val="1"/>
                <w:color w:val="auto"/>
              </w:rPr>
              <w:t>9,489</w:t>
            </w:r>
          </w:p>
        </w:tc>
        <w:tc>
          <w:tcPr>
            <w:tcW w:w="60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b w:val="1"/>
                <w:bCs w:val="1"/>
                <w:color w:val="auto"/>
              </w:rPr>
              <w:t>10,064</w:t>
            </w:r>
          </w:p>
        </w:tc>
        <w:tc>
          <w:tcPr>
            <w:tcW w:w="5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b w:val="1"/>
                <w:bCs w:val="1"/>
                <w:color w:val="auto"/>
              </w:rPr>
              <w:t>10,276</w:t>
            </w:r>
          </w:p>
        </w:tc>
        <w:tc>
          <w:tcPr>
            <w:tcW w:w="7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b w:val="1"/>
                <w:bCs w:val="1"/>
                <w:color w:val="auto"/>
              </w:rPr>
              <w:t>10,088</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2.1%</w:t>
            </w:r>
          </w:p>
        </w:tc>
        <w:tc>
          <w:tcPr>
            <w:tcW w:w="640" w:type="dxa"/>
            <w:vAlign w:val="bottom"/>
            <w:gridSpan w:val="3"/>
            <w:shd w:val="clear" w:color="auto" w:fill="CCEEFF"/>
          </w:tcPr>
          <w:p>
            <w:pPr>
              <w:jc w:val="right"/>
              <w:ind w:right="20"/>
              <w:spacing w:after="0" w:line="134" w:lineRule="exact"/>
              <w:rPr>
                <w:sz w:val="20"/>
                <w:szCs w:val="20"/>
                <w:color w:val="auto"/>
              </w:rPr>
            </w:pPr>
            <w:r>
              <w:rPr>
                <w:rFonts w:ascii="Arial" w:cs="Arial" w:eastAsia="Arial" w:hAnsi="Arial"/>
                <w:sz w:val="12"/>
                <w:szCs w:val="12"/>
                <w:b w:val="1"/>
                <w:bCs w:val="1"/>
                <w:color w:val="auto"/>
              </w:rPr>
              <w:t>8.3%</w:t>
            </w:r>
          </w:p>
        </w:tc>
        <w:tc>
          <w:tcPr>
            <w:tcW w:w="720" w:type="dxa"/>
            <w:vAlign w:val="bottom"/>
            <w:gridSpan w:val="4"/>
            <w:shd w:val="clear" w:color="auto" w:fill="CCEEFF"/>
          </w:tcPr>
          <w:p>
            <w:pPr>
              <w:jc w:val="right"/>
              <w:ind w:right="20"/>
              <w:spacing w:after="0" w:line="134" w:lineRule="exact"/>
              <w:rPr>
                <w:sz w:val="20"/>
                <w:szCs w:val="20"/>
                <w:color w:val="auto"/>
              </w:rPr>
            </w:pPr>
            <w:r>
              <w:rPr>
                <w:rFonts w:ascii="Arial" w:cs="Arial" w:eastAsia="Arial" w:hAnsi="Arial"/>
                <w:sz w:val="12"/>
                <w:szCs w:val="12"/>
                <w:b w:val="1"/>
                <w:bCs w:val="1"/>
                <w:color w:val="auto"/>
              </w:rPr>
              <w:t>0.2%</w:t>
            </w:r>
          </w:p>
        </w:tc>
        <w:tc>
          <w:tcPr>
            <w:tcW w:w="720" w:type="dxa"/>
            <w:vAlign w:val="bottom"/>
            <w:gridSpan w:val="4"/>
            <w:shd w:val="clear" w:color="auto" w:fill="CCEEFF"/>
          </w:tcPr>
          <w:p>
            <w:pPr>
              <w:jc w:val="right"/>
              <w:ind w:right="20"/>
              <w:spacing w:after="0" w:line="134" w:lineRule="exact"/>
              <w:rPr>
                <w:sz w:val="20"/>
                <w:szCs w:val="20"/>
                <w:color w:val="auto"/>
              </w:rPr>
            </w:pPr>
            <w:r>
              <w:rPr>
                <w:rFonts w:ascii="Arial" w:cs="Arial" w:eastAsia="Arial" w:hAnsi="Arial"/>
                <w:sz w:val="12"/>
                <w:szCs w:val="12"/>
                <w:b w:val="1"/>
                <w:bCs w:val="1"/>
                <w:color w:val="auto"/>
              </w:rPr>
              <w:t>6.3%</w:t>
            </w:r>
          </w:p>
        </w:tc>
        <w:tc>
          <w:tcPr>
            <w:tcW w:w="800" w:type="dxa"/>
            <w:vAlign w:val="bottom"/>
            <w:gridSpan w:val="3"/>
            <w:shd w:val="clear" w:color="auto" w:fill="CCEEFF"/>
          </w:tcPr>
          <w:p>
            <w:pPr>
              <w:jc w:val="right"/>
              <w:ind w:right="180"/>
              <w:spacing w:after="0" w:line="134" w:lineRule="exact"/>
              <w:rPr>
                <w:sz w:val="20"/>
                <w:szCs w:val="20"/>
                <w:color w:val="auto"/>
              </w:rPr>
            </w:pPr>
            <w:r>
              <w:rPr>
                <w:rFonts w:ascii="Arial" w:cs="Arial" w:eastAsia="Arial" w:hAnsi="Arial"/>
                <w:sz w:val="12"/>
                <w:szCs w:val="12"/>
                <w:b w:val="1"/>
                <w:bCs w:val="1"/>
                <w:color w:val="auto"/>
              </w:rPr>
              <w:t>163</w:t>
            </w:r>
          </w:p>
        </w:tc>
        <w:tc>
          <w:tcPr>
            <w:tcW w:w="7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b w:val="1"/>
                <w:bCs w:val="1"/>
                <w:color w:val="auto"/>
              </w:rPr>
              <w:t>165</w:t>
            </w:r>
          </w:p>
        </w:tc>
        <w:tc>
          <w:tcPr>
            <w:tcW w:w="72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b w:val="1"/>
                <w:bCs w:val="1"/>
                <w:color w:val="auto"/>
              </w:rPr>
              <w:t>159</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b w:val="1"/>
                <w:bCs w:val="1"/>
                <w:color w:val="auto"/>
              </w:rPr>
              <w:t>-3.7%</w:t>
            </w:r>
          </w:p>
        </w:tc>
        <w:tc>
          <w:tcPr>
            <w:tcW w:w="720" w:type="dxa"/>
            <w:vAlign w:val="bottom"/>
            <w:gridSpan w:val="4"/>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-2.6%</w:t>
            </w:r>
          </w:p>
        </w:tc>
        <w:tc>
          <w:tcPr>
            <w:tcW w:w="84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2"/>
                <w:szCs w:val="12"/>
                <w:b w:val="1"/>
                <w:bCs w:val="1"/>
                <w:color w:val="auto"/>
              </w:rPr>
              <w:t>94.9%</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5.1%</w:t>
            </w:r>
          </w:p>
        </w:tc>
        <w:tc>
          <w:tcPr>
            <w:tcW w:w="0" w:type="dxa"/>
            <w:vAlign w:val="bottom"/>
          </w:tcPr>
          <w:p>
            <w:pPr>
              <w:spacing w:after="0"/>
              <w:rPr>
                <w:sz w:val="1"/>
                <w:szCs w:val="1"/>
                <w:color w:val="auto"/>
              </w:rPr>
            </w:pPr>
          </w:p>
        </w:tc>
      </w:tr>
      <w:tr>
        <w:trPr>
          <w:trHeight w:val="133"/>
        </w:trPr>
        <w:tc>
          <w:tcPr>
            <w:tcW w:w="920" w:type="dxa"/>
            <w:vAlign w:val="bottom"/>
          </w:tcPr>
          <w:p>
            <w:pPr>
              <w:spacing w:after="0" w:line="134" w:lineRule="exact"/>
              <w:rPr>
                <w:sz w:val="20"/>
                <w:szCs w:val="20"/>
                <w:color w:val="auto"/>
              </w:rPr>
            </w:pPr>
            <w:r>
              <w:rPr>
                <w:rFonts w:ascii="Arial" w:cs="Arial" w:eastAsia="Arial" w:hAnsi="Arial"/>
                <w:sz w:val="12"/>
                <w:szCs w:val="12"/>
                <w:b w:val="1"/>
                <w:bCs w:val="1"/>
                <w:color w:val="auto"/>
              </w:rPr>
              <w:t>Bolivia</w:t>
            </w:r>
          </w:p>
        </w:tc>
        <w:tc>
          <w:tcPr>
            <w:tcW w:w="68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100"/>
              <w:spacing w:after="0" w:line="134" w:lineRule="exact"/>
              <w:rPr>
                <w:sz w:val="20"/>
                <w:szCs w:val="20"/>
                <w:color w:val="auto"/>
              </w:rPr>
            </w:pPr>
            <w:r>
              <w:rPr>
                <w:rFonts w:ascii="Arial" w:cs="Arial" w:eastAsia="Arial" w:hAnsi="Arial"/>
                <w:sz w:val="12"/>
                <w:szCs w:val="12"/>
                <w:b w:val="1"/>
                <w:bCs w:val="1"/>
                <w:color w:val="auto"/>
              </w:rPr>
              <w:t>-</w:t>
            </w:r>
          </w:p>
        </w:tc>
        <w:tc>
          <w:tcPr>
            <w:tcW w:w="520" w:type="dxa"/>
            <w:vAlign w:val="bottom"/>
            <w:gridSpan w:val="2"/>
          </w:tcPr>
          <w:p>
            <w:pPr>
              <w:jc w:val="right"/>
              <w:ind w:right="100"/>
              <w:spacing w:after="0" w:line="134" w:lineRule="exact"/>
              <w:rPr>
                <w:sz w:val="20"/>
                <w:szCs w:val="20"/>
                <w:color w:val="auto"/>
              </w:rPr>
            </w:pPr>
            <w:r>
              <w:rPr>
                <w:rFonts w:ascii="Arial" w:cs="Arial" w:eastAsia="Arial" w:hAnsi="Arial"/>
                <w:sz w:val="12"/>
                <w:szCs w:val="12"/>
                <w:b w:val="1"/>
                <w:bCs w:val="1"/>
                <w:color w:val="auto"/>
              </w:rPr>
              <w:t>-</w:t>
            </w:r>
          </w:p>
        </w:tc>
        <w:tc>
          <w:tcPr>
            <w:tcW w:w="740" w:type="dxa"/>
            <w:vAlign w:val="bottom"/>
            <w:gridSpan w:val="2"/>
          </w:tcPr>
          <w:p>
            <w:pPr>
              <w:jc w:val="right"/>
              <w:ind w:right="180"/>
              <w:spacing w:after="0" w:line="134"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120"/>
              <w:spacing w:after="0" w:line="134" w:lineRule="exact"/>
              <w:rPr>
                <w:sz w:val="20"/>
                <w:szCs w:val="20"/>
                <w:color w:val="auto"/>
              </w:rPr>
            </w:pPr>
            <w:r>
              <w:rPr>
                <w:rFonts w:ascii="Arial" w:cs="Arial" w:eastAsia="Arial" w:hAnsi="Arial"/>
                <w:sz w:val="12"/>
                <w:szCs w:val="12"/>
                <w:b w:val="1"/>
                <w:bCs w:val="1"/>
                <w:color w:val="auto"/>
              </w:rPr>
              <w:t>-</w:t>
            </w:r>
          </w:p>
        </w:tc>
        <w:tc>
          <w:tcPr>
            <w:tcW w:w="640" w:type="dxa"/>
            <w:vAlign w:val="bottom"/>
            <w:gridSpan w:val="3"/>
          </w:tcPr>
          <w:p>
            <w:pPr>
              <w:jc w:val="right"/>
              <w:ind w:right="140"/>
              <w:spacing w:after="0" w:line="134" w:lineRule="exact"/>
              <w:rPr>
                <w:sz w:val="20"/>
                <w:szCs w:val="20"/>
                <w:color w:val="auto"/>
              </w:rPr>
            </w:pPr>
            <w:r>
              <w:rPr>
                <w:rFonts w:ascii="Arial" w:cs="Arial" w:eastAsia="Arial" w:hAnsi="Arial"/>
                <w:sz w:val="12"/>
                <w:szCs w:val="12"/>
                <w:b w:val="1"/>
                <w:bCs w:val="1"/>
                <w:color w:val="auto"/>
              </w:rPr>
              <w:t>-</w:t>
            </w:r>
          </w:p>
        </w:tc>
        <w:tc>
          <w:tcPr>
            <w:tcW w:w="720" w:type="dxa"/>
            <w:vAlign w:val="bottom"/>
            <w:gridSpan w:val="4"/>
          </w:tcPr>
          <w:p>
            <w:pPr>
              <w:jc w:val="right"/>
              <w:ind w:right="140"/>
              <w:spacing w:after="0" w:line="134" w:lineRule="exact"/>
              <w:rPr>
                <w:sz w:val="20"/>
                <w:szCs w:val="20"/>
                <w:color w:val="auto"/>
              </w:rPr>
            </w:pPr>
            <w:r>
              <w:rPr>
                <w:rFonts w:ascii="Arial" w:cs="Arial" w:eastAsia="Arial" w:hAnsi="Arial"/>
                <w:sz w:val="12"/>
                <w:szCs w:val="12"/>
                <w:b w:val="1"/>
                <w:bCs w:val="1"/>
                <w:color w:val="auto"/>
              </w:rPr>
              <w:t>-</w:t>
            </w:r>
          </w:p>
        </w:tc>
        <w:tc>
          <w:tcPr>
            <w:tcW w:w="720" w:type="dxa"/>
            <w:vAlign w:val="bottom"/>
            <w:gridSpan w:val="4"/>
          </w:tcPr>
          <w:p>
            <w:pPr>
              <w:jc w:val="right"/>
              <w:ind w:right="140"/>
              <w:spacing w:after="0" w:line="134" w:lineRule="exact"/>
              <w:rPr>
                <w:sz w:val="20"/>
                <w:szCs w:val="20"/>
                <w:color w:val="auto"/>
              </w:rPr>
            </w:pPr>
            <w:r>
              <w:rPr>
                <w:rFonts w:ascii="Arial" w:cs="Arial" w:eastAsia="Arial" w:hAnsi="Arial"/>
                <w:sz w:val="12"/>
                <w:szCs w:val="12"/>
                <w:b w:val="1"/>
                <w:bCs w:val="1"/>
                <w:color w:val="auto"/>
              </w:rPr>
              <w:t>-</w:t>
            </w:r>
          </w:p>
        </w:tc>
        <w:tc>
          <w:tcPr>
            <w:tcW w:w="800" w:type="dxa"/>
            <w:vAlign w:val="bottom"/>
            <w:gridSpan w:val="3"/>
          </w:tcPr>
          <w:p>
            <w:pPr>
              <w:jc w:val="right"/>
              <w:ind w:right="180"/>
              <w:spacing w:after="0" w:line="134" w:lineRule="exact"/>
              <w:rPr>
                <w:sz w:val="20"/>
                <w:szCs w:val="20"/>
                <w:color w:val="auto"/>
              </w:rPr>
            </w:pPr>
            <w:r>
              <w:rPr>
                <w:rFonts w:ascii="Arial" w:cs="Arial" w:eastAsia="Arial" w:hAnsi="Arial"/>
                <w:sz w:val="12"/>
                <w:szCs w:val="12"/>
                <w:b w:val="1"/>
                <w:bCs w:val="1"/>
                <w:color w:val="auto"/>
              </w:rPr>
              <w:t>2,181</w:t>
            </w:r>
          </w:p>
        </w:tc>
        <w:tc>
          <w:tcPr>
            <w:tcW w:w="520" w:type="dxa"/>
            <w:vAlign w:val="bottom"/>
          </w:tcPr>
          <w:p>
            <w:pPr>
              <w:jc w:val="right"/>
              <w:spacing w:after="0" w:line="134" w:lineRule="exact"/>
              <w:rPr>
                <w:sz w:val="20"/>
                <w:szCs w:val="20"/>
                <w:color w:val="auto"/>
              </w:rPr>
            </w:pPr>
            <w:r>
              <w:rPr>
                <w:rFonts w:ascii="Arial" w:cs="Arial" w:eastAsia="Arial" w:hAnsi="Arial"/>
                <w:sz w:val="12"/>
                <w:szCs w:val="12"/>
                <w:b w:val="1"/>
                <w:bCs w:val="1"/>
                <w:color w:val="auto"/>
              </w:rPr>
              <w:t>2,247</w:t>
            </w:r>
          </w:p>
        </w:tc>
        <w:tc>
          <w:tcPr>
            <w:tcW w:w="180" w:type="dxa"/>
            <w:vAlign w:val="bottom"/>
          </w:tcPr>
          <w:p>
            <w:pPr>
              <w:spacing w:after="0"/>
              <w:rPr>
                <w:sz w:val="11"/>
                <w:szCs w:val="11"/>
                <w:color w:val="auto"/>
              </w:rPr>
            </w:pPr>
          </w:p>
        </w:tc>
        <w:tc>
          <w:tcPr>
            <w:tcW w:w="72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auto"/>
              </w:rPr>
              <w:t>2,291</w:t>
            </w:r>
          </w:p>
        </w:tc>
        <w:tc>
          <w:tcPr>
            <w:tcW w:w="80" w:type="dxa"/>
            <w:vAlign w:val="bottom"/>
          </w:tcPr>
          <w:p>
            <w:pPr>
              <w:spacing w:after="0"/>
              <w:rPr>
                <w:sz w:val="11"/>
                <w:szCs w:val="11"/>
                <w:color w:val="auto"/>
              </w:rPr>
            </w:pPr>
          </w:p>
        </w:tc>
        <w:tc>
          <w:tcPr>
            <w:tcW w:w="560" w:type="dxa"/>
            <w:vAlign w:val="bottom"/>
            <w:gridSpan w:val="2"/>
          </w:tcPr>
          <w:p>
            <w:pPr>
              <w:jc w:val="right"/>
              <w:ind w:right="20"/>
              <w:spacing w:after="0" w:line="134" w:lineRule="exact"/>
              <w:rPr>
                <w:sz w:val="20"/>
                <w:szCs w:val="20"/>
                <w:color w:val="auto"/>
              </w:rPr>
            </w:pPr>
            <w:r>
              <w:rPr>
                <w:rFonts w:ascii="Arial" w:cs="Arial" w:eastAsia="Arial" w:hAnsi="Arial"/>
                <w:sz w:val="12"/>
                <w:szCs w:val="12"/>
                <w:b w:val="1"/>
                <w:bCs w:val="1"/>
                <w:color w:val="auto"/>
              </w:rPr>
              <w:t>1.9%</w:t>
            </w:r>
          </w:p>
        </w:tc>
        <w:tc>
          <w:tcPr>
            <w:tcW w:w="720" w:type="dxa"/>
            <w:vAlign w:val="bottom"/>
            <w:gridSpan w:val="4"/>
          </w:tcPr>
          <w:p>
            <w:pPr>
              <w:jc w:val="right"/>
              <w:spacing w:after="0" w:line="134" w:lineRule="exact"/>
              <w:rPr>
                <w:sz w:val="20"/>
                <w:szCs w:val="20"/>
                <w:color w:val="auto"/>
              </w:rPr>
            </w:pPr>
            <w:r>
              <w:rPr>
                <w:rFonts w:ascii="Arial" w:cs="Arial" w:eastAsia="Arial" w:hAnsi="Arial"/>
                <w:sz w:val="12"/>
                <w:szCs w:val="12"/>
                <w:b w:val="1"/>
                <w:bCs w:val="1"/>
                <w:color w:val="auto"/>
              </w:rPr>
              <w:t>5.0%</w:t>
            </w:r>
          </w:p>
        </w:tc>
        <w:tc>
          <w:tcPr>
            <w:tcW w:w="840" w:type="dxa"/>
            <w:vAlign w:val="bottom"/>
            <w:gridSpan w:val="3"/>
          </w:tcPr>
          <w:p>
            <w:pPr>
              <w:jc w:val="right"/>
              <w:ind w:right="240"/>
              <w:spacing w:after="0" w:line="134"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1"/>
                <w:szCs w:val="11"/>
                <w:color w:val="auto"/>
              </w:rPr>
            </w:pPr>
          </w:p>
        </w:tc>
        <w:tc>
          <w:tcPr>
            <w:tcW w:w="560" w:type="dxa"/>
            <w:vAlign w:val="bottom"/>
            <w:gridSpan w:val="2"/>
          </w:tcPr>
          <w:p>
            <w:pPr>
              <w:jc w:val="right"/>
              <w:spacing w:after="0" w:line="134" w:lineRule="exact"/>
              <w:rPr>
                <w:sz w:val="20"/>
                <w:szCs w:val="20"/>
                <w:color w:val="auto"/>
              </w:rPr>
            </w:pPr>
            <w:r>
              <w:rPr>
                <w:rFonts w:ascii="Arial" w:cs="Arial" w:eastAsia="Arial" w:hAnsi="Arial"/>
                <w:sz w:val="12"/>
                <w:szCs w:val="12"/>
                <w:b w:val="1"/>
                <w:bCs w:val="1"/>
                <w:color w:val="auto"/>
              </w:rPr>
              <w:t>100.0%</w:t>
            </w:r>
          </w:p>
        </w:tc>
        <w:tc>
          <w:tcPr>
            <w:tcW w:w="0" w:type="dxa"/>
            <w:vAlign w:val="bottom"/>
          </w:tcPr>
          <w:p>
            <w:pPr>
              <w:spacing w:after="0"/>
              <w:rPr>
                <w:sz w:val="1"/>
                <w:szCs w:val="1"/>
                <w:color w:val="auto"/>
              </w:rPr>
            </w:pPr>
          </w:p>
        </w:tc>
      </w:tr>
      <w:tr>
        <w:trPr>
          <w:trHeight w:val="133"/>
        </w:trPr>
        <w:tc>
          <w:tcPr>
            <w:tcW w:w="9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ASB</w:t>
            </w:r>
          </w:p>
        </w:tc>
        <w:tc>
          <w:tcPr>
            <w:tcW w:w="68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b w:val="1"/>
                <w:bCs w:val="1"/>
                <w:color w:val="auto"/>
              </w:rPr>
              <w:t>-</w:t>
            </w:r>
          </w:p>
        </w:tc>
        <w:tc>
          <w:tcPr>
            <w:tcW w:w="60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b w:val="1"/>
                <w:bCs w:val="1"/>
                <w:color w:val="auto"/>
              </w:rPr>
              <w:t>-</w:t>
            </w:r>
          </w:p>
        </w:tc>
        <w:tc>
          <w:tcPr>
            <w:tcW w:w="5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b w:val="1"/>
                <w:bCs w:val="1"/>
                <w:color w:val="auto"/>
              </w:rPr>
              <w:t>-</w:t>
            </w:r>
          </w:p>
        </w:tc>
        <w:tc>
          <w:tcPr>
            <w:tcW w:w="7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b w:val="1"/>
                <w:bCs w:val="1"/>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b w:val="1"/>
                <w:bCs w:val="1"/>
                <w:color w:val="auto"/>
              </w:rPr>
              <w:t>-</w:t>
            </w:r>
          </w:p>
        </w:tc>
        <w:tc>
          <w:tcPr>
            <w:tcW w:w="64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b w:val="1"/>
                <w:bCs w:val="1"/>
                <w:color w:val="auto"/>
              </w:rPr>
              <w:t>-</w:t>
            </w:r>
          </w:p>
        </w:tc>
        <w:tc>
          <w:tcPr>
            <w:tcW w:w="720" w:type="dxa"/>
            <w:vAlign w:val="bottom"/>
            <w:gridSpan w:val="4"/>
            <w:shd w:val="clear" w:color="auto" w:fill="CCEEFF"/>
          </w:tcPr>
          <w:p>
            <w:pPr>
              <w:jc w:val="right"/>
              <w:ind w:right="140"/>
              <w:spacing w:after="0" w:line="134" w:lineRule="exact"/>
              <w:rPr>
                <w:sz w:val="20"/>
                <w:szCs w:val="20"/>
                <w:color w:val="auto"/>
              </w:rPr>
            </w:pPr>
            <w:r>
              <w:rPr>
                <w:rFonts w:ascii="Arial" w:cs="Arial" w:eastAsia="Arial" w:hAnsi="Arial"/>
                <w:sz w:val="12"/>
                <w:szCs w:val="12"/>
                <w:b w:val="1"/>
                <w:bCs w:val="1"/>
                <w:color w:val="auto"/>
              </w:rPr>
              <w:t>-</w:t>
            </w:r>
          </w:p>
        </w:tc>
        <w:tc>
          <w:tcPr>
            <w:tcW w:w="720" w:type="dxa"/>
            <w:vAlign w:val="bottom"/>
            <w:gridSpan w:val="4"/>
            <w:shd w:val="clear" w:color="auto" w:fill="CCEEFF"/>
          </w:tcPr>
          <w:p>
            <w:pPr>
              <w:jc w:val="right"/>
              <w:ind w:right="140"/>
              <w:spacing w:after="0" w:line="134" w:lineRule="exact"/>
              <w:rPr>
                <w:sz w:val="20"/>
                <w:szCs w:val="20"/>
                <w:color w:val="auto"/>
              </w:rPr>
            </w:pPr>
            <w:r>
              <w:rPr>
                <w:rFonts w:ascii="Arial" w:cs="Arial" w:eastAsia="Arial" w:hAnsi="Arial"/>
                <w:sz w:val="12"/>
                <w:szCs w:val="12"/>
                <w:b w:val="1"/>
                <w:bCs w:val="1"/>
                <w:color w:val="auto"/>
              </w:rPr>
              <w:t>-</w:t>
            </w:r>
          </w:p>
        </w:tc>
        <w:tc>
          <w:tcPr>
            <w:tcW w:w="800" w:type="dxa"/>
            <w:vAlign w:val="bottom"/>
            <w:gridSpan w:val="3"/>
            <w:shd w:val="clear" w:color="auto" w:fill="CCEEFF"/>
          </w:tcPr>
          <w:p>
            <w:pPr>
              <w:jc w:val="right"/>
              <w:ind w:right="180"/>
              <w:spacing w:after="0" w:line="134" w:lineRule="exact"/>
              <w:rPr>
                <w:sz w:val="20"/>
                <w:szCs w:val="20"/>
                <w:color w:val="auto"/>
              </w:rPr>
            </w:pPr>
            <w:r>
              <w:rPr>
                <w:rFonts w:ascii="Arial" w:cs="Arial" w:eastAsia="Arial" w:hAnsi="Arial"/>
                <w:sz w:val="12"/>
                <w:szCs w:val="12"/>
                <w:b w:val="1"/>
                <w:bCs w:val="1"/>
                <w:color w:val="auto"/>
              </w:rPr>
              <w:t>762</w:t>
            </w:r>
          </w:p>
        </w:tc>
        <w:tc>
          <w:tcPr>
            <w:tcW w:w="7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b w:val="1"/>
                <w:bCs w:val="1"/>
                <w:color w:val="auto"/>
              </w:rPr>
              <w:t>706</w:t>
            </w:r>
          </w:p>
        </w:tc>
        <w:tc>
          <w:tcPr>
            <w:tcW w:w="72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b w:val="1"/>
                <w:bCs w:val="1"/>
                <w:color w:val="auto"/>
              </w:rPr>
              <w:t>708</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b w:val="1"/>
                <w:bCs w:val="1"/>
                <w:color w:val="auto"/>
              </w:rPr>
              <w:t>0.3%</w:t>
            </w:r>
          </w:p>
        </w:tc>
        <w:tc>
          <w:tcPr>
            <w:tcW w:w="720" w:type="dxa"/>
            <w:vAlign w:val="bottom"/>
            <w:gridSpan w:val="4"/>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-7.0%</w:t>
            </w:r>
          </w:p>
        </w:tc>
        <w:tc>
          <w:tcPr>
            <w:tcW w:w="840" w:type="dxa"/>
            <w:vAlign w:val="bottom"/>
            <w:gridSpan w:val="3"/>
            <w:shd w:val="clear" w:color="auto" w:fill="CCEEFF"/>
          </w:tcPr>
          <w:p>
            <w:pPr>
              <w:jc w:val="right"/>
              <w:ind w:right="240"/>
              <w:spacing w:after="0" w:line="134" w:lineRule="exact"/>
              <w:rPr>
                <w:sz w:val="20"/>
                <w:szCs w:val="20"/>
                <w:color w:val="auto"/>
              </w:rPr>
            </w:pPr>
            <w:r>
              <w:rPr>
                <w:rFonts w:ascii="Arial" w:cs="Arial" w:eastAsia="Arial" w:hAnsi="Arial"/>
                <w:sz w:val="12"/>
                <w:szCs w:val="12"/>
                <w:b w:val="1"/>
                <w:bCs w:val="1"/>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100.0%</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20"/>
                <w:szCs w:val="20"/>
                <w:color w:val="auto"/>
              </w:rPr>
            </w:pPr>
            <w:r>
              <w:rPr>
                <w:rFonts w:ascii="Arial" w:cs="Arial" w:eastAsia="Arial" w:hAnsi="Arial"/>
                <w:sz w:val="12"/>
                <w:szCs w:val="12"/>
                <w:b w:val="1"/>
                <w:bCs w:val="1"/>
                <w:color w:val="auto"/>
              </w:rPr>
              <w:t>Total loans</w:t>
            </w:r>
          </w:p>
        </w:tc>
        <w:tc>
          <w:tcPr>
            <w:tcW w:w="6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65,654</w:t>
            </w:r>
          </w:p>
        </w:tc>
        <w:tc>
          <w:tcPr>
            <w:tcW w:w="6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70,919</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81,133</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73,553</w:t>
            </w:r>
          </w:p>
        </w:tc>
        <w:tc>
          <w:tcPr>
            <w:tcW w:w="10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b w:val="1"/>
                <w:bCs w:val="1"/>
                <w:color w:val="auto"/>
              </w:rPr>
              <w:t>14.4%</w:t>
            </w:r>
          </w:p>
        </w:tc>
        <w:tc>
          <w:tcPr>
            <w:tcW w:w="64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23.6%</w:t>
            </w:r>
          </w:p>
        </w:tc>
        <w:tc>
          <w:tcPr>
            <w:tcW w:w="72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rPr>
              <w:t>3.7%</w:t>
            </w:r>
          </w:p>
        </w:tc>
        <w:tc>
          <w:tcPr>
            <w:tcW w:w="72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rPr>
              <w:t>12.0%</w:t>
            </w:r>
          </w:p>
        </w:tc>
        <w:tc>
          <w:tcPr>
            <w:tcW w:w="80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13,181</w:t>
            </w:r>
          </w:p>
        </w:tc>
        <w:tc>
          <w:tcPr>
            <w:tcW w:w="70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13,127</w:t>
            </w:r>
          </w:p>
        </w:tc>
        <w:tc>
          <w:tcPr>
            <w:tcW w:w="7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13,529</w:t>
            </w:r>
          </w:p>
        </w:tc>
        <w:tc>
          <w:tcPr>
            <w:tcW w:w="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3.1%</w:t>
            </w:r>
          </w:p>
        </w:tc>
        <w:tc>
          <w:tcPr>
            <w:tcW w:w="720" w:type="dxa"/>
            <w:vAlign w:val="bottom"/>
            <w:gridSpan w:val="4"/>
          </w:tcPr>
          <w:p>
            <w:pPr>
              <w:jc w:val="right"/>
              <w:spacing w:after="0"/>
              <w:rPr>
                <w:sz w:val="20"/>
                <w:szCs w:val="20"/>
                <w:color w:val="auto"/>
              </w:rPr>
            </w:pPr>
            <w:r>
              <w:rPr>
                <w:rFonts w:ascii="Arial" w:cs="Arial" w:eastAsia="Arial" w:hAnsi="Arial"/>
                <w:sz w:val="12"/>
                <w:szCs w:val="12"/>
                <w:b w:val="1"/>
                <w:bCs w:val="1"/>
                <w:color w:val="auto"/>
              </w:rPr>
              <w:t>2.6%</w:t>
            </w:r>
          </w:p>
        </w:tc>
        <w:tc>
          <w:tcPr>
            <w:tcW w:w="84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63.5%</w:t>
            </w:r>
          </w:p>
        </w:tc>
        <w:tc>
          <w:tcPr>
            <w:tcW w:w="10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2"/>
                <w:szCs w:val="12"/>
                <w:b w:val="1"/>
                <w:bCs w:val="1"/>
                <w:color w:val="auto"/>
              </w:rPr>
              <w:t>36.5%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2258060</wp:posOffset>
            </wp:positionH>
            <wp:positionV relativeFrom="paragraph">
              <wp:posOffset>-1457325</wp:posOffset>
            </wp:positionV>
            <wp:extent cx="1652270" cy="2540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52270" cy="254000"/>
                    </a:xfrm>
                    <a:prstGeom prst="rect">
                      <a:avLst/>
                    </a:prstGeom>
                    <a:noFill/>
                  </pic:spPr>
                </pic:pic>
              </a:graphicData>
            </a:graphic>
          </wp:anchor>
        </w:drawing>
        <w:drawing>
          <wp:anchor simplePos="0" relativeHeight="251657728" behindDoc="1" locked="0" layoutInCell="0" allowOverlap="1">
            <wp:simplePos x="0" y="0"/>
            <wp:positionH relativeFrom="column">
              <wp:posOffset>2656205</wp:posOffset>
            </wp:positionH>
            <wp:positionV relativeFrom="paragraph">
              <wp:posOffset>-1033780</wp:posOffset>
            </wp:positionV>
            <wp:extent cx="339090" cy="5086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9090" cy="50863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-694690</wp:posOffset>
            </wp:positionV>
            <wp:extent cx="254000" cy="169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4000" cy="169545"/>
                    </a:xfrm>
                    <a:prstGeom prst="rect">
                      <a:avLst/>
                    </a:prstGeom>
                    <a:noFill/>
                  </pic:spPr>
                </pic:pic>
              </a:graphicData>
            </a:graphic>
          </wp:anchor>
        </w:drawing>
      </w:r>
    </w:p>
    <w:p>
      <w:pPr>
        <w:spacing w:after="0" w:line="128" w:lineRule="exact"/>
        <w:rPr>
          <w:sz w:val="20"/>
          <w:szCs w:val="20"/>
          <w:color w:val="auto"/>
        </w:rPr>
      </w:pPr>
    </w:p>
    <w:p>
      <w:pPr>
        <w:ind w:left="640"/>
        <w:spacing w:after="0"/>
        <w:rPr>
          <w:sz w:val="20"/>
          <w:szCs w:val="20"/>
          <w:color w:val="auto"/>
        </w:rPr>
      </w:pPr>
      <w:r>
        <w:rPr>
          <w:sz w:val="1"/>
          <w:szCs w:val="1"/>
          <w:color w:val="auto"/>
        </w:rPr>
        <w:drawing>
          <wp:inline distT="0" distB="0" distL="0" distR="0">
            <wp:extent cx="406400" cy="13525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6400" cy="135255"/>
                    </a:xfrm>
                    <a:prstGeom prst="rect">
                      <a:avLst/>
                    </a:prstGeom>
                    <a:noFill/>
                    <a:ln>
                      <a:noFill/>
                    </a:ln>
                  </pic:spPr>
                </pic:pic>
              </a:graphicData>
            </a:graphic>
          </wp:inline>
        </w:drawing>
      </w:r>
      <w:r>
        <w:rPr>
          <w:rFonts w:ascii="Arial" w:cs="Arial" w:eastAsia="Arial" w:hAnsi="Arial"/>
          <w:sz w:val="18"/>
          <w:szCs w:val="18"/>
          <w:color w:val="auto"/>
        </w:rPr>
        <w:t>Highest growth in volumes</w:t>
      </w:r>
    </w:p>
    <w:p>
      <w:pPr>
        <w:spacing w:after="0" w:line="55" w:lineRule="exact"/>
        <w:rPr>
          <w:sz w:val="20"/>
          <w:szCs w:val="20"/>
          <w:color w:val="auto"/>
        </w:rPr>
      </w:pPr>
    </w:p>
    <w:p>
      <w:pPr>
        <w:ind w:left="640"/>
        <w:spacing w:after="0"/>
        <w:rPr>
          <w:sz w:val="20"/>
          <w:szCs w:val="20"/>
          <w:color w:val="auto"/>
        </w:rPr>
      </w:pPr>
      <w:r>
        <w:rPr>
          <w:sz w:val="1"/>
          <w:szCs w:val="1"/>
          <w:color w:val="auto"/>
        </w:rPr>
        <w:drawing>
          <wp:inline distT="0" distB="0" distL="0" distR="0">
            <wp:extent cx="406400" cy="13525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06400" cy="135255"/>
                    </a:xfrm>
                    <a:prstGeom prst="rect">
                      <a:avLst/>
                    </a:prstGeom>
                    <a:noFill/>
                    <a:ln>
                      <a:noFill/>
                    </a:ln>
                  </pic:spPr>
                </pic:pic>
              </a:graphicData>
            </a:graphic>
          </wp:inline>
        </w:drawing>
      </w:r>
      <w:r>
        <w:rPr>
          <w:rFonts w:ascii="Arial" w:cs="Arial" w:eastAsia="Arial" w:hAnsi="Arial"/>
          <w:sz w:val="18"/>
          <w:szCs w:val="18"/>
          <w:color w:val="auto"/>
        </w:rPr>
        <w:t>Largest contraction in volumes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For consolidation purposes, loans generated in FC are converted to LC.</w:t>
      </w:r>
    </w:p>
    <w:p>
      <w:pPr>
        <w:spacing w:after="0" w:line="19" w:lineRule="exact"/>
        <w:rPr>
          <w:sz w:val="20"/>
          <w:szCs w:val="20"/>
          <w:color w:val="auto"/>
        </w:rPr>
      </w:pPr>
    </w:p>
    <w:p>
      <w:pPr>
        <w:ind w:left="260" w:hanging="253"/>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Work out unit, and other banking.</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Structural Portfolio excludes the average daily balances from loans offered through Reactiva Peru y FAE-Mype Government Programs.</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QoQ analysis of loan expansion by currency, growth in LC was led by Wholesale Banking segments and the SME Business and SME-Pyme segments within Retail Banking. This reflected the increase in LC disbursements under the Reactiva Peru Program. Loan expansion in FC was driven by Corporate Banking through the increase in working capital needs and medium-term financing as clients sought to leverage low interest rates in the context generated by the pandemic.</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the YoY evolution, the Corporate Banking, Middle Market Banking, SME Business and SME-Pyme segments contributed positively to growth in LC. This growth was mainly attributable to disbursements under the Reactiva Peru Program and to an increase in financing for working capital and medium-term loans in the Corporate segment. The Mortgage segment registered a sizeable increase due to dynamic growth in 2019 and in 1Q20. In terms of the portfolio denominated in FC, the Corporate Banking segment drove growth, which was partially offset by the drop in FC balances in Retail Banking.</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The Credit Card segment reported a drop in LC and FC balances due to a decrease in credit card use due to the government-mandated lockdown.</w:t>
      </w:r>
    </w:p>
    <w:p>
      <w:pPr>
        <w:spacing w:after="0" w:line="200" w:lineRule="exact"/>
        <w:rPr>
          <w:sz w:val="20"/>
          <w:szCs w:val="20"/>
          <w:color w:val="auto"/>
        </w:rPr>
      </w:pPr>
    </w:p>
    <w:p>
      <w:pPr>
        <w:spacing w:after="0" w:line="245"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 xml:space="preserve">YoY evolution of the level of dollarization by segment </w:t>
      </w:r>
      <w:r>
        <w:rPr>
          <w:rFonts w:ascii="Arial" w:cs="Arial" w:eastAsia="Arial" w:hAnsi="Arial"/>
          <w:sz w:val="29"/>
          <w:szCs w:val="29"/>
          <w:b w:val="1"/>
          <w:bCs w:val="1"/>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93980</wp:posOffset>
            </wp:positionV>
            <wp:extent cx="6481445" cy="2287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81445" cy="228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60" w:hanging="253"/>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daily balances</w:t>
      </w:r>
    </w:p>
    <w:p>
      <w:pPr>
        <w:spacing w:after="0" w:line="19" w:lineRule="exact"/>
        <w:rPr>
          <w:rFonts w:ascii="Arial" w:cs="Arial" w:eastAsia="Arial" w:hAnsi="Arial"/>
          <w:sz w:val="18"/>
          <w:szCs w:val="18"/>
          <w:color w:val="auto"/>
        </w:rPr>
      </w:pPr>
    </w:p>
    <w:p>
      <w:pPr>
        <w:ind w:right="20" w:firstLine="7"/>
        <w:spacing w:after="0" w:line="247" w:lineRule="auto"/>
        <w:tabs>
          <w:tab w:leader="none" w:pos="26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FC share of Credicorp’s loan portfolio is calculated including BCP Bolivia and ASB, however the chart shows only the loan books of BCP Stand-alone and Mibanco.</w:t>
      </w:r>
    </w:p>
    <w:p>
      <w:pPr>
        <w:ind w:firstLine="7"/>
        <w:spacing w:after="0" w:line="255" w:lineRule="auto"/>
        <w:tabs>
          <w:tab w:leader="none" w:pos="26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year with the historic maximum level of dollarization for Wholesale Banking was 2012, for Mibanco was 2016 and for the rest of segments was 2009.</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At BCP Stand-alone, the loan dollarization level fell YoY to situate at 33.5%. This downward trend was seen across segments but the most noteworthy decrease was seen in the SME Business segment, which registered a drop in its dollarization level, which went from 52% in June 2019 to 37% in June 2020 due to the effect generated by Reactiva Peru loans, which are issued in Soles.</w:t>
      </w:r>
    </w:p>
    <w:p>
      <w:pPr>
        <w:spacing w:after="0" w:line="186"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It is important to note that, as is evident in the chart below, the percentage of the loan portfolio that is highly exposed to exchange rate risk remains very low.</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FX risk on credit risk –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1707515</wp:posOffset>
            </wp:positionH>
            <wp:positionV relativeFrom="paragraph">
              <wp:posOffset>151130</wp:posOffset>
            </wp:positionV>
            <wp:extent cx="3728085" cy="1863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728085" cy="1863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 BCRP de-dollarization plan at BCP Stand-alone</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the end of 2014, BCRP set up a Program to reduce the dollarization level of the loan book in the Peruvian Banking System. As part of this Program, BCRP set some targets to reduce the loan balances in US Dollars progressively at the end of June 2015, December 2015, December 2016, December 2017, December 2018 and December 2019. Nevertheless, for the remainder of 2020, BCRP has suspended the requirement for additional reserves for FC loans and consequently suspended the reduction targets for loan balances in FC. BCRP’s decisions were driven by the need to shore up the financial system’s liquidity to mitigate the impact of the COVID-19 crisis on all fronts.</w:t>
      </w:r>
    </w:p>
    <w:p>
      <w:pPr>
        <w:spacing w:after="0" w:line="200" w:lineRule="exact"/>
        <w:rPr>
          <w:sz w:val="20"/>
          <w:szCs w:val="20"/>
          <w:color w:val="auto"/>
        </w:rPr>
      </w:pPr>
    </w:p>
    <w:p>
      <w:pPr>
        <w:spacing w:after="0" w:line="203"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1.2.4. Market share in loans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Market share in Peru </w:t>
      </w:r>
      <w:r>
        <w:rPr>
          <w:rFonts w:ascii="Arial" w:cs="Arial" w:eastAsia="Arial" w:hAnsi="Arial"/>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93980</wp:posOffset>
            </wp:positionV>
            <wp:extent cx="6557645" cy="17456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57645" cy="1745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(1) Market shares are different that previously reported, please consider the figures presented on this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Peruvian Financial System</w:t>
      </w:r>
    </w:p>
    <w:p>
      <w:pPr>
        <w:spacing w:after="0" w:line="22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 xml:space="preserve">At the end of May 2020, BCP Stand-alone continued to lead the Peruvian financial system </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today, it holds a market share (MS) of 31.2%, which outpaced the MS of 17.3% posted by its closest competitor. Mibanco registered an MS of 3.1% of the total Financial System, which falls below the figure posted for previous quarters (3.2%) given that BCP has considerably increased its share of the system, particularly in terms of the SME-Pyme segment and through loans granted under the Reactiva Peru Program.</w:t>
      </w:r>
    </w:p>
    <w:p>
      <w:pPr>
        <w:spacing w:after="0" w:line="20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Within Wholesale Banking, the Corporate Banking segment reported an MS of 39.7%, which was -20pbs lower than the figure reported in 1Q20. This contrasted with the result for Middle Market Banking, which registered a considerable increase in its share of total loans, which rose from 36.0% in 1Q20 to 38.3% due to loans under Reactiva Peru. In the YoY evolution, Corporate Banking reported an increase of +260bps in its MS while Middle Market Banking registered growth of +270pbs. It is important to note that these BCP segments continue to lead in their respective markets.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Within Retail Banking, BCP continued to lead the market in the Mortgage segment (-10 bps QoQ and +40 bps YoY) and SME Business (+640 bps QoQ and +990 bps YoY). In the Consumer and Credit Card segments, BCP is situated in second place in these markets.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SME segment, Mibanco continues to lead with a market share of 21.3%, which falls below the MS registered in 1Q20 of 22.1% and the 22.2% reported in 2T19 de 22.2%. This reflects the fact that BCP’s share of this segment was bolstered (+440 bps QoQ and +450 bps YoY) by the bank’s significant participation in Reactiva Peru. BCP continues to rank second in this segment with an MS of 15.8%.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Bolivian Financial System</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Finally, BCP Bolivia’s MS decreased slightly QoQ but grew in YoY terms. The subsidiary is ranked fifth in the Bolivian financial system with a 9.4%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1787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210" w:lineRule="exact"/>
        <w:rPr>
          <w:sz w:val="20"/>
          <w:szCs w:val="20"/>
          <w:color w:val="auto"/>
        </w:rPr>
      </w:pPr>
    </w:p>
    <w:p>
      <w:pPr>
        <w:ind w:left="120" w:hanging="113"/>
        <w:spacing w:after="0"/>
        <w:tabs>
          <w:tab w:leader="none" w:pos="12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Includes Multipurpose Banks, Finance Companies, Municipal and Rural Banks, EDPYMEs and Leasing and Mortgages Companies.</w:t>
      </w:r>
    </w:p>
    <w:p>
      <w:pPr>
        <w:spacing w:after="0" w:line="200" w:lineRule="exact"/>
        <w:rPr>
          <w:sz w:val="20"/>
          <w:szCs w:val="20"/>
          <w:color w:val="auto"/>
        </w:rPr>
      </w:pPr>
    </w:p>
    <w:p>
      <w:pPr>
        <w:spacing w:after="0" w:line="214"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342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ind w:left="460" w:hanging="453"/>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Funding Sources</w:t>
      </w:r>
    </w:p>
    <w:p>
      <w:pPr>
        <w:spacing w:after="0" w:line="22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i w:val="1"/>
          <w:iCs w:val="1"/>
          <w:color w:val="auto"/>
        </w:rPr>
        <w:t>In 2Q20, total funding increased +16.4% QoQ and +29.8% YoY. Growth was due primarily to an expansion in Deposits and obligations and BCRP instruments. With regard to deposits, the increase was due to growth in the volume of demand deposits, particularly non-interest bearing, and savings deposits, which constitute lower-cost sources of funding. Within Other sources of funding, growth in BCRP Instruments is attributable to the funds facilitated for loans under Government Programs. With regard to the Credicorp’s funding cost, the funding mix effect and interest rate effect contributed to a contraction of -28 bps QoQ and -60 bps YoY.</w:t>
      </w:r>
    </w:p>
    <w:p>
      <w:pPr>
        <w:spacing w:after="0" w:line="190" w:lineRule="exact"/>
        <w:rPr>
          <w:sz w:val="20"/>
          <w:szCs w:val="20"/>
          <w:color w:val="auto"/>
        </w:rPr>
      </w:pPr>
    </w:p>
    <w:tbl>
      <w:tblPr>
        <w:tblLayout w:type="fixed"/>
        <w:tblInd w:w="640" w:type="dxa"/>
        <w:tblCellMar>
          <w:top w:w="0" w:type="dxa"/>
          <w:left w:w="0" w:type="dxa"/>
          <w:bottom w:w="0" w:type="dxa"/>
          <w:right w:w="0" w:type="dxa"/>
        </w:tblCellMar>
      </w:tblPr>
      <w:tr>
        <w:trPr>
          <w:trHeight w:val="209"/>
        </w:trPr>
        <w:tc>
          <w:tcPr>
            <w:tcW w:w="4220" w:type="dxa"/>
            <w:vAlign w:val="bottom"/>
            <w:gridSpan w:val="2"/>
          </w:tcPr>
          <w:p>
            <w:pPr>
              <w:spacing w:after="0"/>
              <w:rPr>
                <w:sz w:val="20"/>
                <w:szCs w:val="20"/>
                <w:color w:val="auto"/>
              </w:rPr>
            </w:pPr>
            <w:r>
              <w:rPr>
                <w:rFonts w:ascii="Arial" w:cs="Arial" w:eastAsia="Arial" w:hAnsi="Arial"/>
                <w:sz w:val="16"/>
                <w:szCs w:val="16"/>
                <w:b w:val="1"/>
                <w:bCs w:val="1"/>
                <w:color w:val="auto"/>
              </w:rPr>
              <w:t>Funding</w:t>
            </w: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6"/>
                <w:szCs w:val="16"/>
                <w:b w:val="1"/>
                <w:bCs w:val="1"/>
                <w:color w:val="auto"/>
              </w:rPr>
              <w:t>As of</w:t>
            </w:r>
          </w:p>
        </w:tc>
        <w:tc>
          <w:tcPr>
            <w:tcW w:w="8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w w:val="93"/>
              </w:rPr>
              <w:t>% change</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9"/>
        </w:trPr>
        <w:tc>
          <w:tcPr>
            <w:tcW w:w="4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Jun 19</w:t>
            </w: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Mar 20</w:t>
            </w: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Jun 20</w:t>
            </w: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QoQ</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YoY</w:t>
            </w:r>
          </w:p>
        </w:tc>
        <w:tc>
          <w:tcPr>
            <w:tcW w:w="160" w:type="dxa"/>
            <w:vAlign w:val="bottom"/>
            <w:tcBorders>
              <w:bottom w:val="single" w:sz="8" w:color="CCEEFF"/>
            </w:tcBorders>
          </w:tcPr>
          <w:p>
            <w:pPr>
              <w:spacing w:after="0"/>
              <w:rPr>
                <w:sz w:val="17"/>
                <w:szCs w:val="17"/>
                <w:color w:val="auto"/>
              </w:rPr>
            </w:pPr>
          </w:p>
        </w:tc>
      </w:tr>
      <w:tr>
        <w:trPr>
          <w:trHeight w:val="193"/>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Demand deposits</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29,863,335</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38,746,287</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48,926,791</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26.3%</w:t>
            </w:r>
          </w:p>
        </w:tc>
        <w:tc>
          <w:tcPr>
            <w:tcW w:w="2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63.8%</w:t>
            </w:r>
          </w:p>
        </w:tc>
      </w:tr>
      <w:tr>
        <w:trPr>
          <w:trHeight w:val="200"/>
        </w:trPr>
        <w:tc>
          <w:tcPr>
            <w:tcW w:w="4220" w:type="dxa"/>
            <w:vAlign w:val="bottom"/>
            <w:gridSpan w:val="2"/>
          </w:tcPr>
          <w:p>
            <w:pPr>
              <w:spacing w:after="0"/>
              <w:rPr>
                <w:sz w:val="20"/>
                <w:szCs w:val="20"/>
                <w:color w:val="auto"/>
              </w:rPr>
            </w:pPr>
            <w:r>
              <w:rPr>
                <w:rFonts w:ascii="Arial" w:cs="Arial" w:eastAsia="Arial" w:hAnsi="Arial"/>
                <w:sz w:val="16"/>
                <w:szCs w:val="16"/>
                <w:color w:val="auto"/>
              </w:rPr>
              <w:t>Saving deposits</w:t>
            </w:r>
          </w:p>
        </w:tc>
        <w:tc>
          <w:tcPr>
            <w:tcW w:w="880" w:type="dxa"/>
            <w:vAlign w:val="bottom"/>
          </w:tcPr>
          <w:p>
            <w:pPr>
              <w:jc w:val="right"/>
              <w:spacing w:after="0"/>
              <w:rPr>
                <w:sz w:val="20"/>
                <w:szCs w:val="20"/>
                <w:color w:val="auto"/>
              </w:rPr>
            </w:pPr>
            <w:r>
              <w:rPr>
                <w:rFonts w:ascii="Arial" w:cs="Arial" w:eastAsia="Arial" w:hAnsi="Arial"/>
                <w:sz w:val="16"/>
                <w:szCs w:val="16"/>
                <w:color w:val="auto"/>
              </w:rPr>
              <w:t>32,604,309</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37,872,908</w:t>
            </w:r>
          </w:p>
        </w:tc>
        <w:tc>
          <w:tcPr>
            <w:tcW w:w="2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42,562,229</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12.4%</w:t>
            </w:r>
          </w:p>
        </w:tc>
        <w:tc>
          <w:tcPr>
            <w:tcW w:w="26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30.5%</w:t>
            </w:r>
          </w:p>
        </w:tc>
      </w:tr>
      <w:tr>
        <w:trPr>
          <w:trHeight w:val="200"/>
        </w:trPr>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Time deposits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32,472,216</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35,045,214</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30,019,871</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-14.3%</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-7.6%</w:t>
            </w:r>
          </w:p>
        </w:tc>
      </w:tr>
      <w:tr>
        <w:trPr>
          <w:trHeight w:val="200"/>
        </w:trPr>
        <w:tc>
          <w:tcPr>
            <w:tcW w:w="4220" w:type="dxa"/>
            <w:vAlign w:val="bottom"/>
            <w:gridSpan w:val="2"/>
          </w:tcPr>
          <w:p>
            <w:pPr>
              <w:spacing w:after="0"/>
              <w:rPr>
                <w:sz w:val="20"/>
                <w:szCs w:val="20"/>
                <w:color w:val="auto"/>
              </w:rPr>
            </w:pPr>
            <w:r>
              <w:rPr>
                <w:rFonts w:ascii="Arial" w:cs="Arial" w:eastAsia="Arial" w:hAnsi="Arial"/>
                <w:sz w:val="16"/>
                <w:szCs w:val="16"/>
                <w:color w:val="auto"/>
              </w:rPr>
              <w:t>Severance indemnity deposits</w:t>
            </w:r>
          </w:p>
        </w:tc>
        <w:tc>
          <w:tcPr>
            <w:tcW w:w="880" w:type="dxa"/>
            <w:vAlign w:val="bottom"/>
          </w:tcPr>
          <w:p>
            <w:pPr>
              <w:jc w:val="right"/>
              <w:spacing w:after="0"/>
              <w:rPr>
                <w:sz w:val="20"/>
                <w:szCs w:val="20"/>
                <w:color w:val="auto"/>
              </w:rPr>
            </w:pPr>
            <w:r>
              <w:rPr>
                <w:rFonts w:ascii="Arial" w:cs="Arial" w:eastAsia="Arial" w:hAnsi="Arial"/>
                <w:sz w:val="16"/>
                <w:szCs w:val="16"/>
                <w:color w:val="auto"/>
              </w:rPr>
              <w:t>7,609,448</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7,204,922</w:t>
            </w:r>
          </w:p>
        </w:tc>
        <w:tc>
          <w:tcPr>
            <w:tcW w:w="2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7,441,044</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3.3%</w:t>
            </w:r>
          </w:p>
        </w:tc>
        <w:tc>
          <w:tcPr>
            <w:tcW w:w="26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-2.2%</w:t>
            </w:r>
          </w:p>
        </w:tc>
      </w:tr>
      <w:tr>
        <w:trPr>
          <w:trHeight w:val="200"/>
        </w:trPr>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payable</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607,736</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694,214</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714,397</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17.6%</w:t>
            </w:r>
          </w:p>
        </w:tc>
      </w:tr>
      <w:tr>
        <w:trPr>
          <w:trHeight w:val="200"/>
        </w:trPr>
        <w:tc>
          <w:tcPr>
            <w:tcW w:w="4220" w:type="dxa"/>
            <w:vAlign w:val="bottom"/>
            <w:gridSpan w:val="2"/>
          </w:tcPr>
          <w:p>
            <w:pPr>
              <w:spacing w:after="0"/>
              <w:rPr>
                <w:sz w:val="20"/>
                <w:szCs w:val="20"/>
                <w:color w:val="auto"/>
              </w:rPr>
            </w:pPr>
            <w:r>
              <w:rPr>
                <w:rFonts w:ascii="Arial" w:cs="Arial" w:eastAsia="Arial" w:hAnsi="Arial"/>
                <w:sz w:val="16"/>
                <w:szCs w:val="16"/>
                <w:b w:val="1"/>
                <w:bCs w:val="1"/>
                <w:color w:val="auto"/>
              </w:rPr>
              <w:t>Deposits and obligations</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w w:val="96"/>
              </w:rPr>
              <w:t>103,157,044</w:t>
            </w:r>
          </w:p>
        </w:tc>
        <w:tc>
          <w:tcPr>
            <w:tcW w:w="2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6"/>
              </w:rPr>
              <w:t>119,563,545</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6"/>
              </w:rPr>
              <w:t>129,664,332</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8.4%</w:t>
            </w:r>
          </w:p>
        </w:tc>
        <w:tc>
          <w:tcPr>
            <w:tcW w:w="2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b w:val="1"/>
                <w:bCs w:val="1"/>
                <w:color w:val="auto"/>
              </w:rPr>
              <w:t>25.7%</w:t>
            </w:r>
          </w:p>
        </w:tc>
      </w:tr>
      <w:tr>
        <w:trPr>
          <w:trHeight w:val="200"/>
        </w:trPr>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to banks and correspondents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9,222,278</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9,854,630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8,374,009</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r>
      <w:tr>
        <w:trPr>
          <w:trHeight w:val="200"/>
        </w:trPr>
        <w:tc>
          <w:tcPr>
            <w:tcW w:w="4220" w:type="dxa"/>
            <w:vAlign w:val="bottom"/>
            <w:gridSpan w:val="2"/>
          </w:tcPr>
          <w:p>
            <w:pPr>
              <w:spacing w:after="0"/>
              <w:rPr>
                <w:sz w:val="20"/>
                <w:szCs w:val="20"/>
                <w:color w:val="auto"/>
              </w:rPr>
            </w:pPr>
            <w:r>
              <w:rPr>
                <w:rFonts w:ascii="Arial" w:cs="Arial" w:eastAsia="Arial" w:hAnsi="Arial"/>
                <w:sz w:val="16"/>
                <w:szCs w:val="16"/>
                <w:color w:val="auto"/>
              </w:rPr>
              <w:t>BCRP instruments</w:t>
            </w:r>
          </w:p>
        </w:tc>
        <w:tc>
          <w:tcPr>
            <w:tcW w:w="880" w:type="dxa"/>
            <w:vAlign w:val="bottom"/>
          </w:tcPr>
          <w:p>
            <w:pPr>
              <w:jc w:val="right"/>
              <w:spacing w:after="0"/>
              <w:rPr>
                <w:sz w:val="20"/>
                <w:szCs w:val="20"/>
                <w:color w:val="auto"/>
              </w:rPr>
            </w:pPr>
            <w:r>
              <w:rPr>
                <w:rFonts w:ascii="Arial" w:cs="Arial" w:eastAsia="Arial" w:hAnsi="Arial"/>
                <w:sz w:val="16"/>
                <w:szCs w:val="16"/>
                <w:color w:val="auto"/>
              </w:rPr>
              <w:t>6,304,186</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5,346,373</w:t>
            </w:r>
          </w:p>
        </w:tc>
        <w:tc>
          <w:tcPr>
            <w:tcW w:w="2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19,441,733</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263.6%</w:t>
            </w:r>
          </w:p>
        </w:tc>
        <w:tc>
          <w:tcPr>
            <w:tcW w:w="26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208.4%</w:t>
            </w:r>
          </w:p>
        </w:tc>
      </w:tr>
      <w:tr>
        <w:trPr>
          <w:trHeight w:val="200"/>
        </w:trPr>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Repurchase agreements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2,455,665</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1,935,879</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2,091,798</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-14.8%</w:t>
            </w:r>
          </w:p>
        </w:tc>
      </w:tr>
      <w:tr>
        <w:trPr>
          <w:trHeight w:val="200"/>
        </w:trPr>
        <w:tc>
          <w:tcPr>
            <w:tcW w:w="4220" w:type="dxa"/>
            <w:vAlign w:val="bottom"/>
            <w:gridSpan w:val="2"/>
          </w:tcPr>
          <w:p>
            <w:pPr>
              <w:spacing w:after="0"/>
              <w:rPr>
                <w:sz w:val="20"/>
                <w:szCs w:val="20"/>
                <w:color w:val="auto"/>
              </w:rPr>
            </w:pPr>
            <w:r>
              <w:rPr>
                <w:rFonts w:ascii="Arial" w:cs="Arial" w:eastAsia="Arial" w:hAnsi="Arial"/>
                <w:sz w:val="16"/>
                <w:szCs w:val="16"/>
                <w:color w:val="auto"/>
              </w:rPr>
              <w:t>Bonds and notes issued</w:t>
            </w:r>
          </w:p>
        </w:tc>
        <w:tc>
          <w:tcPr>
            <w:tcW w:w="880" w:type="dxa"/>
            <w:vAlign w:val="bottom"/>
          </w:tcPr>
          <w:p>
            <w:pPr>
              <w:jc w:val="right"/>
              <w:spacing w:after="0"/>
              <w:rPr>
                <w:sz w:val="20"/>
                <w:szCs w:val="20"/>
                <w:color w:val="auto"/>
              </w:rPr>
            </w:pPr>
            <w:r>
              <w:rPr>
                <w:rFonts w:ascii="Arial" w:cs="Arial" w:eastAsia="Arial" w:hAnsi="Arial"/>
                <w:sz w:val="16"/>
                <w:szCs w:val="16"/>
                <w:color w:val="auto"/>
              </w:rPr>
              <w:t>15,058,760</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15,178,148</w:t>
            </w:r>
          </w:p>
        </w:tc>
        <w:tc>
          <w:tcPr>
            <w:tcW w:w="2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17,250,531</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13.7%</w:t>
            </w:r>
          </w:p>
        </w:tc>
        <w:tc>
          <w:tcPr>
            <w:tcW w:w="26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14.6%</w:t>
            </w:r>
          </w:p>
        </w:tc>
      </w:tr>
      <w:tr>
        <w:trPr>
          <w:trHeight w:val="200"/>
        </w:trPr>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funding</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136,197,933</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151,878,575</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w w:val="96"/>
              </w:rPr>
              <w:t>176,822,403</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16.4%</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29.8%</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Funding Structure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of the funding structure and cost – BAP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140335</wp:posOffset>
            </wp:positionV>
            <wp:extent cx="6473190" cy="268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73190" cy="268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(1) 2019 figures differ from previously reported due to the implementation of IFRS 19, where financing expenses related to lease agreements are included.</w:t>
      </w:r>
    </w:p>
    <w:p>
      <w:pPr>
        <w:spacing w:after="0" w:line="243"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figure showing the Evolution of the funding structure and cost at Credicorp is calculated with quarter-end balances. In general terms, the funding structure reflects:</w:t>
      </w:r>
    </w:p>
    <w:p>
      <w:pPr>
        <w:spacing w:after="0" w:line="175" w:lineRule="exact"/>
        <w:rPr>
          <w:sz w:val="20"/>
          <w:szCs w:val="20"/>
          <w:color w:val="auto"/>
        </w:rPr>
      </w:pPr>
    </w:p>
    <w:p>
      <w:pPr>
        <w:jc w:val="both"/>
        <w:ind w:left="880" w:hanging="500"/>
        <w:spacing w:after="0" w:line="258"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growth in deposits, the main source of funding, which entail lower costs in comparison to those associated with Other sources of funding. Despite the drop in share of total funding (73.3% in Jun 20 vs 78.7% in Mar 20 and 75.7% in Jun 19), growth in deposits represented 40.5% QoQ and 65.2% YoY of the total increase in funding.</w:t>
      </w:r>
    </w:p>
    <w:p>
      <w:pPr>
        <w:spacing w:after="0" w:line="186" w:lineRule="exact"/>
        <w:rPr>
          <w:rFonts w:ascii="Arial" w:cs="Arial" w:eastAsia="Arial" w:hAnsi="Arial"/>
          <w:sz w:val="18"/>
          <w:szCs w:val="18"/>
          <w:color w:val="auto"/>
        </w:rPr>
      </w:pPr>
    </w:p>
    <w:p>
      <w:pPr>
        <w:jc w:val="both"/>
        <w:ind w:left="880" w:hanging="500"/>
        <w:spacing w:after="0" w:line="258"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Within the deposit mix, demand deposits and savings deposits reported significant growth at the end of Jun 20. Consequently, these deposits came to represent 70.6% of total deposits share (vs 64.1% in Mar 20 and 60.6% in Jun 19). Both deposit types are considered the lowest cost alternatives within the deposit mix.</w:t>
      </w:r>
    </w:p>
    <w:p>
      <w:pPr>
        <w:spacing w:after="0" w:line="400"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jc w:val="both"/>
        <w:ind w:left="880" w:hanging="500"/>
        <w:spacing w:after="0" w:line="306"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Expansion in Other sources of funding, which was primarily due to an increase in the volume of BCRP Instruments (+263.6% QoQ and +208.4% YoY) and, to a lesser extent, to Bonds and notes issued (+13.7% QoQ and +14.6% YoY), which will be explained in greater detail in the section 2.3 Other sources of funding. Other sources of funding account for 59.5% and 34.8% of the increase in total funding QoQ and YoY,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Deposits</w:t>
      </w:r>
    </w:p>
    <w:p>
      <w:pPr>
        <w:spacing w:after="0" w:line="224" w:lineRule="exact"/>
        <w:rPr>
          <w:sz w:val="20"/>
          <w:szCs w:val="20"/>
          <w:color w:val="auto"/>
        </w:rPr>
      </w:pPr>
    </w:p>
    <w:tbl>
      <w:tblPr>
        <w:tblLayout w:type="fixed"/>
        <w:tblInd w:w="80" w:type="dxa"/>
        <w:tblCellMar>
          <w:top w:w="0" w:type="dxa"/>
          <w:left w:w="0" w:type="dxa"/>
          <w:bottom w:w="0" w:type="dxa"/>
          <w:right w:w="0" w:type="dxa"/>
        </w:tblCellMar>
      </w:tblPr>
      <w:tr>
        <w:trPr>
          <w:trHeight w:val="209"/>
        </w:trPr>
        <w:tc>
          <w:tcPr>
            <w:tcW w:w="4200" w:type="dxa"/>
            <w:vAlign w:val="bottom"/>
            <w:gridSpan w:val="2"/>
          </w:tcPr>
          <w:p>
            <w:pPr>
              <w:spacing w:after="0"/>
              <w:rPr>
                <w:sz w:val="20"/>
                <w:szCs w:val="20"/>
                <w:color w:val="auto"/>
              </w:rPr>
            </w:pPr>
            <w:r>
              <w:rPr>
                <w:rFonts w:ascii="Arial" w:cs="Arial" w:eastAsia="Arial" w:hAnsi="Arial"/>
                <w:sz w:val="16"/>
                <w:szCs w:val="16"/>
                <w:b w:val="1"/>
                <w:bCs w:val="1"/>
                <w:color w:val="auto"/>
              </w:rPr>
              <w:t>Deposits and obligations</w:t>
            </w:r>
          </w:p>
        </w:tc>
        <w:tc>
          <w:tcPr>
            <w:tcW w:w="9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As of</w:t>
            </w:r>
          </w:p>
        </w:tc>
        <w:tc>
          <w:tcPr>
            <w:tcW w:w="9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w w:val="93"/>
              </w:rPr>
              <w:t>% change</w:t>
            </w: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9"/>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Jun 19</w:t>
            </w:r>
          </w:p>
        </w:tc>
        <w:tc>
          <w:tcPr>
            <w:tcW w:w="1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Mar 20</w:t>
            </w:r>
          </w:p>
        </w:tc>
        <w:tc>
          <w:tcPr>
            <w:tcW w:w="1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Jun 20</w:t>
            </w: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QoQ</w:t>
            </w:r>
          </w:p>
        </w:tc>
        <w:tc>
          <w:tcPr>
            <w:tcW w:w="2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YoY</w:t>
            </w:r>
          </w:p>
        </w:tc>
        <w:tc>
          <w:tcPr>
            <w:tcW w:w="160" w:type="dxa"/>
            <w:vAlign w:val="bottom"/>
            <w:tcBorders>
              <w:bottom w:val="single" w:sz="8" w:color="CCEEFF"/>
            </w:tcBorders>
          </w:tcPr>
          <w:p>
            <w:pPr>
              <w:spacing w:after="0"/>
              <w:rPr>
                <w:sz w:val="17"/>
                <w:szCs w:val="17"/>
                <w:color w:val="auto"/>
              </w:rPr>
            </w:pPr>
          </w:p>
        </w:tc>
      </w:tr>
      <w:tr>
        <w:trPr>
          <w:trHeight w:val="193"/>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Demand deposits</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29,863,335</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38,746,287</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48,926,791</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26.3%</w:t>
            </w:r>
          </w:p>
        </w:tc>
        <w:tc>
          <w:tcPr>
            <w:tcW w:w="2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63.8%</w:t>
            </w:r>
          </w:p>
        </w:tc>
      </w:tr>
      <w:tr>
        <w:trPr>
          <w:trHeight w:val="200"/>
        </w:trPr>
        <w:tc>
          <w:tcPr>
            <w:tcW w:w="4200" w:type="dxa"/>
            <w:vAlign w:val="bottom"/>
            <w:gridSpan w:val="2"/>
          </w:tcPr>
          <w:p>
            <w:pPr>
              <w:spacing w:after="0"/>
              <w:rPr>
                <w:sz w:val="20"/>
                <w:szCs w:val="20"/>
                <w:color w:val="auto"/>
              </w:rPr>
            </w:pPr>
            <w:r>
              <w:rPr>
                <w:rFonts w:ascii="Arial" w:cs="Arial" w:eastAsia="Arial" w:hAnsi="Arial"/>
                <w:sz w:val="16"/>
                <w:szCs w:val="16"/>
                <w:color w:val="auto"/>
              </w:rPr>
              <w:t>Saving deposits</w:t>
            </w:r>
          </w:p>
        </w:tc>
        <w:tc>
          <w:tcPr>
            <w:tcW w:w="900" w:type="dxa"/>
            <w:vAlign w:val="bottom"/>
          </w:tcPr>
          <w:p>
            <w:pPr>
              <w:jc w:val="right"/>
              <w:spacing w:after="0"/>
              <w:rPr>
                <w:sz w:val="20"/>
                <w:szCs w:val="20"/>
                <w:color w:val="auto"/>
              </w:rPr>
            </w:pPr>
            <w:r>
              <w:rPr>
                <w:rFonts w:ascii="Arial" w:cs="Arial" w:eastAsia="Arial" w:hAnsi="Arial"/>
                <w:sz w:val="16"/>
                <w:szCs w:val="16"/>
                <w:color w:val="auto"/>
              </w:rPr>
              <w:t>32,604,309</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37,872,908</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42,562,229</w:t>
            </w:r>
          </w:p>
        </w:tc>
        <w:tc>
          <w:tcPr>
            <w:tcW w:w="1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12.4%</w:t>
            </w:r>
          </w:p>
        </w:tc>
        <w:tc>
          <w:tcPr>
            <w:tcW w:w="24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30.5%</w:t>
            </w:r>
          </w:p>
        </w:tc>
      </w:tr>
      <w:tr>
        <w:trPr>
          <w:trHeight w:val="200"/>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Time deposits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32,472,216</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35,045,214</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30,019,871</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-14.3%</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-7.6%</w:t>
            </w:r>
          </w:p>
        </w:tc>
      </w:tr>
      <w:tr>
        <w:trPr>
          <w:trHeight w:val="200"/>
        </w:trPr>
        <w:tc>
          <w:tcPr>
            <w:tcW w:w="4200" w:type="dxa"/>
            <w:vAlign w:val="bottom"/>
            <w:gridSpan w:val="2"/>
          </w:tcPr>
          <w:p>
            <w:pPr>
              <w:spacing w:after="0"/>
              <w:rPr>
                <w:sz w:val="20"/>
                <w:szCs w:val="20"/>
                <w:color w:val="auto"/>
              </w:rPr>
            </w:pPr>
            <w:r>
              <w:rPr>
                <w:rFonts w:ascii="Arial" w:cs="Arial" w:eastAsia="Arial" w:hAnsi="Arial"/>
                <w:sz w:val="16"/>
                <w:szCs w:val="16"/>
                <w:color w:val="auto"/>
              </w:rPr>
              <w:t>Severance indemnity deposits</w:t>
            </w:r>
          </w:p>
        </w:tc>
        <w:tc>
          <w:tcPr>
            <w:tcW w:w="900" w:type="dxa"/>
            <w:vAlign w:val="bottom"/>
          </w:tcPr>
          <w:p>
            <w:pPr>
              <w:jc w:val="right"/>
              <w:spacing w:after="0"/>
              <w:rPr>
                <w:sz w:val="20"/>
                <w:szCs w:val="20"/>
                <w:color w:val="auto"/>
              </w:rPr>
            </w:pPr>
            <w:r>
              <w:rPr>
                <w:rFonts w:ascii="Arial" w:cs="Arial" w:eastAsia="Arial" w:hAnsi="Arial"/>
                <w:sz w:val="16"/>
                <w:szCs w:val="16"/>
                <w:color w:val="auto"/>
              </w:rPr>
              <w:t>7,609,448</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7,204,922</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7,441,044</w:t>
            </w:r>
          </w:p>
        </w:tc>
        <w:tc>
          <w:tcPr>
            <w:tcW w:w="1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-2.2%</w:t>
            </w:r>
          </w:p>
        </w:tc>
      </w:tr>
      <w:tr>
        <w:trPr>
          <w:trHeight w:val="200"/>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payable</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607,736</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694,214</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714,397</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17.6%</w:t>
            </w:r>
          </w:p>
        </w:tc>
      </w:tr>
      <w:tr>
        <w:trPr>
          <w:trHeight w:val="209"/>
        </w:trPr>
        <w:tc>
          <w:tcPr>
            <w:tcW w:w="4200" w:type="dxa"/>
            <w:vAlign w:val="bottom"/>
            <w:gridSpan w:val="2"/>
          </w:tcPr>
          <w:p>
            <w:pPr>
              <w:spacing w:after="0"/>
              <w:rPr>
                <w:sz w:val="20"/>
                <w:szCs w:val="20"/>
                <w:color w:val="auto"/>
              </w:rPr>
            </w:pPr>
            <w:r>
              <w:rPr>
                <w:rFonts w:ascii="Arial" w:cs="Arial" w:eastAsia="Arial" w:hAnsi="Arial"/>
                <w:sz w:val="16"/>
                <w:szCs w:val="16"/>
                <w:b w:val="1"/>
                <w:bCs w:val="1"/>
                <w:color w:val="auto"/>
              </w:rPr>
              <w:t>Deposits and obligations</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w w:val="96"/>
              </w:rPr>
              <w:t>103,157,044</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w w:val="96"/>
              </w:rPr>
              <w:t>119,563,545</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w w:val="96"/>
              </w:rPr>
              <w:t>129,664,332</w:t>
            </w: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8.4%</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25.7%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Deposits and obligations </w:t>
      </w:r>
      <w:r>
        <w:rPr>
          <w:rFonts w:ascii="Arial" w:cs="Arial" w:eastAsia="Arial" w:hAnsi="Arial"/>
          <w:sz w:val="18"/>
          <w:szCs w:val="18"/>
          <w:color w:val="auto"/>
        </w:rPr>
        <w:t>expanded +8.4% QoQ. The</w:t>
      </w:r>
      <w:r>
        <w:rPr>
          <w:rFonts w:ascii="Arial" w:cs="Arial" w:eastAsia="Arial" w:hAnsi="Arial"/>
          <w:sz w:val="18"/>
          <w:szCs w:val="18"/>
          <w:b w:val="1"/>
          <w:bCs w:val="1"/>
          <w:color w:val="auto"/>
        </w:rPr>
        <w:t xml:space="preserve"> QoQ </w:t>
      </w:r>
      <w:r>
        <w:rPr>
          <w:rFonts w:ascii="Arial" w:cs="Arial" w:eastAsia="Arial" w:hAnsi="Arial"/>
          <w:sz w:val="18"/>
          <w:szCs w:val="18"/>
          <w:color w:val="auto"/>
        </w:rPr>
        <w:t>evolution of the deposit mix shows:</w:t>
      </w:r>
    </w:p>
    <w:p>
      <w:pPr>
        <w:spacing w:after="0" w:line="220" w:lineRule="exact"/>
        <w:rPr>
          <w:sz w:val="20"/>
          <w:szCs w:val="20"/>
          <w:color w:val="auto"/>
        </w:rPr>
      </w:pPr>
    </w:p>
    <w:p>
      <w:pPr>
        <w:jc w:val="both"/>
        <w:ind w:left="880" w:hanging="500"/>
        <w:spacing w:after="0" w:line="256"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 +26.3% increase in </w:t>
      </w:r>
      <w:r>
        <w:rPr>
          <w:rFonts w:ascii="Arial" w:cs="Arial" w:eastAsia="Arial" w:hAnsi="Arial"/>
          <w:sz w:val="18"/>
          <w:szCs w:val="18"/>
          <w:b w:val="1"/>
          <w:bCs w:val="1"/>
          <w:color w:val="auto"/>
        </w:rPr>
        <w:t>demand deposits</w:t>
      </w:r>
      <w:r>
        <w:rPr>
          <w:rFonts w:ascii="Arial" w:cs="Arial" w:eastAsia="Arial" w:hAnsi="Arial"/>
          <w:sz w:val="18"/>
          <w:szCs w:val="18"/>
          <w:color w:val="auto"/>
        </w:rPr>
        <w:t>, which was attributable to (i) BCP Stand-alone, due to an increase in the volume of current accounts in Wholesale Banking; this growth was attributable to Government Programs (Reactiva Peru and FAE) loans, which are held in clients’ accounts, and to a lesser extent, to (ii) the variation in the exchange rate and the consequent increase in the value of FC deposits, which represent approximately 50% of the total volume of demand deposits.</w:t>
      </w:r>
    </w:p>
    <w:p>
      <w:pPr>
        <w:spacing w:after="0" w:line="184" w:lineRule="exact"/>
        <w:rPr>
          <w:rFonts w:ascii="Arial" w:cs="Arial" w:eastAsia="Arial" w:hAnsi="Arial"/>
          <w:sz w:val="18"/>
          <w:szCs w:val="18"/>
          <w:color w:val="auto"/>
        </w:rPr>
      </w:pPr>
    </w:p>
    <w:p>
      <w:pPr>
        <w:jc w:val="both"/>
        <w:ind w:left="880" w:hanging="500"/>
        <w:spacing w:after="0" w:line="272" w:lineRule="auto"/>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Growth in </w:t>
      </w:r>
      <w:r>
        <w:rPr>
          <w:rFonts w:ascii="Arial" w:cs="Arial" w:eastAsia="Arial" w:hAnsi="Arial"/>
          <w:sz w:val="17"/>
          <w:szCs w:val="17"/>
          <w:b w:val="1"/>
          <w:bCs w:val="1"/>
          <w:color w:val="auto"/>
        </w:rPr>
        <w:t>savings deposits</w:t>
      </w:r>
      <w:r>
        <w:rPr>
          <w:rFonts w:ascii="Arial" w:cs="Arial" w:eastAsia="Arial" w:hAnsi="Arial"/>
          <w:sz w:val="17"/>
          <w:szCs w:val="17"/>
          <w:color w:val="auto"/>
        </w:rPr>
        <w:t>, which increased +12.4% QoQ, mainly due to an increase in volumes in LC. This growth reflects (i) the decisions taken by the Peruvian government to bolster liquidity, including approving the suspension of obligatory contributions to pension funds (April) and allowing affiliates to AFPs to withdraw up to 25% of their funds (May), (ii) the lockdown imposed by the Peruvian government, which lasted throughout 2Q20 to flatten the Covid-19 curve, which led individuals to consume less through their credit and debit cards, and (iii) the results of campaigns to capture savings through digital and cost-efficient channels.</w:t>
      </w:r>
    </w:p>
    <w:p>
      <w:pPr>
        <w:spacing w:after="0" w:line="173" w:lineRule="exact"/>
        <w:rPr>
          <w:rFonts w:ascii="Arial" w:cs="Arial" w:eastAsia="Arial" w:hAnsi="Arial"/>
          <w:sz w:val="17"/>
          <w:szCs w:val="17"/>
          <w:color w:val="auto"/>
        </w:rPr>
      </w:pPr>
    </w:p>
    <w:p>
      <w:pPr>
        <w:jc w:val="both"/>
        <w:ind w:left="880" w:hanging="500"/>
        <w:spacing w:after="0" w:line="261"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drop in </w:t>
      </w:r>
      <w:r>
        <w:rPr>
          <w:rFonts w:ascii="Arial" w:cs="Arial" w:eastAsia="Arial" w:hAnsi="Arial"/>
          <w:sz w:val="18"/>
          <w:szCs w:val="18"/>
          <w:b w:val="1"/>
          <w:bCs w:val="1"/>
          <w:color w:val="auto"/>
        </w:rPr>
        <w:t>time deposits</w:t>
      </w:r>
      <w:r>
        <w:rPr>
          <w:rFonts w:ascii="Arial" w:cs="Arial" w:eastAsia="Arial" w:hAnsi="Arial"/>
          <w:sz w:val="18"/>
          <w:szCs w:val="18"/>
          <w:color w:val="auto"/>
        </w:rPr>
        <w:t>, mainly at (i) BCP Stand-alone and in LC and FC, in the Wholesale Banking portfolio, and to a lesser extent, at (iii) Mibanco in LC, due to a decrease in campaign activities to capture this deposit type. It is important to note that lower-cost alternatives have replaced time deposits in the mix.</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YoY terms, total </w:t>
      </w:r>
      <w:r>
        <w:rPr>
          <w:rFonts w:ascii="Arial" w:cs="Arial" w:eastAsia="Arial" w:hAnsi="Arial"/>
          <w:sz w:val="18"/>
          <w:szCs w:val="18"/>
          <w:b w:val="1"/>
          <w:bCs w:val="1"/>
          <w:color w:val="auto"/>
        </w:rPr>
        <w:t>deposits and obligations</w:t>
      </w:r>
      <w:r>
        <w:rPr>
          <w:rFonts w:ascii="Arial" w:cs="Arial" w:eastAsia="Arial" w:hAnsi="Arial"/>
          <w:sz w:val="18"/>
          <w:szCs w:val="18"/>
          <w:color w:val="auto"/>
        </w:rPr>
        <w:t xml:space="preserve"> registered growth of +25.7%, which is mainly attributable to:</w:t>
      </w:r>
    </w:p>
    <w:p>
      <w:pPr>
        <w:spacing w:after="0" w:line="220" w:lineRule="exact"/>
        <w:rPr>
          <w:sz w:val="20"/>
          <w:szCs w:val="20"/>
          <w:color w:val="auto"/>
        </w:rPr>
      </w:pPr>
    </w:p>
    <w:p>
      <w:pPr>
        <w:jc w:val="both"/>
        <w:ind w:left="880" w:hanging="500"/>
        <w:spacing w:after="0" w:line="261"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increase in </w:t>
      </w:r>
      <w:r>
        <w:rPr>
          <w:rFonts w:ascii="Arial" w:cs="Arial" w:eastAsia="Arial" w:hAnsi="Arial"/>
          <w:sz w:val="18"/>
          <w:szCs w:val="18"/>
          <w:b w:val="1"/>
          <w:bCs w:val="1"/>
          <w:color w:val="auto"/>
        </w:rPr>
        <w:t>demand deposits</w:t>
      </w:r>
      <w:r>
        <w:rPr>
          <w:rFonts w:ascii="Arial" w:cs="Arial" w:eastAsia="Arial" w:hAnsi="Arial"/>
          <w:sz w:val="18"/>
          <w:szCs w:val="18"/>
          <w:color w:val="auto"/>
        </w:rPr>
        <w:t>, due to an increase in the volume of non-interest bearing deposits (+63.0%), mainly at BCP Stand-alone, and interest bearing deposits (+68.4%), mainly at ASB. It is important to mention that growth in non-interest bearing demand deposits, which constitute the lowest-cost source of funding, represent 60% of the total increase in deposits.</w:t>
      </w:r>
    </w:p>
    <w:p>
      <w:pPr>
        <w:spacing w:after="0" w:line="178" w:lineRule="exact"/>
        <w:rPr>
          <w:rFonts w:ascii="Arial" w:cs="Arial" w:eastAsia="Arial" w:hAnsi="Arial"/>
          <w:sz w:val="18"/>
          <w:szCs w:val="18"/>
          <w:color w:val="auto"/>
        </w:rPr>
      </w:pPr>
    </w:p>
    <w:p>
      <w:pPr>
        <w:ind w:left="880" w:hanging="50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+30.5% expansion in </w:t>
      </w:r>
      <w:r>
        <w:rPr>
          <w:rFonts w:ascii="Arial" w:cs="Arial" w:eastAsia="Arial" w:hAnsi="Arial"/>
          <w:sz w:val="18"/>
          <w:szCs w:val="18"/>
          <w:b w:val="1"/>
          <w:bCs w:val="1"/>
          <w:color w:val="auto"/>
        </w:rPr>
        <w:t>savings deposits</w:t>
      </w:r>
      <w:r>
        <w:rPr>
          <w:rFonts w:ascii="Arial" w:cs="Arial" w:eastAsia="Arial" w:hAnsi="Arial"/>
          <w:sz w:val="18"/>
          <w:szCs w:val="18"/>
          <w:color w:val="auto"/>
        </w:rPr>
        <w:t>, mainly at BCP Stand-alone, which reflects the same trend seen for the QoQ evolution.</w:t>
      </w:r>
    </w:p>
    <w:p>
      <w:pPr>
        <w:spacing w:after="0" w:line="219" w:lineRule="exact"/>
        <w:rPr>
          <w:rFonts w:ascii="Arial" w:cs="Arial" w:eastAsia="Arial" w:hAnsi="Arial"/>
          <w:sz w:val="18"/>
          <w:szCs w:val="18"/>
          <w:color w:val="auto"/>
        </w:rPr>
      </w:pPr>
    </w:p>
    <w:p>
      <w:pPr>
        <w:ind w:left="880" w:hanging="50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-7.6% contraction in </w:t>
      </w:r>
      <w:r>
        <w:rPr>
          <w:rFonts w:ascii="Arial" w:cs="Arial" w:eastAsia="Arial" w:hAnsi="Arial"/>
          <w:sz w:val="18"/>
          <w:szCs w:val="18"/>
          <w:b w:val="1"/>
          <w:bCs w:val="1"/>
          <w:color w:val="auto"/>
        </w:rPr>
        <w:t>time deposits,</w:t>
      </w:r>
      <w:r>
        <w:rPr>
          <w:rFonts w:ascii="Arial" w:cs="Arial" w:eastAsia="Arial" w:hAnsi="Arial"/>
          <w:sz w:val="18"/>
          <w:szCs w:val="18"/>
          <w:color w:val="auto"/>
        </w:rPr>
        <w:t xml:space="preserve"> in line with the QoQ analysis.</w:t>
      </w:r>
    </w:p>
    <w:p>
      <w:pPr>
        <w:spacing w:after="0" w:line="200" w:lineRule="exact"/>
        <w:rPr>
          <w:sz w:val="20"/>
          <w:szCs w:val="20"/>
          <w:color w:val="auto"/>
        </w:rPr>
      </w:pPr>
    </w:p>
    <w:p>
      <w:pPr>
        <w:spacing w:after="0" w:line="237"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2.2.1. Deposits: dollarization level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Dollarization Level of Deposits </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 xml:space="preserve"> – BAP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93980</wp:posOffset>
            </wp:positionV>
            <wp:extent cx="4465320" cy="14744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46532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(1) Q-end balances.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 Deposit Dollarization measured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151130</wp:posOffset>
            </wp:positionV>
            <wp:extent cx="6549390" cy="20167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49390" cy="2016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The dollarization level of Credicorp’s deposits fell considerably </w:t>
      </w:r>
      <w:r>
        <w:rPr>
          <w:rFonts w:ascii="Arial" w:cs="Arial" w:eastAsia="Arial" w:hAnsi="Arial"/>
          <w:sz w:val="18"/>
          <w:szCs w:val="18"/>
          <w:b w:val="1"/>
          <w:bCs w:val="1"/>
          <w:color w:val="auto"/>
        </w:rPr>
        <w:t>QoQ</w:t>
      </w:r>
      <w:r>
        <w:rPr>
          <w:rFonts w:ascii="Arial" w:cs="Arial" w:eastAsia="Arial" w:hAnsi="Arial"/>
          <w:sz w:val="18"/>
          <w:szCs w:val="18"/>
          <w:color w:val="auto"/>
        </w:rPr>
        <w:t>, which was attributable to growth of +14.5% in LC volumes in comparison to +2.3% for volumes in FC.</w:t>
      </w:r>
    </w:p>
    <w:p>
      <w:pPr>
        <w:spacing w:after="0" w:line="172"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Growth in LC volumes, which was primarily attributable to an increase in demand deposits and, to a lesser extent, to the expansion in savings deposits. These deposit types represent 124% of the total growth in LC deposits, which offset the significant contraction in LC time deposits (-22.3%).</w:t>
      </w:r>
    </w:p>
    <w:p>
      <w:pPr>
        <w:spacing w:after="0" w:line="15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terms of FC volumes, growth was also attributable to an increase in savings deposits and demand deposits. Growth in savings deposits was mainly associated to individuals.</w:t>
      </w:r>
    </w:p>
    <w:p>
      <w:pPr>
        <w:spacing w:after="0" w:line="17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 xml:space="preserve">In the </w:t>
      </w:r>
      <w:r>
        <w:rPr>
          <w:rFonts w:ascii="Arial" w:cs="Arial" w:eastAsia="Arial" w:hAnsi="Arial"/>
          <w:sz w:val="17"/>
          <w:szCs w:val="17"/>
          <w:b w:val="1"/>
          <w:bCs w:val="1"/>
          <w:color w:val="auto"/>
        </w:rPr>
        <w:t>YoY</w:t>
      </w:r>
      <w:r>
        <w:rPr>
          <w:rFonts w:ascii="Arial" w:cs="Arial" w:eastAsia="Arial" w:hAnsi="Arial"/>
          <w:sz w:val="17"/>
          <w:szCs w:val="17"/>
          <w:color w:val="auto"/>
        </w:rPr>
        <w:t xml:space="preserve"> evolution, a significant contraction in the dollarization level is evident. This was attributable to +35.9% growth in LC volumes, which outpaced the increase of +15.7% registered for FC. The aforementioned was associated with an increase in demand deposits and savings deposits in LC of +110.8% and 41.3%, respectively. The increase in FC is due to the same deposit types, which grew +31.8% and +18.0 respectively.</w:t>
      </w:r>
    </w:p>
    <w:p>
      <w:pPr>
        <w:spacing w:after="0" w:line="16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It is important to note that the increase in the volumes of demand and savings deposits in LC (QoQ and YoY) reflects: (i) the fact that both companies and individuals have immediate needs for liquidity to absorb the impact of COVID-19 and (ii) the inflow of Government Programs (GP) loans, whose funds were held in the accounts of clients at BCP Stand-alone. The effect of immediate liquidity also explains the drop in time deposits in both LC and FC.</w:t>
      </w:r>
    </w:p>
    <w:p>
      <w:pPr>
        <w:spacing w:after="0" w:line="364"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2.2.2. Market share in Deposits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151130</wp:posOffset>
            </wp:positionV>
            <wp:extent cx="6845935" cy="27705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45935" cy="277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SBS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(1) Figures may not add due to rounding.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Peruvian Financial System</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At the end of May 20, Credicorp’s subsidiaries in Peru, BCP Stand-alone and Mibanco, reported market shares (MS) of 31.3% and 2.4%, respectively. Consequently, Credicorp continued to lead the market for total deposits in the financial system with an MS that significantly outpaced that of its closest competitor (which was situated at 19.6%).</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YoY analysis, the MS of BCP Stand-alone increased 220 bps in comparison to the figure posted at the end of Jun 19. This was primarily attributable to an increase in the MS of demand deposits (+490 bps). Mibanco’s MS fell YoY (2.4% May 20 vs 2.8% June 19) due to a contraction in the MS for time deposits and savings deposits.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Bolivian Financial System</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BCP Bolivia continued to rank fifth in the Bolivian financial system with an MS of 9.4% at the end of Jun 20 (versus 9.7% in Mar 20). In the YoY analysis, the MS fell 50 bps in comparison to the figure at the end of Jun 19 (9.9%).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2.3. Other funding sources</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40"/>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Other funding sources</w:t>
            </w: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As of</w:t>
            </w:r>
          </w:p>
        </w:tc>
        <w:tc>
          <w:tcPr>
            <w:tcW w:w="12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w w:val="99"/>
              </w:rPr>
              <w:t>% change</w:t>
            </w:r>
          </w:p>
        </w:tc>
        <w:tc>
          <w:tcPr>
            <w:tcW w:w="9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22"/>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Jun 19</w:t>
            </w: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Mar 20</w:t>
            </w: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Jun 20</w:t>
            </w: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w w:val="92"/>
              </w:rPr>
              <w:t>QoQ</w:t>
            </w: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19"/>
                <w:szCs w:val="19"/>
                <w:color w:val="auto"/>
              </w:rPr>
            </w:pPr>
          </w:p>
        </w:tc>
      </w:tr>
      <w:tr>
        <w:trPr>
          <w:trHeight w:val="207"/>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9,222,278</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9,854,630</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8,374,009</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-15.0%</w:t>
            </w:r>
          </w:p>
        </w:tc>
        <w:tc>
          <w:tcPr>
            <w:tcW w:w="3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r>
      <w:tr>
        <w:trPr>
          <w:trHeight w:val="213"/>
        </w:trPr>
        <w:tc>
          <w:tcPr>
            <w:tcW w:w="3980" w:type="dxa"/>
            <w:vAlign w:val="bottom"/>
            <w:gridSpan w:val="2"/>
          </w:tcPr>
          <w:p>
            <w:pPr>
              <w:spacing w:after="0"/>
              <w:rPr>
                <w:sz w:val="20"/>
                <w:szCs w:val="20"/>
                <w:color w:val="auto"/>
              </w:rPr>
            </w:pPr>
            <w:r>
              <w:rPr>
                <w:rFonts w:ascii="Arial" w:cs="Arial" w:eastAsia="Arial" w:hAnsi="Arial"/>
                <w:sz w:val="18"/>
                <w:szCs w:val="18"/>
                <w:color w:val="auto"/>
              </w:rPr>
              <w:t>BCRP instruments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6,304,186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5,346,373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19,441,733</w:t>
            </w:r>
          </w:p>
        </w:tc>
        <w:tc>
          <w:tcPr>
            <w:tcW w:w="8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263.6%</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208.4%</w:t>
            </w:r>
          </w:p>
        </w:tc>
      </w:tr>
      <w:tr>
        <w:trPr>
          <w:trHeight w:val="213"/>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agreements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2,455,665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1,935,879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2,091,798</w:t>
            </w: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r>
      <w:tr>
        <w:trPr>
          <w:trHeight w:val="213"/>
        </w:trPr>
        <w:tc>
          <w:tcPr>
            <w:tcW w:w="3980" w:type="dxa"/>
            <w:vAlign w:val="bottom"/>
            <w:gridSpan w:val="2"/>
          </w:tcPr>
          <w:p>
            <w:pPr>
              <w:spacing w:after="0"/>
              <w:rPr>
                <w:sz w:val="20"/>
                <w:szCs w:val="20"/>
                <w:color w:val="auto"/>
              </w:rPr>
            </w:pPr>
            <w:r>
              <w:rPr>
                <w:rFonts w:ascii="Arial" w:cs="Arial" w:eastAsia="Arial" w:hAnsi="Arial"/>
                <w:sz w:val="18"/>
                <w:szCs w:val="18"/>
                <w:color w:val="auto"/>
              </w:rPr>
              <w:t>Bonds and notes issued</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15,058,760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15,178,148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17,250,531</w:t>
            </w:r>
          </w:p>
        </w:tc>
        <w:tc>
          <w:tcPr>
            <w:tcW w:w="8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13.7%</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r>
      <w:tr>
        <w:trPr>
          <w:trHeight w:val="213"/>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other funding sources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33,040,889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32,315,030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47,158,071</w:t>
            </w: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45.9%</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42.7%</w:t>
            </w:r>
          </w:p>
        </w:tc>
      </w:tr>
    </w:tbl>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total of </w:t>
      </w:r>
      <w:r>
        <w:rPr>
          <w:rFonts w:ascii="Arial" w:cs="Arial" w:eastAsia="Arial" w:hAnsi="Arial"/>
          <w:sz w:val="18"/>
          <w:szCs w:val="18"/>
          <w:b w:val="1"/>
          <w:bCs w:val="1"/>
          <w:color w:val="auto"/>
        </w:rPr>
        <w:t>Other sources of funding</w:t>
      </w:r>
      <w:r>
        <w:rPr>
          <w:rFonts w:ascii="Arial" w:cs="Arial" w:eastAsia="Arial" w:hAnsi="Arial"/>
          <w:sz w:val="18"/>
          <w:szCs w:val="18"/>
          <w:color w:val="auto"/>
        </w:rPr>
        <w:t xml:space="preserve"> increased 45.9% QoQ, which was primarily attributable to growth in the sales volume of all sources with the exception of Due to banks and correspondents. Expansion was mainly attributable to growth in the volume of BCRP instruments, which represented 95% of the QoQ variation in Other sources of funding.</w:t>
      </w:r>
    </w:p>
    <w:p>
      <w:pPr>
        <w:spacing w:after="0" w:line="396"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jc w:val="both"/>
        <w:spacing w:after="0" w:line="276" w:lineRule="auto"/>
        <w:rPr>
          <w:sz w:val="20"/>
          <w:szCs w:val="20"/>
          <w:color w:val="auto"/>
        </w:rPr>
      </w:pPr>
      <w:r>
        <w:rPr>
          <w:rFonts w:ascii="Arial" w:cs="Arial" w:eastAsia="Arial" w:hAnsi="Arial"/>
          <w:sz w:val="17"/>
          <w:szCs w:val="17"/>
          <w:b w:val="1"/>
          <w:bCs w:val="1"/>
          <w:color w:val="auto"/>
        </w:rPr>
        <w:t xml:space="preserve">Due to banks and correspondents </w:t>
      </w:r>
      <w:r>
        <w:rPr>
          <w:rFonts w:ascii="Arial" w:cs="Arial" w:eastAsia="Arial" w:hAnsi="Arial"/>
          <w:sz w:val="17"/>
          <w:szCs w:val="17"/>
          <w:color w:val="auto"/>
        </w:rPr>
        <w:t>posted a decrease in its level due to: i) a drop in the obligations level at BCP Stand-alone after FC operations with</w:t>
      </w:r>
      <w:r>
        <w:rPr>
          <w:rFonts w:ascii="Arial" w:cs="Arial" w:eastAsia="Arial" w:hAnsi="Arial"/>
          <w:sz w:val="17"/>
          <w:szCs w:val="17"/>
          <w:b w:val="1"/>
          <w:bCs w:val="1"/>
          <w:color w:val="auto"/>
        </w:rPr>
        <w:t xml:space="preserve"> </w:t>
      </w:r>
      <w:r>
        <w:rPr>
          <w:rFonts w:ascii="Arial" w:cs="Arial" w:eastAsia="Arial" w:hAnsi="Arial"/>
          <w:sz w:val="17"/>
          <w:szCs w:val="17"/>
          <w:color w:val="auto"/>
        </w:rPr>
        <w:t>foreign institutions expired and ii) a decline in the level at ASB, due to a drop in the FC volume after deposits replaced funding from Due to banks in the funding mix. The aforementioned was partially offset by an increase at Mibanco, mainly driven by new long-term obligations with companies in the national financial system and with COFIDE, which were assumed to take advantage of lower local interest rates.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terms of </w:t>
      </w:r>
      <w:r>
        <w:rPr>
          <w:rFonts w:ascii="Arial" w:cs="Arial" w:eastAsia="Arial" w:hAnsi="Arial"/>
          <w:sz w:val="17"/>
          <w:szCs w:val="17"/>
          <w:b w:val="1"/>
          <w:bCs w:val="1"/>
          <w:color w:val="auto"/>
        </w:rPr>
        <w:t>BCRP Instruments</w:t>
      </w:r>
      <w:r>
        <w:rPr>
          <w:rFonts w:ascii="Arial" w:cs="Arial" w:eastAsia="Arial" w:hAnsi="Arial"/>
          <w:sz w:val="17"/>
          <w:szCs w:val="17"/>
          <w:color w:val="auto"/>
        </w:rPr>
        <w:t>, the significant increase was driven by BCP Stand-alone and, to a lesser extent, by Mibanco, due to new repo and CD agreements. Growth in these instruments was driven by the liquidity facilities provided by the Peruvian government, which were channeled through loan disbursements for GP in the months of May and June. This non-structural funding (includes RP funds), represents 73% of the total BCRP instruments at the end of Jun 20. It is worth mentioning that the repos with the Central Bank for RP funds were made at a 0.5% interest rate.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Repo agreements </w:t>
      </w:r>
      <w:r>
        <w:rPr>
          <w:rFonts w:ascii="Arial" w:cs="Arial" w:eastAsia="Arial" w:hAnsi="Arial"/>
          <w:sz w:val="18"/>
          <w:szCs w:val="18"/>
          <w:color w:val="auto"/>
        </w:rPr>
        <w:t>registered a slight increase due to an uptick in repo transactions at ASB and BCP Stand-alone, mainly in FC.</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Bonds and notes issued </w:t>
      </w:r>
      <w:r>
        <w:rPr>
          <w:rFonts w:ascii="Arial" w:cs="Arial" w:eastAsia="Arial" w:hAnsi="Arial"/>
          <w:sz w:val="18"/>
          <w:szCs w:val="18"/>
          <w:color w:val="auto"/>
        </w:rPr>
        <w:t>registered growth that was attributable to a corporate bond issuance in the month of June at Credicorp Ltd. This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represented the financial holding’s first public debt issuance. The public offering was for US$ 500 million at a rate of 2.750% with an expiration date in 2025. This funding will be used to finance different corporate purposes and increase the liquidity position of the subsidiaries if the need arises. To a lesser extent, growth in this line reflected the variation in the exchange rate, which generated an exchange rate difference that was reflected in the balance at BCP Stand-alone.</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YoY evolution of Other sources of funding reflected an increase of +42.8%, which was primarily attributable to an increase in the level of BCRP Instruments and reflected the same trend as that explained for the QoQ evolution. Growth in this source represented 93% of the total increase in Other sources of funding.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Loan / Deposit (L/D)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 Deposit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151130</wp:posOffset>
            </wp:positionV>
            <wp:extent cx="3846830" cy="1753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46830" cy="175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L/D ratio at Credicorp increased QoQ to situate at 102.4%. This growth was attributable to the fact that the increase in loans (+10.0%) outpaced the growth registered for deposits (+8.4%).</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analysis by subsidiary reveals that the same trend is in play for both BCP Stand-alone (105.1% Jun 20 vs 102.8% Mar 20) and Mibanco (132.4% Jun 20 vs 128.3% Mar 20). QoQ growth in the L/D ratio at BCP Stand-alone reflects the fact that the increase in loans (+11.0%) outpaced that registered for deposits (+8.6%). The aforementioned was primarily driven by an increase in the loan level in Wholesale Banking. In the case of Mibanco, QoQ growth in the L/D was due to the -2.7% drop in deposits after the deposit level for time deposits fell.</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YoY analysis, the L/D ratios at Credicorp and BCP Stand-alone fell in a scenario in which the increase in the deposit volume (25.7% and 26.2%, respectively) outpaced that posted by loans (21.4% and 23.4%, respectively). The L/D ratio at Mibanco followed the same trend as that seen in the QoQ analysis.</w:t>
      </w:r>
    </w:p>
    <w:p>
      <w:pPr>
        <w:spacing w:after="0" w:line="400"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Loan / Deposit Ratio by Currency</w:t>
      </w:r>
    </w:p>
    <w:p>
      <w:pPr>
        <w:spacing w:after="0" w:line="220" w:lineRule="exact"/>
        <w:rPr>
          <w:sz w:val="20"/>
          <w:szCs w:val="20"/>
          <w:color w:val="auto"/>
        </w:rPr>
      </w:pPr>
    </w:p>
    <w:p>
      <w:pPr>
        <w:ind w:left="2220"/>
        <w:spacing w:after="0"/>
        <w:tabs>
          <w:tab w:leader="none" w:pos="7740" w:val="left"/>
        </w:tabs>
        <w:rPr>
          <w:sz w:val="20"/>
          <w:szCs w:val="20"/>
          <w:color w:val="auto"/>
        </w:rPr>
      </w:pPr>
      <w:r>
        <w:rPr>
          <w:rFonts w:ascii="Arial" w:cs="Arial" w:eastAsia="Arial" w:hAnsi="Arial"/>
          <w:sz w:val="18"/>
          <w:szCs w:val="18"/>
          <w:b w:val="1"/>
          <w:bCs w:val="1"/>
          <w:color w:val="auto"/>
        </w:rPr>
        <w:t>Local Currency</w:t>
      </w:r>
      <w:r>
        <w:rPr>
          <w:sz w:val="20"/>
          <w:szCs w:val="20"/>
          <w:color w:val="auto"/>
        </w:rPr>
        <w:tab/>
      </w:r>
      <w:r>
        <w:rPr>
          <w:rFonts w:ascii="Arial" w:cs="Arial" w:eastAsia="Arial" w:hAnsi="Arial"/>
          <w:sz w:val="16"/>
          <w:szCs w:val="16"/>
          <w:b w:val="1"/>
          <w:bCs w:val="1"/>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15875</wp:posOffset>
            </wp:positionV>
            <wp:extent cx="6718935" cy="17284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18935" cy="172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QoQ analysis by currency shows an expansion of the L/D ratio in LC of Credicorp, BCP Stand-alone and Mibanco, as a result of the loans associated with the GP. In the case of the L/D in FC at Credicorp and BCP Stand-alone, the contraction is due to the increase in deposits (+2.3% and +0.5%, respectively) and a drop in loans (-2.7% and -4.6%, respectively). In the case of Mibanco, the L/D ratio in FC remained stable.</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the YoY analysis, a reduction in the L/D ratio in LC and FC of Credicorp and BCP Stand-alone is observed in a scenario in which the increase in deposits outpaced the expansion registered for loans.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Funding Cost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Funding Cost – Credicorp </w:t>
      </w:r>
      <w:r>
        <w:rPr>
          <w:rFonts w:ascii="Arial" w:cs="Arial" w:eastAsia="Arial" w:hAnsi="Arial"/>
          <w:sz w:val="29"/>
          <w:szCs w:val="29"/>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1080135</wp:posOffset>
            </wp:positionH>
            <wp:positionV relativeFrom="paragraph">
              <wp:posOffset>93980</wp:posOffset>
            </wp:positionV>
            <wp:extent cx="4981575" cy="27451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81575" cy="274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hanging="313"/>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funding cost by currency is calculated with the average of period-beginning and period-end balances.</w:t>
      </w:r>
    </w:p>
    <w:p>
      <w:pPr>
        <w:spacing w:after="0" w:line="19" w:lineRule="exact"/>
        <w:rPr>
          <w:rFonts w:ascii="Arial" w:cs="Arial" w:eastAsia="Arial" w:hAnsi="Arial"/>
          <w:sz w:val="18"/>
          <w:szCs w:val="18"/>
          <w:color w:val="auto"/>
        </w:rPr>
      </w:pPr>
    </w:p>
    <w:p>
      <w:pPr>
        <w:ind w:left="1280" w:hanging="313"/>
        <w:spacing w:after="0" w:line="255" w:lineRule="auto"/>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2019 figures differ from previously reported due to the implementation of IFRS 16, where financing expenses related to lease agreements are included.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Credicorp’s funding cost fell -28 bps QoQ and -60 bps YoY. The QoQ evolution shows:</w:t>
      </w:r>
    </w:p>
    <w:p>
      <w:pPr>
        <w:spacing w:after="0" w:line="220" w:lineRule="exact"/>
        <w:rPr>
          <w:sz w:val="20"/>
          <w:szCs w:val="20"/>
          <w:color w:val="auto"/>
        </w:rPr>
      </w:pPr>
    </w:p>
    <w:p>
      <w:pPr>
        <w:jc w:val="both"/>
        <w:ind w:left="960" w:hanging="580"/>
        <w:spacing w:after="0" w:line="253"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drop in the cost of funding in LC (-34 bps); this was due primarily to an increase in the total volume of funding in LC (denominator of the calculation), which registered growth of +31.3%. This was driven by an expansion of +263.6% in BCRP instruments after repos were executed in the context of GP. In the case of interest expenses in LC (numerator), a slight increase of +1.3% was reported. Growth in expenses was due primarily to an increase in interest from Central Bank instruments. It is important to note that the structural funding cost in LC (excluding GP), situates at 2.01%.</w:t>
      </w:r>
    </w:p>
    <w:p>
      <w:pPr>
        <w:spacing w:after="0" w:line="200" w:lineRule="exact"/>
        <w:rPr>
          <w:sz w:val="20"/>
          <w:szCs w:val="20"/>
          <w:color w:val="auto"/>
        </w:rPr>
      </w:pPr>
    </w:p>
    <w:p>
      <w:pPr>
        <w:spacing w:after="0" w:line="203"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jc w:val="both"/>
        <w:ind w:left="960" w:hanging="580"/>
        <w:spacing w:after="0" w:line="306" w:lineRule="auto"/>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contraction in the cost of funding in FC (-21 bps) was attributable to the fact that interest expenses in FC (-6.1%) decreased for all sources. The decrease in interest expenses was primarily attributable to a contraction in interest on deposits, which fell -8.7% and in interest on obligations, which fell -17.0%. In addition, the drop in the funding cost is due to an increase in the funding volume in FC (+2.2%).</w:t>
      </w:r>
    </w:p>
    <w:p>
      <w:pPr>
        <w:spacing w:after="0" w:line="150" w:lineRule="exact"/>
        <w:rPr>
          <w:rFonts w:ascii="Arial" w:cs="Arial" w:eastAsia="Arial" w:hAnsi="Arial"/>
          <w:sz w:val="16"/>
          <w:szCs w:val="16"/>
          <w:color w:val="auto"/>
        </w:rPr>
      </w:pPr>
    </w:p>
    <w:p>
      <w:pPr>
        <w:jc w:val="both"/>
        <w:ind w:left="960" w:hanging="580"/>
        <w:spacing w:after="0" w:line="258"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reduction in the total funding cost was due primarily to a drop in expenses for deposits, which offset the increase in interest on BCRP Instruments. The decrease in expenses for deposits was due to a contraction in higher-cost deposits, which were replaced in the funding mix by lower-cost deposits. In addition, the total structural funding cost (without GP), locates at 1.91%.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the total funding cost fell due to:</w:t>
      </w:r>
    </w:p>
    <w:p>
      <w:pPr>
        <w:spacing w:after="0" w:line="220" w:lineRule="exact"/>
        <w:rPr>
          <w:sz w:val="20"/>
          <w:szCs w:val="20"/>
          <w:color w:val="auto"/>
        </w:rPr>
      </w:pPr>
    </w:p>
    <w:p>
      <w:pPr>
        <w:ind w:left="960" w:hanging="580"/>
        <w:spacing w:after="0" w:line="270"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more favorable deposit mix, where non-interest bearing deposits and savings deposits posted the highest growth with variations of +63.0% and +30.5% respectively. Time deposits registered a decrease of -7.6%.</w:t>
      </w:r>
    </w:p>
    <w:p>
      <w:pPr>
        <w:spacing w:after="0" w:line="174" w:lineRule="exact"/>
        <w:rPr>
          <w:rFonts w:ascii="Arial" w:cs="Arial" w:eastAsia="Arial" w:hAnsi="Arial"/>
          <w:sz w:val="18"/>
          <w:szCs w:val="18"/>
          <w:color w:val="auto"/>
        </w:rPr>
      </w:pPr>
    </w:p>
    <w:p>
      <w:pPr>
        <w:jc w:val="both"/>
        <w:ind w:left="960" w:hanging="580"/>
        <w:spacing w:after="0" w:line="306"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Interest expenses dropped in both currencies but ME posted the highest decrease (-14.7%). The contraction in FC was mainly associated with a drop in expenses for bonds and notes issued (-21.2%) after BCP Stand-alone executed issuances at attractive rates at the end of 2019. The drop in LC was attributable to a decrease in expenses for deposits, which was partially offset by an increase in expenses for BCRP instruments.</w:t>
      </w:r>
    </w:p>
    <w:p>
      <w:pPr>
        <w:spacing w:after="0" w:line="150" w:lineRule="exact"/>
        <w:rPr>
          <w:rFonts w:ascii="Arial" w:cs="Arial" w:eastAsia="Arial" w:hAnsi="Arial"/>
          <w:sz w:val="16"/>
          <w:szCs w:val="16"/>
          <w:color w:val="auto"/>
        </w:rPr>
      </w:pPr>
    </w:p>
    <w:p>
      <w:pPr>
        <w:ind w:left="960" w:hanging="580"/>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reduction in national and international rates, whose impact was reflected in a decrease in the funding cost in both currencies.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funding cost by subsidiary is depicted in the following figure: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Funding Cost by subsidiary– Credicorp </w:t>
      </w:r>
      <w:r>
        <w:rPr>
          <w:rFonts w:ascii="Arial" w:cs="Arial" w:eastAsia="Arial" w:hAnsi="Arial"/>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986790</wp:posOffset>
            </wp:positionH>
            <wp:positionV relativeFrom="paragraph">
              <wp:posOffset>93980</wp:posOffset>
            </wp:positionV>
            <wp:extent cx="5142865" cy="2287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2865" cy="228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80" w:hanging="313"/>
        <w:spacing w:after="0" w:line="270" w:lineRule="auto"/>
        <w:tabs>
          <w:tab w:leader="none" w:pos="1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2019 figures differ from previously reported due to the implementation of IFRS 16, where financing expenses related to lease agreements are included.</w:t>
      </w:r>
    </w:p>
    <w:p>
      <w:pPr>
        <w:spacing w:after="0" w:line="170" w:lineRule="exact"/>
        <w:rPr>
          <w:rFonts w:ascii="Arial" w:cs="Arial" w:eastAsia="Arial" w:hAnsi="Arial"/>
          <w:sz w:val="18"/>
          <w:szCs w:val="18"/>
          <w:color w:val="auto"/>
        </w:rPr>
      </w:pPr>
    </w:p>
    <w:p>
      <w:pPr>
        <w:jc w:val="both"/>
        <w:ind w:left="960" w:hanging="580"/>
        <w:spacing w:after="0" w:line="270" w:lineRule="auto"/>
        <w:tabs>
          <w:tab w:leader="none" w:pos="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The funding cost at </w:t>
      </w:r>
      <w:r>
        <w:rPr>
          <w:rFonts w:ascii="Arial" w:cs="Arial" w:eastAsia="Arial" w:hAnsi="Arial"/>
          <w:sz w:val="17"/>
          <w:szCs w:val="17"/>
          <w:b w:val="1"/>
          <w:bCs w:val="1"/>
          <w:color w:val="auto"/>
        </w:rPr>
        <w:t>BCP Stand-alone</w:t>
      </w:r>
      <w:r>
        <w:rPr>
          <w:rFonts w:ascii="Arial" w:cs="Arial" w:eastAsia="Arial" w:hAnsi="Arial"/>
          <w:sz w:val="17"/>
          <w:szCs w:val="17"/>
          <w:color w:val="auto"/>
        </w:rPr>
        <w:t xml:space="preserve"> followed the same trend as that seen for Credicorp’s funding, which reflected a contraction QoQ and YoY that was primarily driven by (i) the deposit mix, which registered an increase in the volumes of lower-cost deposits (which represent 159% QoQ and 120% YoY of the increase in total deposits) and offset the decrease in the volumes of higher-cost deposits, and by (ii) a volume effect, where significant growth of BCRP Instruments, which are represented in the denominator, attenuated the higher expenses of this funding type in the numerator. If we exclude expenses and funding related to repos with BCRP from GP, the structural funding cost at BCP Stand-alone situates at 1.63% (+6 bps higher than the non-structural funding cost).</w:t>
      </w:r>
    </w:p>
    <w:p>
      <w:pPr>
        <w:spacing w:after="0" w:line="174" w:lineRule="exact"/>
        <w:rPr>
          <w:rFonts w:ascii="Arial" w:cs="Arial" w:eastAsia="Arial" w:hAnsi="Arial"/>
          <w:sz w:val="17"/>
          <w:szCs w:val="17"/>
          <w:color w:val="auto"/>
        </w:rPr>
      </w:pPr>
    </w:p>
    <w:p>
      <w:pPr>
        <w:jc w:val="both"/>
        <w:ind w:left="960" w:hanging="580"/>
        <w:spacing w:after="0" w:line="298" w:lineRule="auto"/>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 xml:space="preserve">Mibanco </w:t>
      </w:r>
      <w:r>
        <w:rPr>
          <w:rFonts w:ascii="Arial" w:cs="Arial" w:eastAsia="Arial" w:hAnsi="Arial"/>
          <w:sz w:val="16"/>
          <w:szCs w:val="16"/>
          <w:color w:val="auto"/>
        </w:rPr>
        <w:t>also reported a considerable contraction QoQ and YoY in the cost of funding. In the QoQ and YoY analysis, the decrease in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(-7.5% and -11.1% respectively) was due to a drop in interest on deposits, mainly due to a decrease in the volume of time deposits. Total funding volume increased +1.2% QoQ and +3.9% YoY due to an increase in due to banks, which contributed to the denominator of the calculation. Mibanco’s structural funding cost, after eliminating GP effects, situates at 3.90% (up +3 bps than non-structural).</w:t>
      </w:r>
    </w:p>
    <w:p>
      <w:pPr>
        <w:spacing w:after="0" w:line="153" w:lineRule="exact"/>
        <w:rPr>
          <w:rFonts w:ascii="Arial" w:cs="Arial" w:eastAsia="Arial" w:hAnsi="Arial"/>
          <w:sz w:val="16"/>
          <w:szCs w:val="16"/>
          <w:color w:val="auto"/>
        </w:rPr>
      </w:pPr>
    </w:p>
    <w:p>
      <w:pPr>
        <w:jc w:val="both"/>
        <w:ind w:left="960" w:hanging="580"/>
        <w:spacing w:after="0" w:line="308" w:lineRule="auto"/>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The cost of funding at </w:t>
      </w:r>
      <w:r>
        <w:rPr>
          <w:rFonts w:ascii="Arial" w:cs="Arial" w:eastAsia="Arial" w:hAnsi="Arial"/>
          <w:sz w:val="16"/>
          <w:szCs w:val="16"/>
          <w:b w:val="1"/>
          <w:bCs w:val="1"/>
          <w:color w:val="auto"/>
        </w:rPr>
        <w:t>BCP Bolivia</w:t>
      </w:r>
      <w:r>
        <w:rPr>
          <w:rFonts w:ascii="Arial" w:cs="Arial" w:eastAsia="Arial" w:hAnsi="Arial"/>
          <w:sz w:val="16"/>
          <w:szCs w:val="16"/>
          <w:color w:val="auto"/>
        </w:rPr>
        <w:t xml:space="preserve"> increased slightly QoQ, which was attributable to the fact that growth in expenses outpaced the expansion registered for funding (+6.1% vs +2.3%, respectively). The cost of funding YoY moved in the opposite direction. The contraction in this case occurred in a scenario in which funding increased at a higher rate than expenses (+31.1% vs +19.6%, respectively).</w:t>
      </w:r>
    </w:p>
    <w:p>
      <w:pPr>
        <w:spacing w:after="0" w:line="363"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1" w:name="page22"/>
    <w:bookmarkEnd w:id="21"/>
    <w:p>
      <w:pPr>
        <w:ind w:left="460" w:hanging="453"/>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Portfolio quality and Provisions for loan losses</w:t>
      </w: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The provisions had a significant increase QoQ, YoY, and YTD, in line with the expectations of a contraction in the Peruvian economy and the increase in the probability of default in all of our segments. The aforementioned led to a Cost of Risk (CofR) at Credicorp of 7.66% in the 2Q20 and 5.85%YTD. Excluding the effects of the government programs in provisions and loans, the Structural Cost of Risk was 8.41% in the 2Q20 and 6.48% YTD. Regarding our portfolio quality ratios, the IOL and NPL ratios posted an improvement due to the inflow of Reactiva Peru loans. Nevertheless, total IOL and NPL portfolios have increased due to an uptick in the deterioration of clients in the Retail Banking segments. In this context, the coverage ratio for the NPL portfolio rose to 167.5% in 2Q20 versus 108.5% in 2Q19.</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YoY Evolution of the Cost of Risk (bps)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1317625</wp:posOffset>
            </wp:positionH>
            <wp:positionV relativeFrom="paragraph">
              <wp:posOffset>151130</wp:posOffset>
            </wp:positionV>
            <wp:extent cx="4481830" cy="14655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481830"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 Includes BCP Bolivia, Encumbra, Bancompartir, ASB and eliminations for consolidation purposes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Provisions for loan losses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60" w:type="dxa"/>
            <w:vAlign w:val="bottom"/>
            <w:gridSpan w:val="2"/>
          </w:tcPr>
          <w:p>
            <w:pPr>
              <w:spacing w:after="0"/>
              <w:rPr>
                <w:sz w:val="20"/>
                <w:szCs w:val="20"/>
                <w:color w:val="auto"/>
              </w:rPr>
            </w:pPr>
            <w:r>
              <w:rPr>
                <w:rFonts w:ascii="Arial" w:cs="Arial" w:eastAsia="Arial" w:hAnsi="Arial"/>
                <w:sz w:val="12"/>
                <w:szCs w:val="12"/>
                <w:b w:val="1"/>
                <w:bCs w:val="1"/>
                <w:color w:val="auto"/>
                <w:w w:val="95"/>
              </w:rPr>
              <w:t>Provision for credit losses on loan portfolio, net of recoveries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Quarter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ind w:left="620"/>
              <w:spacing w:after="0"/>
              <w:rPr>
                <w:sz w:val="20"/>
                <w:szCs w:val="20"/>
                <w:color w:val="auto"/>
              </w:rPr>
            </w:pPr>
            <w:r>
              <w:rPr>
                <w:rFonts w:ascii="Arial" w:cs="Arial" w:eastAsia="Arial" w:hAnsi="Arial"/>
                <w:sz w:val="12"/>
                <w:szCs w:val="12"/>
                <w:b w:val="1"/>
                <w:bCs w:val="1"/>
                <w:color w:val="auto"/>
              </w:rPr>
              <w:t>% change</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ind w:left="740"/>
              <w:spacing w:after="0"/>
              <w:rPr>
                <w:sz w:val="20"/>
                <w:szCs w:val="20"/>
                <w:color w:val="auto"/>
              </w:rPr>
            </w:pPr>
            <w:r>
              <w:rPr>
                <w:rFonts w:ascii="Arial" w:cs="Arial" w:eastAsia="Arial" w:hAnsi="Arial"/>
                <w:sz w:val="12"/>
                <w:szCs w:val="12"/>
                <w:b w:val="1"/>
                <w:bCs w:val="1"/>
                <w:color w:val="auto"/>
              </w:rPr>
              <w:t>YTD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 change</w:t>
            </w:r>
          </w:p>
        </w:tc>
      </w:tr>
      <w:tr>
        <w:trPr>
          <w:trHeight w:val="109"/>
        </w:trPr>
        <w:tc>
          <w:tcPr>
            <w:tcW w:w="3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top w:val="single" w:sz="8" w:color="auto"/>
            </w:tcBorders>
          </w:tcPr>
          <w:p>
            <w:pPr>
              <w:jc w:val="center"/>
              <w:spacing w:after="0" w:line="109" w:lineRule="exact"/>
              <w:rPr>
                <w:sz w:val="20"/>
                <w:szCs w:val="20"/>
                <w:color w:val="auto"/>
              </w:rPr>
            </w:pPr>
            <w:r>
              <w:rPr>
                <w:rFonts w:ascii="Arial" w:cs="Arial" w:eastAsia="Arial" w:hAnsi="Arial"/>
                <w:sz w:val="12"/>
                <w:szCs w:val="12"/>
                <w:b w:val="1"/>
                <w:bCs w:val="1"/>
                <w:color w:val="auto"/>
                <w:w w:val="93"/>
              </w:rPr>
              <w:t>Jun 20 /</w:t>
            </w:r>
          </w:p>
        </w:tc>
        <w:tc>
          <w:tcPr>
            <w:tcW w:w="140" w:type="dxa"/>
            <w:vAlign w:val="bottom"/>
          </w:tcPr>
          <w:p>
            <w:pPr>
              <w:spacing w:after="0"/>
              <w:rPr>
                <w:sz w:val="9"/>
                <w:szCs w:val="9"/>
                <w:color w:val="auto"/>
              </w:rPr>
            </w:pPr>
          </w:p>
        </w:tc>
      </w:tr>
      <w:tr>
        <w:trPr>
          <w:trHeight w:val="152"/>
        </w:trPr>
        <w:tc>
          <w:tcPr>
            <w:tcW w:w="32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 000</w:t>
            </w:r>
          </w:p>
        </w:tc>
        <w:tc>
          <w:tcPr>
            <w:tcW w:w="1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b w:val="1"/>
                <w:bCs w:val="1"/>
                <w:color w:val="auto"/>
              </w:rPr>
              <w:t>2Q19</w:t>
            </w:r>
          </w:p>
        </w:tc>
        <w:tc>
          <w:tcPr>
            <w:tcW w:w="2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1Q20</w:t>
            </w:r>
          </w:p>
        </w:tc>
        <w:tc>
          <w:tcPr>
            <w:tcW w:w="2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b w:val="1"/>
                <w:bCs w:val="1"/>
                <w:color w:val="auto"/>
              </w:rPr>
              <w:t>2Q20</w:t>
            </w:r>
          </w:p>
        </w:tc>
        <w:tc>
          <w:tcPr>
            <w:tcW w:w="2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QoQ</w:t>
            </w:r>
          </w:p>
        </w:tc>
        <w:tc>
          <w:tcPr>
            <w:tcW w:w="2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YoY</w:t>
            </w:r>
          </w:p>
        </w:tc>
        <w:tc>
          <w:tcPr>
            <w:tcW w:w="24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b w:val="1"/>
                <w:bCs w:val="1"/>
                <w:color w:val="auto"/>
              </w:rPr>
              <w:t>Jun 19</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b w:val="1"/>
                <w:bCs w:val="1"/>
                <w:color w:val="auto"/>
              </w:rPr>
              <w:t>Jun 20</w:t>
            </w:r>
          </w:p>
        </w:tc>
        <w:tc>
          <w:tcPr>
            <w:tcW w:w="2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Jun 19</w:t>
            </w:r>
          </w:p>
        </w:tc>
        <w:tc>
          <w:tcPr>
            <w:tcW w:w="140" w:type="dxa"/>
            <w:vAlign w:val="bottom"/>
            <w:tcBorders>
              <w:bottom w:val="single" w:sz="8" w:color="CCEEFF"/>
            </w:tcBorders>
          </w:tcPr>
          <w:p>
            <w:pPr>
              <w:spacing w:after="0"/>
              <w:rPr>
                <w:sz w:val="13"/>
                <w:szCs w:val="13"/>
                <w:color w:val="auto"/>
              </w:rPr>
            </w:pPr>
          </w:p>
        </w:tc>
      </w:tr>
      <w:tr>
        <w:trPr>
          <w:trHeight w:val="127"/>
        </w:trPr>
        <w:tc>
          <w:tcPr>
            <w:tcW w:w="324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Gross provision for credit losses on loan portfolio</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(510,045)</w:t>
            </w: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(1,388,711)</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(2,557,658)</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84.2%</w:t>
            </w:r>
          </w:p>
        </w:tc>
        <w:tc>
          <w:tcPr>
            <w:tcW w:w="2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401.5%</w:t>
            </w:r>
          </w:p>
        </w:tc>
        <w:tc>
          <w:tcPr>
            <w:tcW w:w="7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(963,330)</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(3,946,369)</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line="127" w:lineRule="exact"/>
              <w:rPr>
                <w:sz w:val="20"/>
                <w:szCs w:val="20"/>
                <w:color w:val="auto"/>
              </w:rPr>
            </w:pPr>
            <w:r>
              <w:rPr>
                <w:rFonts w:ascii="Arial" w:cs="Arial" w:eastAsia="Arial" w:hAnsi="Arial"/>
                <w:sz w:val="12"/>
                <w:szCs w:val="12"/>
                <w:color w:val="auto"/>
              </w:rPr>
              <w:t>309.7%</w:t>
            </w:r>
          </w:p>
        </w:tc>
      </w:tr>
      <w:tr>
        <w:trPr>
          <w:trHeight w:val="133"/>
        </w:trPr>
        <w:tc>
          <w:tcPr>
            <w:tcW w:w="3360" w:type="dxa"/>
            <w:vAlign w:val="bottom"/>
            <w:gridSpan w:val="2"/>
          </w:tcPr>
          <w:p>
            <w:pPr>
              <w:spacing w:after="0" w:line="134" w:lineRule="exact"/>
              <w:rPr>
                <w:sz w:val="20"/>
                <w:szCs w:val="20"/>
                <w:color w:val="auto"/>
              </w:rPr>
            </w:pPr>
            <w:r>
              <w:rPr>
                <w:rFonts w:ascii="Arial" w:cs="Arial" w:eastAsia="Arial" w:hAnsi="Arial"/>
                <w:sz w:val="12"/>
                <w:szCs w:val="12"/>
                <w:color w:val="auto"/>
              </w:rPr>
              <w:t>Recoveries of written-off loans</w:t>
            </w:r>
          </w:p>
        </w:tc>
        <w:tc>
          <w:tcPr>
            <w:tcW w:w="100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61,751</w:t>
            </w:r>
          </w:p>
        </w:tc>
        <w:tc>
          <w:tcPr>
            <w:tcW w:w="98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47,230</w:t>
            </w:r>
          </w:p>
        </w:tc>
        <w:tc>
          <w:tcPr>
            <w:tcW w:w="100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17,201</w:t>
            </w:r>
          </w:p>
        </w:tc>
        <w:tc>
          <w:tcPr>
            <w:tcW w:w="100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-63.6%</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-72.1%</w:t>
            </w:r>
          </w:p>
        </w:tc>
        <w:tc>
          <w:tcPr>
            <w:tcW w:w="98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131,825</w:t>
            </w:r>
          </w:p>
        </w:tc>
        <w:tc>
          <w:tcPr>
            <w:tcW w:w="120" w:type="dxa"/>
            <w:vAlign w:val="bottom"/>
          </w:tcPr>
          <w:p>
            <w:pPr>
              <w:spacing w:after="0"/>
              <w:rPr>
                <w:sz w:val="11"/>
                <w:szCs w:val="11"/>
                <w:color w:val="auto"/>
              </w:rPr>
            </w:pPr>
          </w:p>
        </w:tc>
        <w:tc>
          <w:tcPr>
            <w:tcW w:w="88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64,431</w:t>
            </w:r>
          </w:p>
        </w:tc>
        <w:tc>
          <w:tcPr>
            <w:tcW w:w="90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-51.1%</w:t>
            </w:r>
          </w:p>
        </w:tc>
      </w:tr>
      <w:tr>
        <w:trPr>
          <w:trHeight w:val="133"/>
        </w:trPr>
        <w:tc>
          <w:tcPr>
            <w:tcW w:w="336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b w:val="1"/>
                <w:bCs w:val="1"/>
                <w:color w:val="auto"/>
                <w:w w:val="95"/>
              </w:rPr>
              <w:t>Provision for credit losses on loan portfolio, net of recoveries</w:t>
            </w:r>
          </w:p>
        </w:tc>
        <w:tc>
          <w:tcPr>
            <w:tcW w:w="10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b w:val="1"/>
                <w:bCs w:val="1"/>
                <w:color w:val="auto"/>
              </w:rPr>
              <w:t>(448,294)</w:t>
            </w:r>
          </w:p>
        </w:tc>
        <w:tc>
          <w:tcPr>
            <w:tcW w:w="9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b w:val="1"/>
                <w:bCs w:val="1"/>
                <w:color w:val="auto"/>
              </w:rPr>
              <w:t>(1,341,481)</w:t>
            </w:r>
          </w:p>
        </w:tc>
        <w:tc>
          <w:tcPr>
            <w:tcW w:w="10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b w:val="1"/>
                <w:bCs w:val="1"/>
                <w:color w:val="auto"/>
              </w:rPr>
              <w:t>(2,540,457)</w:t>
            </w:r>
          </w:p>
        </w:tc>
        <w:tc>
          <w:tcPr>
            <w:tcW w:w="100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b w:val="1"/>
                <w:bCs w:val="1"/>
                <w:color w:val="auto"/>
              </w:rPr>
              <w:t>89.4%</w:t>
            </w:r>
          </w:p>
        </w:tc>
        <w:tc>
          <w:tcPr>
            <w:tcW w:w="2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b w:val="1"/>
                <w:bCs w:val="1"/>
                <w:color w:val="auto"/>
              </w:rPr>
              <w:t>466.7%</w:t>
            </w:r>
          </w:p>
        </w:tc>
        <w:tc>
          <w:tcPr>
            <w:tcW w:w="98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b w:val="1"/>
                <w:bCs w:val="1"/>
                <w:color w:val="auto"/>
              </w:rPr>
              <w:t>(831,505)</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b w:val="1"/>
                <w:bCs w:val="1"/>
                <w:color w:val="auto"/>
              </w:rPr>
              <w:t>(3,881,938)</w:t>
            </w:r>
          </w:p>
        </w:tc>
        <w:tc>
          <w:tcPr>
            <w:tcW w:w="90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366.9%</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Credicorp has continued to offer different facilities (reprogramming and debt freezing) to mitigate the deterioration in its clients’ debt service capacity.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Despite these measures, net provisions for loan losses increased significantly, which was attributable to COVID-19 effects:</w:t>
      </w:r>
    </w:p>
    <w:p>
      <w:pPr>
        <w:spacing w:after="0" w:line="207" w:lineRule="exact"/>
        <w:rPr>
          <w:sz w:val="20"/>
          <w:szCs w:val="20"/>
          <w:color w:val="auto"/>
        </w:rPr>
      </w:pPr>
    </w:p>
    <w:p>
      <w:pPr>
        <w:ind w:left="960" w:hanging="580"/>
        <w:spacing w:after="0"/>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change in macroeconomic expectations due to COVID-19: in 2Q20, the outbreak for the Peruvian economy were updated negatively.</w:t>
      </w:r>
    </w:p>
    <w:p>
      <w:pPr>
        <w:spacing w:after="0" w:line="231" w:lineRule="exact"/>
        <w:rPr>
          <w:rFonts w:ascii="Arial" w:cs="Arial" w:eastAsia="Arial" w:hAnsi="Arial"/>
          <w:sz w:val="17"/>
          <w:szCs w:val="17"/>
          <w:color w:val="auto"/>
        </w:rPr>
      </w:pPr>
    </w:p>
    <w:p>
      <w:pPr>
        <w:jc w:val="both"/>
        <w:ind w:left="960" w:hanging="580"/>
        <w:spacing w:after="0" w:line="258"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Model changes: methodological adjustments and a new source of information was incorporated into the expected loss models. This change includes a greater granularity and better capture of the real situation of deterioration of the clients. This affected mainly the SME-Pyme and Consumer portfolios.</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Excluding the provisions in the portfolio for effects related to COVID-19, there was a decrease in provisions in all segments. This was due in part to the reprograming and debt freezes facilities offered to Credicorp clients which makes it easier for clients to solve their temporary liquidity problems and postponing the probability of default of some clients.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risk</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Quarter</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c>
          <w:tcPr>
            <w:tcW w:w="11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Year</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Cost of risk and Provisions</w:t>
            </w:r>
          </w:p>
        </w:tc>
        <w:tc>
          <w:tcPr>
            <w:tcW w:w="120" w:type="dxa"/>
            <w:vAlign w:val="bottom"/>
            <w:vMerge w:val="restart"/>
          </w:tcPr>
          <w:p>
            <w:pPr>
              <w:spacing w:after="0"/>
              <w:rPr>
                <w:sz w:val="10"/>
                <w:szCs w:val="10"/>
                <w:color w:val="auto"/>
              </w:rPr>
            </w:pPr>
          </w:p>
        </w:tc>
        <w:tc>
          <w:tcPr>
            <w:tcW w:w="8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2Q19</w:t>
            </w:r>
          </w:p>
        </w:tc>
        <w:tc>
          <w:tcPr>
            <w:tcW w:w="240" w:type="dxa"/>
            <w:vAlign w:val="bottom"/>
            <w:vMerge w:val="restart"/>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1Q20</w:t>
            </w:r>
          </w:p>
        </w:tc>
        <w:tc>
          <w:tcPr>
            <w:tcW w:w="240" w:type="dxa"/>
            <w:vAlign w:val="bottom"/>
            <w:vMerge w:val="restart"/>
          </w:tcPr>
          <w:p>
            <w:pPr>
              <w:spacing w:after="0"/>
              <w:rPr>
                <w:sz w:val="10"/>
                <w:szCs w:val="10"/>
                <w:color w:val="auto"/>
              </w:rPr>
            </w:pPr>
          </w:p>
        </w:tc>
        <w:tc>
          <w:tcPr>
            <w:tcW w:w="7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2Q20</w:t>
            </w:r>
          </w:p>
        </w:tc>
        <w:tc>
          <w:tcPr>
            <w:tcW w:w="220" w:type="dxa"/>
            <w:vAlign w:val="bottom"/>
            <w:vMerge w:val="restart"/>
          </w:tcPr>
          <w:p>
            <w:pPr>
              <w:spacing w:after="0"/>
              <w:rPr>
                <w:sz w:val="10"/>
                <w:szCs w:val="10"/>
                <w:color w:val="auto"/>
              </w:rPr>
            </w:pPr>
          </w:p>
        </w:tc>
        <w:tc>
          <w:tcPr>
            <w:tcW w:w="78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QoQ</w:t>
            </w:r>
          </w:p>
        </w:tc>
        <w:tc>
          <w:tcPr>
            <w:tcW w:w="220" w:type="dxa"/>
            <w:vAlign w:val="bottom"/>
            <w:vMerge w:val="restart"/>
          </w:tcPr>
          <w:p>
            <w:pPr>
              <w:spacing w:after="0"/>
              <w:rPr>
                <w:sz w:val="10"/>
                <w:szCs w:val="10"/>
                <w:color w:val="auto"/>
              </w:rPr>
            </w:pPr>
          </w:p>
        </w:tc>
        <w:tc>
          <w:tcPr>
            <w:tcW w:w="7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YoY</w:t>
            </w:r>
          </w:p>
        </w:tc>
        <w:tc>
          <w:tcPr>
            <w:tcW w:w="220" w:type="dxa"/>
            <w:vAlign w:val="bottom"/>
            <w:vMerge w:val="restart"/>
          </w:tcPr>
          <w:p>
            <w:pPr>
              <w:spacing w:after="0"/>
              <w:rPr>
                <w:sz w:val="10"/>
                <w:szCs w:val="10"/>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Jun 19</w:t>
            </w:r>
          </w:p>
        </w:tc>
        <w:tc>
          <w:tcPr>
            <w:tcW w:w="2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Jun 20</w:t>
            </w:r>
          </w:p>
        </w:tc>
        <w:tc>
          <w:tcPr>
            <w:tcW w:w="220" w:type="dxa"/>
            <w:vAlign w:val="bottom"/>
            <w:vMerge w:val="restart"/>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Jun 20 /</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1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Jun 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spacing w:after="0" w:line="180" w:lineRule="exact"/>
              <w:rPr>
                <w:sz w:val="20"/>
                <w:szCs w:val="20"/>
                <w:color w:val="auto"/>
              </w:rPr>
            </w:pPr>
            <w:r>
              <w:rPr>
                <w:rFonts w:ascii="Arial" w:cs="Arial" w:eastAsia="Arial" w:hAnsi="Arial"/>
                <w:sz w:val="13"/>
                <w:szCs w:val="13"/>
                <w:color w:val="auto"/>
              </w:rPr>
              <w:t xml:space="preserve">Cost of risk </w:t>
            </w:r>
            <w:r>
              <w:rPr>
                <w:rFonts w:ascii="Arial" w:cs="Arial" w:eastAsia="Arial" w:hAnsi="Arial"/>
                <w:sz w:val="20"/>
                <w:szCs w:val="20"/>
                <w:color w:val="auto"/>
                <w:vertAlign w:val="superscript"/>
              </w:rPr>
              <w:t>(1)</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321 bps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602 bps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433 bps</w:t>
            </w:r>
          </w:p>
        </w:tc>
        <w:tc>
          <w:tcPr>
            <w:tcW w:w="0" w:type="dxa"/>
            <w:vAlign w:val="bottom"/>
          </w:tcPr>
          <w:p>
            <w:pPr>
              <w:spacing w:after="0"/>
              <w:rPr>
                <w:sz w:val="1"/>
                <w:szCs w:val="1"/>
                <w:color w:val="auto"/>
              </w:rPr>
            </w:pPr>
          </w:p>
        </w:tc>
      </w:tr>
      <w:tr>
        <w:trPr>
          <w:trHeight w:val="187"/>
        </w:trPr>
        <w:tc>
          <w:tcPr>
            <w:tcW w:w="3280" w:type="dxa"/>
            <w:vAlign w:val="bottom"/>
            <w:gridSpan w:val="2"/>
          </w:tcPr>
          <w:p>
            <w:pPr>
              <w:spacing w:after="0" w:line="187" w:lineRule="exact"/>
              <w:rPr>
                <w:sz w:val="20"/>
                <w:szCs w:val="20"/>
                <w:color w:val="auto"/>
              </w:rPr>
            </w:pPr>
            <w:r>
              <w:rPr>
                <w:rFonts w:ascii="Arial" w:cs="Arial" w:eastAsia="Arial" w:hAnsi="Arial"/>
                <w:sz w:val="13"/>
                <w:szCs w:val="13"/>
                <w:color w:val="auto"/>
              </w:rPr>
              <w:t xml:space="preserve">Structural Cost of risk </w:t>
            </w:r>
            <w:r>
              <w:rPr>
                <w:rFonts w:ascii="Arial" w:cs="Arial" w:eastAsia="Arial" w:hAnsi="Arial"/>
                <w:sz w:val="21"/>
                <w:szCs w:val="21"/>
                <w:color w:val="auto"/>
                <w:vertAlign w:val="superscript"/>
              </w:rPr>
              <w:t>(2)</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1.64%</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8.41%</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396 bps</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677 bps</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6.48%</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496 bps</w:t>
            </w:r>
          </w:p>
        </w:tc>
        <w:tc>
          <w:tcPr>
            <w:tcW w:w="0" w:type="dxa"/>
            <w:vAlign w:val="bottom"/>
          </w:tcPr>
          <w:p>
            <w:pPr>
              <w:spacing w:after="0"/>
              <w:rPr>
                <w:sz w:val="1"/>
                <w:szCs w:val="1"/>
                <w:color w:val="auto"/>
              </w:rPr>
            </w:pPr>
          </w:p>
        </w:tc>
      </w:tr>
      <w:tr>
        <w:trPr>
          <w:trHeight w:val="128"/>
        </w:trPr>
        <w:tc>
          <w:tcPr>
            <w:tcW w:w="3280" w:type="dxa"/>
            <w:vAlign w:val="bottom"/>
            <w:gridSpan w:val="2"/>
            <w:shd w:val="clear" w:color="auto" w:fill="CCEEFF"/>
          </w:tcPr>
          <w:p>
            <w:pPr>
              <w:spacing w:after="0" w:line="128" w:lineRule="exact"/>
              <w:rPr>
                <w:sz w:val="20"/>
                <w:szCs w:val="20"/>
                <w:color w:val="auto"/>
              </w:rPr>
            </w:pPr>
            <w:r>
              <w:rPr>
                <w:rFonts w:ascii="Arial" w:cs="Arial" w:eastAsia="Arial" w:hAnsi="Arial"/>
                <w:sz w:val="14"/>
                <w:szCs w:val="14"/>
                <w:color w:val="auto"/>
              </w:rPr>
              <w:t>Provision for credit losses on loan portfolio, net of</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2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recoveries / Net interest income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19.9%</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56.4%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129.5%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7320 bps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10960 bps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89.4%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7030 bps</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0" w:hanging="193"/>
        <w:spacing w:after="0"/>
        <w:tabs>
          <w:tab w:leader="none" w:pos="2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Annualized Provision for credit losses on loan portfolio, net of recoveries / Total loans.</w:t>
      </w:r>
    </w:p>
    <w:p>
      <w:pPr>
        <w:ind w:left="200" w:hanging="193"/>
        <w:spacing w:after="0"/>
        <w:tabs>
          <w:tab w:leader="none" w:pos="2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Structural Cost of risk excludes the provisions for credit losses on loan portfolio, net of recoveries and total loans from the Reactiva Peru and FAE Government Programs.</w:t>
      </w:r>
    </w:p>
    <w:p>
      <w:pPr>
        <w:spacing w:after="0" w:line="200" w:lineRule="exact"/>
        <w:rPr>
          <w:sz w:val="20"/>
          <w:szCs w:val="20"/>
          <w:color w:val="auto"/>
        </w:rPr>
      </w:pPr>
    </w:p>
    <w:p>
      <w:pPr>
        <w:spacing w:after="0" w:line="205"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spacing w:after="0" w:line="270" w:lineRule="auto"/>
        <w:rPr>
          <w:sz w:val="20"/>
          <w:szCs w:val="20"/>
          <w:color w:val="auto"/>
        </w:rPr>
      </w:pPr>
      <w:r>
        <w:rPr>
          <w:rFonts w:ascii="Arial" w:cs="Arial" w:eastAsia="Arial" w:hAnsi="Arial"/>
          <w:sz w:val="18"/>
          <w:szCs w:val="18"/>
          <w:color w:val="auto"/>
        </w:rPr>
        <w:t>In the aforementioned context, Credicorp’s CofR increased 321 bps QoQ, 602 bps YoY and 433 bps YTD. If we exclude the provisions and loans for government programs, the cost of risk at Credicorp was situated at 8.41% in 2Q20 and 6.48% YTD.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3.2. Portfolio Quality: Delinquency ratios</w:t>
            </w: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40"/>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Portfolio quality and Delinquency ratios</w:t>
            </w: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As of</w:t>
            </w: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w w:val="99"/>
              </w:rPr>
              <w:t>% change</w:t>
            </w:r>
          </w:p>
        </w:tc>
        <w:tc>
          <w:tcPr>
            <w:tcW w:w="8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22"/>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Jun 19</w:t>
            </w:r>
          </w:p>
        </w:tc>
        <w:tc>
          <w:tcPr>
            <w:tcW w:w="2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Mar 20</w:t>
            </w:r>
          </w:p>
        </w:tc>
        <w:tc>
          <w:tcPr>
            <w:tcW w:w="3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Jun 20</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19"/>
                <w:szCs w:val="19"/>
                <w:color w:val="auto"/>
              </w:rPr>
            </w:pPr>
          </w:p>
        </w:tc>
      </w:tr>
      <w:tr>
        <w:trPr>
          <w:trHeight w:val="207"/>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loans (Quarter-end balance)</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109,381,123</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120,708,515</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132,741,720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21.4%</w:t>
            </w:r>
          </w:p>
        </w:tc>
      </w:tr>
      <w:tr>
        <w:trPr>
          <w:trHeight w:val="213"/>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Structural Loan Portfolio</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109,381,123</w:t>
            </w:r>
          </w:p>
        </w:tc>
        <w:tc>
          <w:tcPr>
            <w:tcW w:w="2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120,708,515</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117,769,055</w:t>
            </w:r>
          </w:p>
        </w:tc>
        <w:tc>
          <w:tcPr>
            <w:tcW w:w="1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w:t>
            </w: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7.7%</w:t>
            </w:r>
          </w:p>
        </w:tc>
      </w:tr>
      <w:tr>
        <w:trPr>
          <w:trHeight w:val="213"/>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4,878,150</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5,931,772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8,412,544</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w:t>
            </w:r>
          </w:p>
        </w:tc>
      </w:tr>
      <w:tr>
        <w:trPr>
          <w:trHeight w:val="213"/>
        </w:trPr>
        <w:tc>
          <w:tcPr>
            <w:tcW w:w="3840" w:type="dxa"/>
            <w:vAlign w:val="bottom"/>
            <w:gridSpan w:val="2"/>
          </w:tcPr>
          <w:p>
            <w:pPr>
              <w:spacing w:after="0"/>
              <w:rPr>
                <w:sz w:val="20"/>
                <w:szCs w:val="20"/>
                <w:color w:val="auto"/>
              </w:rPr>
            </w:pPr>
            <w:r>
              <w:rPr>
                <w:rFonts w:ascii="Arial" w:cs="Arial" w:eastAsia="Arial" w:hAnsi="Arial"/>
                <w:sz w:val="18"/>
                <w:szCs w:val="18"/>
                <w:color w:val="auto"/>
              </w:rPr>
              <w:t>Write-offs</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407,348</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519,866</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42,104</w:t>
            </w: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-91.9%</w:t>
            </w:r>
          </w:p>
        </w:tc>
        <w:tc>
          <w:tcPr>
            <w:tcW w:w="3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-89.7%</w:t>
            </w:r>
          </w:p>
        </w:tc>
      </w:tr>
      <w:tr>
        <w:trPr>
          <w:trHeight w:val="254"/>
        </w:trPr>
        <w:tc>
          <w:tcPr>
            <w:tcW w:w="384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 xml:space="preserve">Internal overdue loans (IOLs) </w:t>
            </w:r>
            <w:r>
              <w:rPr>
                <w:rFonts w:ascii="Arial" w:cs="Arial" w:eastAsia="Arial" w:hAnsi="Arial"/>
                <w:sz w:val="29"/>
                <w:szCs w:val="29"/>
                <w:color w:val="auto"/>
                <w:vertAlign w:val="superscript"/>
              </w:rPr>
              <w:t>(1)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3,285,279</w:t>
            </w:r>
          </w:p>
        </w:tc>
        <w:tc>
          <w:tcPr>
            <w:tcW w:w="28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3,579,504</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3,842,830</w:t>
            </w:r>
          </w:p>
        </w:tc>
        <w:tc>
          <w:tcPr>
            <w:tcW w:w="10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r>
      <w:tr>
        <w:trPr>
          <w:trHeight w:val="254"/>
        </w:trPr>
        <w:tc>
          <w:tcPr>
            <w:tcW w:w="3840" w:type="dxa"/>
            <w:vAlign w:val="bottom"/>
            <w:gridSpan w:val="2"/>
          </w:tcPr>
          <w:p>
            <w:pPr>
              <w:spacing w:after="0" w:line="253" w:lineRule="exact"/>
              <w:rPr>
                <w:sz w:val="20"/>
                <w:szCs w:val="20"/>
                <w:color w:val="auto"/>
              </w:rPr>
            </w:pPr>
            <w:r>
              <w:rPr>
                <w:rFonts w:ascii="Arial" w:cs="Arial" w:eastAsia="Arial" w:hAnsi="Arial"/>
                <w:sz w:val="18"/>
                <w:szCs w:val="18"/>
                <w:color w:val="auto"/>
              </w:rPr>
              <w:t xml:space="preserve">Internal overdue loans over 90-days </w:t>
            </w:r>
            <w:r>
              <w:rPr>
                <w:rFonts w:ascii="Arial" w:cs="Arial" w:eastAsia="Arial" w:hAnsi="Arial"/>
                <w:sz w:val="29"/>
                <w:szCs w:val="29"/>
                <w:color w:val="auto"/>
                <w:vertAlign w:val="superscript"/>
              </w:rPr>
              <w:t>(1)</w:t>
            </w:r>
          </w:p>
        </w:tc>
        <w:tc>
          <w:tcPr>
            <w:tcW w:w="1220" w:type="dxa"/>
            <w:vAlign w:val="bottom"/>
          </w:tcPr>
          <w:p>
            <w:pPr>
              <w:jc w:val="right"/>
              <w:spacing w:after="0"/>
              <w:rPr>
                <w:sz w:val="20"/>
                <w:szCs w:val="20"/>
                <w:color w:val="auto"/>
              </w:rPr>
            </w:pPr>
            <w:r>
              <w:rPr>
                <w:rFonts w:ascii="Arial" w:cs="Arial" w:eastAsia="Arial" w:hAnsi="Arial"/>
                <w:sz w:val="18"/>
                <w:szCs w:val="18"/>
                <w:color w:val="auto"/>
              </w:rPr>
              <w:t>2,431,144</w:t>
            </w:r>
          </w:p>
        </w:tc>
        <w:tc>
          <w:tcPr>
            <w:tcW w:w="280" w:type="dxa"/>
            <w:vAlign w:val="bottom"/>
          </w:tcPr>
          <w:p>
            <w:pPr>
              <w:spacing w:after="0"/>
              <w:rPr>
                <w:sz w:val="22"/>
                <w:szCs w:val="22"/>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2,239,789</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1,987,988</w:t>
            </w:r>
          </w:p>
        </w:tc>
        <w:tc>
          <w:tcPr>
            <w:tcW w:w="100" w:type="dxa"/>
            <w:vAlign w:val="bottom"/>
          </w:tcPr>
          <w:p>
            <w:pPr>
              <w:spacing w:after="0"/>
              <w:rPr>
                <w:sz w:val="22"/>
                <w:szCs w:val="22"/>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r>
      <w:tr>
        <w:trPr>
          <w:trHeight w:val="213"/>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Refinanced loans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1,212,669</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1,125,394</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1,179,031</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54"/>
        </w:trPr>
        <w:tc>
          <w:tcPr>
            <w:tcW w:w="3840" w:type="dxa"/>
            <w:vAlign w:val="bottom"/>
            <w:gridSpan w:val="2"/>
          </w:tcPr>
          <w:p>
            <w:pPr>
              <w:spacing w:after="0" w:line="253" w:lineRule="exact"/>
              <w:rPr>
                <w:sz w:val="20"/>
                <w:szCs w:val="20"/>
                <w:color w:val="auto"/>
              </w:rPr>
            </w:pPr>
            <w:r>
              <w:rPr>
                <w:rFonts w:ascii="Arial" w:cs="Arial" w:eastAsia="Arial" w:hAnsi="Arial"/>
                <w:sz w:val="18"/>
                <w:szCs w:val="18"/>
                <w:color w:val="auto"/>
              </w:rPr>
              <w:t>Non-performing loans (NPLs)</w:t>
            </w:r>
            <w:r>
              <w:rPr>
                <w:rFonts w:ascii="Arial" w:cs="Arial" w:eastAsia="Arial" w:hAnsi="Arial"/>
                <w:sz w:val="29"/>
                <w:szCs w:val="29"/>
                <w:color w:val="auto"/>
                <w:vertAlign w:val="superscript"/>
              </w:rPr>
              <w:t>(2)</w:t>
            </w:r>
          </w:p>
        </w:tc>
        <w:tc>
          <w:tcPr>
            <w:tcW w:w="1220" w:type="dxa"/>
            <w:vAlign w:val="bottom"/>
          </w:tcPr>
          <w:p>
            <w:pPr>
              <w:jc w:val="right"/>
              <w:spacing w:after="0"/>
              <w:rPr>
                <w:sz w:val="20"/>
                <w:szCs w:val="20"/>
                <w:color w:val="auto"/>
              </w:rPr>
            </w:pPr>
            <w:r>
              <w:rPr>
                <w:rFonts w:ascii="Arial" w:cs="Arial" w:eastAsia="Arial" w:hAnsi="Arial"/>
                <w:sz w:val="18"/>
                <w:szCs w:val="18"/>
                <w:color w:val="auto"/>
              </w:rPr>
              <w:t>4,497,948</w:t>
            </w:r>
          </w:p>
        </w:tc>
        <w:tc>
          <w:tcPr>
            <w:tcW w:w="280" w:type="dxa"/>
            <w:vAlign w:val="bottom"/>
          </w:tcPr>
          <w:p>
            <w:pPr>
              <w:spacing w:after="0"/>
              <w:rPr>
                <w:sz w:val="22"/>
                <w:szCs w:val="22"/>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4,704,898</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5,021,861</w:t>
            </w:r>
          </w:p>
        </w:tc>
        <w:tc>
          <w:tcPr>
            <w:tcW w:w="100" w:type="dxa"/>
            <w:vAlign w:val="bottom"/>
          </w:tcPr>
          <w:p>
            <w:pPr>
              <w:spacing w:after="0"/>
              <w:rPr>
                <w:sz w:val="22"/>
                <w:szCs w:val="22"/>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r>
      <w:tr>
        <w:trPr>
          <w:trHeight w:val="213"/>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IOL ratio</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3.00%</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2.89%</w:t>
            </w:r>
          </w:p>
        </w:tc>
        <w:tc>
          <w:tcPr>
            <w:tcW w:w="1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 bps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 bps</w:t>
            </w:r>
          </w:p>
        </w:tc>
      </w:tr>
      <w:tr>
        <w:trPr>
          <w:trHeight w:val="213"/>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Structural IOL ratio</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3.26%</w:t>
            </w:r>
          </w:p>
        </w:tc>
        <w:tc>
          <w:tcPr>
            <w:tcW w:w="100" w:type="dxa"/>
            <w:vAlign w:val="bottom"/>
          </w:tcPr>
          <w:p>
            <w:pPr>
              <w:spacing w:after="0"/>
              <w:rPr>
                <w:sz w:val="18"/>
                <w:szCs w:val="18"/>
                <w:color w:val="auto"/>
              </w:rPr>
            </w:pPr>
          </w:p>
        </w:tc>
        <w:tc>
          <w:tcPr>
            <w:tcW w:w="1820" w:type="dxa"/>
            <w:vAlign w:val="bottom"/>
            <w:gridSpan w:val="3"/>
          </w:tcPr>
          <w:p>
            <w:pPr>
              <w:jc w:val="right"/>
              <w:ind w:right="620"/>
              <w:spacing w:after="0"/>
              <w:rPr>
                <w:sz w:val="20"/>
                <w:szCs w:val="20"/>
                <w:color w:val="auto"/>
              </w:rPr>
            </w:pPr>
            <w:r>
              <w:rPr>
                <w:rFonts w:ascii="Arial" w:cs="Arial" w:eastAsia="Arial" w:hAnsi="Arial"/>
                <w:sz w:val="18"/>
                <w:szCs w:val="18"/>
                <w:color w:val="auto"/>
              </w:rPr>
              <w:t>29 bps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26 bps</w:t>
            </w:r>
          </w:p>
        </w:tc>
      </w:tr>
      <w:tr>
        <w:trPr>
          <w:trHeight w:val="213"/>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IOL over 90-days ratio</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2.22%</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1.50%</w:t>
            </w:r>
          </w:p>
        </w:tc>
        <w:tc>
          <w:tcPr>
            <w:tcW w:w="1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-36 bps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 bps</w:t>
            </w:r>
          </w:p>
        </w:tc>
      </w:tr>
      <w:tr>
        <w:trPr>
          <w:trHeight w:val="213"/>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NPL ratio</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4.11%</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3.78%</w:t>
            </w:r>
          </w:p>
        </w:tc>
        <w:tc>
          <w:tcPr>
            <w:tcW w:w="100" w:type="dxa"/>
            <w:vAlign w:val="bottom"/>
          </w:tcPr>
          <w:p>
            <w:pPr>
              <w:spacing w:after="0"/>
              <w:rPr>
                <w:sz w:val="18"/>
                <w:szCs w:val="18"/>
                <w:color w:val="auto"/>
              </w:rPr>
            </w:pPr>
          </w:p>
        </w:tc>
        <w:tc>
          <w:tcPr>
            <w:tcW w:w="1820" w:type="dxa"/>
            <w:vAlign w:val="bottom"/>
            <w:gridSpan w:val="3"/>
          </w:tcPr>
          <w:p>
            <w:pPr>
              <w:jc w:val="right"/>
              <w:ind w:right="620"/>
              <w:spacing w:after="0"/>
              <w:rPr>
                <w:sz w:val="20"/>
                <w:szCs w:val="20"/>
                <w:color w:val="auto"/>
              </w:rPr>
            </w:pPr>
            <w:r>
              <w:rPr>
                <w:rFonts w:ascii="Arial" w:cs="Arial" w:eastAsia="Arial" w:hAnsi="Arial"/>
                <w:sz w:val="18"/>
                <w:szCs w:val="18"/>
                <w:color w:val="auto"/>
              </w:rPr>
              <w:t>-12 bps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-33 bps</w:t>
            </w:r>
          </w:p>
        </w:tc>
      </w:tr>
      <w:tr>
        <w:trPr>
          <w:trHeight w:val="213"/>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Structural NPL ratio</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4.11%</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4.26%</w:t>
            </w:r>
          </w:p>
        </w:tc>
        <w:tc>
          <w:tcPr>
            <w:tcW w:w="1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36 bps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 bps</w:t>
            </w:r>
          </w:p>
        </w:tc>
      </w:tr>
      <w:tr>
        <w:trPr>
          <w:trHeight w:val="213"/>
        </w:trPr>
        <w:tc>
          <w:tcPr>
            <w:tcW w:w="3840" w:type="dxa"/>
            <w:vAlign w:val="bottom"/>
            <w:gridSpan w:val="2"/>
          </w:tcPr>
          <w:p>
            <w:pPr>
              <w:spacing w:after="0"/>
              <w:rPr>
                <w:sz w:val="20"/>
                <w:szCs w:val="20"/>
                <w:color w:val="auto"/>
              </w:rPr>
            </w:pPr>
            <w:r>
              <w:rPr>
                <w:rFonts w:ascii="Arial" w:cs="Arial" w:eastAsia="Arial" w:hAnsi="Arial"/>
                <w:sz w:val="18"/>
                <w:szCs w:val="18"/>
                <w:color w:val="auto"/>
              </w:rPr>
              <w:t>Coverage ratio of IOLs</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148.5%</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165.7%</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18"/>
                <w:szCs w:val="18"/>
                <w:color w:val="auto"/>
              </w:rPr>
            </w:pPr>
          </w:p>
        </w:tc>
        <w:tc>
          <w:tcPr>
            <w:tcW w:w="1820" w:type="dxa"/>
            <w:vAlign w:val="bottom"/>
            <w:gridSpan w:val="3"/>
          </w:tcPr>
          <w:p>
            <w:pPr>
              <w:jc w:val="right"/>
              <w:ind w:right="620"/>
              <w:spacing w:after="0"/>
              <w:rPr>
                <w:sz w:val="20"/>
                <w:szCs w:val="20"/>
                <w:color w:val="auto"/>
              </w:rPr>
            </w:pPr>
            <w:r>
              <w:rPr>
                <w:rFonts w:ascii="Arial" w:cs="Arial" w:eastAsia="Arial" w:hAnsi="Arial"/>
                <w:sz w:val="18"/>
                <w:szCs w:val="18"/>
                <w:color w:val="auto"/>
              </w:rPr>
              <w:t>5320 bps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7040 bps</w:t>
            </w:r>
          </w:p>
        </w:tc>
      </w:tr>
      <w:tr>
        <w:trPr>
          <w:trHeight w:val="213"/>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ratio of IOL 90-days</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200.7%</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264.8%</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423.2%</w:t>
            </w:r>
          </w:p>
        </w:tc>
        <w:tc>
          <w:tcPr>
            <w:tcW w:w="1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15840 bps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22250 bps</w:t>
            </w:r>
          </w:p>
        </w:tc>
      </w:tr>
      <w:tr>
        <w:trPr>
          <w:trHeight w:val="226"/>
        </w:trPr>
        <w:tc>
          <w:tcPr>
            <w:tcW w:w="3840" w:type="dxa"/>
            <w:vAlign w:val="bottom"/>
            <w:gridSpan w:val="2"/>
          </w:tcPr>
          <w:p>
            <w:pPr>
              <w:spacing w:after="0"/>
              <w:rPr>
                <w:sz w:val="20"/>
                <w:szCs w:val="20"/>
                <w:color w:val="auto"/>
              </w:rPr>
            </w:pPr>
            <w:r>
              <w:rPr>
                <w:rFonts w:ascii="Arial" w:cs="Arial" w:eastAsia="Arial" w:hAnsi="Arial"/>
                <w:sz w:val="18"/>
                <w:szCs w:val="18"/>
                <w:color w:val="auto"/>
              </w:rPr>
              <w:t>Coverage ratio of NPLs</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108.5%</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126.1%</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19"/>
                <w:szCs w:val="19"/>
                <w:color w:val="auto"/>
              </w:rPr>
            </w:pPr>
          </w:p>
        </w:tc>
        <w:tc>
          <w:tcPr>
            <w:tcW w:w="1820" w:type="dxa"/>
            <w:vAlign w:val="bottom"/>
            <w:gridSpan w:val="3"/>
          </w:tcPr>
          <w:p>
            <w:pPr>
              <w:jc w:val="right"/>
              <w:ind w:right="620"/>
              <w:spacing w:after="0"/>
              <w:rPr>
                <w:sz w:val="20"/>
                <w:szCs w:val="20"/>
                <w:color w:val="auto"/>
              </w:rPr>
            </w:pPr>
            <w:r>
              <w:rPr>
                <w:rFonts w:ascii="Arial" w:cs="Arial" w:eastAsia="Arial" w:hAnsi="Arial"/>
                <w:sz w:val="18"/>
                <w:szCs w:val="18"/>
                <w:color w:val="auto"/>
              </w:rPr>
              <w:t>4140 bps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5900 bps</w:t>
            </w:r>
          </w:p>
        </w:tc>
      </w:tr>
    </w:tbl>
    <w:p>
      <w:pPr>
        <w:spacing w:after="0" w:line="186" w:lineRule="exact"/>
        <w:rPr>
          <w:sz w:val="20"/>
          <w:szCs w:val="20"/>
          <w:color w:val="auto"/>
        </w:rPr>
      </w:pPr>
    </w:p>
    <w:p>
      <w:pPr>
        <w:ind w:left="260" w:hanging="253"/>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overdue loans and loans under legal collection. (Quarter-end balances)</w:t>
      </w:r>
    </w:p>
    <w:p>
      <w:pPr>
        <w:spacing w:after="0" w:line="19" w:lineRule="exact"/>
        <w:rPr>
          <w:rFonts w:ascii="Arial" w:cs="Arial" w:eastAsia="Arial" w:hAnsi="Arial"/>
          <w:sz w:val="18"/>
          <w:szCs w:val="18"/>
          <w:color w:val="auto"/>
        </w:rPr>
      </w:pPr>
    </w:p>
    <w:p>
      <w:pPr>
        <w:ind w:left="260" w:hanging="253"/>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Non-performing loans include internal overdue loans and refinanced loans. (Quarter-end balances)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terms of delinquency ratios, it is important to note that:</w:t>
      </w:r>
    </w:p>
    <w:p>
      <w:pPr>
        <w:spacing w:after="0" w:line="220" w:lineRule="exact"/>
        <w:rPr>
          <w:sz w:val="20"/>
          <w:szCs w:val="20"/>
          <w:color w:val="auto"/>
        </w:rPr>
      </w:pPr>
    </w:p>
    <w:p>
      <w:pPr>
        <w:jc w:val="both"/>
        <w:ind w:left="880" w:hanging="500"/>
        <w:spacing w:after="0" w:line="255"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total IOL portfolio increased 7.4% QoQ and 17.0% YoY. This was due primarily to the evolution of the Retail Banking portfolio and of the Consumer and Mortgage segments in particular given that some clients were not eligible to avail of the facilities for reprogramming and debt freezing given that they were delinquent prior to lockdown. Wholesale Banking also presented a deterioration, which was primarily attributable to the transportation, construction and advertising segments.</w:t>
      </w:r>
    </w:p>
    <w:p>
      <w:pPr>
        <w:spacing w:after="0" w:line="187" w:lineRule="exact"/>
        <w:rPr>
          <w:rFonts w:ascii="Arial" w:cs="Arial" w:eastAsia="Arial" w:hAnsi="Arial"/>
          <w:sz w:val="18"/>
          <w:szCs w:val="18"/>
          <w:color w:val="auto"/>
        </w:rPr>
      </w:pPr>
    </w:p>
    <w:p>
      <w:pPr>
        <w:jc w:val="both"/>
        <w:ind w:left="880" w:hanging="500"/>
        <w:spacing w:after="0" w:line="255"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refinanced loans increased 4.8% QoQ given that a larger number of clients in the Consumer segment, who were already behind in their payments, reprogrammed their credit to match payment schedules with payment capacities. The YoY analysis reflects a 2.8% drop in this concept after some clients in the Wholesale segment with refinanced loans were transferred to the NPL portfolio. In this context, the NPL portfolio registered growth of 5.0% QoQ and 6.2% YoY.</w:t>
      </w:r>
    </w:p>
    <w:p>
      <w:pPr>
        <w:spacing w:after="0" w:line="187" w:lineRule="exact"/>
        <w:rPr>
          <w:rFonts w:ascii="Arial" w:cs="Arial" w:eastAsia="Arial" w:hAnsi="Arial"/>
          <w:sz w:val="18"/>
          <w:szCs w:val="18"/>
          <w:color w:val="auto"/>
        </w:rPr>
      </w:pPr>
    </w:p>
    <w:p>
      <w:pPr>
        <w:ind w:left="880" w:hanging="500"/>
        <w:spacing w:after="0" w:line="270"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total number of loans written off has fallen this quarter given that we are concentrating on supporting clients that have experienced a significant increase in the total number of days that their loans are past due since the beginning of the lockdown.</w:t>
      </w:r>
    </w:p>
    <w:p>
      <w:pPr>
        <w:spacing w:after="0" w:line="175" w:lineRule="exact"/>
        <w:rPr>
          <w:sz w:val="20"/>
          <w:szCs w:val="20"/>
          <w:color w:val="auto"/>
        </w:rPr>
      </w:pPr>
    </w:p>
    <w:p>
      <w:pPr>
        <w:jc w:val="both"/>
        <w:ind w:left="60"/>
        <w:spacing w:after="0" w:line="258" w:lineRule="auto"/>
        <w:rPr>
          <w:sz w:val="20"/>
          <w:szCs w:val="20"/>
          <w:color w:val="auto"/>
        </w:rPr>
      </w:pPr>
      <w:r>
        <w:rPr>
          <w:rFonts w:ascii="Arial" w:cs="Arial" w:eastAsia="Arial" w:hAnsi="Arial"/>
          <w:sz w:val="18"/>
          <w:szCs w:val="18"/>
          <w:color w:val="auto"/>
        </w:rPr>
        <w:t>Despite the increase in IOL and NPL loans, the IOL and NPL ratios improved 8 bps QoQ and 12 bps QoQ respectively and 11 bps QoQ and 33 bps YoY respectively. This was primarily attributable to significant loan growth, which was fueled by Reactiva Peru and FAE loans. If we exclude Reactiva Loans, both ratios deteriorate and situate at 3.26% and 4.26% respectively.</w:t>
      </w:r>
    </w:p>
    <w:p>
      <w:pPr>
        <w:spacing w:after="0" w:line="400"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151130</wp:posOffset>
            </wp:positionV>
            <wp:extent cx="4414520" cy="1796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414520" cy="1796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20" w:right="280" w:hanging="5"/>
        <w:spacing w:after="0" w:line="270" w:lineRule="auto"/>
        <w:tabs>
          <w:tab w:leader="none" w:pos="12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Structural Cost of risk excludes the provisions for credit losses on loan portfolio, net of recoveries and total loans from the Reactiva Peru and FAE Government Programs.</w:t>
      </w:r>
    </w:p>
    <w:p>
      <w:pPr>
        <w:spacing w:after="0" w:line="175"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Coverage ratios improved significantly QoQ and YoY. This reflected the increase in provisions for loan losses due to COVID-19, which offset the increase registered in IOL and NPL loans.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Prior to analyzing the evolution of the delinquency indicators, it is important to remember that:</w:t>
      </w:r>
    </w:p>
    <w:p>
      <w:pPr>
        <w:spacing w:after="0" w:line="220" w:lineRule="exact"/>
        <w:rPr>
          <w:sz w:val="20"/>
          <w:szCs w:val="20"/>
          <w:color w:val="auto"/>
        </w:rPr>
      </w:pPr>
    </w:p>
    <w:p>
      <w:pPr>
        <w:ind w:left="880" w:hanging="500"/>
        <w:spacing w:after="0" w:line="270"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Credicorp has offered its retail banking client’s facilities to reprogram and freeze debt and as such, delinquency indicators do not, at present, fully reflect the deterioration in this portfolio.</w:t>
      </w:r>
    </w:p>
    <w:p>
      <w:pPr>
        <w:spacing w:after="0" w:line="174" w:lineRule="exact"/>
        <w:rPr>
          <w:rFonts w:ascii="Arial" w:cs="Arial" w:eastAsia="Arial" w:hAnsi="Arial"/>
          <w:sz w:val="18"/>
          <w:szCs w:val="18"/>
          <w:color w:val="auto"/>
        </w:rPr>
      </w:pPr>
    </w:p>
    <w:p>
      <w:pPr>
        <w:jc w:val="both"/>
        <w:ind w:left="880" w:hanging="500"/>
        <w:spacing w:after="0" w:line="258"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delinquency indicators for the Wholesale, SME-Business and SME-Pyme sectors are distorted by the inflow of Reactiva Peru and FAE facilities. Therefore, we are also showing the adjusted indicator to isolate the effect and analyze the evolution of the quality of the structural portfolio.</w:t>
      </w:r>
    </w:p>
    <w:p>
      <w:pPr>
        <w:spacing w:after="0" w:line="186" w:lineRule="exact"/>
        <w:rPr>
          <w:rFonts w:ascii="Arial" w:cs="Arial" w:eastAsia="Arial" w:hAnsi="Arial"/>
          <w:sz w:val="18"/>
          <w:szCs w:val="18"/>
          <w:color w:val="auto"/>
        </w:rPr>
      </w:pPr>
    </w:p>
    <w:p>
      <w:pPr>
        <w:jc w:val="both"/>
        <w:ind w:left="880" w:hanging="500"/>
        <w:spacing w:after="0" w:line="306"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Traditional delinquency ratios (IOL and NPL ratios) continue to be distorted by the presence of loans with real estate collateral (commercial and residential properties). This means that a significant portion of loans that are more than 150 days past due cannot be written off (despite the fact that provisions have been set aside) given that a judicial process must be initiated to liquidate the collateral, which takes five years on average.</w:t>
      </w:r>
    </w:p>
    <w:p>
      <w:pPr>
        <w:spacing w:after="0" w:line="364"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3.2.1. Delinquency indicators by business line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Wholesale Banking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151130</wp:posOffset>
            </wp:positionV>
            <wp:extent cx="6515735" cy="22707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15735" cy="2270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880" w:hanging="500"/>
        <w:spacing w:after="0" w:line="274" w:lineRule="auto"/>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IOL ratio increased QoQ and YoY due to a deterioration in the debt service capacity of clients in Middle Market Banking and in the construction, advertising and transportation sectors in particular. In contrast, the NPL ratio fell QoQ and YoY given that some clients with refinanced loans began to fall behind in their payments and are now included in the IOL portfolio. It is important to note that the Middle Market Banking segment has received a larger number of loans from Reactiva Peru than any other segment.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SME-Business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151130</wp:posOffset>
            </wp:positionV>
            <wp:extent cx="6549390" cy="2465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49390" cy="2465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880" w:hanging="500"/>
        <w:spacing w:after="0" w:line="255"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IOL and NPL ratios in the SME-Business segment also improved significantly due to the increase in loans that was fueled by Reactiva Peru. Despite this, total IOL loans increased given the deterioration of particular clients that were already fully provisioned. It is important to note that this segment continues to register credit quality levels that are within the organization’s appetite for risk. The objective is to maximize the portfolio’s profitability by achieving an adequate match between risk and growth.</w:t>
      </w:r>
    </w:p>
    <w:p>
      <w:pPr>
        <w:spacing w:after="0" w:line="200" w:lineRule="exact"/>
        <w:rPr>
          <w:sz w:val="20"/>
          <w:szCs w:val="20"/>
          <w:color w:val="auto"/>
        </w:rPr>
      </w:pPr>
    </w:p>
    <w:p>
      <w:pPr>
        <w:spacing w:after="0" w:line="201"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jc w:val="center"/>
        <w:ind w:right="380"/>
        <w:spacing w:after="0"/>
        <w:rPr>
          <w:sz w:val="20"/>
          <w:szCs w:val="20"/>
          <w:color w:val="auto"/>
        </w:rPr>
      </w:pPr>
      <w:r>
        <w:rPr>
          <w:rFonts w:ascii="Arial" w:cs="Arial" w:eastAsia="Arial" w:hAnsi="Arial"/>
          <w:sz w:val="18"/>
          <w:szCs w:val="18"/>
          <w:b w:val="1"/>
          <w:bCs w:val="1"/>
          <w:color w:val="auto"/>
        </w:rPr>
        <w:t>SME - Pyme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151130</wp:posOffset>
            </wp:positionV>
            <wp:extent cx="6464300" cy="24911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64300" cy="2491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380" w:hanging="374"/>
        <w:spacing w:after="0" w:line="306" w:lineRule="auto"/>
        <w:tabs>
          <w:tab w:leader="none" w:pos="513"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the SME-Pyme loan book, it is important to analyze the early delinquency ratio, which excludes loans that are overdue less than 60 days (volatile loans whose percentage of recovery is very high) and those overdue more than 150 days (loans that have been provisioned but which cannot be written off due to the existence of real estate collateral- commercial properties - that take five years on average to liquidate).</w:t>
      </w:r>
    </w:p>
    <w:p>
      <w:pPr>
        <w:spacing w:after="0" w:line="150" w:lineRule="exact"/>
        <w:rPr>
          <w:sz w:val="20"/>
          <w:szCs w:val="20"/>
          <w:color w:val="auto"/>
        </w:rPr>
      </w:pPr>
    </w:p>
    <w:p>
      <w:pPr>
        <w:jc w:val="both"/>
        <w:ind w:left="380"/>
        <w:spacing w:after="0" w:line="255" w:lineRule="auto"/>
        <w:rPr>
          <w:sz w:val="20"/>
          <w:szCs w:val="20"/>
          <w:color w:val="auto"/>
        </w:rPr>
      </w:pPr>
      <w:r>
        <w:rPr>
          <w:rFonts w:ascii="Arial" w:cs="Arial" w:eastAsia="Arial" w:hAnsi="Arial"/>
          <w:sz w:val="18"/>
          <w:szCs w:val="18"/>
          <w:color w:val="auto"/>
        </w:rPr>
        <w:t>Similar to the situation seen in the Wholesale and SME Business segments, traditional and early delinquency ratios for the SME-Pyme segment fell significantly due to the presence of Reactiva Peru loans. Nevertheless, if we exclude the effect created by these loans, we find that both the IOL and NPL ratios fell. This is attributable to the fact that SME-Pyme segments have used the majority of the reprogramming facilities that Credicorp has offered to attenuate the impacts of COVID-19.</w:t>
      </w:r>
    </w:p>
    <w:p>
      <w:pPr>
        <w:spacing w:after="0" w:line="184"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Mortgage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151130</wp:posOffset>
            </wp:positionV>
            <wp:extent cx="6549390" cy="255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49390" cy="2558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500" w:hanging="500"/>
        <w:spacing w:after="0" w:line="258"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 regard to mortgage loans, it is important to remember that these ratios are also affected by the existence of real estate collateral, where the recovery process is protracted (around 5 years) and as such, impedes the bank’s capacity to write-off loans even if the same are completely provisioned.</w:t>
      </w:r>
    </w:p>
    <w:p>
      <w:pPr>
        <w:spacing w:after="0" w:line="186" w:lineRule="exact"/>
        <w:rPr>
          <w:rFonts w:ascii="Arial" w:cs="Arial" w:eastAsia="Arial" w:hAnsi="Arial"/>
          <w:sz w:val="18"/>
          <w:szCs w:val="18"/>
          <w:color w:val="auto"/>
        </w:rPr>
      </w:pPr>
    </w:p>
    <w:p>
      <w:pPr>
        <w:ind w:left="500"/>
        <w:spacing w:after="0" w:line="300" w:lineRule="auto"/>
        <w:rPr>
          <w:rFonts w:ascii="Arial" w:cs="Arial" w:eastAsia="Arial" w:hAnsi="Arial"/>
          <w:sz w:val="18"/>
          <w:szCs w:val="18"/>
          <w:color w:val="auto"/>
        </w:rPr>
      </w:pPr>
      <w:r>
        <w:rPr>
          <w:rFonts w:ascii="Arial" w:cs="Arial" w:eastAsia="Arial" w:hAnsi="Arial"/>
          <w:sz w:val="17"/>
          <w:szCs w:val="17"/>
          <w:color w:val="auto"/>
        </w:rPr>
        <w:t>Traditional delinquency ratios increased QoQ and YoY, which was primarily driven by the deterioration of clients in riskier sectors that had already registered signs of delinquency before the state of emergency and by the significant reduction in write-offs this quarter.</w:t>
      </w:r>
    </w:p>
    <w:p>
      <w:pPr>
        <w:spacing w:after="0" w:line="365" w:lineRule="exact"/>
        <w:rPr>
          <w:sz w:val="20"/>
          <w:szCs w:val="20"/>
          <w:color w:val="auto"/>
        </w:rPr>
      </w:pPr>
    </w:p>
    <w:p>
      <w:pPr>
        <w:ind w:left="106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13335</wp:posOffset>
            </wp:positionV>
            <wp:extent cx="71342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860"/>
          </w:cols>
          <w:pgMar w:left="700" w:top="895" w:right="339" w:bottom="1440" w:gutter="0" w:footer="0" w:header="0"/>
        </w:sectPr>
      </w:pPr>
    </w:p>
    <w:bookmarkStart w:id="26" w:name="page27"/>
    <w:bookmarkEnd w:id="26"/>
    <w:p>
      <w:pPr>
        <w:ind w:left="500" w:right="20"/>
        <w:spacing w:after="0" w:line="270" w:lineRule="auto"/>
        <w:rPr>
          <w:sz w:val="20"/>
          <w:szCs w:val="20"/>
          <w:color w:val="auto"/>
        </w:rPr>
      </w:pPr>
      <w:r>
        <w:rPr>
          <w:rFonts w:ascii="Arial" w:cs="Arial" w:eastAsia="Arial" w:hAnsi="Arial"/>
          <w:sz w:val="18"/>
          <w:szCs w:val="18"/>
          <w:color w:val="auto"/>
        </w:rPr>
        <w:t>In terms of early delinquency, the ratio fell QoQ and YoY, which was in line with the reprogramming that BCP offers to clients whose income has been affected by COVID-19. This led to a decrease in the number of new delinquent clients.</w:t>
      </w:r>
    </w:p>
    <w:p>
      <w:pPr>
        <w:spacing w:after="0" w:line="171"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Consumer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151130</wp:posOffset>
            </wp:positionV>
            <wp:extent cx="6447790" cy="23641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47790" cy="2364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500" w:hanging="500"/>
        <w:spacing w:after="0" w:line="258"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consumer segment delinquency ratios evolved lines similar to those seen for the mortgage segment, which also registered a significant increase in the IOL and NPL ratios QoQ and YoY. This growth was primarily attributable to the deterioration of clients in riskier segments prior to the state of emergency and to the significant reduction in write-offs this quarter.</w:t>
      </w:r>
    </w:p>
    <w:p>
      <w:pPr>
        <w:spacing w:after="0" w:line="186" w:lineRule="exact"/>
        <w:rPr>
          <w:sz w:val="20"/>
          <w:szCs w:val="20"/>
          <w:color w:val="auto"/>
        </w:rPr>
      </w:pPr>
    </w:p>
    <w:p>
      <w:pPr>
        <w:ind w:left="500"/>
        <w:spacing w:after="0" w:line="270" w:lineRule="auto"/>
        <w:rPr>
          <w:sz w:val="20"/>
          <w:szCs w:val="20"/>
          <w:color w:val="auto"/>
        </w:rPr>
      </w:pPr>
      <w:r>
        <w:rPr>
          <w:rFonts w:ascii="Arial" w:cs="Arial" w:eastAsia="Arial" w:hAnsi="Arial"/>
          <w:sz w:val="18"/>
          <w:szCs w:val="18"/>
          <w:color w:val="auto"/>
        </w:rPr>
        <w:t>The early delinquency ratio fell QoQ and YoY, which was in line with the reprogramming facilities that BCP offered clients whose income has been affected by COVID-19. This led to a decrease in the number of new delinquent clients.</w:t>
      </w:r>
    </w:p>
    <w:p>
      <w:pPr>
        <w:spacing w:after="0" w:line="17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Credit Card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151130</wp:posOffset>
            </wp:positionV>
            <wp:extent cx="6659245" cy="23641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59245" cy="2364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00" w:hanging="500"/>
        <w:spacing w:after="0" w:line="333" w:lineRule="auto"/>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Credit Card segment registered growth in its delinquency ratios QoQ and YoY. This was primarily due to a drop in credit card placements and the fact that some clients who have accepted skips and debt freezing facilities have refinanced their debt through consumer loans.</w:t>
      </w:r>
    </w:p>
    <w:p>
      <w:pPr>
        <w:spacing w:after="0" w:line="129" w:lineRule="exact"/>
        <w:rPr>
          <w:rFonts w:ascii="Arial" w:cs="Arial" w:eastAsia="Arial" w:hAnsi="Arial"/>
          <w:sz w:val="16"/>
          <w:szCs w:val="16"/>
          <w:color w:val="auto"/>
        </w:rPr>
      </w:pPr>
    </w:p>
    <w:p>
      <w:pPr>
        <w:jc w:val="both"/>
        <w:ind w:left="500"/>
        <w:spacing w:after="0" w:line="258" w:lineRule="auto"/>
        <w:rPr>
          <w:rFonts w:ascii="Arial" w:cs="Arial" w:eastAsia="Arial" w:hAnsi="Arial"/>
          <w:sz w:val="16"/>
          <w:szCs w:val="16"/>
          <w:color w:val="auto"/>
        </w:rPr>
      </w:pPr>
      <w:r>
        <w:rPr>
          <w:rFonts w:ascii="Arial" w:cs="Arial" w:eastAsia="Arial" w:hAnsi="Arial"/>
          <w:sz w:val="18"/>
          <w:szCs w:val="18"/>
          <w:color w:val="auto"/>
        </w:rPr>
        <w:t>The early delinquency ratio fell QoQ and YoY. This was due to the skips and debt freezing facilities that BCP Stand-alone has offered to its clients. If we eliminate the effect of these measures, a smaller percentage of the portfolio deteriorated QoQ and YoY given that a number of clients registered signs of delinquency prior to the state of emergency.</w:t>
      </w:r>
    </w:p>
    <w:p>
      <w:pPr>
        <w:spacing w:after="0" w:line="400" w:lineRule="exact"/>
        <w:rPr>
          <w:sz w:val="20"/>
          <w:szCs w:val="20"/>
          <w:color w:val="auto"/>
        </w:rPr>
      </w:pPr>
    </w:p>
    <w:p>
      <w:pPr>
        <w:ind w:left="106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13335</wp:posOffset>
            </wp:positionV>
            <wp:extent cx="71342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860"/>
          </w:cols>
          <w:pgMar w:left="700" w:top="899" w:right="339" w:bottom="1440" w:gutter="0" w:footer="0" w:header="0"/>
        </w:sectPr>
      </w:pPr>
    </w:p>
    <w:bookmarkStart w:id="27" w:name="page28"/>
    <w:bookmarkEnd w:id="27"/>
    <w:p>
      <w:pPr>
        <w:jc w:val="center"/>
        <w:ind w:right="380"/>
        <w:spacing w:after="0"/>
        <w:rPr>
          <w:sz w:val="20"/>
          <w:szCs w:val="20"/>
          <w:color w:val="auto"/>
        </w:rPr>
      </w:pPr>
      <w:r>
        <w:rPr>
          <w:rFonts w:ascii="Arial" w:cs="Arial" w:eastAsia="Arial" w:hAnsi="Arial"/>
          <w:sz w:val="18"/>
          <w:szCs w:val="18"/>
          <w:b w:val="1"/>
          <w:bCs w:val="1"/>
          <w:color w:val="auto"/>
        </w:rPr>
        <w:t>Mibanco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151130</wp:posOffset>
            </wp:positionV>
            <wp:extent cx="6456045" cy="2550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56045" cy="2550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500" w:hanging="500"/>
        <w:spacing w:after="0" w:line="258"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IOL and NPL ratios increased QoQ and YoY due to the fact that the requests of debt reprogramming of a percentage of clients were not processed in June. It is important to mention that these loans are beign reprogrammed since the beginning of July, without affecting the credit quality of clients by the delay.</w:t>
      </w:r>
    </w:p>
    <w:p>
      <w:pPr>
        <w:spacing w:after="0" w:line="186" w:lineRule="exact"/>
        <w:rPr>
          <w:sz w:val="20"/>
          <w:szCs w:val="20"/>
          <w:color w:val="auto"/>
        </w:rPr>
      </w:pPr>
    </w:p>
    <w:p>
      <w:pPr>
        <w:ind w:left="500"/>
        <w:spacing w:after="0" w:line="270" w:lineRule="auto"/>
        <w:rPr>
          <w:sz w:val="20"/>
          <w:szCs w:val="20"/>
          <w:color w:val="auto"/>
        </w:rPr>
      </w:pPr>
      <w:r>
        <w:rPr>
          <w:rFonts w:ascii="Arial" w:cs="Arial" w:eastAsia="Arial" w:hAnsi="Arial"/>
          <w:sz w:val="18"/>
          <w:szCs w:val="18"/>
          <w:color w:val="auto"/>
        </w:rPr>
        <w:t>The cost of risk increased significantly QoQ and YoY after an adjustment was made in the expected loss model and the contraction expectations of the Peruvian Economy, as mentioned in section 3.1. Allowance for loan losses</w:t>
      </w:r>
    </w:p>
    <w:p>
      <w:pPr>
        <w:spacing w:after="0" w:line="17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BCP Bolivia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151130</wp:posOffset>
            </wp:positionV>
            <wp:extent cx="6600190" cy="24822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00190" cy="2482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500" w:hanging="500"/>
        <w:spacing w:after="0" w:line="274"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BCP Bolivia reported improvements in its delinquency ratios QoQ and YoY due to the debt reprogramming facilities that are required by law to support clients affected by COVID-19. Unlike loans at BCP Stand-Alone and Mibanco, BCP Bolivia loans for Retail banking clients were automatically reprogramed (aligned with the debt facilities offered to retail clients in Bolivia to reprogram debt) for these customers in March. After March, clients were free to contact BCP Bolivia to request that their debts don’t get reprogramed.</w:t>
      </w:r>
    </w:p>
    <w:p>
      <w:pPr>
        <w:spacing w:after="0" w:line="174" w:lineRule="exact"/>
        <w:rPr>
          <w:rFonts w:ascii="Arial" w:cs="Arial" w:eastAsia="Arial" w:hAnsi="Arial"/>
          <w:sz w:val="17"/>
          <w:szCs w:val="17"/>
          <w:color w:val="auto"/>
        </w:rPr>
      </w:pPr>
    </w:p>
    <w:p>
      <w:pPr>
        <w:ind w:left="500"/>
        <w:spacing w:after="0" w:line="270" w:lineRule="auto"/>
        <w:rPr>
          <w:rFonts w:ascii="Arial" w:cs="Arial" w:eastAsia="Arial" w:hAnsi="Arial"/>
          <w:sz w:val="17"/>
          <w:szCs w:val="17"/>
          <w:color w:val="auto"/>
        </w:rPr>
      </w:pPr>
      <w:r>
        <w:rPr>
          <w:rFonts w:ascii="Arial" w:cs="Arial" w:eastAsia="Arial" w:hAnsi="Arial"/>
          <w:sz w:val="18"/>
          <w:szCs w:val="18"/>
          <w:color w:val="auto"/>
        </w:rPr>
        <w:t>The cost of risk deteriorated QoQ and YoY. This was primarily attributable to an increase in provisions due to the COVID-19 crisis, given the adjustments in the expected loss model, as mentioned in section 3.1. Allowance for loan losses.</w:t>
      </w:r>
    </w:p>
    <w:p>
      <w:pPr>
        <w:spacing w:after="0" w:line="388" w:lineRule="exact"/>
        <w:rPr>
          <w:sz w:val="20"/>
          <w:szCs w:val="20"/>
          <w:color w:val="auto"/>
        </w:rPr>
      </w:pPr>
    </w:p>
    <w:p>
      <w:pPr>
        <w:ind w:left="106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13335</wp:posOffset>
            </wp:positionV>
            <wp:extent cx="71342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860"/>
          </w:cols>
          <w:pgMar w:left="700" w:top="895" w:right="339" w:bottom="1440" w:gutter="0" w:footer="0" w:header="0"/>
        </w:sectPr>
      </w:pPr>
    </w:p>
    <w:bookmarkStart w:id="28" w:name="page29"/>
    <w:bookmarkEnd w:id="28"/>
    <w:p>
      <w:pPr>
        <w:ind w:left="460" w:hanging="453"/>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Net Interest Income (NII)</w:t>
      </w:r>
    </w:p>
    <w:p>
      <w:pPr>
        <w:spacing w:after="0" w:line="22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i w:val="1"/>
          <w:iCs w:val="1"/>
          <w:color w:val="auto"/>
        </w:rPr>
        <w:t>In 2Q20, NII, the main component of income, registered decreases of -17.6% QoQ, -12.9% YoY and -2.5% YTD while average interest-earning assets grew +9.4% QoQ, +18.2% YoY and 15.8% YTD. The aforementioned led NIM to drop -132 bps QoQ, - 144 bps YoY and -86 bps YTD. These results were mainly attributable to the economic reactivation programs (Reactiva Perú and FAE-Mype), which have pressured the loan margin downward and led interest income to fall -13.8% QoQ, -11.6% YoY and -3.2% YTD. Additionally, risk-adjusted NIM fell -352 bps QoQ, -557pbs YoY and -392 bps YTD due to the increase in the cost of risk generated by a material change in the expectations for economic growth in Peru in the context of the COVID-19 pandemic.</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60" w:type="dxa"/>
            <w:vAlign w:val="bottom"/>
            <w:gridSpan w:val="3"/>
          </w:tcPr>
          <w:p>
            <w:pPr>
              <w:spacing w:after="0"/>
              <w:rPr>
                <w:sz w:val="20"/>
                <w:szCs w:val="20"/>
                <w:color w:val="auto"/>
              </w:rPr>
            </w:pPr>
            <w:r>
              <w:rPr>
                <w:rFonts w:ascii="Arial" w:cs="Arial" w:eastAsia="Arial" w:hAnsi="Arial"/>
                <w:sz w:val="14"/>
                <w:szCs w:val="14"/>
                <w:b w:val="1"/>
                <w:bCs w:val="1"/>
                <w:color w:val="auto"/>
              </w:rPr>
              <w:t>Net interest income</w:t>
            </w: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6"/>
          </w:tcPr>
          <w:p>
            <w:pPr>
              <w:ind w:left="540"/>
              <w:spacing w:after="0"/>
              <w:rPr>
                <w:sz w:val="20"/>
                <w:szCs w:val="20"/>
                <w:color w:val="auto"/>
              </w:rPr>
            </w:pPr>
            <w:r>
              <w:rPr>
                <w:rFonts w:ascii="Arial" w:cs="Arial" w:eastAsia="Arial" w:hAnsi="Arial"/>
                <w:sz w:val="14"/>
                <w:szCs w:val="14"/>
                <w:b w:val="1"/>
                <w:bCs w:val="1"/>
                <w:color w:val="auto"/>
              </w:rPr>
              <w:t>% change</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YTD</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3"/>
        </w:trPr>
        <w:tc>
          <w:tcPr>
            <w:tcW w:w="268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S/ 000</w:t>
            </w: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29"/>
              <w:spacing w:after="0" w:line="153" w:lineRule="exact"/>
              <w:rPr>
                <w:sz w:val="20"/>
                <w:szCs w:val="20"/>
                <w:color w:val="auto"/>
              </w:rPr>
            </w:pPr>
            <w:r>
              <w:rPr>
                <w:rFonts w:ascii="Arial" w:cs="Arial" w:eastAsia="Arial" w:hAnsi="Arial"/>
                <w:sz w:val="14"/>
                <w:szCs w:val="14"/>
                <w:b w:val="1"/>
                <w:bCs w:val="1"/>
                <w:color w:val="auto"/>
              </w:rPr>
              <w:t>2Q19</w:t>
            </w:r>
          </w:p>
        </w:tc>
        <w:tc>
          <w:tcPr>
            <w:tcW w:w="340" w:type="dxa"/>
            <w:vAlign w:val="bottom"/>
            <w:tcBorders>
              <w:top w:val="single" w:sz="8" w:color="auto"/>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29"/>
              <w:spacing w:after="0" w:line="153" w:lineRule="exact"/>
              <w:rPr>
                <w:sz w:val="20"/>
                <w:szCs w:val="20"/>
                <w:color w:val="auto"/>
              </w:rPr>
            </w:pPr>
            <w:r>
              <w:rPr>
                <w:rFonts w:ascii="Arial" w:cs="Arial" w:eastAsia="Arial" w:hAnsi="Arial"/>
                <w:sz w:val="14"/>
                <w:szCs w:val="14"/>
                <w:b w:val="1"/>
                <w:bCs w:val="1"/>
                <w:color w:val="auto"/>
              </w:rPr>
              <w:t>1Q20</w:t>
            </w:r>
          </w:p>
        </w:tc>
        <w:tc>
          <w:tcPr>
            <w:tcW w:w="340" w:type="dxa"/>
            <w:vAlign w:val="bottom"/>
            <w:tcBorders>
              <w:top w:val="single" w:sz="8" w:color="auto"/>
              <w:bottom w:val="single" w:sz="8" w:color="CCEEFF"/>
            </w:tcBorders>
          </w:tcPr>
          <w:p>
            <w:pPr>
              <w:spacing w:after="0"/>
              <w:rPr>
                <w:sz w:val="13"/>
                <w:szCs w:val="13"/>
                <w:color w:val="auto"/>
              </w:rPr>
            </w:pPr>
          </w:p>
        </w:tc>
        <w:tc>
          <w:tcPr>
            <w:tcW w:w="860" w:type="dxa"/>
            <w:vAlign w:val="bottom"/>
            <w:tcBorders>
              <w:top w:val="single" w:sz="8" w:color="auto"/>
              <w:bottom w:val="single" w:sz="8" w:color="auto"/>
            </w:tcBorders>
            <w:gridSpan w:val="2"/>
          </w:tcPr>
          <w:p>
            <w:pPr>
              <w:jc w:val="right"/>
              <w:ind w:right="340"/>
              <w:spacing w:after="0" w:line="153" w:lineRule="exact"/>
              <w:rPr>
                <w:sz w:val="20"/>
                <w:szCs w:val="20"/>
                <w:color w:val="auto"/>
              </w:rPr>
            </w:pPr>
            <w:r>
              <w:rPr>
                <w:rFonts w:ascii="Arial" w:cs="Arial" w:eastAsia="Arial" w:hAnsi="Arial"/>
                <w:sz w:val="14"/>
                <w:szCs w:val="14"/>
                <w:b w:val="1"/>
                <w:bCs w:val="1"/>
                <w:color w:val="auto"/>
              </w:rPr>
              <w:t>2Q20</w:t>
            </w: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ind w:left="180"/>
              <w:spacing w:after="0" w:line="153" w:lineRule="exact"/>
              <w:rPr>
                <w:sz w:val="20"/>
                <w:szCs w:val="20"/>
                <w:color w:val="auto"/>
              </w:rPr>
            </w:pPr>
            <w:r>
              <w:rPr>
                <w:rFonts w:ascii="Arial" w:cs="Arial" w:eastAsia="Arial" w:hAnsi="Arial"/>
                <w:sz w:val="14"/>
                <w:szCs w:val="14"/>
                <w:b w:val="1"/>
                <w:bCs w:val="1"/>
                <w:color w:val="auto"/>
              </w:rPr>
              <w:t>QoQ</w:t>
            </w:r>
          </w:p>
        </w:tc>
        <w:tc>
          <w:tcPr>
            <w:tcW w:w="360" w:type="dxa"/>
            <w:vAlign w:val="bottom"/>
            <w:tcBorders>
              <w:top w:val="single" w:sz="8" w:color="auto"/>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ind w:left="180"/>
              <w:spacing w:after="0" w:line="153" w:lineRule="exact"/>
              <w:rPr>
                <w:sz w:val="20"/>
                <w:szCs w:val="20"/>
                <w:color w:val="auto"/>
              </w:rPr>
            </w:pPr>
            <w:r>
              <w:rPr>
                <w:rFonts w:ascii="Arial" w:cs="Arial" w:eastAsia="Arial" w:hAnsi="Arial"/>
                <w:sz w:val="14"/>
                <w:szCs w:val="14"/>
                <w:b w:val="1"/>
                <w:bCs w:val="1"/>
                <w:color w:val="auto"/>
              </w:rPr>
              <w:t>YoY</w:t>
            </w:r>
          </w:p>
        </w:tc>
        <w:tc>
          <w:tcPr>
            <w:tcW w:w="160" w:type="dxa"/>
            <w:vAlign w:val="bottom"/>
            <w:tcBorders>
              <w:top w:val="single" w:sz="8" w:color="auto"/>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69"/>
              <w:spacing w:after="0" w:line="153" w:lineRule="exact"/>
              <w:rPr>
                <w:sz w:val="20"/>
                <w:szCs w:val="20"/>
                <w:color w:val="auto"/>
              </w:rPr>
            </w:pPr>
            <w:r>
              <w:rPr>
                <w:rFonts w:ascii="Arial" w:cs="Arial" w:eastAsia="Arial" w:hAnsi="Arial"/>
                <w:sz w:val="14"/>
                <w:szCs w:val="14"/>
                <w:b w:val="1"/>
                <w:bCs w:val="1"/>
                <w:color w:val="auto"/>
              </w:rPr>
              <w:t>Jun-19</w:t>
            </w:r>
          </w:p>
        </w:tc>
        <w:tc>
          <w:tcPr>
            <w:tcW w:w="360" w:type="dxa"/>
            <w:vAlign w:val="bottom"/>
            <w:tcBorders>
              <w:top w:val="single" w:sz="8" w:color="auto"/>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ind w:left="160"/>
              <w:spacing w:after="0" w:line="153" w:lineRule="exact"/>
              <w:rPr>
                <w:sz w:val="20"/>
                <w:szCs w:val="20"/>
                <w:color w:val="auto"/>
              </w:rPr>
            </w:pPr>
            <w:r>
              <w:rPr>
                <w:rFonts w:ascii="Arial" w:cs="Arial" w:eastAsia="Arial" w:hAnsi="Arial"/>
                <w:sz w:val="14"/>
                <w:szCs w:val="14"/>
                <w:b w:val="1"/>
                <w:bCs w:val="1"/>
                <w:color w:val="auto"/>
              </w:rPr>
              <w:t>Jun-20</w:t>
            </w:r>
          </w:p>
        </w:tc>
        <w:tc>
          <w:tcPr>
            <w:tcW w:w="2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5"/>
              </w:rPr>
              <w:t>jun-20 / jun-19</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680" w:type="dxa"/>
            <w:vAlign w:val="bottom"/>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Interest income</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b w:val="1"/>
                <w:bCs w:val="1"/>
                <w:color w:val="auto"/>
              </w:rPr>
              <w:t>3,083,623</w:t>
            </w: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b w:val="1"/>
                <w:bCs w:val="1"/>
                <w:color w:val="auto"/>
              </w:rPr>
              <w:t>3,163,609</w:t>
            </w:r>
          </w:p>
        </w:tc>
        <w:tc>
          <w:tcPr>
            <w:tcW w:w="3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4"/>
                <w:szCs w:val="14"/>
                <w:b w:val="1"/>
                <w:bCs w:val="1"/>
                <w:color w:val="auto"/>
              </w:rPr>
              <w:t>2,727,369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b w:val="1"/>
                <w:bCs w:val="1"/>
                <w:color w:val="auto"/>
              </w:rPr>
              <w:t>-13.8%</w:t>
            </w:r>
          </w:p>
        </w:tc>
        <w:tc>
          <w:tcPr>
            <w:tcW w:w="800" w:type="dxa"/>
            <w:vAlign w:val="bottom"/>
            <w:gridSpan w:val="2"/>
            <w:shd w:val="clear" w:color="auto" w:fill="CCEEFF"/>
          </w:tcPr>
          <w:p>
            <w:pPr>
              <w:jc w:val="right"/>
              <w:ind w:right="20"/>
              <w:spacing w:after="0" w:line="140" w:lineRule="exact"/>
              <w:rPr>
                <w:sz w:val="20"/>
                <w:szCs w:val="20"/>
                <w:color w:val="auto"/>
              </w:rPr>
            </w:pPr>
            <w:r>
              <w:rPr>
                <w:rFonts w:ascii="Arial" w:cs="Arial" w:eastAsia="Arial" w:hAnsi="Arial"/>
                <w:sz w:val="14"/>
                <w:szCs w:val="14"/>
                <w:b w:val="1"/>
                <w:bCs w:val="1"/>
                <w:color w:val="auto"/>
              </w:rPr>
              <w:t>-11.6%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b w:val="1"/>
                <w:bCs w:val="1"/>
                <w:color w:val="auto"/>
              </w:rPr>
              <w:t>6,085,297</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ind w:left="160"/>
              <w:spacing w:after="0" w:line="140" w:lineRule="exact"/>
              <w:rPr>
                <w:sz w:val="20"/>
                <w:szCs w:val="20"/>
                <w:color w:val="auto"/>
              </w:rPr>
            </w:pPr>
            <w:r>
              <w:rPr>
                <w:rFonts w:ascii="Arial" w:cs="Arial" w:eastAsia="Arial" w:hAnsi="Arial"/>
                <w:sz w:val="14"/>
                <w:szCs w:val="14"/>
                <w:b w:val="1"/>
                <w:bCs w:val="1"/>
                <w:color w:val="auto"/>
                <w:w w:val="86"/>
              </w:rPr>
              <w:t>5,890,978</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147"/>
        </w:trPr>
        <w:tc>
          <w:tcPr>
            <w:tcW w:w="2860" w:type="dxa"/>
            <w:vAlign w:val="bottom"/>
            <w:gridSpan w:val="3"/>
          </w:tcPr>
          <w:p>
            <w:pPr>
              <w:ind w:left="140"/>
              <w:spacing w:after="0" w:line="147" w:lineRule="exact"/>
              <w:rPr>
                <w:sz w:val="20"/>
                <w:szCs w:val="20"/>
                <w:color w:val="auto"/>
              </w:rPr>
            </w:pPr>
            <w:r>
              <w:rPr>
                <w:rFonts w:ascii="Arial" w:cs="Arial" w:eastAsia="Arial" w:hAnsi="Arial"/>
                <w:sz w:val="14"/>
                <w:szCs w:val="14"/>
                <w:color w:val="auto"/>
              </w:rPr>
              <w:t>Interest on loans</w:t>
            </w:r>
          </w:p>
        </w:tc>
        <w:tc>
          <w:tcPr>
            <w:tcW w:w="106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2,632,649</w:t>
            </w:r>
          </w:p>
        </w:tc>
        <w:tc>
          <w:tcPr>
            <w:tcW w:w="720" w:type="dxa"/>
            <w:vAlign w:val="bottom"/>
          </w:tcPr>
          <w:p>
            <w:pPr>
              <w:jc w:val="right"/>
              <w:spacing w:after="0" w:line="147" w:lineRule="exact"/>
              <w:rPr>
                <w:sz w:val="20"/>
                <w:szCs w:val="20"/>
                <w:color w:val="auto"/>
              </w:rPr>
            </w:pPr>
            <w:r>
              <w:rPr>
                <w:rFonts w:ascii="Arial" w:cs="Arial" w:eastAsia="Arial" w:hAnsi="Arial"/>
                <w:sz w:val="14"/>
                <w:szCs w:val="14"/>
                <w:color w:val="auto"/>
              </w:rPr>
              <w:t>2,770,351</w:t>
            </w:r>
          </w:p>
        </w:tc>
        <w:tc>
          <w:tcPr>
            <w:tcW w:w="340" w:type="dxa"/>
            <w:vAlign w:val="bottom"/>
          </w:tcPr>
          <w:p>
            <w:pPr>
              <w:spacing w:after="0"/>
              <w:rPr>
                <w:sz w:val="12"/>
                <w:szCs w:val="12"/>
                <w:color w:val="auto"/>
              </w:rPr>
            </w:pPr>
          </w:p>
        </w:tc>
        <w:tc>
          <w:tcPr>
            <w:tcW w:w="86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2,353,285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-15.1%</w:t>
            </w:r>
          </w:p>
        </w:tc>
        <w:tc>
          <w:tcPr>
            <w:tcW w:w="80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-10.6%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5,194,935</w:t>
            </w:r>
          </w:p>
        </w:tc>
        <w:tc>
          <w:tcPr>
            <w:tcW w:w="98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5,123,636</w:t>
            </w:r>
          </w:p>
        </w:tc>
        <w:tc>
          <w:tcPr>
            <w:tcW w:w="100" w:type="dxa"/>
            <w:vAlign w:val="bottom"/>
          </w:tcPr>
          <w:p>
            <w:pPr>
              <w:spacing w:after="0"/>
              <w:rPr>
                <w:sz w:val="12"/>
                <w:szCs w:val="12"/>
                <w:color w:val="auto"/>
              </w:rPr>
            </w:pPr>
          </w:p>
        </w:tc>
        <w:tc>
          <w:tcPr>
            <w:tcW w:w="106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7"/>
        </w:trPr>
        <w:tc>
          <w:tcPr>
            <w:tcW w:w="2860" w:type="dxa"/>
            <w:vAlign w:val="bottom"/>
            <w:gridSpan w:val="3"/>
            <w:shd w:val="clear" w:color="auto" w:fill="CCEEFF"/>
          </w:tcPr>
          <w:p>
            <w:pPr>
              <w:ind w:left="140"/>
              <w:spacing w:after="0" w:line="147" w:lineRule="exact"/>
              <w:rPr>
                <w:sz w:val="20"/>
                <w:szCs w:val="20"/>
                <w:color w:val="auto"/>
              </w:rPr>
            </w:pPr>
            <w:r>
              <w:rPr>
                <w:rFonts w:ascii="Arial" w:cs="Arial" w:eastAsia="Arial" w:hAnsi="Arial"/>
                <w:sz w:val="14"/>
                <w:szCs w:val="14"/>
                <w:color w:val="auto"/>
              </w:rPr>
              <w:t>Dividends on investments</w:t>
            </w:r>
          </w:p>
        </w:tc>
        <w:tc>
          <w:tcPr>
            <w:tcW w:w="1060" w:type="dxa"/>
            <w:vAlign w:val="bottom"/>
            <w:gridSpan w:val="2"/>
            <w:shd w:val="clear" w:color="auto" w:fill="CCEEFF"/>
          </w:tcPr>
          <w:p>
            <w:pPr>
              <w:jc w:val="right"/>
              <w:ind w:right="340"/>
              <w:spacing w:after="0" w:line="147" w:lineRule="exact"/>
              <w:rPr>
                <w:sz w:val="20"/>
                <w:szCs w:val="20"/>
                <w:color w:val="auto"/>
              </w:rPr>
            </w:pPr>
            <w:r>
              <w:rPr>
                <w:rFonts w:ascii="Arial" w:cs="Arial" w:eastAsia="Arial" w:hAnsi="Arial"/>
                <w:sz w:val="14"/>
                <w:szCs w:val="14"/>
                <w:color w:val="auto"/>
              </w:rPr>
              <w:t>8,914</w:t>
            </w:r>
          </w:p>
        </w:tc>
        <w:tc>
          <w:tcPr>
            <w:tcW w:w="1060" w:type="dxa"/>
            <w:vAlign w:val="bottom"/>
            <w:gridSpan w:val="2"/>
            <w:shd w:val="clear" w:color="auto" w:fill="CCEEFF"/>
          </w:tcPr>
          <w:p>
            <w:pPr>
              <w:jc w:val="right"/>
              <w:ind w:right="340"/>
              <w:spacing w:after="0" w:line="147" w:lineRule="exact"/>
              <w:rPr>
                <w:sz w:val="20"/>
                <w:szCs w:val="20"/>
                <w:color w:val="auto"/>
              </w:rPr>
            </w:pPr>
            <w:r>
              <w:rPr>
                <w:rFonts w:ascii="Arial" w:cs="Arial" w:eastAsia="Arial" w:hAnsi="Arial"/>
                <w:sz w:val="14"/>
                <w:szCs w:val="14"/>
                <w:color w:val="auto"/>
              </w:rPr>
              <w:t>7,879</w:t>
            </w:r>
          </w:p>
        </w:tc>
        <w:tc>
          <w:tcPr>
            <w:tcW w:w="86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4,867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-38.2%</w:t>
            </w:r>
          </w:p>
        </w:tc>
        <w:tc>
          <w:tcPr>
            <w:tcW w:w="8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-45.4%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18,581</w:t>
            </w:r>
          </w:p>
        </w:tc>
        <w:tc>
          <w:tcPr>
            <w:tcW w:w="98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12,746</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47"/>
        </w:trPr>
        <w:tc>
          <w:tcPr>
            <w:tcW w:w="2860" w:type="dxa"/>
            <w:vAlign w:val="bottom"/>
            <w:gridSpan w:val="3"/>
          </w:tcPr>
          <w:p>
            <w:pPr>
              <w:ind w:left="140"/>
              <w:spacing w:after="0" w:line="147" w:lineRule="exact"/>
              <w:rPr>
                <w:sz w:val="20"/>
                <w:szCs w:val="20"/>
                <w:color w:val="auto"/>
              </w:rPr>
            </w:pPr>
            <w:r>
              <w:rPr>
                <w:rFonts w:ascii="Arial" w:cs="Arial" w:eastAsia="Arial" w:hAnsi="Arial"/>
                <w:sz w:val="14"/>
                <w:szCs w:val="14"/>
                <w:color w:val="auto"/>
              </w:rPr>
              <w:t>Interest on deposits with banks</w:t>
            </w:r>
          </w:p>
        </w:tc>
        <w:tc>
          <w:tcPr>
            <w:tcW w:w="106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85,477</w:t>
            </w:r>
          </w:p>
        </w:tc>
        <w:tc>
          <w:tcPr>
            <w:tcW w:w="106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49,113</w:t>
            </w:r>
          </w:p>
        </w:tc>
        <w:tc>
          <w:tcPr>
            <w:tcW w:w="86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9,264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-81.1%</w:t>
            </w:r>
          </w:p>
        </w:tc>
        <w:tc>
          <w:tcPr>
            <w:tcW w:w="80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-89.2%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172,176</w:t>
            </w:r>
          </w:p>
        </w:tc>
        <w:tc>
          <w:tcPr>
            <w:tcW w:w="98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58,376</w:t>
            </w:r>
          </w:p>
        </w:tc>
        <w:tc>
          <w:tcPr>
            <w:tcW w:w="100" w:type="dxa"/>
            <w:vAlign w:val="bottom"/>
          </w:tcPr>
          <w:p>
            <w:pPr>
              <w:spacing w:after="0"/>
              <w:rPr>
                <w:sz w:val="12"/>
                <w:szCs w:val="12"/>
                <w:color w:val="auto"/>
              </w:rPr>
            </w:pPr>
          </w:p>
        </w:tc>
        <w:tc>
          <w:tcPr>
            <w:tcW w:w="106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-66.1%</w:t>
            </w:r>
          </w:p>
        </w:tc>
        <w:tc>
          <w:tcPr>
            <w:tcW w:w="0" w:type="dxa"/>
            <w:vAlign w:val="bottom"/>
          </w:tcPr>
          <w:p>
            <w:pPr>
              <w:spacing w:after="0"/>
              <w:rPr>
                <w:sz w:val="1"/>
                <w:szCs w:val="1"/>
                <w:color w:val="auto"/>
              </w:rPr>
            </w:pPr>
          </w:p>
        </w:tc>
      </w:tr>
      <w:tr>
        <w:trPr>
          <w:trHeight w:val="147"/>
        </w:trPr>
        <w:tc>
          <w:tcPr>
            <w:tcW w:w="2860" w:type="dxa"/>
            <w:vAlign w:val="bottom"/>
            <w:gridSpan w:val="3"/>
            <w:shd w:val="clear" w:color="auto" w:fill="CCEEFF"/>
          </w:tcPr>
          <w:p>
            <w:pPr>
              <w:ind w:left="140"/>
              <w:spacing w:after="0" w:line="147" w:lineRule="exact"/>
              <w:rPr>
                <w:sz w:val="20"/>
                <w:szCs w:val="20"/>
                <w:color w:val="auto"/>
              </w:rPr>
            </w:pPr>
            <w:r>
              <w:rPr>
                <w:rFonts w:ascii="Arial" w:cs="Arial" w:eastAsia="Arial" w:hAnsi="Arial"/>
                <w:sz w:val="14"/>
                <w:szCs w:val="14"/>
                <w:color w:val="auto"/>
              </w:rPr>
              <w:t>Interest on securities</w:t>
            </w:r>
          </w:p>
        </w:tc>
        <w:tc>
          <w:tcPr>
            <w:tcW w:w="1060" w:type="dxa"/>
            <w:vAlign w:val="bottom"/>
            <w:gridSpan w:val="2"/>
            <w:shd w:val="clear" w:color="auto" w:fill="CCEEFF"/>
          </w:tcPr>
          <w:p>
            <w:pPr>
              <w:jc w:val="right"/>
              <w:ind w:right="340"/>
              <w:spacing w:after="0" w:line="147" w:lineRule="exact"/>
              <w:rPr>
                <w:sz w:val="20"/>
                <w:szCs w:val="20"/>
                <w:color w:val="auto"/>
              </w:rPr>
            </w:pPr>
            <w:r>
              <w:rPr>
                <w:rFonts w:ascii="Arial" w:cs="Arial" w:eastAsia="Arial" w:hAnsi="Arial"/>
                <w:sz w:val="14"/>
                <w:szCs w:val="14"/>
                <w:color w:val="auto"/>
              </w:rPr>
              <w:t>341,930</w:t>
            </w:r>
          </w:p>
        </w:tc>
        <w:tc>
          <w:tcPr>
            <w:tcW w:w="1060" w:type="dxa"/>
            <w:vAlign w:val="bottom"/>
            <w:gridSpan w:val="2"/>
            <w:shd w:val="clear" w:color="auto" w:fill="CCEEFF"/>
          </w:tcPr>
          <w:p>
            <w:pPr>
              <w:jc w:val="right"/>
              <w:ind w:right="340"/>
              <w:spacing w:after="0" w:line="147" w:lineRule="exact"/>
              <w:rPr>
                <w:sz w:val="20"/>
                <w:szCs w:val="20"/>
                <w:color w:val="auto"/>
              </w:rPr>
            </w:pPr>
            <w:r>
              <w:rPr>
                <w:rFonts w:ascii="Arial" w:cs="Arial" w:eastAsia="Arial" w:hAnsi="Arial"/>
                <w:sz w:val="14"/>
                <w:szCs w:val="14"/>
                <w:color w:val="auto"/>
              </w:rPr>
              <w:t>322,734</w:t>
            </w:r>
          </w:p>
        </w:tc>
        <w:tc>
          <w:tcPr>
            <w:tcW w:w="86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350,617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8.6%</w:t>
            </w:r>
          </w:p>
        </w:tc>
        <w:tc>
          <w:tcPr>
            <w:tcW w:w="8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674,718</w:t>
            </w:r>
          </w:p>
        </w:tc>
        <w:tc>
          <w:tcPr>
            <w:tcW w:w="98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673,352</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7"/>
        </w:trPr>
        <w:tc>
          <w:tcPr>
            <w:tcW w:w="2860" w:type="dxa"/>
            <w:vAlign w:val="bottom"/>
            <w:gridSpan w:val="3"/>
          </w:tcPr>
          <w:p>
            <w:pPr>
              <w:ind w:left="140"/>
              <w:spacing w:after="0" w:line="147" w:lineRule="exact"/>
              <w:rPr>
                <w:sz w:val="20"/>
                <w:szCs w:val="20"/>
                <w:color w:val="auto"/>
              </w:rPr>
            </w:pPr>
            <w:r>
              <w:rPr>
                <w:rFonts w:ascii="Arial" w:cs="Arial" w:eastAsia="Arial" w:hAnsi="Arial"/>
                <w:sz w:val="14"/>
                <w:szCs w:val="14"/>
                <w:color w:val="auto"/>
              </w:rPr>
              <w:t>Other interest income</w:t>
            </w:r>
          </w:p>
        </w:tc>
        <w:tc>
          <w:tcPr>
            <w:tcW w:w="106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14,653</w:t>
            </w:r>
          </w:p>
        </w:tc>
        <w:tc>
          <w:tcPr>
            <w:tcW w:w="106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13,532</w:t>
            </w:r>
          </w:p>
        </w:tc>
        <w:tc>
          <w:tcPr>
            <w:tcW w:w="86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9,336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-31.0%</w:t>
            </w:r>
          </w:p>
        </w:tc>
        <w:tc>
          <w:tcPr>
            <w:tcW w:w="80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-36.3%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24,887</w:t>
            </w:r>
          </w:p>
        </w:tc>
        <w:tc>
          <w:tcPr>
            <w:tcW w:w="98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22,868</w:t>
            </w:r>
          </w:p>
        </w:tc>
        <w:tc>
          <w:tcPr>
            <w:tcW w:w="100" w:type="dxa"/>
            <w:vAlign w:val="bottom"/>
          </w:tcPr>
          <w:p>
            <w:pPr>
              <w:spacing w:after="0"/>
              <w:rPr>
                <w:sz w:val="12"/>
                <w:szCs w:val="12"/>
                <w:color w:val="auto"/>
              </w:rPr>
            </w:pPr>
          </w:p>
        </w:tc>
        <w:tc>
          <w:tcPr>
            <w:tcW w:w="106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47"/>
        </w:trPr>
        <w:tc>
          <w:tcPr>
            <w:tcW w:w="2860" w:type="dxa"/>
            <w:vAlign w:val="bottom"/>
            <w:gridSpan w:val="3"/>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Interest expense</w:t>
            </w:r>
          </w:p>
        </w:tc>
        <w:tc>
          <w:tcPr>
            <w:tcW w:w="1060" w:type="dxa"/>
            <w:vAlign w:val="bottom"/>
            <w:gridSpan w:val="2"/>
            <w:shd w:val="clear" w:color="auto" w:fill="CCEEFF"/>
          </w:tcPr>
          <w:p>
            <w:pPr>
              <w:jc w:val="right"/>
              <w:ind w:right="340"/>
              <w:spacing w:after="0" w:line="147" w:lineRule="exact"/>
              <w:rPr>
                <w:sz w:val="20"/>
                <w:szCs w:val="20"/>
                <w:color w:val="auto"/>
              </w:rPr>
            </w:pPr>
            <w:r>
              <w:rPr>
                <w:rFonts w:ascii="Arial" w:cs="Arial" w:eastAsia="Arial" w:hAnsi="Arial"/>
                <w:sz w:val="14"/>
                <w:szCs w:val="14"/>
                <w:b w:val="1"/>
                <w:bCs w:val="1"/>
                <w:color w:val="auto"/>
              </w:rPr>
              <w:t>831,220</w:t>
            </w:r>
          </w:p>
        </w:tc>
        <w:tc>
          <w:tcPr>
            <w:tcW w:w="1060" w:type="dxa"/>
            <w:vAlign w:val="bottom"/>
            <w:gridSpan w:val="2"/>
            <w:shd w:val="clear" w:color="auto" w:fill="CCEEFF"/>
          </w:tcPr>
          <w:p>
            <w:pPr>
              <w:jc w:val="right"/>
              <w:ind w:right="340"/>
              <w:spacing w:after="0" w:line="147" w:lineRule="exact"/>
              <w:rPr>
                <w:sz w:val="20"/>
                <w:szCs w:val="20"/>
                <w:color w:val="auto"/>
              </w:rPr>
            </w:pPr>
            <w:r>
              <w:rPr>
                <w:rFonts w:ascii="Arial" w:cs="Arial" w:eastAsia="Arial" w:hAnsi="Arial"/>
                <w:sz w:val="14"/>
                <w:szCs w:val="14"/>
                <w:b w:val="1"/>
                <w:bCs w:val="1"/>
                <w:color w:val="auto"/>
              </w:rPr>
              <w:t>784,309</w:t>
            </w:r>
          </w:p>
        </w:tc>
        <w:tc>
          <w:tcPr>
            <w:tcW w:w="86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b w:val="1"/>
                <w:bCs w:val="1"/>
                <w:color w:val="auto"/>
              </w:rPr>
              <w:t>766,241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b w:val="1"/>
                <w:bCs w:val="1"/>
                <w:color w:val="auto"/>
              </w:rPr>
              <w:t>-2.3%</w:t>
            </w:r>
          </w:p>
        </w:tc>
        <w:tc>
          <w:tcPr>
            <w:tcW w:w="80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b w:val="1"/>
                <w:bCs w:val="1"/>
                <w:color w:val="auto"/>
              </w:rPr>
              <w:t>-7.8%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b w:val="1"/>
                <w:bCs w:val="1"/>
                <w:color w:val="auto"/>
              </w:rPr>
              <w:t>1,635,726</w:t>
            </w:r>
          </w:p>
        </w:tc>
        <w:tc>
          <w:tcPr>
            <w:tcW w:w="98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b w:val="1"/>
                <w:bCs w:val="1"/>
                <w:color w:val="auto"/>
              </w:rPr>
              <w:t>1,550,550</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b w:val="1"/>
                <w:bCs w:val="1"/>
                <w:color w:val="auto"/>
              </w:rPr>
              <w:t>-5.2%</w:t>
            </w:r>
          </w:p>
        </w:tc>
        <w:tc>
          <w:tcPr>
            <w:tcW w:w="0" w:type="dxa"/>
            <w:vAlign w:val="bottom"/>
          </w:tcPr>
          <w:p>
            <w:pPr>
              <w:spacing w:after="0"/>
              <w:rPr>
                <w:sz w:val="1"/>
                <w:szCs w:val="1"/>
                <w:color w:val="auto"/>
              </w:rPr>
            </w:pPr>
          </w:p>
        </w:tc>
      </w:tr>
      <w:tr>
        <w:trPr>
          <w:trHeight w:val="147"/>
        </w:trPr>
        <w:tc>
          <w:tcPr>
            <w:tcW w:w="2860" w:type="dxa"/>
            <w:vAlign w:val="bottom"/>
            <w:gridSpan w:val="3"/>
          </w:tcPr>
          <w:p>
            <w:pPr>
              <w:ind w:left="140"/>
              <w:spacing w:after="0" w:line="147" w:lineRule="exact"/>
              <w:rPr>
                <w:sz w:val="20"/>
                <w:szCs w:val="20"/>
                <w:color w:val="auto"/>
              </w:rPr>
            </w:pPr>
            <w:r>
              <w:rPr>
                <w:rFonts w:ascii="Arial" w:cs="Arial" w:eastAsia="Arial" w:hAnsi="Arial"/>
                <w:sz w:val="14"/>
                <w:szCs w:val="14"/>
                <w:color w:val="auto"/>
              </w:rPr>
              <w:t>Interest on deposits</w:t>
            </w:r>
          </w:p>
        </w:tc>
        <w:tc>
          <w:tcPr>
            <w:tcW w:w="106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364,997</w:t>
            </w:r>
          </w:p>
        </w:tc>
        <w:tc>
          <w:tcPr>
            <w:tcW w:w="106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364,107</w:t>
            </w:r>
          </w:p>
        </w:tc>
        <w:tc>
          <w:tcPr>
            <w:tcW w:w="86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320,169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-12.1%</w:t>
            </w:r>
          </w:p>
        </w:tc>
        <w:tc>
          <w:tcPr>
            <w:tcW w:w="80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-12.3%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718,831</w:t>
            </w:r>
          </w:p>
        </w:tc>
        <w:tc>
          <w:tcPr>
            <w:tcW w:w="98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684,276</w:t>
            </w:r>
          </w:p>
        </w:tc>
        <w:tc>
          <w:tcPr>
            <w:tcW w:w="100" w:type="dxa"/>
            <w:vAlign w:val="bottom"/>
          </w:tcPr>
          <w:p>
            <w:pPr>
              <w:spacing w:after="0"/>
              <w:rPr>
                <w:sz w:val="12"/>
                <w:szCs w:val="12"/>
                <w:color w:val="auto"/>
              </w:rPr>
            </w:pPr>
          </w:p>
        </w:tc>
        <w:tc>
          <w:tcPr>
            <w:tcW w:w="106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7"/>
        </w:trPr>
        <w:tc>
          <w:tcPr>
            <w:tcW w:w="2860" w:type="dxa"/>
            <w:vAlign w:val="bottom"/>
            <w:gridSpan w:val="3"/>
            <w:shd w:val="clear" w:color="auto" w:fill="CCEEFF"/>
          </w:tcPr>
          <w:p>
            <w:pPr>
              <w:ind w:left="140"/>
              <w:spacing w:after="0" w:line="147" w:lineRule="exact"/>
              <w:rPr>
                <w:sz w:val="20"/>
                <w:szCs w:val="20"/>
                <w:color w:val="auto"/>
              </w:rPr>
            </w:pPr>
            <w:r>
              <w:rPr>
                <w:rFonts w:ascii="Arial" w:cs="Arial" w:eastAsia="Arial" w:hAnsi="Arial"/>
                <w:sz w:val="14"/>
                <w:szCs w:val="14"/>
                <w:color w:val="auto"/>
              </w:rPr>
              <w:t>Interest on borrowed funds</w:t>
            </w:r>
          </w:p>
        </w:tc>
        <w:tc>
          <w:tcPr>
            <w:tcW w:w="1060" w:type="dxa"/>
            <w:vAlign w:val="bottom"/>
            <w:gridSpan w:val="2"/>
            <w:shd w:val="clear" w:color="auto" w:fill="CCEEFF"/>
          </w:tcPr>
          <w:p>
            <w:pPr>
              <w:jc w:val="right"/>
              <w:ind w:right="340"/>
              <w:spacing w:after="0" w:line="147" w:lineRule="exact"/>
              <w:rPr>
                <w:sz w:val="20"/>
                <w:szCs w:val="20"/>
                <w:color w:val="auto"/>
              </w:rPr>
            </w:pPr>
            <w:r>
              <w:rPr>
                <w:rFonts w:ascii="Arial" w:cs="Arial" w:eastAsia="Arial" w:hAnsi="Arial"/>
                <w:sz w:val="14"/>
                <w:szCs w:val="14"/>
                <w:color w:val="auto"/>
              </w:rPr>
              <w:t>152,832</w:t>
            </w:r>
          </w:p>
        </w:tc>
        <w:tc>
          <w:tcPr>
            <w:tcW w:w="1060" w:type="dxa"/>
            <w:vAlign w:val="bottom"/>
            <w:gridSpan w:val="2"/>
            <w:shd w:val="clear" w:color="auto" w:fill="CCEEFF"/>
          </w:tcPr>
          <w:p>
            <w:pPr>
              <w:jc w:val="right"/>
              <w:ind w:right="340"/>
              <w:spacing w:after="0" w:line="147" w:lineRule="exact"/>
              <w:rPr>
                <w:sz w:val="20"/>
                <w:szCs w:val="20"/>
                <w:color w:val="auto"/>
              </w:rPr>
            </w:pPr>
            <w:r>
              <w:rPr>
                <w:rFonts w:ascii="Arial" w:cs="Arial" w:eastAsia="Arial" w:hAnsi="Arial"/>
                <w:sz w:val="14"/>
                <w:szCs w:val="14"/>
                <w:color w:val="auto"/>
              </w:rPr>
              <w:t>137,126</w:t>
            </w:r>
          </w:p>
        </w:tc>
        <w:tc>
          <w:tcPr>
            <w:tcW w:w="86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157,819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15.1%</w:t>
            </w:r>
          </w:p>
        </w:tc>
        <w:tc>
          <w:tcPr>
            <w:tcW w:w="8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298,135</w:t>
            </w:r>
          </w:p>
        </w:tc>
        <w:tc>
          <w:tcPr>
            <w:tcW w:w="98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294,945</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7"/>
        </w:trPr>
        <w:tc>
          <w:tcPr>
            <w:tcW w:w="2860" w:type="dxa"/>
            <w:vAlign w:val="bottom"/>
            <w:gridSpan w:val="3"/>
          </w:tcPr>
          <w:p>
            <w:pPr>
              <w:ind w:left="140"/>
              <w:spacing w:after="0" w:line="147" w:lineRule="exact"/>
              <w:rPr>
                <w:sz w:val="20"/>
                <w:szCs w:val="20"/>
                <w:color w:val="auto"/>
              </w:rPr>
            </w:pPr>
            <w:r>
              <w:rPr>
                <w:rFonts w:ascii="Arial" w:cs="Arial" w:eastAsia="Arial" w:hAnsi="Arial"/>
                <w:sz w:val="14"/>
                <w:szCs w:val="14"/>
                <w:color w:val="auto"/>
              </w:rPr>
              <w:t>Interest on bonds and subordinated notes</w:t>
            </w:r>
          </w:p>
        </w:tc>
        <w:tc>
          <w:tcPr>
            <w:tcW w:w="106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227,869</w:t>
            </w:r>
          </w:p>
        </w:tc>
        <w:tc>
          <w:tcPr>
            <w:tcW w:w="1060" w:type="dxa"/>
            <w:vAlign w:val="bottom"/>
            <w:gridSpan w:val="2"/>
          </w:tcPr>
          <w:p>
            <w:pPr>
              <w:jc w:val="right"/>
              <w:ind w:right="340"/>
              <w:spacing w:after="0" w:line="147" w:lineRule="exact"/>
              <w:rPr>
                <w:sz w:val="20"/>
                <w:szCs w:val="20"/>
                <w:color w:val="auto"/>
              </w:rPr>
            </w:pPr>
            <w:r>
              <w:rPr>
                <w:rFonts w:ascii="Arial" w:cs="Arial" w:eastAsia="Arial" w:hAnsi="Arial"/>
                <w:sz w:val="14"/>
                <w:szCs w:val="14"/>
                <w:color w:val="auto"/>
              </w:rPr>
              <w:t>198,114</w:t>
            </w:r>
          </w:p>
        </w:tc>
        <w:tc>
          <w:tcPr>
            <w:tcW w:w="86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199,347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0.6%</w:t>
            </w:r>
          </w:p>
        </w:tc>
        <w:tc>
          <w:tcPr>
            <w:tcW w:w="80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-12.5%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454,367</w:t>
            </w:r>
          </w:p>
        </w:tc>
        <w:tc>
          <w:tcPr>
            <w:tcW w:w="98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397,462</w:t>
            </w:r>
          </w:p>
        </w:tc>
        <w:tc>
          <w:tcPr>
            <w:tcW w:w="100" w:type="dxa"/>
            <w:vAlign w:val="bottom"/>
          </w:tcPr>
          <w:p>
            <w:pPr>
              <w:spacing w:after="0"/>
              <w:rPr>
                <w:sz w:val="12"/>
                <w:szCs w:val="12"/>
                <w:color w:val="auto"/>
              </w:rPr>
            </w:pPr>
          </w:p>
        </w:tc>
        <w:tc>
          <w:tcPr>
            <w:tcW w:w="106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0"/>
        </w:trPr>
        <w:tc>
          <w:tcPr>
            <w:tcW w:w="2860" w:type="dxa"/>
            <w:vAlign w:val="bottom"/>
            <w:gridSpan w:val="3"/>
            <w:shd w:val="clear" w:color="auto" w:fill="CCEEFF"/>
          </w:tcPr>
          <w:p>
            <w:pPr>
              <w:ind w:left="140"/>
              <w:spacing w:after="0" w:line="200" w:lineRule="exact"/>
              <w:rPr>
                <w:sz w:val="20"/>
                <w:szCs w:val="20"/>
                <w:color w:val="auto"/>
              </w:rPr>
            </w:pPr>
            <w:r>
              <w:rPr>
                <w:rFonts w:ascii="Arial" w:cs="Arial" w:eastAsia="Arial" w:hAnsi="Arial"/>
                <w:sz w:val="14"/>
                <w:szCs w:val="14"/>
                <w:color w:val="auto"/>
              </w:rPr>
              <w:t xml:space="preserve">Other interest expense </w:t>
            </w:r>
            <w:r>
              <w:rPr>
                <w:rFonts w:ascii="Arial" w:cs="Arial" w:eastAsia="Arial" w:hAnsi="Arial"/>
                <w:sz w:val="23"/>
                <w:szCs w:val="23"/>
                <w:color w:val="auto"/>
                <w:vertAlign w:val="superscript"/>
              </w:rPr>
              <w:t>(1)(3)</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85,522</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84,962</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88,906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4.6%</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164,393</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173,867</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
        </w:trPr>
        <w:tc>
          <w:tcPr>
            <w:tcW w:w="2860" w:type="dxa"/>
            <w:vAlign w:val="bottom"/>
            <w:gridSpan w:val="3"/>
            <w:vMerge w:val="restart"/>
          </w:tcPr>
          <w:p>
            <w:pPr>
              <w:spacing w:after="0" w:line="200" w:lineRule="exact"/>
              <w:rPr>
                <w:sz w:val="20"/>
                <w:szCs w:val="20"/>
                <w:color w:val="auto"/>
              </w:rPr>
            </w:pPr>
            <w:r>
              <w:rPr>
                <w:rFonts w:ascii="Arial" w:cs="Arial" w:eastAsia="Arial" w:hAnsi="Arial"/>
                <w:sz w:val="14"/>
                <w:szCs w:val="14"/>
                <w:b w:val="1"/>
                <w:bCs w:val="1"/>
                <w:color w:val="auto"/>
              </w:rPr>
              <w:t xml:space="preserve">Net interest income </w:t>
            </w:r>
            <w:r>
              <w:rPr>
                <w:rFonts w:ascii="Arial" w:cs="Arial" w:eastAsia="Arial" w:hAnsi="Arial"/>
                <w:sz w:val="23"/>
                <w:szCs w:val="23"/>
                <w:color w:val="auto"/>
                <w:vertAlign w:val="superscript"/>
              </w:rPr>
              <w:t>(1)(3)</w:t>
            </w: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860" w:type="dxa"/>
            <w:vAlign w:val="bottom"/>
            <w:gridSpan w:val="3"/>
            <w:vMerge w:val="continue"/>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2,252,403</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2,379,300</w:t>
            </w:r>
          </w:p>
        </w:tc>
        <w:tc>
          <w:tcPr>
            <w:tcW w:w="3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1,961,128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-17.6%</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4,449,571</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4,340,428</w:t>
            </w:r>
          </w:p>
        </w:tc>
        <w:tc>
          <w:tcPr>
            <w:tcW w:w="1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20"/>
        </w:trPr>
        <w:tc>
          <w:tcPr>
            <w:tcW w:w="2860" w:type="dxa"/>
            <w:vAlign w:val="bottom"/>
            <w:gridSpan w:val="3"/>
            <w:vMerge w:val="restart"/>
            <w:shd w:val="clear" w:color="auto" w:fill="CCEEFF"/>
          </w:tcPr>
          <w:p>
            <w:pPr>
              <w:spacing w:after="0" w:line="200" w:lineRule="exact"/>
              <w:rPr>
                <w:sz w:val="20"/>
                <w:szCs w:val="20"/>
                <w:color w:val="auto"/>
              </w:rPr>
            </w:pPr>
            <w:r>
              <w:rPr>
                <w:rFonts w:ascii="Arial" w:cs="Arial" w:eastAsia="Arial" w:hAnsi="Arial"/>
                <w:sz w:val="14"/>
                <w:szCs w:val="14"/>
                <w:b w:val="1"/>
                <w:bCs w:val="1"/>
                <w:color w:val="auto"/>
              </w:rPr>
              <w:t xml:space="preserve">Risk-adjusted Net interest income </w:t>
            </w:r>
            <w:r>
              <w:rPr>
                <w:rFonts w:ascii="Arial" w:cs="Arial" w:eastAsia="Arial" w:hAnsi="Arial"/>
                <w:sz w:val="23"/>
                <w:szCs w:val="23"/>
                <w:color w:val="auto"/>
                <w:vertAlign w:val="superscript"/>
              </w:rPr>
              <w:t>(1)(3)</w:t>
            </w: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860" w:type="dxa"/>
            <w:vAlign w:val="bottom"/>
            <w:gridSpan w:val="3"/>
            <w:vMerge w:val="continue"/>
            <w:shd w:val="clear" w:color="auto" w:fill="CCEEFF"/>
          </w:tcPr>
          <w:p>
            <w:pPr>
              <w:spacing w:after="0"/>
              <w:rPr>
                <w:sz w:val="15"/>
                <w:szCs w:val="15"/>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b w:val="1"/>
                <w:bCs w:val="1"/>
                <w:color w:val="auto"/>
              </w:rPr>
              <w:t>1,804,109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1,037,819</w:t>
            </w:r>
          </w:p>
        </w:tc>
        <w:tc>
          <w:tcPr>
            <w:tcW w:w="3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(579,329)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-155.8%</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-132.1%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b w:val="1"/>
                <w:bCs w:val="1"/>
                <w:color w:val="auto"/>
              </w:rPr>
              <w:t>3,618,066</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458,490</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-87.3%</w:t>
            </w:r>
          </w:p>
        </w:tc>
        <w:tc>
          <w:tcPr>
            <w:tcW w:w="0" w:type="dxa"/>
            <w:vAlign w:val="bottom"/>
          </w:tcPr>
          <w:p>
            <w:pPr>
              <w:spacing w:after="0"/>
              <w:rPr>
                <w:sz w:val="1"/>
                <w:szCs w:val="1"/>
                <w:color w:val="auto"/>
              </w:rPr>
            </w:pPr>
          </w:p>
        </w:tc>
      </w:tr>
      <w:tr>
        <w:trPr>
          <w:trHeight w:val="20"/>
        </w:trPr>
        <w:tc>
          <w:tcPr>
            <w:tcW w:w="2860" w:type="dxa"/>
            <w:vAlign w:val="bottom"/>
            <w:gridSpan w:val="3"/>
            <w:vMerge w:val="restart"/>
          </w:tcPr>
          <w:p>
            <w:pPr>
              <w:spacing w:after="0" w:line="200" w:lineRule="exact"/>
              <w:rPr>
                <w:sz w:val="20"/>
                <w:szCs w:val="20"/>
                <w:color w:val="auto"/>
              </w:rPr>
            </w:pPr>
            <w:r>
              <w:rPr>
                <w:rFonts w:ascii="Arial" w:cs="Arial" w:eastAsia="Arial" w:hAnsi="Arial"/>
                <w:sz w:val="14"/>
                <w:szCs w:val="14"/>
                <w:color w:val="auto"/>
              </w:rPr>
              <w:t xml:space="preserve">Average interest earning assets </w:t>
            </w:r>
            <w:r>
              <w:rPr>
                <w:rFonts w:ascii="Arial" w:cs="Arial" w:eastAsia="Arial" w:hAnsi="Arial"/>
                <w:sz w:val="23"/>
                <w:szCs w:val="23"/>
                <w:color w:val="auto"/>
                <w:vertAlign w:val="superscript"/>
              </w:rPr>
              <w:t>(1)</w:t>
            </w: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860" w:type="dxa"/>
            <w:vAlign w:val="bottom"/>
            <w:gridSpan w:val="3"/>
            <w:vMerge w:val="continue"/>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w w:val="89"/>
              </w:rPr>
              <w:t>164,668,086</w:t>
            </w:r>
          </w:p>
        </w:tc>
        <w:tc>
          <w:tcPr>
            <w:tcW w:w="720" w:type="dxa"/>
            <w:vAlign w:val="bottom"/>
          </w:tcPr>
          <w:p>
            <w:pPr>
              <w:jc w:val="right"/>
              <w:spacing w:after="0"/>
              <w:rPr>
                <w:sz w:val="20"/>
                <w:szCs w:val="20"/>
                <w:color w:val="auto"/>
              </w:rPr>
            </w:pPr>
            <w:r>
              <w:rPr>
                <w:rFonts w:ascii="Arial" w:cs="Arial" w:eastAsia="Arial" w:hAnsi="Arial"/>
                <w:sz w:val="14"/>
                <w:szCs w:val="14"/>
                <w:color w:val="auto"/>
                <w:w w:val="89"/>
              </w:rPr>
              <w:t>177,957,957</w:t>
            </w:r>
          </w:p>
        </w:tc>
        <w:tc>
          <w:tcPr>
            <w:tcW w:w="3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194,719,984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9.4%</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w w:val="89"/>
              </w:rPr>
              <w:t>164,638,683</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w w:val="89"/>
              </w:rPr>
              <w:t>190,653,514</w:t>
            </w:r>
          </w:p>
        </w:tc>
        <w:tc>
          <w:tcPr>
            <w:tcW w:w="1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0"/>
        </w:trPr>
        <w:tc>
          <w:tcPr>
            <w:tcW w:w="2860" w:type="dxa"/>
            <w:vAlign w:val="bottom"/>
            <w:gridSpan w:val="3"/>
            <w:vMerge w:val="restart"/>
            <w:shd w:val="clear" w:color="auto" w:fill="CCEEFF"/>
          </w:tcPr>
          <w:p>
            <w:pPr>
              <w:spacing w:after="0" w:line="187" w:lineRule="exact"/>
              <w:rPr>
                <w:sz w:val="20"/>
                <w:szCs w:val="20"/>
                <w:color w:val="auto"/>
              </w:rPr>
            </w:pPr>
            <w:r>
              <w:rPr>
                <w:rFonts w:ascii="Arial" w:cs="Arial" w:eastAsia="Arial" w:hAnsi="Arial"/>
                <w:sz w:val="13"/>
                <w:szCs w:val="13"/>
                <w:b w:val="1"/>
                <w:bCs w:val="1"/>
                <w:color w:val="auto"/>
              </w:rPr>
              <w:t xml:space="preserve">Net interest margin </w:t>
            </w:r>
            <w:r>
              <w:rPr>
                <w:rFonts w:ascii="Arial" w:cs="Arial" w:eastAsia="Arial" w:hAnsi="Arial"/>
                <w:sz w:val="21"/>
                <w:szCs w:val="21"/>
                <w:color w:val="auto"/>
                <w:vertAlign w:val="superscript"/>
              </w:rPr>
              <w:t>(1)(2)(3)</w:t>
            </w: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860" w:type="dxa"/>
            <w:vAlign w:val="bottom"/>
            <w:gridSpan w:val="3"/>
            <w:vMerge w:val="continue"/>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5.47%</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5.35%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4.03%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b w:val="1"/>
                <w:bCs w:val="1"/>
                <w:color w:val="auto"/>
              </w:rPr>
              <w:t>-132bps</w:t>
            </w:r>
          </w:p>
        </w:tc>
        <w:tc>
          <w:tcPr>
            <w:tcW w:w="1000" w:type="dxa"/>
            <w:vAlign w:val="bottom"/>
            <w:gridSpan w:val="4"/>
            <w:shd w:val="clear" w:color="auto" w:fill="CCEEFF"/>
          </w:tcPr>
          <w:p>
            <w:pPr>
              <w:jc w:val="right"/>
              <w:ind w:right="360"/>
              <w:spacing w:after="0"/>
              <w:rPr>
                <w:sz w:val="20"/>
                <w:szCs w:val="20"/>
                <w:color w:val="auto"/>
              </w:rPr>
            </w:pPr>
            <w:r>
              <w:rPr>
                <w:rFonts w:ascii="Arial" w:cs="Arial" w:eastAsia="Arial" w:hAnsi="Arial"/>
                <w:sz w:val="14"/>
                <w:szCs w:val="14"/>
                <w:b w:val="1"/>
                <w:bCs w:val="1"/>
                <w:color w:val="auto"/>
              </w:rPr>
              <w:t>-144bps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5.41%</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4.55%</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-86bps</w:t>
            </w:r>
          </w:p>
        </w:tc>
        <w:tc>
          <w:tcPr>
            <w:tcW w:w="0" w:type="dxa"/>
            <w:vAlign w:val="bottom"/>
          </w:tcPr>
          <w:p>
            <w:pPr>
              <w:spacing w:after="0"/>
              <w:rPr>
                <w:sz w:val="1"/>
                <w:szCs w:val="1"/>
                <w:color w:val="auto"/>
              </w:rPr>
            </w:pPr>
          </w:p>
        </w:tc>
      </w:tr>
      <w:tr>
        <w:trPr>
          <w:trHeight w:val="187"/>
        </w:trPr>
        <w:tc>
          <w:tcPr>
            <w:tcW w:w="2860" w:type="dxa"/>
            <w:vAlign w:val="bottom"/>
            <w:gridSpan w:val="3"/>
          </w:tcPr>
          <w:p>
            <w:pPr>
              <w:spacing w:after="0" w:line="187" w:lineRule="exact"/>
              <w:rPr>
                <w:sz w:val="20"/>
                <w:szCs w:val="20"/>
                <w:color w:val="auto"/>
              </w:rPr>
            </w:pPr>
            <w:r>
              <w:rPr>
                <w:rFonts w:ascii="Arial" w:cs="Arial" w:eastAsia="Arial" w:hAnsi="Arial"/>
                <w:sz w:val="13"/>
                <w:szCs w:val="13"/>
                <w:b w:val="1"/>
                <w:bCs w:val="1"/>
                <w:color w:val="auto"/>
              </w:rPr>
              <w:t xml:space="preserve">NIM on loans </w:t>
            </w:r>
            <w:r>
              <w:rPr>
                <w:rFonts w:ascii="Arial" w:cs="Arial" w:eastAsia="Arial" w:hAnsi="Arial"/>
                <w:sz w:val="21"/>
                <w:szCs w:val="21"/>
                <w:color w:val="auto"/>
                <w:vertAlign w:val="superscript"/>
              </w:rPr>
              <w:t>(1)(2)(3)</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7.65%</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7.62%</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5.85%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-177bps</w:t>
            </w:r>
          </w:p>
        </w:tc>
        <w:tc>
          <w:tcPr>
            <w:tcW w:w="10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-180bps</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7.45%</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6.63%</w:t>
            </w: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-82bps</w:t>
            </w:r>
          </w:p>
        </w:tc>
        <w:tc>
          <w:tcPr>
            <w:tcW w:w="0" w:type="dxa"/>
            <w:vAlign w:val="bottom"/>
          </w:tcPr>
          <w:p>
            <w:pPr>
              <w:spacing w:after="0"/>
              <w:rPr>
                <w:sz w:val="1"/>
                <w:szCs w:val="1"/>
                <w:color w:val="auto"/>
              </w:rPr>
            </w:pPr>
          </w:p>
        </w:tc>
      </w:tr>
      <w:tr>
        <w:trPr>
          <w:trHeight w:val="187"/>
        </w:trPr>
        <w:tc>
          <w:tcPr>
            <w:tcW w:w="2860" w:type="dxa"/>
            <w:vAlign w:val="bottom"/>
            <w:gridSpan w:val="3"/>
            <w:shd w:val="clear" w:color="auto" w:fill="CCEEFF"/>
          </w:tcPr>
          <w:p>
            <w:pPr>
              <w:spacing w:after="0" w:line="187" w:lineRule="exact"/>
              <w:rPr>
                <w:sz w:val="20"/>
                <w:szCs w:val="20"/>
                <w:color w:val="auto"/>
              </w:rPr>
            </w:pPr>
            <w:r>
              <w:rPr>
                <w:rFonts w:ascii="Arial" w:cs="Arial" w:eastAsia="Arial" w:hAnsi="Arial"/>
                <w:sz w:val="13"/>
                <w:szCs w:val="13"/>
                <w:b w:val="1"/>
                <w:bCs w:val="1"/>
                <w:color w:val="auto"/>
              </w:rPr>
              <w:t xml:space="preserve">Risk-adjusted Net interest margin </w:t>
            </w:r>
            <w:r>
              <w:rPr>
                <w:rFonts w:ascii="Arial" w:cs="Arial" w:eastAsia="Arial" w:hAnsi="Arial"/>
                <w:sz w:val="21"/>
                <w:szCs w:val="21"/>
                <w:color w:val="auto"/>
                <w:vertAlign w:val="superscript"/>
              </w:rPr>
              <w:t>(1)(2)(3)</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4.38%</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2.33%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-1.19%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b w:val="1"/>
                <w:bCs w:val="1"/>
                <w:color w:val="auto"/>
              </w:rPr>
              <w:t>-352bps</w:t>
            </w:r>
          </w:p>
        </w:tc>
        <w:tc>
          <w:tcPr>
            <w:tcW w:w="1000" w:type="dxa"/>
            <w:vAlign w:val="bottom"/>
            <w:gridSpan w:val="4"/>
            <w:shd w:val="clear" w:color="auto" w:fill="CCEEFF"/>
          </w:tcPr>
          <w:p>
            <w:pPr>
              <w:jc w:val="right"/>
              <w:ind w:right="360"/>
              <w:spacing w:after="0"/>
              <w:rPr>
                <w:sz w:val="20"/>
                <w:szCs w:val="20"/>
                <w:color w:val="auto"/>
              </w:rPr>
            </w:pPr>
            <w:r>
              <w:rPr>
                <w:rFonts w:ascii="Arial" w:cs="Arial" w:eastAsia="Arial" w:hAnsi="Arial"/>
                <w:sz w:val="14"/>
                <w:szCs w:val="14"/>
                <w:b w:val="1"/>
                <w:bCs w:val="1"/>
                <w:color w:val="auto"/>
              </w:rPr>
              <w:t>-557bps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4.40%</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0.48%</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-392bps</w:t>
            </w:r>
          </w:p>
        </w:tc>
        <w:tc>
          <w:tcPr>
            <w:tcW w:w="0" w:type="dxa"/>
            <w:vAlign w:val="bottom"/>
          </w:tcPr>
          <w:p>
            <w:pPr>
              <w:spacing w:after="0"/>
              <w:rPr>
                <w:sz w:val="1"/>
                <w:szCs w:val="1"/>
                <w:color w:val="auto"/>
              </w:rPr>
            </w:pPr>
          </w:p>
        </w:tc>
      </w:tr>
      <w:tr>
        <w:trPr>
          <w:trHeight w:val="138"/>
        </w:trPr>
        <w:tc>
          <w:tcPr>
            <w:tcW w:w="2860" w:type="dxa"/>
            <w:vAlign w:val="bottom"/>
            <w:gridSpan w:val="3"/>
          </w:tcPr>
          <w:p>
            <w:pPr>
              <w:spacing w:after="0" w:line="138" w:lineRule="exact"/>
              <w:rPr>
                <w:sz w:val="20"/>
                <w:szCs w:val="20"/>
                <w:color w:val="auto"/>
              </w:rPr>
            </w:pPr>
            <w:r>
              <w:rPr>
                <w:rFonts w:ascii="Arial" w:cs="Arial" w:eastAsia="Arial" w:hAnsi="Arial"/>
                <w:sz w:val="14"/>
                <w:szCs w:val="14"/>
                <w:b w:val="1"/>
                <w:bCs w:val="1"/>
                <w:color w:val="auto"/>
                <w:w w:val="98"/>
              </w:rPr>
              <w:t>Net provisions for loan losses / Net interest</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5"/>
        </w:trPr>
        <w:tc>
          <w:tcPr>
            <w:tcW w:w="2860" w:type="dxa"/>
            <w:vAlign w:val="bottom"/>
            <w:gridSpan w:val="3"/>
          </w:tcPr>
          <w:p>
            <w:pPr>
              <w:spacing w:after="0"/>
              <w:rPr>
                <w:sz w:val="20"/>
                <w:szCs w:val="20"/>
                <w:color w:val="auto"/>
              </w:rPr>
            </w:pPr>
            <w:r>
              <w:rPr>
                <w:rFonts w:ascii="Arial" w:cs="Arial" w:eastAsia="Arial" w:hAnsi="Arial"/>
                <w:sz w:val="28"/>
                <w:szCs w:val="28"/>
                <w:b w:val="1"/>
                <w:bCs w:val="1"/>
                <w:color w:val="auto"/>
                <w:vertAlign w:val="subscript"/>
              </w:rPr>
              <w:t>income</w:t>
            </w:r>
            <w:r>
              <w:rPr>
                <w:rFonts w:ascii="Arial" w:cs="Arial" w:eastAsia="Arial" w:hAnsi="Arial"/>
                <w:sz w:val="12"/>
                <w:szCs w:val="12"/>
                <w:color w:val="auto"/>
              </w:rPr>
              <w:t xml:space="preserve"> (1)(2)(3)</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19.90%</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56.38%</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129.54%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7316bps</w:t>
            </w:r>
          </w:p>
        </w:tc>
        <w:tc>
          <w:tcPr>
            <w:tcW w:w="10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7"/>
              </w:rPr>
              <w:t>10964bps</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18.69%</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89.44%</w:t>
            </w:r>
          </w:p>
        </w:tc>
        <w:tc>
          <w:tcPr>
            <w:tcW w:w="10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7075bps</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260" w:hanging="253"/>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19" w:lineRule="exact"/>
        <w:rPr>
          <w:rFonts w:ascii="Arial" w:cs="Arial" w:eastAsia="Arial" w:hAnsi="Arial"/>
          <w:sz w:val="18"/>
          <w:szCs w:val="18"/>
          <w:color w:val="auto"/>
        </w:rPr>
      </w:pPr>
    </w:p>
    <w:p>
      <w:pPr>
        <w:ind w:left="260" w:hanging="253"/>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Annualized.</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Figures differ from those presented previously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Interest Income</w:t>
      </w:r>
    </w:p>
    <w:p>
      <w:pPr>
        <w:sectPr>
          <w:pgSz w:w="11900" w:h="16838" w:orient="portrait"/>
          <w:cols w:equalWidth="0" w:num="1">
            <w:col w:w="11240"/>
          </w:cols>
          <w:pgMar w:left="320" w:top="895" w:right="339" w:bottom="1440" w:gutter="0" w:footer="0" w:header="0"/>
        </w:sectPr>
      </w:pPr>
    </w:p>
    <w:p>
      <w:pPr>
        <w:spacing w:after="0" w:line="220" w:lineRule="exact"/>
        <w:rPr>
          <w:sz w:val="20"/>
          <w:szCs w:val="20"/>
          <w:color w:val="auto"/>
        </w:rPr>
      </w:pPr>
    </w:p>
    <w:p>
      <w:pPr>
        <w:jc w:val="center"/>
        <w:ind w:right="1260"/>
        <w:spacing w:after="0"/>
        <w:rPr>
          <w:sz w:val="20"/>
          <w:szCs w:val="20"/>
          <w:color w:val="auto"/>
        </w:rPr>
      </w:pPr>
      <w:r>
        <w:rPr>
          <w:rFonts w:ascii="Arial" w:cs="Arial" w:eastAsia="Arial" w:hAnsi="Arial"/>
          <w:sz w:val="16"/>
          <w:szCs w:val="16"/>
          <w:b w:val="1"/>
          <w:bCs w:val="1"/>
          <w:color w:val="auto"/>
        </w:rPr>
        <w:t>Interest Income - LC</w:t>
      </w:r>
    </w:p>
    <w:p>
      <w:pPr>
        <w:spacing w:after="0" w:line="46" w:lineRule="exact"/>
        <w:rPr>
          <w:sz w:val="20"/>
          <w:szCs w:val="20"/>
          <w:color w:val="auto"/>
        </w:rPr>
      </w:pPr>
    </w:p>
    <w:p>
      <w:pPr>
        <w:jc w:val="center"/>
        <w:ind w:right="1260"/>
        <w:spacing w:after="0"/>
        <w:rPr>
          <w:sz w:val="20"/>
          <w:szCs w:val="20"/>
          <w:color w:val="auto"/>
        </w:rPr>
      </w:pPr>
      <w:r>
        <w:rPr>
          <w:rFonts w:ascii="Arial" w:cs="Arial" w:eastAsia="Arial" w:hAnsi="Arial"/>
          <w:sz w:val="18"/>
          <w:szCs w:val="18"/>
          <w:b w:val="1"/>
          <w:bCs w:val="1"/>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140335</wp:posOffset>
            </wp:positionV>
            <wp:extent cx="5862955" cy="20078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62955" cy="2007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2000"/>
        <w:spacing w:after="0"/>
        <w:rPr>
          <w:sz w:val="20"/>
          <w:szCs w:val="20"/>
          <w:color w:val="auto"/>
        </w:rPr>
      </w:pPr>
      <w:r>
        <w:rPr>
          <w:rFonts w:ascii="Arial" w:cs="Arial" w:eastAsia="Arial" w:hAnsi="Arial"/>
          <w:sz w:val="16"/>
          <w:szCs w:val="16"/>
          <w:b w:val="1"/>
          <w:bCs w:val="1"/>
          <w:color w:val="auto"/>
        </w:rPr>
        <w:t>Interest Income – FC</w:t>
      </w:r>
    </w:p>
    <w:p>
      <w:pPr>
        <w:spacing w:after="0" w:line="46" w:lineRule="exact"/>
        <w:rPr>
          <w:sz w:val="20"/>
          <w:szCs w:val="20"/>
          <w:color w:val="auto"/>
        </w:rPr>
      </w:pPr>
    </w:p>
    <w:p>
      <w:pPr>
        <w:jc w:val="center"/>
        <w:ind w:right="2000"/>
        <w:spacing w:after="0"/>
        <w:rPr>
          <w:sz w:val="20"/>
          <w:szCs w:val="20"/>
          <w:color w:val="auto"/>
        </w:rPr>
      </w:pPr>
      <w:r>
        <w:rPr>
          <w:rFonts w:ascii="Arial" w:cs="Arial" w:eastAsia="Arial" w:hAnsi="Arial"/>
          <w:sz w:val="18"/>
          <w:szCs w:val="18"/>
          <w:b w:val="1"/>
          <w:bCs w:val="1"/>
          <w:color w:val="auto"/>
        </w:rPr>
        <w:t>(S/ millions)</w:t>
      </w:r>
    </w:p>
    <w:p>
      <w:pPr>
        <w:spacing w:after="0" w:line="200" w:lineRule="exact"/>
        <w:rPr>
          <w:sz w:val="20"/>
          <w:szCs w:val="20"/>
          <w:color w:val="auto"/>
        </w:rPr>
      </w:pPr>
    </w:p>
    <w:p>
      <w:pPr>
        <w:sectPr>
          <w:pgSz w:w="11900" w:h="16838" w:orient="portrait"/>
          <w:cols w:equalWidth="0" w:num="2">
            <w:col w:w="6900" w:space="720"/>
            <w:col w:w="3620"/>
          </w:cols>
          <w:pgMar w:left="320" w:top="8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In the QoQ analysis, the -13.8% decrease in Interest Income was attributable to a -15.1% contraction in interest on loans, which was attributable to the following factors:</w:t>
      </w:r>
    </w:p>
    <w:p>
      <w:pPr>
        <w:spacing w:after="0" w:line="175" w:lineRule="exact"/>
        <w:rPr>
          <w:sz w:val="20"/>
          <w:szCs w:val="20"/>
          <w:color w:val="auto"/>
        </w:rPr>
      </w:pPr>
    </w:p>
    <w:p>
      <w:pPr>
        <w:jc w:val="both"/>
        <w:ind w:left="880" w:hanging="500"/>
        <w:spacing w:after="0" w:line="255"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expense for 323.8 million registered in interest income. This was generated by the zero-interest loans that were granted to clients to finance installment payments that had been frozen in the months of April and May in the context of the COVID-19 pandemic. According to IFRS9, the present value of the new flow of loans must be calculated at market rates and by recognizing a loss that will be amortized over the life of the zero-interest loan.</w:t>
      </w:r>
    </w:p>
    <w:p>
      <w:pPr>
        <w:spacing w:after="0" w:line="200" w:lineRule="exact"/>
        <w:rPr>
          <w:sz w:val="20"/>
          <w:szCs w:val="20"/>
          <w:color w:val="auto"/>
        </w:rPr>
      </w:pPr>
    </w:p>
    <w:p>
      <w:pPr>
        <w:spacing w:after="0" w:line="201"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29" w:name="page30"/>
    <w:bookmarkEnd w:id="29"/>
    <w:p>
      <w:pPr>
        <w:jc w:val="both"/>
        <w:ind w:left="880" w:hanging="500"/>
        <w:spacing w:after="0" w:line="258"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interest rates that are charged for the loans issued under the economic reactivation programs given that the conditions of these loans (S/. 14,204 million in quarter-end balances) stipulate that they must be granted at rates below those offered by the market, which translated into a figure of only 0.86% for interest on loans.</w:t>
      </w:r>
    </w:p>
    <w:p>
      <w:pPr>
        <w:spacing w:after="0" w:line="186"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Interest income on deposits in other banks contracted -81.1% after BCR freed up reserves in FC to inject liquidity into the financial system and the remuneration rate fell due to a drop in the libor rate.</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In the YoY analysis, net interest income fell -11.6% due to a -10.6% contraction in interest on loans and the -89.2% reduction in interest on deposits in other banks due to the reasons indicated above.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At the YTD level, interest income fell -3.2%, which was attributable to:</w:t>
      </w:r>
    </w:p>
    <w:p>
      <w:pPr>
        <w:spacing w:after="0" w:line="220" w:lineRule="exact"/>
        <w:rPr>
          <w:sz w:val="20"/>
          <w:szCs w:val="20"/>
          <w:color w:val="auto"/>
        </w:rPr>
      </w:pPr>
    </w:p>
    <w:p>
      <w:pPr>
        <w:ind w:left="880" w:hanging="500"/>
        <w:spacing w:after="0" w:line="333" w:lineRule="auto"/>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contraction in interest on deposits in other banks (-66.1%) after BCR released reserves to inject liquidity into the financial system to mitigate the impacts generated by COVID-19 and a drop in the libor rate, which directly impacted the calculation of the remuneration of legal reserves.</w:t>
      </w:r>
    </w:p>
    <w:p>
      <w:pPr>
        <w:spacing w:after="0" w:line="129" w:lineRule="exact"/>
        <w:rPr>
          <w:rFonts w:ascii="Arial" w:cs="Arial" w:eastAsia="Arial" w:hAnsi="Arial"/>
          <w:sz w:val="16"/>
          <w:szCs w:val="16"/>
          <w:color w:val="auto"/>
        </w:rPr>
      </w:pPr>
    </w:p>
    <w:p>
      <w:pPr>
        <w:ind w:left="880" w:hanging="50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 income on loans fell -1.4% due to:</w:t>
      </w:r>
    </w:p>
    <w:p>
      <w:pPr>
        <w:spacing w:after="0" w:line="19" w:lineRule="exact"/>
        <w:rPr>
          <w:rFonts w:ascii="Arial" w:cs="Arial" w:eastAsia="Arial" w:hAnsi="Arial"/>
          <w:sz w:val="18"/>
          <w:szCs w:val="18"/>
          <w:color w:val="auto"/>
        </w:rPr>
      </w:pPr>
    </w:p>
    <w:p>
      <w:pPr>
        <w:ind w:left="1500" w:hanging="239"/>
        <w:spacing w:after="0"/>
        <w:tabs>
          <w:tab w:leader="none" w:pos="15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expense associated with installment payments that were frozen in the months of April and May.</w:t>
      </w:r>
    </w:p>
    <w:p>
      <w:pPr>
        <w:spacing w:after="0" w:line="6" w:lineRule="exact"/>
        <w:rPr>
          <w:rFonts w:ascii="Arial" w:cs="Arial" w:eastAsia="Arial" w:hAnsi="Arial"/>
          <w:sz w:val="18"/>
          <w:szCs w:val="18"/>
          <w:color w:val="auto"/>
        </w:rPr>
      </w:pPr>
    </w:p>
    <w:p>
      <w:pPr>
        <w:ind w:left="1500" w:hanging="239"/>
        <w:spacing w:after="0"/>
        <w:tabs>
          <w:tab w:leader="none" w:pos="15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implementation of the reactivation programs, which offer loans below market rates.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Interest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5710555" cy="18891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10555" cy="1889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In the QoQ analysis, interest expenses fell -2.3%, which was primarily due to a decrease in interest expenses on deposits. The main factors that drove the drop of -12.1% QoQ in interest expenses on deposits were:</w:t>
      </w:r>
    </w:p>
    <w:p>
      <w:pPr>
        <w:spacing w:after="0" w:line="175" w:lineRule="exact"/>
        <w:rPr>
          <w:sz w:val="20"/>
          <w:szCs w:val="20"/>
          <w:color w:val="auto"/>
        </w:rPr>
      </w:pPr>
    </w:p>
    <w:p>
      <w:pPr>
        <w:ind w:left="880" w:hanging="500"/>
        <w:spacing w:after="0" w:line="270"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deposit mix, given that although deposits increased 8.4% QoQ, the reduction in expenses was generated by a -14.3% drop in time deposits, which constitute the most expensive deposit type.</w:t>
      </w:r>
    </w:p>
    <w:p>
      <w:pPr>
        <w:spacing w:after="0" w:line="174" w:lineRule="exact"/>
        <w:rPr>
          <w:rFonts w:ascii="Arial" w:cs="Arial" w:eastAsia="Arial" w:hAnsi="Arial"/>
          <w:sz w:val="18"/>
          <w:szCs w:val="18"/>
          <w:color w:val="auto"/>
        </w:rPr>
      </w:pPr>
    </w:p>
    <w:p>
      <w:pPr>
        <w:ind w:left="880" w:right="20" w:hanging="500"/>
        <w:spacing w:after="0" w:line="270"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rate effect given that the rates in both LC and FC have followed a downward trend in the last two quarters, which accentuates the decrease in expenses.</w:t>
      </w:r>
    </w:p>
    <w:p>
      <w:pPr>
        <w:spacing w:after="0" w:line="388"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0" w:name="page31"/>
    <w:bookmarkEnd w:id="30"/>
    <w:p>
      <w:pPr>
        <w:spacing w:after="0" w:line="270" w:lineRule="auto"/>
        <w:rPr>
          <w:sz w:val="20"/>
          <w:szCs w:val="20"/>
          <w:color w:val="auto"/>
        </w:rPr>
      </w:pPr>
      <w:r>
        <w:rPr>
          <w:rFonts w:ascii="Arial" w:cs="Arial" w:eastAsia="Arial" w:hAnsi="Arial"/>
          <w:sz w:val="18"/>
          <w:szCs w:val="18"/>
          <w:color w:val="auto"/>
        </w:rPr>
        <w:t>The aforementioned was partially offset by the increase in interest on borrowed funds, which includes repos with the BCR that were generated by the Reactiva Peru program. It is important to note that the rate paid to the BCR is 0.5%.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interest expenses fell -7.8%, which was attributable to:</w:t>
      </w:r>
    </w:p>
    <w:p>
      <w:pPr>
        <w:spacing w:after="0" w:line="220" w:lineRule="exact"/>
        <w:rPr>
          <w:sz w:val="20"/>
          <w:szCs w:val="20"/>
          <w:color w:val="auto"/>
        </w:rPr>
      </w:pPr>
    </w:p>
    <w:p>
      <w:pPr>
        <w:jc w:val="both"/>
        <w:ind w:left="880" w:hanging="500"/>
        <w:spacing w:after="0" w:line="258"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contraction in interest expenses on deposits due to a drop in the most expensive deposit types, time deposits and severance indemnity deposits which fell -7.6% and -2.2% respectively. The reduction in severance indemnity deposits was driven by the fact that the Government allowed individuals to tap their funds during the COVID-19 crisis.</w:t>
      </w:r>
    </w:p>
    <w:p>
      <w:pPr>
        <w:spacing w:after="0" w:line="186" w:lineRule="exact"/>
        <w:rPr>
          <w:rFonts w:ascii="Arial" w:cs="Arial" w:eastAsia="Arial" w:hAnsi="Arial"/>
          <w:sz w:val="18"/>
          <w:szCs w:val="18"/>
          <w:color w:val="auto"/>
        </w:rPr>
      </w:pPr>
    </w:p>
    <w:p>
      <w:pPr>
        <w:ind w:left="880" w:hanging="500"/>
        <w:spacing w:after="0" w:line="270"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debt restructuring strategy that BCP Stand-alone implemented in the second half of 2019, which generated a decrease in interest expenses on bonds and subordinated results to the order of -12.5%.</w:t>
      </w:r>
    </w:p>
    <w:p>
      <w:pPr>
        <w:spacing w:after="0" w:line="17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YTD, interest expenses fell -5.2%. This was attributed to a -12.5% drop in interest expenses on bonds and subordinated notes, which was in line with the debt restructuring strategy that BCP Stand-alone implemented in the second half of 2019. This strategy was divided into two phases. During the first phase, a liability management of corporate bonds issued by BCP Stand-alone was carried, in both LC and FC. In the second phase, a BCP Stand-alone perpetual subordinated bond was repurchased. These actions extended terms and reduced rates. In the month of June, Credicorp conducted its first bond issuance. The additional expense generated by this issuance did not heavily impact results in 2Q20 given that calculations cover only the last 15 days of the quarter.</w:t>
      </w:r>
    </w:p>
    <w:p>
      <w:pPr>
        <w:spacing w:after="0" w:line="162"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Secondly, the reduction in interest expenses is attributable to a -4.8% reduction in the interest rate on deposits. The main factors that drove this decrease were:</w:t>
      </w:r>
    </w:p>
    <w:p>
      <w:pPr>
        <w:spacing w:after="0" w:line="175" w:lineRule="exact"/>
        <w:rPr>
          <w:sz w:val="20"/>
          <w:szCs w:val="20"/>
          <w:color w:val="auto"/>
        </w:rPr>
      </w:pPr>
    </w:p>
    <w:p>
      <w:pPr>
        <w:ind w:left="880" w:hanging="500"/>
        <w:spacing w:after="0" w:line="270"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deposit mix, given that although deposits registered a 25.7% increase YoY, the reduction in expenses was generated by a contraction in the most expensive deposits, time deposits (-7.6%) and severance indemnity deposits (-2.2%).</w:t>
      </w:r>
    </w:p>
    <w:p>
      <w:pPr>
        <w:spacing w:after="0" w:line="174" w:lineRule="exact"/>
        <w:rPr>
          <w:rFonts w:ascii="Arial" w:cs="Arial" w:eastAsia="Arial" w:hAnsi="Arial"/>
          <w:sz w:val="18"/>
          <w:szCs w:val="18"/>
          <w:color w:val="auto"/>
        </w:rPr>
      </w:pPr>
    </w:p>
    <w:p>
      <w:pPr>
        <w:ind w:left="880" w:hanging="500"/>
        <w:spacing w:after="0"/>
        <w:tabs>
          <w:tab w:leader="none" w:pos="8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rate effect given that rates have followed a downward trend in response to the economic contraction generated by the pandemic.</w:t>
      </w:r>
    </w:p>
    <w:p>
      <w:pPr>
        <w:spacing w:after="0" w:line="231"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Additionally, there was a -1.1% decline in expenses for interest on borrowed funds due to a drop in international rates. This mainly impacted interest on loans in FC, which contracted -23.8% with regard to the figure reported for the first half of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Net Interest Margin (NIM) and Risk-Adjusted NIM</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Credicorp’s NIM and Risk-Adjusted NIM </w:t>
      </w:r>
      <w:r>
        <w:rPr>
          <w:rFonts w:ascii="Arial" w:cs="Arial" w:eastAsia="Arial" w:hAnsi="Arial"/>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93980</wp:posOffset>
            </wp:positionV>
            <wp:extent cx="5049520" cy="17113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049520" cy="171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NIM </w:t>
      </w:r>
      <w:r>
        <w:rPr>
          <w:rFonts w:ascii="Arial" w:cs="Arial" w:eastAsia="Arial" w:hAnsi="Arial"/>
          <w:sz w:val="18"/>
          <w:szCs w:val="18"/>
          <w:color w:val="auto"/>
        </w:rPr>
        <w:t>fell QoQ, YoY and YTD due to:</w:t>
      </w:r>
    </w:p>
    <w:p>
      <w:pPr>
        <w:spacing w:after="0" w:line="224" w:lineRule="exact"/>
        <w:rPr>
          <w:sz w:val="20"/>
          <w:szCs w:val="20"/>
          <w:color w:val="auto"/>
        </w:rPr>
      </w:pPr>
    </w:p>
    <w:p>
      <w:pPr>
        <w:ind w:left="880" w:hanging="500"/>
        <w:spacing w:after="0" w:line="270"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drop in income for interest on loans due to the expense generated by freezing installment payments for April and May. NIM without this effect would have been 68 pbs higher, situating at 4.71%</w:t>
      </w:r>
    </w:p>
    <w:p>
      <w:pPr>
        <w:spacing w:after="0" w:line="174" w:lineRule="exact"/>
        <w:rPr>
          <w:rFonts w:ascii="Arial" w:cs="Arial" w:eastAsia="Arial" w:hAnsi="Arial"/>
          <w:sz w:val="18"/>
          <w:szCs w:val="18"/>
          <w:color w:val="auto"/>
        </w:rPr>
      </w:pPr>
    </w:p>
    <w:p>
      <w:pPr>
        <w:ind w:left="880" w:hanging="500"/>
        <w:spacing w:after="0"/>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low interest rates associated with loan disbursements under Reactiva Peru. NIM without this effect would have been 16 pbs higher.</w:t>
      </w:r>
    </w:p>
    <w:p>
      <w:pPr>
        <w:spacing w:after="0" w:line="231" w:lineRule="exact"/>
        <w:rPr>
          <w:rFonts w:ascii="Arial" w:cs="Arial" w:eastAsia="Arial" w:hAnsi="Arial"/>
          <w:sz w:val="17"/>
          <w:szCs w:val="17"/>
          <w:color w:val="auto"/>
        </w:rPr>
      </w:pPr>
    </w:p>
    <w:p>
      <w:pPr>
        <w:ind w:left="880" w:hanging="500"/>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Structural NIM situated at 4.88%, falling -47bps QoQ and -60bps YoY. This was attributable to:</w:t>
      </w:r>
    </w:p>
    <w:p>
      <w:pPr>
        <w:spacing w:after="0" w:line="219" w:lineRule="exact"/>
        <w:rPr>
          <w:rFonts w:ascii="Arial" w:cs="Arial" w:eastAsia="Arial" w:hAnsi="Arial"/>
          <w:sz w:val="18"/>
          <w:szCs w:val="18"/>
          <w:color w:val="auto"/>
        </w:rPr>
      </w:pPr>
    </w:p>
    <w:p>
      <w:pPr>
        <w:ind w:left="1520" w:hanging="312"/>
        <w:spacing w:after="0"/>
        <w:tabs>
          <w:tab w:leader="none" w:pos="15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drop in interest rates in the structural portfolio due to lower market rates in both LC and FC.</w:t>
      </w:r>
    </w:p>
    <w:p>
      <w:pPr>
        <w:spacing w:after="0" w:line="19" w:lineRule="exact"/>
        <w:rPr>
          <w:rFonts w:ascii="Arial" w:cs="Arial" w:eastAsia="Arial" w:hAnsi="Arial"/>
          <w:sz w:val="18"/>
          <w:szCs w:val="18"/>
          <w:color w:val="auto"/>
        </w:rPr>
      </w:pPr>
    </w:p>
    <w:p>
      <w:pPr>
        <w:ind w:left="1520" w:hanging="312"/>
        <w:spacing w:after="0" w:line="255" w:lineRule="auto"/>
        <w:tabs>
          <w:tab w:leader="none" w:pos="15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mix of interest earning assets, given that loans went from representing 66% of the mix in 2Q19 to representing 63% in 2Q20, while deposits in other banks went from representing 12% in 2Q19 to representing 15% in 2Q20.</w:t>
      </w:r>
    </w:p>
    <w:p>
      <w:pPr>
        <w:spacing w:after="0" w:line="200" w:lineRule="exact"/>
        <w:rPr>
          <w:sz w:val="20"/>
          <w:szCs w:val="20"/>
          <w:color w:val="auto"/>
        </w:rPr>
      </w:pPr>
    </w:p>
    <w:p>
      <w:pPr>
        <w:spacing w:after="0" w:line="201"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1" w:name="page32"/>
    <w:bookmarkEnd w:id="31"/>
    <w:p>
      <w:pPr>
        <w:spacing w:after="0" w:line="274" w:lineRule="auto"/>
        <w:rPr>
          <w:sz w:val="20"/>
          <w:szCs w:val="20"/>
          <w:color w:val="auto"/>
        </w:rPr>
      </w:pPr>
      <w:r>
        <w:rPr>
          <w:rFonts w:ascii="Arial" w:cs="Arial" w:eastAsia="Arial" w:hAnsi="Arial"/>
          <w:sz w:val="18"/>
          <w:szCs w:val="18"/>
          <w:b w:val="1"/>
          <w:bCs w:val="1"/>
          <w:color w:val="auto"/>
        </w:rPr>
        <w:t xml:space="preserve">Risk-adjusted NIM </w:t>
      </w:r>
      <w:r>
        <w:rPr>
          <w:rFonts w:ascii="Arial" w:cs="Arial" w:eastAsia="Arial" w:hAnsi="Arial"/>
          <w:sz w:val="18"/>
          <w:szCs w:val="18"/>
          <w:color w:val="auto"/>
        </w:rPr>
        <w:t>contracted -352bps QoQ, -557bps YoY and -392bps YTD due to an increase in net provisions for loan losses after expectations for</w:t>
      </w:r>
      <w:r>
        <w:rPr>
          <w:rFonts w:ascii="Arial" w:cs="Arial" w:eastAsia="Arial" w:hAnsi="Arial"/>
          <w:sz w:val="18"/>
          <w:szCs w:val="18"/>
          <w:b w:val="1"/>
          <w:bCs w:val="1"/>
          <w:color w:val="auto"/>
        </w:rPr>
        <w:t xml:space="preserve"> </w:t>
      </w:r>
      <w:r>
        <w:rPr>
          <w:rFonts w:ascii="Arial" w:cs="Arial" w:eastAsia="Arial" w:hAnsi="Arial"/>
          <w:sz w:val="18"/>
          <w:szCs w:val="18"/>
          <w:color w:val="auto"/>
        </w:rPr>
        <w:t>economic growth in Peru were altered by the COVID-19 pandemic.</w:t>
      </w:r>
    </w:p>
    <w:p>
      <w:pPr>
        <w:spacing w:after="0" w:line="172" w:lineRule="exact"/>
        <w:rPr>
          <w:sz w:val="20"/>
          <w:szCs w:val="20"/>
          <w:color w:val="auto"/>
        </w:rPr>
      </w:pPr>
    </w:p>
    <w:p>
      <w:pPr>
        <w:jc w:val="both"/>
        <w:ind w:left="60" w:right="3980"/>
        <w:spacing w:after="0" w:line="266" w:lineRule="auto"/>
        <w:rPr>
          <w:sz w:val="20"/>
          <w:szCs w:val="20"/>
          <w:color w:val="auto"/>
        </w:rPr>
      </w:pPr>
      <w:r>
        <w:rPr>
          <w:rFonts w:ascii="Arial" w:cs="Arial" w:eastAsia="Arial" w:hAnsi="Arial"/>
          <w:sz w:val="17"/>
          <w:szCs w:val="17"/>
          <w:color w:val="auto"/>
        </w:rPr>
        <w:t>NIM on loans fell -177bps QoQ, -180bps YoY and -82bps YTD. This contraction was attributable to the preferential rates offered by the Reactiva Peru program, which led to lower margins in the recipient segments (corporate banking, middle market banking, SME Business, and SME-Pyme). In addition, to the Reactiva Program, Mibanco implemented FAE-Mype program, which also offered preferential rates to clients. Both programs offer facilities in Soles, which led the loan margin to contract significantly. The Structural NIM on loans was situated at 7.39% for the quarter, which represents a reduction of -23bps QoQ and -27bps YoY. This result was driven by a drop in market rates in both LC and FC. YTD, Structural NIM on loans was 7.69%, which translates into an improvement of 24bps compared to the previous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4850765</wp:posOffset>
            </wp:positionH>
            <wp:positionV relativeFrom="paragraph">
              <wp:posOffset>-1228725</wp:posOffset>
            </wp:positionV>
            <wp:extent cx="2287905" cy="16014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87905" cy="160147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It is important to also analyze NIM by line of business. The chart below shows the interest margins for each of Credicorp’s business lines.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Universal</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68"/>
        </w:trPr>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NIM Breakdown</w:t>
            </w:r>
          </w:p>
        </w:tc>
        <w:tc>
          <w:tcPr>
            <w:tcW w:w="10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center"/>
              <w:spacing w:after="0" w:line="267" w:lineRule="exact"/>
              <w:rPr>
                <w:sz w:val="20"/>
                <w:szCs w:val="20"/>
                <w:color w:val="auto"/>
              </w:rPr>
            </w:pPr>
            <w:r>
              <w:rPr>
                <w:rFonts w:ascii="Arial" w:cs="Arial" w:eastAsia="Arial" w:hAnsi="Arial"/>
                <w:sz w:val="18"/>
                <w:szCs w:val="18"/>
                <w:b w:val="1"/>
                <w:bCs w:val="1"/>
                <w:color w:val="auto"/>
                <w:w w:val="86"/>
              </w:rPr>
              <w:t>Banking</w:t>
            </w:r>
            <w:r>
              <w:rPr>
                <w:rFonts w:ascii="Arial" w:cs="Arial" w:eastAsia="Arial" w:hAnsi="Arial"/>
                <w:sz w:val="29"/>
                <w:szCs w:val="29"/>
                <w:b w:val="1"/>
                <w:bCs w:val="1"/>
                <w:color w:val="auto"/>
                <w:w w:val="86"/>
                <w:vertAlign w:val="superscript"/>
              </w:rPr>
              <w:t>(1)</w:t>
            </w:r>
          </w:p>
        </w:tc>
        <w:tc>
          <w:tcPr>
            <w:tcW w:w="28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ind w:left="20"/>
              <w:spacing w:after="0" w:line="267" w:lineRule="exact"/>
              <w:rPr>
                <w:sz w:val="20"/>
                <w:szCs w:val="20"/>
                <w:color w:val="auto"/>
              </w:rPr>
            </w:pPr>
            <w:r>
              <w:rPr>
                <w:rFonts w:ascii="Arial" w:cs="Arial" w:eastAsia="Arial" w:hAnsi="Arial"/>
                <w:sz w:val="18"/>
                <w:szCs w:val="18"/>
                <w:b w:val="1"/>
                <w:bCs w:val="1"/>
                <w:color w:val="auto"/>
                <w:w w:val="87"/>
              </w:rPr>
              <w:t>Microfinance</w:t>
            </w:r>
            <w:r>
              <w:rPr>
                <w:rFonts w:ascii="Arial" w:cs="Arial" w:eastAsia="Arial" w:hAnsi="Arial"/>
                <w:sz w:val="29"/>
                <w:szCs w:val="29"/>
                <w:b w:val="1"/>
                <w:bCs w:val="1"/>
                <w:color w:val="auto"/>
                <w:w w:val="87"/>
                <w:vertAlign w:val="superscript"/>
              </w:rPr>
              <w:t>(2)</w:t>
            </w:r>
          </w:p>
        </w:tc>
        <w:tc>
          <w:tcPr>
            <w:tcW w:w="26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ind w:left="60"/>
              <w:spacing w:after="0" w:line="267" w:lineRule="exact"/>
              <w:rPr>
                <w:sz w:val="20"/>
                <w:szCs w:val="20"/>
                <w:color w:val="auto"/>
              </w:rPr>
            </w:pPr>
            <w:r>
              <w:rPr>
                <w:rFonts w:ascii="Arial" w:cs="Arial" w:eastAsia="Arial" w:hAnsi="Arial"/>
                <w:sz w:val="18"/>
                <w:szCs w:val="18"/>
                <w:b w:val="1"/>
                <w:bCs w:val="1"/>
                <w:color w:val="auto"/>
                <w:w w:val="87"/>
              </w:rPr>
              <w:t>Credicorp</w:t>
            </w:r>
            <w:r>
              <w:rPr>
                <w:rFonts w:ascii="Arial" w:cs="Arial" w:eastAsia="Arial" w:hAnsi="Arial"/>
                <w:sz w:val="29"/>
                <w:szCs w:val="29"/>
                <w:b w:val="1"/>
                <w:bCs w:val="1"/>
                <w:color w:val="auto"/>
                <w:w w:val="87"/>
                <w:vertAlign w:val="superscript"/>
              </w:rPr>
              <w:t>(3)(4)</w:t>
            </w:r>
          </w:p>
        </w:tc>
        <w:tc>
          <w:tcPr>
            <w:tcW w:w="180" w:type="dxa"/>
            <w:vAlign w:val="bottom"/>
            <w:tcBorders>
              <w:bottom w:val="single" w:sz="8" w:color="CCEEFF"/>
            </w:tcBorders>
          </w:tcPr>
          <w:p>
            <w:pPr>
              <w:spacing w:after="0"/>
              <w:rPr>
                <w:sz w:val="23"/>
                <w:szCs w:val="23"/>
                <w:color w:val="auto"/>
              </w:rPr>
            </w:pPr>
          </w:p>
        </w:tc>
      </w:tr>
      <w:tr>
        <w:trPr>
          <w:trHeight w:val="207"/>
        </w:trPr>
        <w:tc>
          <w:tcPr>
            <w:tcW w:w="67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2Q19</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14.89%</w:t>
            </w:r>
          </w:p>
        </w:tc>
        <w:tc>
          <w:tcPr>
            <w:tcW w:w="124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w w:val="85"/>
              </w:rPr>
              <w:t>5.47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3"/>
        </w:trPr>
        <w:tc>
          <w:tcPr>
            <w:tcW w:w="6840" w:type="dxa"/>
            <w:vAlign w:val="bottom"/>
            <w:gridSpan w:val="2"/>
          </w:tcPr>
          <w:p>
            <w:pPr>
              <w:ind w:left="160"/>
              <w:spacing w:after="0"/>
              <w:rPr>
                <w:sz w:val="20"/>
                <w:szCs w:val="20"/>
                <w:color w:val="auto"/>
              </w:rPr>
            </w:pPr>
            <w:r>
              <w:rPr>
                <w:rFonts w:ascii="Arial" w:cs="Arial" w:eastAsia="Arial" w:hAnsi="Arial"/>
                <w:sz w:val="18"/>
                <w:szCs w:val="18"/>
                <w:b w:val="1"/>
                <w:bCs w:val="1"/>
                <w:color w:val="auto"/>
              </w:rPr>
              <w:t>1Q20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4.63%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15.50%</w:t>
            </w:r>
          </w:p>
        </w:tc>
        <w:tc>
          <w:tcPr>
            <w:tcW w:w="1420" w:type="dxa"/>
            <w:vAlign w:val="bottom"/>
            <w:gridSpan w:val="2"/>
          </w:tcPr>
          <w:p>
            <w:pPr>
              <w:ind w:left="920"/>
              <w:spacing w:after="0"/>
              <w:rPr>
                <w:sz w:val="20"/>
                <w:szCs w:val="20"/>
                <w:color w:val="auto"/>
              </w:rPr>
            </w:pPr>
            <w:r>
              <w:rPr>
                <w:rFonts w:ascii="Arial" w:cs="Arial" w:eastAsia="Arial" w:hAnsi="Arial"/>
                <w:sz w:val="18"/>
                <w:szCs w:val="18"/>
                <w:b w:val="1"/>
                <w:bCs w:val="1"/>
                <w:color w:val="auto"/>
                <w:w w:val="93"/>
              </w:rPr>
              <w:t>5.35%</w:t>
            </w:r>
          </w:p>
        </w:tc>
      </w:tr>
      <w:tr>
        <w:trPr>
          <w:trHeight w:val="213"/>
        </w:trPr>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2Q20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9.01%</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w w:val="93"/>
              </w:rPr>
              <w:t>4.03%</w:t>
            </w:r>
          </w:p>
        </w:tc>
      </w:tr>
      <w:tr>
        <w:trPr>
          <w:trHeight w:val="213"/>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June-19</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4.70%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14.72%</w:t>
            </w:r>
          </w:p>
        </w:tc>
        <w:tc>
          <w:tcPr>
            <w:tcW w:w="1420" w:type="dxa"/>
            <w:vAlign w:val="bottom"/>
            <w:gridSpan w:val="2"/>
          </w:tcPr>
          <w:p>
            <w:pPr>
              <w:ind w:left="920"/>
              <w:spacing w:after="0"/>
              <w:rPr>
                <w:sz w:val="20"/>
                <w:szCs w:val="20"/>
                <w:color w:val="auto"/>
              </w:rPr>
            </w:pPr>
            <w:r>
              <w:rPr>
                <w:rFonts w:ascii="Arial" w:cs="Arial" w:eastAsia="Arial" w:hAnsi="Arial"/>
                <w:sz w:val="18"/>
                <w:szCs w:val="18"/>
                <w:b w:val="1"/>
                <w:bCs w:val="1"/>
                <w:color w:val="auto"/>
                <w:w w:val="93"/>
              </w:rPr>
              <w:t>5.41%</w:t>
            </w:r>
          </w:p>
        </w:tc>
      </w:tr>
      <w:tr>
        <w:trPr>
          <w:trHeight w:val="213"/>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June-20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8.98%</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w w:val="93"/>
              </w:rPr>
              <w:t>4.55%</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NIM: Annualized Net interest income / Average period end and period beginning interest earning assets.</w:t>
      </w:r>
    </w:p>
    <w:p>
      <w:pPr>
        <w:spacing w:after="0" w:line="19" w:lineRule="exact"/>
        <w:rPr>
          <w:sz w:val="20"/>
          <w:szCs w:val="20"/>
          <w:color w:val="auto"/>
        </w:rPr>
      </w:pPr>
    </w:p>
    <w:p>
      <w:pPr>
        <w:ind w:left="260" w:hanging="253"/>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Universal Banking includes BCP Stand-alone and BCP Bolivia</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Microfinance includes Mibanco, Encumbra and Bancompartir</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Credicorp also includes Credicorp Capital, Prima, Grupo Credito and Eliminations for consolidation purposes.</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In the YTD evolution, Credicorp posted a drop in NIM due to the deterioration registered in both Universal Banking and Microfinance. Universal Banking represents 77% of net interest income and Microfinance, 16%.</w:t>
      </w:r>
    </w:p>
    <w:p>
      <w:pPr>
        <w:spacing w:after="0" w:line="175" w:lineRule="exact"/>
        <w:rPr>
          <w:sz w:val="20"/>
          <w:szCs w:val="20"/>
          <w:color w:val="auto"/>
        </w:rPr>
      </w:pPr>
    </w:p>
    <w:p>
      <w:pPr>
        <w:ind w:right="20"/>
        <w:spacing w:after="0" w:line="333" w:lineRule="auto"/>
        <w:rPr>
          <w:sz w:val="20"/>
          <w:szCs w:val="20"/>
          <w:color w:val="auto"/>
        </w:rPr>
      </w:pPr>
      <w:r>
        <w:rPr>
          <w:rFonts w:ascii="Arial" w:cs="Arial" w:eastAsia="Arial" w:hAnsi="Arial"/>
          <w:sz w:val="16"/>
          <w:szCs w:val="16"/>
          <w:color w:val="auto"/>
        </w:rPr>
        <w:t>The NIM for Universal Banking deteriorated -92bps QoQ, -107bps YoY and -58bps YTD due to the expense registered in interest income. This was generated by the zero-interest loans that were granted to clients to finance installment payments that had been frozen in the months of April and May.</w:t>
      </w:r>
    </w:p>
    <w:p>
      <w:pPr>
        <w:spacing w:after="0" w:line="130"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The NIM for Microfinance contracted -648bps QoQ -588bps YoY and -574 YTD due to the expense registered in interest income generate by installment payments that had been frozen in the months of April and May.</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It is also important to analyze risk-adjusted NIM by business line. The table below shows the risk-adjusted net interest margins for each of Credicorp’s lines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17875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149" w:lineRule="exact"/>
        <w:rPr>
          <w:sz w:val="20"/>
          <w:szCs w:val="20"/>
          <w:color w:val="auto"/>
        </w:rPr>
      </w:pPr>
    </w:p>
    <w:p>
      <w:pPr>
        <w:ind w:left="220" w:hanging="213"/>
        <w:spacing w:after="0"/>
        <w:tabs>
          <w:tab w:leader="none" w:pos="220" w:val="left"/>
        </w:tabs>
        <w:numPr>
          <w:ilvl w:val="0"/>
          <w:numId w:val="48"/>
        </w:numPr>
        <w:rPr>
          <w:rFonts w:ascii="Arial" w:cs="Arial" w:eastAsia="Arial" w:hAnsi="Arial"/>
          <w:sz w:val="26"/>
          <w:szCs w:val="26"/>
          <w:color w:val="auto"/>
          <w:vertAlign w:val="superscript"/>
        </w:rPr>
      </w:pPr>
      <w:r>
        <w:rPr>
          <w:rFonts w:ascii="Arial" w:cs="Arial" w:eastAsia="Arial" w:hAnsi="Arial"/>
          <w:sz w:val="16"/>
          <w:szCs w:val="16"/>
          <w:color w:val="auto"/>
        </w:rPr>
        <w:t>NIM on loans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1292225</wp:posOffset>
            </wp:positionH>
            <wp:positionV relativeFrom="paragraph">
              <wp:posOffset>136525</wp:posOffset>
            </wp:positionV>
            <wp:extent cx="4532630" cy="3473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532630" cy="34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480"/>
        <w:spacing w:after="0" w:line="270" w:lineRule="auto"/>
        <w:rPr>
          <w:sz w:val="20"/>
          <w:szCs w:val="20"/>
          <w:color w:val="auto"/>
        </w:rPr>
      </w:pPr>
      <w:r>
        <w:rPr>
          <w:rFonts w:ascii="Arial" w:cs="Arial" w:eastAsia="Arial" w:hAnsi="Arial"/>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 assets for the reporting period.</w:t>
      </w:r>
    </w:p>
    <w:p>
      <w:pPr>
        <w:spacing w:after="0" w:line="388"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342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7"/>
        </w:trPr>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Universal</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68"/>
        </w:trPr>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Risk Adjusted NIM Breakdown</w:t>
            </w:r>
          </w:p>
        </w:tc>
        <w:tc>
          <w:tcPr>
            <w:tcW w:w="10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center"/>
              <w:spacing w:after="0" w:line="267" w:lineRule="exact"/>
              <w:rPr>
                <w:sz w:val="20"/>
                <w:szCs w:val="20"/>
                <w:color w:val="auto"/>
              </w:rPr>
            </w:pPr>
            <w:r>
              <w:rPr>
                <w:rFonts w:ascii="Arial" w:cs="Arial" w:eastAsia="Arial" w:hAnsi="Arial"/>
                <w:sz w:val="18"/>
                <w:szCs w:val="18"/>
                <w:b w:val="1"/>
                <w:bCs w:val="1"/>
                <w:color w:val="auto"/>
                <w:w w:val="86"/>
              </w:rPr>
              <w:t>Banking</w:t>
            </w:r>
            <w:r>
              <w:rPr>
                <w:rFonts w:ascii="Arial" w:cs="Arial" w:eastAsia="Arial" w:hAnsi="Arial"/>
                <w:sz w:val="29"/>
                <w:szCs w:val="29"/>
                <w:b w:val="1"/>
                <w:bCs w:val="1"/>
                <w:color w:val="auto"/>
                <w:w w:val="86"/>
                <w:vertAlign w:val="superscript"/>
              </w:rPr>
              <w:t>(1)</w:t>
            </w:r>
          </w:p>
        </w:tc>
        <w:tc>
          <w:tcPr>
            <w:tcW w:w="28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spacing w:after="0" w:line="267" w:lineRule="exact"/>
              <w:rPr>
                <w:sz w:val="20"/>
                <w:szCs w:val="20"/>
                <w:color w:val="auto"/>
              </w:rPr>
            </w:pPr>
            <w:r>
              <w:rPr>
                <w:rFonts w:ascii="Arial" w:cs="Arial" w:eastAsia="Arial" w:hAnsi="Arial"/>
                <w:sz w:val="18"/>
                <w:szCs w:val="18"/>
                <w:b w:val="1"/>
                <w:bCs w:val="1"/>
                <w:color w:val="auto"/>
                <w:w w:val="92"/>
              </w:rPr>
              <w:t>Microfinance</w:t>
            </w:r>
            <w:r>
              <w:rPr>
                <w:rFonts w:ascii="Arial" w:cs="Arial" w:eastAsia="Arial" w:hAnsi="Arial"/>
                <w:sz w:val="29"/>
                <w:szCs w:val="29"/>
                <w:b w:val="1"/>
                <w:bCs w:val="1"/>
                <w:color w:val="auto"/>
                <w:w w:val="92"/>
                <w:vertAlign w:val="superscript"/>
              </w:rPr>
              <w:t>(2)</w:t>
            </w:r>
          </w:p>
        </w:tc>
        <w:tc>
          <w:tcPr>
            <w:tcW w:w="26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ind w:left="20"/>
              <w:spacing w:after="0" w:line="267" w:lineRule="exact"/>
              <w:rPr>
                <w:sz w:val="20"/>
                <w:szCs w:val="20"/>
                <w:color w:val="auto"/>
              </w:rPr>
            </w:pPr>
            <w:r>
              <w:rPr>
                <w:rFonts w:ascii="Arial" w:cs="Arial" w:eastAsia="Arial" w:hAnsi="Arial"/>
                <w:sz w:val="18"/>
                <w:szCs w:val="18"/>
                <w:b w:val="1"/>
                <w:bCs w:val="1"/>
                <w:color w:val="auto"/>
                <w:w w:val="90"/>
              </w:rPr>
              <w:t>Credicorp</w:t>
            </w:r>
            <w:r>
              <w:rPr>
                <w:rFonts w:ascii="Arial" w:cs="Arial" w:eastAsia="Arial" w:hAnsi="Arial"/>
                <w:sz w:val="29"/>
                <w:szCs w:val="29"/>
                <w:b w:val="1"/>
                <w:bCs w:val="1"/>
                <w:color w:val="auto"/>
                <w:w w:val="90"/>
                <w:vertAlign w:val="superscript"/>
              </w:rPr>
              <w:t>(3)(4)</w:t>
            </w:r>
          </w:p>
        </w:tc>
        <w:tc>
          <w:tcPr>
            <w:tcW w:w="180" w:type="dxa"/>
            <w:vAlign w:val="bottom"/>
            <w:tcBorders>
              <w:bottom w:val="single" w:sz="8" w:color="CCEEFF"/>
            </w:tcBorders>
          </w:tcPr>
          <w:p>
            <w:pPr>
              <w:spacing w:after="0"/>
              <w:rPr>
                <w:sz w:val="23"/>
                <w:szCs w:val="23"/>
                <w:color w:val="auto"/>
              </w:rPr>
            </w:pPr>
          </w:p>
        </w:tc>
      </w:tr>
      <w:tr>
        <w:trPr>
          <w:trHeight w:val="207"/>
        </w:trPr>
        <w:tc>
          <w:tcPr>
            <w:tcW w:w="67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2Q19</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4.38%</w:t>
            </w:r>
          </w:p>
        </w:tc>
      </w:tr>
      <w:tr>
        <w:trPr>
          <w:trHeight w:val="213"/>
        </w:trPr>
        <w:tc>
          <w:tcPr>
            <w:tcW w:w="6800" w:type="dxa"/>
            <w:vAlign w:val="bottom"/>
            <w:gridSpan w:val="2"/>
          </w:tcPr>
          <w:p>
            <w:pPr>
              <w:ind w:left="160"/>
              <w:spacing w:after="0"/>
              <w:rPr>
                <w:sz w:val="20"/>
                <w:szCs w:val="20"/>
                <w:color w:val="auto"/>
              </w:rPr>
            </w:pPr>
            <w:r>
              <w:rPr>
                <w:rFonts w:ascii="Arial" w:cs="Arial" w:eastAsia="Arial" w:hAnsi="Arial"/>
                <w:sz w:val="18"/>
                <w:szCs w:val="18"/>
                <w:b w:val="1"/>
                <w:bCs w:val="1"/>
                <w:color w:val="auto"/>
              </w:rPr>
              <w:t>1Q20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10.01%</w:t>
            </w: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2.33%</w:t>
            </w:r>
          </w:p>
        </w:tc>
      </w:tr>
      <w:tr>
        <w:trPr>
          <w:trHeight w:val="213"/>
        </w:trPr>
        <w:tc>
          <w:tcPr>
            <w:tcW w:w="68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2Q20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r>
      <w:tr>
        <w:trPr>
          <w:trHeight w:val="213"/>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June-19</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3.76%</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11.65%</w:t>
            </w: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4.40%</w:t>
            </w:r>
          </w:p>
        </w:tc>
      </w:tr>
      <w:tr>
        <w:trPr>
          <w:trHeight w:val="213"/>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June-20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0.48%</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Risk-Adjusted NIM: (Annualized Net interest income - annualized provisions) / Average period end and period beginning interest earning assets.</w:t>
      </w:r>
    </w:p>
    <w:p>
      <w:pPr>
        <w:spacing w:after="0" w:line="31" w:lineRule="exact"/>
        <w:rPr>
          <w:sz w:val="20"/>
          <w:szCs w:val="20"/>
          <w:color w:val="auto"/>
        </w:rPr>
      </w:pPr>
    </w:p>
    <w:p>
      <w:pPr>
        <w:ind w:left="260" w:hanging="253"/>
        <w:spacing w:after="0"/>
        <w:tabs>
          <w:tab w:leader="none" w:pos="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Universal Banking includes BCP Stand-alone and BCP Bolivia</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Microfinance includes Mibanco, Encumbra and Bancompartir</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Credicorp also includes Credicorp Capital, Prima, Grupo Credito and Eliminations for consolidation purposes.</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Credicorp registered strong deterioration in its risk-adjusted margin of -352bps Qo, -557bps YoY and -391bps YTD due to a deterioration in its main lines of business after the cost of risk rose. This increase was attributable to the material change in expectations for economic growth due to the COVID-19 pandemic. The aforementioned led to a drop of -297bps QoQ, -524bps YoY and -382bps YTD at Universal Banking and -1370bps QoQ -1524bps YoY and -855bps YTD at Microfinance.</w:t>
      </w:r>
    </w:p>
    <w:p>
      <w:pPr>
        <w:spacing w:after="0" w:line="200" w:lineRule="exact"/>
        <w:rPr>
          <w:sz w:val="20"/>
          <w:szCs w:val="20"/>
          <w:color w:val="auto"/>
        </w:rPr>
      </w:pPr>
    </w:p>
    <w:p>
      <w:pPr>
        <w:spacing w:after="0" w:line="201"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ind w:left="460" w:hanging="453"/>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Non-Financial Income</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In 2Q20, non-financial income expanded 6.0% QoQ. This was primarily attributable to the positive results registered for the Net gain on securities, which were spurred by a recovery in the global markets after economic expectations rose in comparison to those registered in 1Q20, when losses due to the COVID-19 crisis began to materialize. The main components of Non-financial income, Fee income and the Net gain on foreign exchange transactions, reported a drop in income due to a decrease in transactional activity in the context of the quarantine imposed by the Peruvian government, which was in place throughout 2Q20.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gridSpan w:val="3"/>
          </w:tcPr>
          <w:p>
            <w:pPr>
              <w:spacing w:after="0"/>
              <w:rPr>
                <w:sz w:val="20"/>
                <w:szCs w:val="20"/>
                <w:color w:val="auto"/>
              </w:rPr>
            </w:pPr>
            <w:r>
              <w:rPr>
                <w:rFonts w:ascii="Arial" w:cs="Arial" w:eastAsia="Arial" w:hAnsi="Arial"/>
                <w:sz w:val="14"/>
                <w:szCs w:val="14"/>
                <w:b w:val="1"/>
                <w:bCs w:val="1"/>
                <w:color w:val="auto"/>
              </w:rPr>
              <w:t>Non-financial income</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Quarter</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4"/>
          </w:tcPr>
          <w:p>
            <w:pPr>
              <w:ind w:left="480"/>
              <w:spacing w:after="0"/>
              <w:rPr>
                <w:sz w:val="20"/>
                <w:szCs w:val="20"/>
                <w:color w:val="auto"/>
              </w:rPr>
            </w:pPr>
            <w:r>
              <w:rPr>
                <w:rFonts w:ascii="Arial" w:cs="Arial" w:eastAsia="Arial" w:hAnsi="Arial"/>
                <w:sz w:val="14"/>
                <w:szCs w:val="14"/>
                <w:b w:val="1"/>
                <w:bCs w:val="1"/>
                <w:color w:val="auto"/>
                <w:w w:val="94"/>
              </w:rPr>
              <w:t>% change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ind w:left="640"/>
              <w:spacing w:after="0"/>
              <w:rPr>
                <w:sz w:val="20"/>
                <w:szCs w:val="20"/>
                <w:color w:val="auto"/>
              </w:rPr>
            </w:pPr>
            <w:r>
              <w:rPr>
                <w:rFonts w:ascii="Arial" w:cs="Arial" w:eastAsia="Arial" w:hAnsi="Arial"/>
                <w:sz w:val="14"/>
                <w:szCs w:val="14"/>
                <w:b w:val="1"/>
                <w:bCs w:val="1"/>
                <w:color w:val="auto"/>
              </w:rPr>
              <w:t>Year</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3"/>
        </w:trPr>
        <w:tc>
          <w:tcPr>
            <w:tcW w:w="3140" w:type="dxa"/>
            <w:vAlign w:val="bottom"/>
            <w:vMerge w:val="restart"/>
          </w:tcPr>
          <w:p>
            <w:pPr>
              <w:spacing w:after="0"/>
              <w:rPr>
                <w:sz w:val="20"/>
                <w:szCs w:val="20"/>
                <w:color w:val="auto"/>
              </w:rPr>
            </w:pPr>
            <w:r>
              <w:rPr>
                <w:rFonts w:ascii="Arial" w:cs="Arial" w:eastAsia="Arial" w:hAnsi="Arial"/>
                <w:sz w:val="14"/>
                <w:szCs w:val="14"/>
                <w:b w:val="1"/>
                <w:bCs w:val="1"/>
                <w:color w:val="auto"/>
              </w:rPr>
              <w:t>(S/ 000)</w:t>
            </w: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31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49"/>
              <w:spacing w:after="0" w:line="153" w:lineRule="exact"/>
              <w:rPr>
                <w:sz w:val="20"/>
                <w:szCs w:val="20"/>
                <w:color w:val="auto"/>
              </w:rPr>
            </w:pPr>
            <w:r>
              <w:rPr>
                <w:rFonts w:ascii="Arial" w:cs="Arial" w:eastAsia="Arial" w:hAnsi="Arial"/>
                <w:sz w:val="14"/>
                <w:szCs w:val="14"/>
                <w:b w:val="1"/>
                <w:bCs w:val="1"/>
                <w:color w:val="auto"/>
              </w:rPr>
              <w:t>2Q19</w:t>
            </w:r>
          </w:p>
        </w:tc>
        <w:tc>
          <w:tcPr>
            <w:tcW w:w="2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69"/>
              <w:spacing w:after="0" w:line="153" w:lineRule="exact"/>
              <w:rPr>
                <w:sz w:val="20"/>
                <w:szCs w:val="20"/>
                <w:color w:val="auto"/>
              </w:rPr>
            </w:pPr>
            <w:r>
              <w:rPr>
                <w:rFonts w:ascii="Arial" w:cs="Arial" w:eastAsia="Arial" w:hAnsi="Arial"/>
                <w:sz w:val="14"/>
                <w:szCs w:val="14"/>
                <w:b w:val="1"/>
                <w:bCs w:val="1"/>
                <w:color w:val="auto"/>
              </w:rPr>
              <w:t>1Q20</w:t>
            </w:r>
          </w:p>
        </w:tc>
        <w:tc>
          <w:tcPr>
            <w:tcW w:w="20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49"/>
              <w:spacing w:after="0" w:line="153" w:lineRule="exact"/>
              <w:rPr>
                <w:sz w:val="20"/>
                <w:szCs w:val="20"/>
                <w:color w:val="auto"/>
              </w:rPr>
            </w:pPr>
            <w:r>
              <w:rPr>
                <w:rFonts w:ascii="Arial" w:cs="Arial" w:eastAsia="Arial" w:hAnsi="Arial"/>
                <w:sz w:val="14"/>
                <w:szCs w:val="14"/>
                <w:b w:val="1"/>
                <w:bCs w:val="1"/>
                <w:color w:val="auto"/>
              </w:rPr>
              <w:t>2Q20</w:t>
            </w:r>
          </w:p>
        </w:tc>
        <w:tc>
          <w:tcPr>
            <w:tcW w:w="2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69"/>
              <w:spacing w:after="0" w:line="153" w:lineRule="exact"/>
              <w:rPr>
                <w:sz w:val="20"/>
                <w:szCs w:val="20"/>
                <w:color w:val="auto"/>
              </w:rPr>
            </w:pPr>
            <w:r>
              <w:rPr>
                <w:rFonts w:ascii="Arial" w:cs="Arial" w:eastAsia="Arial" w:hAnsi="Arial"/>
                <w:sz w:val="14"/>
                <w:szCs w:val="14"/>
                <w:b w:val="1"/>
                <w:bCs w:val="1"/>
                <w:color w:val="auto"/>
              </w:rPr>
              <w:t>QoQ</w:t>
            </w:r>
          </w:p>
        </w:tc>
        <w:tc>
          <w:tcPr>
            <w:tcW w:w="24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gridSpan w:val="2"/>
          </w:tcPr>
          <w:p>
            <w:pPr>
              <w:spacing w:after="0"/>
              <w:rPr>
                <w:sz w:val="13"/>
                <w:szCs w:val="13"/>
                <w:color w:val="auto"/>
              </w:rPr>
            </w:pPr>
          </w:p>
        </w:tc>
        <w:tc>
          <w:tcPr>
            <w:tcW w:w="540" w:type="dxa"/>
            <w:vAlign w:val="bottom"/>
            <w:tcBorders>
              <w:top w:val="single" w:sz="8" w:color="auto"/>
              <w:bottom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09"/>
              <w:spacing w:after="0" w:line="153" w:lineRule="exact"/>
              <w:rPr>
                <w:sz w:val="20"/>
                <w:szCs w:val="20"/>
                <w:color w:val="auto"/>
              </w:rPr>
            </w:pPr>
            <w:r>
              <w:rPr>
                <w:rFonts w:ascii="Arial" w:cs="Arial" w:eastAsia="Arial" w:hAnsi="Arial"/>
                <w:sz w:val="14"/>
                <w:szCs w:val="14"/>
                <w:b w:val="1"/>
                <w:bCs w:val="1"/>
                <w:color w:val="auto"/>
              </w:rPr>
              <w:t>Jun 19</w:t>
            </w:r>
          </w:p>
        </w:tc>
        <w:tc>
          <w:tcPr>
            <w:tcW w:w="2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09"/>
              <w:spacing w:after="0" w:line="153" w:lineRule="exact"/>
              <w:rPr>
                <w:sz w:val="20"/>
                <w:szCs w:val="20"/>
                <w:color w:val="auto"/>
              </w:rPr>
            </w:pPr>
            <w:r>
              <w:rPr>
                <w:rFonts w:ascii="Arial" w:cs="Arial" w:eastAsia="Arial" w:hAnsi="Arial"/>
                <w:sz w:val="14"/>
                <w:szCs w:val="14"/>
                <w:b w:val="1"/>
                <w:bCs w:val="1"/>
                <w:color w:val="auto"/>
              </w:rPr>
              <w:t>Jun 20</w:t>
            </w:r>
          </w:p>
        </w:tc>
        <w:tc>
          <w:tcPr>
            <w:tcW w:w="200" w:type="dxa"/>
            <w:vAlign w:val="bottom"/>
            <w:tcBorders>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Arial" w:cs="Arial" w:eastAsia="Arial" w:hAnsi="Arial"/>
                <w:sz w:val="14"/>
                <w:szCs w:val="14"/>
                <w:b w:val="1"/>
                <w:bCs w:val="1"/>
                <w:color w:val="auto"/>
                <w:w w:val="91"/>
              </w:rPr>
              <w:t>Jun 20 / Jun 19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1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Fee income</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787,250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760,329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503,488</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9"/>
              <w:spacing w:after="0" w:line="140" w:lineRule="exact"/>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9"/>
              <w:spacing w:after="0" w:line="140" w:lineRule="exact"/>
              <w:rPr>
                <w:sz w:val="20"/>
                <w:szCs w:val="20"/>
                <w:color w:val="auto"/>
              </w:rPr>
            </w:pPr>
            <w:r>
              <w:rPr>
                <w:rFonts w:ascii="Arial" w:cs="Arial" w:eastAsia="Arial" w:hAnsi="Arial"/>
                <w:sz w:val="14"/>
                <w:szCs w:val="14"/>
                <w:color w:val="auto"/>
              </w:rPr>
              <w:t>-36.0%</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1,570,172</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1,263,817</w:t>
            </w:r>
          </w:p>
        </w:tc>
        <w:tc>
          <w:tcPr>
            <w:tcW w:w="20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spacing w:after="0" w:line="140" w:lineRule="exact"/>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47"/>
        </w:trPr>
        <w:tc>
          <w:tcPr>
            <w:tcW w:w="3360" w:type="dxa"/>
            <w:vAlign w:val="bottom"/>
            <w:gridSpan w:val="3"/>
          </w:tcPr>
          <w:p>
            <w:pPr>
              <w:spacing w:after="0" w:line="147" w:lineRule="exact"/>
              <w:rPr>
                <w:sz w:val="20"/>
                <w:szCs w:val="20"/>
                <w:color w:val="auto"/>
              </w:rPr>
            </w:pPr>
            <w:r>
              <w:rPr>
                <w:rFonts w:ascii="Arial" w:cs="Arial" w:eastAsia="Arial" w:hAnsi="Arial"/>
                <w:sz w:val="14"/>
                <w:szCs w:val="14"/>
                <w:color w:val="auto"/>
              </w:rPr>
              <w:t>Net gain on foreign exchange transactions</w:t>
            </w:r>
          </w:p>
        </w:tc>
        <w:tc>
          <w:tcPr>
            <w:tcW w:w="88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188,358</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166,983</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149,308</w:t>
            </w:r>
          </w:p>
        </w:tc>
        <w:tc>
          <w:tcPr>
            <w:tcW w:w="100" w:type="dxa"/>
            <w:vAlign w:val="bottom"/>
          </w:tcPr>
          <w:p>
            <w:pPr>
              <w:spacing w:after="0"/>
              <w:rPr>
                <w:sz w:val="12"/>
                <w:szCs w:val="12"/>
                <w:color w:val="auto"/>
              </w:rPr>
            </w:pPr>
          </w:p>
        </w:tc>
        <w:tc>
          <w:tcPr>
            <w:tcW w:w="900" w:type="dxa"/>
            <w:vAlign w:val="bottom"/>
            <w:gridSpan w:val="2"/>
          </w:tcPr>
          <w:p>
            <w:pPr>
              <w:jc w:val="right"/>
              <w:ind w:right="49"/>
              <w:spacing w:after="0" w:line="147" w:lineRule="exact"/>
              <w:rPr>
                <w:sz w:val="20"/>
                <w:szCs w:val="20"/>
                <w:color w:val="auto"/>
              </w:rPr>
            </w:pPr>
            <w:r>
              <w:rPr>
                <w:rFonts w:ascii="Arial" w:cs="Arial" w:eastAsia="Arial" w:hAnsi="Arial"/>
                <w:sz w:val="14"/>
                <w:szCs w:val="14"/>
                <w:color w:val="auto"/>
              </w:rPr>
              <w:t>-10.6%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9"/>
              <w:spacing w:after="0" w:line="147" w:lineRule="exact"/>
              <w:rPr>
                <w:sz w:val="20"/>
                <w:szCs w:val="20"/>
                <w:color w:val="auto"/>
              </w:rPr>
            </w:pPr>
            <w:r>
              <w:rPr>
                <w:rFonts w:ascii="Arial" w:cs="Arial" w:eastAsia="Arial" w:hAnsi="Arial"/>
                <w:sz w:val="14"/>
                <w:szCs w:val="14"/>
                <w:color w:val="auto"/>
              </w:rPr>
              <w:t>-20.7%</w:t>
            </w: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366,781</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316,291</w:t>
            </w:r>
          </w:p>
        </w:tc>
        <w:tc>
          <w:tcPr>
            <w:tcW w:w="1060" w:type="dxa"/>
            <w:vAlign w:val="bottom"/>
            <w:gridSpan w:val="3"/>
          </w:tcPr>
          <w:p>
            <w:pPr>
              <w:jc w:val="right"/>
              <w:spacing w:after="0" w:line="147"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47"/>
        </w:trPr>
        <w:tc>
          <w:tcPr>
            <w:tcW w:w="3360" w:type="dxa"/>
            <w:vAlign w:val="bottom"/>
            <w:gridSpan w:val="3"/>
            <w:shd w:val="clear" w:color="auto" w:fill="CCEEFF"/>
          </w:tcPr>
          <w:p>
            <w:pPr>
              <w:spacing w:after="0" w:line="147" w:lineRule="exact"/>
              <w:rPr>
                <w:sz w:val="20"/>
                <w:szCs w:val="20"/>
                <w:color w:val="auto"/>
              </w:rPr>
            </w:pPr>
            <w:r>
              <w:rPr>
                <w:rFonts w:ascii="Arial" w:cs="Arial" w:eastAsia="Arial" w:hAnsi="Arial"/>
                <w:sz w:val="14"/>
                <w:szCs w:val="14"/>
                <w:color w:val="auto"/>
              </w:rPr>
              <w:t>Net gain on securities</w:t>
            </w:r>
          </w:p>
        </w:tc>
        <w:tc>
          <w:tcPr>
            <w:tcW w:w="88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100,987</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(120,633)</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280,563</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332.6%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177.8%</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214,532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159,930</w:t>
            </w:r>
          </w:p>
        </w:tc>
        <w:tc>
          <w:tcPr>
            <w:tcW w:w="1060" w:type="dxa"/>
            <w:vAlign w:val="bottom"/>
            <w:gridSpan w:val="3"/>
            <w:shd w:val="clear" w:color="auto" w:fill="CCEEFF"/>
          </w:tcPr>
          <w:p>
            <w:pPr>
              <w:jc w:val="right"/>
              <w:spacing w:after="0" w:line="147" w:lineRule="exact"/>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47"/>
        </w:trPr>
        <w:tc>
          <w:tcPr>
            <w:tcW w:w="3360" w:type="dxa"/>
            <w:vAlign w:val="bottom"/>
            <w:gridSpan w:val="3"/>
          </w:tcPr>
          <w:p>
            <w:pPr>
              <w:spacing w:after="0" w:line="147" w:lineRule="exact"/>
              <w:rPr>
                <w:sz w:val="20"/>
                <w:szCs w:val="20"/>
                <w:color w:val="auto"/>
              </w:rPr>
            </w:pPr>
            <w:r>
              <w:rPr>
                <w:rFonts w:ascii="Arial" w:cs="Arial" w:eastAsia="Arial" w:hAnsi="Arial"/>
                <w:sz w:val="14"/>
                <w:szCs w:val="14"/>
                <w:color w:val="auto"/>
              </w:rPr>
              <w:t>Net gain from associates (1)</w:t>
            </w:r>
          </w:p>
        </w:tc>
        <w:tc>
          <w:tcPr>
            <w:tcW w:w="88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20,478</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19,225</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14,906</w:t>
            </w:r>
          </w:p>
        </w:tc>
        <w:tc>
          <w:tcPr>
            <w:tcW w:w="100" w:type="dxa"/>
            <w:vAlign w:val="bottom"/>
          </w:tcPr>
          <w:p>
            <w:pPr>
              <w:spacing w:after="0"/>
              <w:rPr>
                <w:sz w:val="12"/>
                <w:szCs w:val="12"/>
                <w:color w:val="auto"/>
              </w:rPr>
            </w:pPr>
          </w:p>
        </w:tc>
        <w:tc>
          <w:tcPr>
            <w:tcW w:w="900" w:type="dxa"/>
            <w:vAlign w:val="bottom"/>
            <w:gridSpan w:val="2"/>
          </w:tcPr>
          <w:p>
            <w:pPr>
              <w:jc w:val="right"/>
              <w:ind w:right="49"/>
              <w:spacing w:after="0" w:line="147" w:lineRule="exact"/>
              <w:rPr>
                <w:sz w:val="20"/>
                <w:szCs w:val="20"/>
                <w:color w:val="auto"/>
              </w:rPr>
            </w:pPr>
            <w:r>
              <w:rPr>
                <w:rFonts w:ascii="Arial" w:cs="Arial" w:eastAsia="Arial" w:hAnsi="Arial"/>
                <w:sz w:val="14"/>
                <w:szCs w:val="14"/>
                <w:color w:val="auto"/>
              </w:rPr>
              <w:t>-22.5%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9"/>
              <w:spacing w:after="0" w:line="147" w:lineRule="exact"/>
              <w:rPr>
                <w:sz w:val="20"/>
                <w:szCs w:val="20"/>
                <w:color w:val="auto"/>
              </w:rPr>
            </w:pPr>
            <w:r>
              <w:rPr>
                <w:rFonts w:ascii="Arial" w:cs="Arial" w:eastAsia="Arial" w:hAnsi="Arial"/>
                <w:sz w:val="14"/>
                <w:szCs w:val="14"/>
                <w:color w:val="auto"/>
              </w:rPr>
              <w:t>-27.2%</w:t>
            </w: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35,264</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34,131</w:t>
            </w:r>
          </w:p>
        </w:tc>
        <w:tc>
          <w:tcPr>
            <w:tcW w:w="1060" w:type="dxa"/>
            <w:vAlign w:val="bottom"/>
            <w:gridSpan w:val="3"/>
          </w:tcPr>
          <w:p>
            <w:pPr>
              <w:jc w:val="right"/>
              <w:spacing w:after="0" w:line="147"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7"/>
        </w:trPr>
        <w:tc>
          <w:tcPr>
            <w:tcW w:w="3360" w:type="dxa"/>
            <w:vAlign w:val="bottom"/>
            <w:gridSpan w:val="3"/>
            <w:shd w:val="clear" w:color="auto" w:fill="CCEEFF"/>
          </w:tcPr>
          <w:p>
            <w:pPr>
              <w:spacing w:after="0" w:line="147" w:lineRule="exact"/>
              <w:rPr>
                <w:sz w:val="20"/>
                <w:szCs w:val="20"/>
                <w:color w:val="auto"/>
              </w:rPr>
            </w:pPr>
            <w:r>
              <w:rPr>
                <w:rFonts w:ascii="Arial" w:cs="Arial" w:eastAsia="Arial" w:hAnsi="Arial"/>
                <w:sz w:val="14"/>
                <w:szCs w:val="14"/>
                <w:color w:val="auto"/>
              </w:rPr>
              <w:t>Net gain on derivatives held for trading</w:t>
            </w:r>
          </w:p>
        </w:tc>
        <w:tc>
          <w:tcPr>
            <w:tcW w:w="88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(724)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35,420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8,358</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9"/>
              <w:spacing w:after="0" w:line="147" w:lineRule="exact"/>
              <w:rPr>
                <w:sz w:val="20"/>
                <w:szCs w:val="20"/>
                <w:color w:val="auto"/>
              </w:rPr>
            </w:pPr>
            <w:r>
              <w:rPr>
                <w:rFonts w:ascii="Arial" w:cs="Arial" w:eastAsia="Arial" w:hAnsi="Arial"/>
                <w:sz w:val="14"/>
                <w:szCs w:val="14"/>
                <w:color w:val="auto"/>
              </w:rPr>
              <w:t>-76.4%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ind w:left="340"/>
              <w:spacing w:after="0" w:line="147" w:lineRule="exact"/>
              <w:rPr>
                <w:sz w:val="20"/>
                <w:szCs w:val="20"/>
                <w:color w:val="auto"/>
              </w:rPr>
            </w:pPr>
            <w:r>
              <w:rPr>
                <w:rFonts w:ascii="Arial" w:cs="Arial" w:eastAsia="Arial" w:hAnsi="Arial"/>
                <w:sz w:val="14"/>
                <w:szCs w:val="14"/>
                <w:color w:val="auto"/>
              </w:rPr>
              <w:t>NA</w:t>
            </w:r>
          </w:p>
        </w:tc>
        <w:tc>
          <w:tcPr>
            <w:tcW w:w="88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(3,158)</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43,788</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9"/>
              <w:spacing w:after="0" w:line="147"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7"/>
        </w:trPr>
        <w:tc>
          <w:tcPr>
            <w:tcW w:w="3360" w:type="dxa"/>
            <w:vAlign w:val="bottom"/>
            <w:gridSpan w:val="3"/>
          </w:tcPr>
          <w:p>
            <w:pPr>
              <w:spacing w:after="0" w:line="147" w:lineRule="exact"/>
              <w:rPr>
                <w:sz w:val="20"/>
                <w:szCs w:val="20"/>
                <w:color w:val="auto"/>
              </w:rPr>
            </w:pPr>
            <w:r>
              <w:rPr>
                <w:rFonts w:ascii="Arial" w:cs="Arial" w:eastAsia="Arial" w:hAnsi="Arial"/>
                <w:sz w:val="14"/>
                <w:szCs w:val="14"/>
                <w:color w:val="auto"/>
              </w:rPr>
              <w:t>Net gain from exchange differences (2)</w:t>
            </w:r>
          </w:p>
        </w:tc>
        <w:tc>
          <w:tcPr>
            <w:tcW w:w="88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63</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(21,240)</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23,531</w:t>
            </w:r>
          </w:p>
        </w:tc>
        <w:tc>
          <w:tcPr>
            <w:tcW w:w="100" w:type="dxa"/>
            <w:vAlign w:val="bottom"/>
          </w:tcPr>
          <w:p>
            <w:pPr>
              <w:spacing w:after="0"/>
              <w:rPr>
                <w:sz w:val="12"/>
                <w:szCs w:val="12"/>
                <w:color w:val="auto"/>
              </w:rPr>
            </w:pPr>
          </w:p>
        </w:tc>
        <w:tc>
          <w:tcPr>
            <w:tcW w:w="900" w:type="dxa"/>
            <w:vAlign w:val="bottom"/>
            <w:gridSpan w:val="2"/>
          </w:tcPr>
          <w:p>
            <w:pPr>
              <w:jc w:val="right"/>
              <w:ind w:right="49"/>
              <w:spacing w:after="0" w:line="147" w:lineRule="exact"/>
              <w:rPr>
                <w:sz w:val="20"/>
                <w:szCs w:val="20"/>
                <w:color w:val="auto"/>
              </w:rPr>
            </w:pPr>
            <w:r>
              <w:rPr>
                <w:rFonts w:ascii="Arial" w:cs="Arial" w:eastAsia="Arial" w:hAnsi="Arial"/>
                <w:sz w:val="14"/>
                <w:szCs w:val="14"/>
                <w:color w:val="auto"/>
              </w:rPr>
              <w:t>210.8%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ind w:left="340"/>
              <w:spacing w:after="0" w:line="147" w:lineRule="exact"/>
              <w:rPr>
                <w:sz w:val="20"/>
                <w:szCs w:val="20"/>
                <w:color w:val="auto"/>
              </w:rPr>
            </w:pPr>
            <w:r>
              <w:rPr>
                <w:rFonts w:ascii="Arial" w:cs="Arial" w:eastAsia="Arial" w:hAnsi="Arial"/>
                <w:sz w:val="14"/>
                <w:szCs w:val="14"/>
                <w:color w:val="auto"/>
              </w:rPr>
              <w:t>NA</w:t>
            </w:r>
          </w:p>
        </w:tc>
        <w:tc>
          <w:tcPr>
            <w:tcW w:w="88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13,553</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2,291</w:t>
            </w:r>
          </w:p>
        </w:tc>
        <w:tc>
          <w:tcPr>
            <w:tcW w:w="1060" w:type="dxa"/>
            <w:vAlign w:val="bottom"/>
            <w:gridSpan w:val="3"/>
          </w:tcPr>
          <w:p>
            <w:pPr>
              <w:jc w:val="right"/>
              <w:spacing w:after="0" w:line="147" w:lineRule="exact"/>
              <w:rPr>
                <w:sz w:val="20"/>
                <w:szCs w:val="20"/>
                <w:color w:val="auto"/>
              </w:rPr>
            </w:pPr>
            <w:r>
              <w:rPr>
                <w:rFonts w:ascii="Arial" w:cs="Arial" w:eastAsia="Arial" w:hAnsi="Arial"/>
                <w:sz w:val="14"/>
                <w:szCs w:val="14"/>
                <w:color w:val="auto"/>
              </w:rPr>
              <w:t>-83.1%</w:t>
            </w:r>
          </w:p>
        </w:tc>
        <w:tc>
          <w:tcPr>
            <w:tcW w:w="0" w:type="dxa"/>
            <w:vAlign w:val="bottom"/>
          </w:tcPr>
          <w:p>
            <w:pPr>
              <w:spacing w:after="0"/>
              <w:rPr>
                <w:sz w:val="1"/>
                <w:szCs w:val="1"/>
                <w:color w:val="auto"/>
              </w:rPr>
            </w:pPr>
          </w:p>
        </w:tc>
      </w:tr>
      <w:tr>
        <w:trPr>
          <w:trHeight w:val="160"/>
        </w:trPr>
        <w:tc>
          <w:tcPr>
            <w:tcW w:w="33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non-financial income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98,703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117,770</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35,196</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-70.1%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-64.3%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174,308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152,966</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0"/>
        </w:trPr>
        <w:tc>
          <w:tcPr>
            <w:tcW w:w="3360" w:type="dxa"/>
            <w:vAlign w:val="bottom"/>
            <w:gridSpan w:val="3"/>
          </w:tcPr>
          <w:p>
            <w:pPr>
              <w:spacing w:after="0" w:line="140" w:lineRule="exact"/>
              <w:rPr>
                <w:sz w:val="20"/>
                <w:szCs w:val="20"/>
                <w:color w:val="auto"/>
              </w:rPr>
            </w:pPr>
            <w:r>
              <w:rPr>
                <w:rFonts w:ascii="Arial" w:cs="Arial" w:eastAsia="Arial" w:hAnsi="Arial"/>
                <w:sz w:val="14"/>
                <w:szCs w:val="14"/>
                <w:color w:val="auto"/>
              </w:rPr>
              <w:t>Total non-financial income, net</w:t>
            </w:r>
          </w:p>
        </w:tc>
        <w:tc>
          <w:tcPr>
            <w:tcW w:w="66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4"/>
                <w:szCs w:val="14"/>
                <w:color w:val="auto"/>
              </w:rPr>
              <w:t>1,195,115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4"/>
                <w:szCs w:val="14"/>
                <w:color w:val="auto"/>
              </w:rPr>
              <w:t>957,864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4"/>
                <w:szCs w:val="14"/>
                <w:color w:val="auto"/>
              </w:rPr>
              <w:t>1,015,350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4"/>
                <w:szCs w:val="14"/>
                <w:color w:val="auto"/>
              </w:rPr>
              <w:t>6.0</w:t>
            </w:r>
          </w:p>
        </w:tc>
        <w:tc>
          <w:tcPr>
            <w:tcW w:w="240" w:type="dxa"/>
            <w:vAlign w:val="bottom"/>
          </w:tcPr>
          <w:p>
            <w:pPr>
              <w:jc w:val="right"/>
              <w:ind w:right="49"/>
              <w:spacing w:after="0" w:line="140" w:lineRule="exact"/>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4"/>
                <w:szCs w:val="14"/>
                <w:color w:val="auto"/>
              </w:rPr>
              <w:t>-15.0</w:t>
            </w:r>
          </w:p>
        </w:tc>
        <w:tc>
          <w:tcPr>
            <w:tcW w:w="240" w:type="dxa"/>
            <w:vAlign w:val="bottom"/>
          </w:tcPr>
          <w:p>
            <w:pPr>
              <w:jc w:val="right"/>
              <w:ind w:right="49"/>
              <w:spacing w:after="0" w:line="140" w:lineRule="exact"/>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2"/>
                <w:szCs w:val="12"/>
                <w:color w:val="auto"/>
              </w:rPr>
            </w:pPr>
          </w:p>
        </w:tc>
        <w:tc>
          <w:tcPr>
            <w:tcW w:w="66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4"/>
                <w:szCs w:val="14"/>
                <w:color w:val="auto"/>
              </w:rPr>
              <w:t>2,371,452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4"/>
                <w:szCs w:val="14"/>
                <w:color w:val="auto"/>
              </w:rPr>
              <w:t>1,973,214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4"/>
                <w:szCs w:val="14"/>
                <w:color w:val="auto"/>
              </w:rPr>
              <w:t>-16.8</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200" w:hanging="193"/>
        <w:spacing w:after="0"/>
        <w:tabs>
          <w:tab w:leader="none" w:pos="2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gains on other investments, mainly made up of the profit of Banmedica.</w:t>
      </w:r>
    </w:p>
    <w:p>
      <w:pPr>
        <w:ind w:left="200" w:hanging="193"/>
        <w:spacing w:after="0"/>
        <w:tabs>
          <w:tab w:leader="none" w:pos="2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Figures from 2Q19 differ from previously reported due to the implementation of IFRS 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40" w:type="dxa"/>
            <w:vAlign w:val="bottom"/>
            <w:vMerge w:val="restart"/>
          </w:tcPr>
          <w:p>
            <w:pPr>
              <w:spacing w:after="0"/>
              <w:rPr>
                <w:sz w:val="20"/>
                <w:szCs w:val="20"/>
                <w:color w:val="auto"/>
              </w:rPr>
            </w:pPr>
            <w:r>
              <w:rPr>
                <w:rFonts w:ascii="Arial" w:cs="Arial" w:eastAsia="Arial" w:hAnsi="Arial"/>
                <w:sz w:val="14"/>
                <w:szCs w:val="14"/>
                <w:b w:val="1"/>
                <w:bCs w:val="1"/>
                <w:color w:val="auto"/>
              </w:rPr>
              <w:t>(S/ 000)</w:t>
            </w:r>
          </w:p>
        </w:tc>
        <w:tc>
          <w:tcPr>
            <w:tcW w:w="100" w:type="dxa"/>
            <w:vAlign w:val="bottom"/>
            <w:vMerge w:val="restart"/>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ind w:left="580"/>
              <w:spacing w:after="0"/>
              <w:rPr>
                <w:sz w:val="20"/>
                <w:szCs w:val="20"/>
                <w:color w:val="auto"/>
              </w:rPr>
            </w:pPr>
            <w:r>
              <w:rPr>
                <w:rFonts w:ascii="Arial" w:cs="Arial" w:eastAsia="Arial" w:hAnsi="Arial"/>
                <w:sz w:val="14"/>
                <w:szCs w:val="14"/>
                <w:b w:val="1"/>
                <w:bCs w:val="1"/>
                <w:color w:val="auto"/>
                <w:w w:val="94"/>
              </w:rPr>
              <w:t>% change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3"/>
          </w:tcPr>
          <w:p>
            <w:pPr>
              <w:ind w:left="740"/>
              <w:spacing w:after="0"/>
              <w:rPr>
                <w:sz w:val="20"/>
                <w:szCs w:val="20"/>
                <w:color w:val="auto"/>
              </w:rPr>
            </w:pPr>
            <w:r>
              <w:rPr>
                <w:rFonts w:ascii="Arial" w:cs="Arial" w:eastAsia="Arial" w:hAnsi="Arial"/>
                <w:sz w:val="14"/>
                <w:szCs w:val="14"/>
                <w:b w:val="1"/>
                <w:bCs w:val="1"/>
                <w:color w:val="auto"/>
              </w:rPr>
              <w:t>Year</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53"/>
        </w:trPr>
        <w:tc>
          <w:tcPr>
            <w:tcW w:w="31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780" w:type="dxa"/>
            <w:vAlign w:val="bottom"/>
            <w:tcBorders>
              <w:top w:val="single" w:sz="8" w:color="auto"/>
              <w:bottom w:val="single" w:sz="8" w:color="auto"/>
            </w:tcBorders>
          </w:tcPr>
          <w:p>
            <w:pPr>
              <w:jc w:val="right"/>
              <w:ind w:right="149"/>
              <w:spacing w:after="0" w:line="153" w:lineRule="exact"/>
              <w:rPr>
                <w:sz w:val="20"/>
                <w:szCs w:val="20"/>
                <w:color w:val="auto"/>
              </w:rPr>
            </w:pPr>
            <w:r>
              <w:rPr>
                <w:rFonts w:ascii="Arial" w:cs="Arial" w:eastAsia="Arial" w:hAnsi="Arial"/>
                <w:sz w:val="14"/>
                <w:szCs w:val="14"/>
                <w:b w:val="1"/>
                <w:bCs w:val="1"/>
                <w:color w:val="auto"/>
              </w:rPr>
              <w:t>2Q19</w:t>
            </w:r>
          </w:p>
        </w:tc>
        <w:tc>
          <w:tcPr>
            <w:tcW w:w="22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69"/>
              <w:spacing w:after="0" w:line="153" w:lineRule="exact"/>
              <w:rPr>
                <w:sz w:val="20"/>
                <w:szCs w:val="20"/>
                <w:color w:val="auto"/>
              </w:rPr>
            </w:pPr>
            <w:r>
              <w:rPr>
                <w:rFonts w:ascii="Arial" w:cs="Arial" w:eastAsia="Arial" w:hAnsi="Arial"/>
                <w:sz w:val="14"/>
                <w:szCs w:val="14"/>
                <w:b w:val="1"/>
                <w:bCs w:val="1"/>
                <w:color w:val="auto"/>
              </w:rPr>
              <w:t>1Q20</w:t>
            </w:r>
          </w:p>
        </w:tc>
        <w:tc>
          <w:tcPr>
            <w:tcW w:w="20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49"/>
              <w:spacing w:after="0" w:line="153" w:lineRule="exact"/>
              <w:rPr>
                <w:sz w:val="20"/>
                <w:szCs w:val="20"/>
                <w:color w:val="auto"/>
              </w:rPr>
            </w:pPr>
            <w:r>
              <w:rPr>
                <w:rFonts w:ascii="Arial" w:cs="Arial" w:eastAsia="Arial" w:hAnsi="Arial"/>
                <w:sz w:val="14"/>
                <w:szCs w:val="14"/>
                <w:b w:val="1"/>
                <w:bCs w:val="1"/>
                <w:color w:val="auto"/>
              </w:rPr>
              <w:t>2Q20</w:t>
            </w:r>
          </w:p>
        </w:tc>
        <w:tc>
          <w:tcPr>
            <w:tcW w:w="22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ind w:left="240"/>
              <w:spacing w:after="0" w:line="153" w:lineRule="exact"/>
              <w:rPr>
                <w:sz w:val="20"/>
                <w:szCs w:val="20"/>
                <w:color w:val="auto"/>
              </w:rPr>
            </w:pPr>
            <w:r>
              <w:rPr>
                <w:rFonts w:ascii="Arial" w:cs="Arial" w:eastAsia="Arial" w:hAnsi="Arial"/>
                <w:sz w:val="14"/>
                <w:szCs w:val="14"/>
                <w:b w:val="1"/>
                <w:bCs w:val="1"/>
                <w:color w:val="auto"/>
              </w:rPr>
              <w:t>QoQ</w:t>
            </w:r>
          </w:p>
        </w:tc>
        <w:tc>
          <w:tcPr>
            <w:tcW w:w="24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09"/>
              <w:spacing w:after="0" w:line="153" w:lineRule="exact"/>
              <w:rPr>
                <w:sz w:val="20"/>
                <w:szCs w:val="20"/>
                <w:color w:val="auto"/>
              </w:rPr>
            </w:pPr>
            <w:r>
              <w:rPr>
                <w:rFonts w:ascii="Arial" w:cs="Arial" w:eastAsia="Arial" w:hAnsi="Arial"/>
                <w:sz w:val="14"/>
                <w:szCs w:val="14"/>
                <w:b w:val="1"/>
                <w:bCs w:val="1"/>
                <w:color w:val="auto"/>
              </w:rPr>
              <w:t>Jun 19</w:t>
            </w:r>
          </w:p>
        </w:tc>
        <w:tc>
          <w:tcPr>
            <w:tcW w:w="2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09"/>
              <w:spacing w:after="0" w:line="153" w:lineRule="exact"/>
              <w:rPr>
                <w:sz w:val="20"/>
                <w:szCs w:val="20"/>
                <w:color w:val="auto"/>
              </w:rPr>
            </w:pPr>
            <w:r>
              <w:rPr>
                <w:rFonts w:ascii="Arial" w:cs="Arial" w:eastAsia="Arial" w:hAnsi="Arial"/>
                <w:sz w:val="14"/>
                <w:szCs w:val="14"/>
                <w:b w:val="1"/>
                <w:bCs w:val="1"/>
                <w:color w:val="auto"/>
              </w:rPr>
              <w:t>Jun 20</w:t>
            </w:r>
          </w:p>
        </w:tc>
        <w:tc>
          <w:tcPr>
            <w:tcW w:w="20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Jun 20 / Jun 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1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 EPS contribution (50%)</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12,758</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17,186</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16,806</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4"/>
                <w:szCs w:val="14"/>
                <w:color w:val="auto"/>
              </w:rPr>
              <w:t>-33.8%</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4"/>
                <w:szCs w:val="14"/>
                <w:color w:val="auto"/>
              </w:rPr>
              <w:t>34.7%</w:t>
            </w:r>
          </w:p>
        </w:tc>
        <w:tc>
          <w:tcPr>
            <w:tcW w:w="7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21,676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33,992</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147"/>
        </w:trPr>
        <w:tc>
          <w:tcPr>
            <w:tcW w:w="3240" w:type="dxa"/>
            <w:vAlign w:val="bottom"/>
            <w:gridSpan w:val="2"/>
          </w:tcPr>
          <w:p>
            <w:pPr>
              <w:spacing w:after="0" w:line="147" w:lineRule="exact"/>
              <w:rPr>
                <w:sz w:val="20"/>
                <w:szCs w:val="20"/>
                <w:color w:val="auto"/>
              </w:rPr>
            </w:pPr>
            <w:r>
              <w:rPr>
                <w:rFonts w:ascii="Arial" w:cs="Arial" w:eastAsia="Arial" w:hAnsi="Arial"/>
                <w:sz w:val="14"/>
                <w:szCs w:val="14"/>
                <w:color w:val="auto"/>
              </w:rPr>
              <w:t>(-) Private health insurance deduction (50%)</w:t>
            </w:r>
          </w:p>
        </w:tc>
        <w:tc>
          <w:tcPr>
            <w:tcW w:w="100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(4,746)</w:t>
            </w:r>
          </w:p>
        </w:tc>
        <w:tc>
          <w:tcPr>
            <w:tcW w:w="98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(6,430)</w:t>
            </w: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(17,944)</w:t>
            </w:r>
          </w:p>
        </w:tc>
        <w:tc>
          <w:tcPr>
            <w:tcW w:w="10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-10.6%</w:t>
            </w:r>
          </w:p>
        </w:tc>
        <w:tc>
          <w:tcPr>
            <w:tcW w:w="220" w:type="dxa"/>
            <w:vAlign w:val="bottom"/>
          </w:tcPr>
          <w:p>
            <w:pPr>
              <w:spacing w:after="0"/>
              <w:rPr>
                <w:sz w:val="12"/>
                <w:szCs w:val="12"/>
                <w:color w:val="auto"/>
              </w:rPr>
            </w:pPr>
          </w:p>
        </w:tc>
        <w:tc>
          <w:tcPr>
            <w:tcW w:w="7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35.5%</w:t>
            </w:r>
          </w:p>
        </w:tc>
        <w:tc>
          <w:tcPr>
            <w:tcW w:w="98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(7,482)</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(24,374)</w:t>
            </w:r>
          </w:p>
        </w:tc>
        <w:tc>
          <w:tcPr>
            <w:tcW w:w="106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225.8%</w:t>
            </w:r>
          </w:p>
        </w:tc>
        <w:tc>
          <w:tcPr>
            <w:tcW w:w="0" w:type="dxa"/>
            <w:vAlign w:val="bottom"/>
          </w:tcPr>
          <w:p>
            <w:pPr>
              <w:spacing w:after="0"/>
              <w:rPr>
                <w:sz w:val="1"/>
                <w:szCs w:val="1"/>
                <w:color w:val="auto"/>
              </w:rPr>
            </w:pPr>
          </w:p>
        </w:tc>
      </w:tr>
      <w:tr>
        <w:trPr>
          <w:trHeight w:val="147"/>
        </w:trPr>
        <w:tc>
          <w:tcPr>
            <w:tcW w:w="32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 Net gain from association with Banmedica</w:t>
            </w:r>
          </w:p>
        </w:tc>
        <w:tc>
          <w:tcPr>
            <w:tcW w:w="10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8,012</w:t>
            </w:r>
          </w:p>
        </w:tc>
        <w:tc>
          <w:tcPr>
            <w:tcW w:w="9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10,756</w:t>
            </w: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(1,138)</w:t>
            </w:r>
          </w:p>
        </w:tc>
        <w:tc>
          <w:tcPr>
            <w:tcW w:w="100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-332.6%</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34.2%</w:t>
            </w:r>
          </w:p>
        </w:tc>
        <w:tc>
          <w:tcPr>
            <w:tcW w:w="98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14,194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9,618</w:t>
            </w:r>
          </w:p>
        </w:tc>
        <w:tc>
          <w:tcPr>
            <w:tcW w:w="10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QoQ evolution</w:t>
      </w:r>
      <w:r>
        <w:rPr>
          <w:rFonts w:ascii="Arial" w:cs="Arial" w:eastAsia="Arial" w:hAnsi="Arial"/>
          <w:sz w:val="18"/>
          <w:szCs w:val="18"/>
          <w:color w:val="auto"/>
        </w:rPr>
        <w:t xml:space="preserve"> shows expansion of +6.0% of non-financial income due to:</w:t>
      </w:r>
    </w:p>
    <w:p>
      <w:pPr>
        <w:spacing w:after="0" w:line="220" w:lineRule="exact"/>
        <w:rPr>
          <w:sz w:val="20"/>
          <w:szCs w:val="20"/>
          <w:color w:val="auto"/>
        </w:rPr>
      </w:pPr>
    </w:p>
    <w:p>
      <w:pPr>
        <w:jc w:val="both"/>
        <w:ind w:left="880" w:hanging="500"/>
        <w:spacing w:after="0" w:line="270" w:lineRule="auto"/>
        <w:tabs>
          <w:tab w:leader="none" w:pos="8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The expansion in </w:t>
      </w:r>
      <w:r>
        <w:rPr>
          <w:rFonts w:ascii="Arial" w:cs="Arial" w:eastAsia="Arial" w:hAnsi="Arial"/>
          <w:sz w:val="17"/>
          <w:szCs w:val="17"/>
          <w:b w:val="1"/>
          <w:bCs w:val="1"/>
          <w:color w:val="auto"/>
        </w:rPr>
        <w:t>Net gain on securities</w:t>
      </w:r>
      <w:r>
        <w:rPr>
          <w:rFonts w:ascii="Arial" w:cs="Arial" w:eastAsia="Arial" w:hAnsi="Arial"/>
          <w:sz w:val="17"/>
          <w:szCs w:val="17"/>
          <w:color w:val="auto"/>
        </w:rPr>
        <w:t xml:space="preserve"> is attributable to (i) ASB, due to non-recurring income in the fair value through other comprehensive investments explained by a mark-to-market (MtM) increase of an investment after its IPO, which generated unrealized earnings for S/ 96 million; and (ii) Prima AFP, due to an increase in the reserve fund profitability after a recovery in the value of the funds under management, and (iii) Credicorp Capital, due to earnings in its proprietary investment portfolios, attributable to a recovery in the value of Fixed Income positions, which partially reversed March’s results. All of the aforementioned results are related to a decrease in market volatility and by a recovery in assets value after the negative results posted in 1Q19 due to the onset of the pandemic.</w:t>
      </w:r>
    </w:p>
    <w:p>
      <w:pPr>
        <w:spacing w:after="0" w:line="174" w:lineRule="exact"/>
        <w:rPr>
          <w:rFonts w:ascii="Arial" w:cs="Arial" w:eastAsia="Arial" w:hAnsi="Arial"/>
          <w:sz w:val="17"/>
          <w:szCs w:val="17"/>
          <w:color w:val="auto"/>
        </w:rPr>
      </w:pPr>
    </w:p>
    <w:p>
      <w:pPr>
        <w:ind w:left="880" w:hanging="500"/>
        <w:spacing w:after="0" w:line="274"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Growth in the </w:t>
      </w:r>
      <w:r>
        <w:rPr>
          <w:rFonts w:ascii="Arial" w:cs="Arial" w:eastAsia="Arial" w:hAnsi="Arial"/>
          <w:sz w:val="18"/>
          <w:szCs w:val="18"/>
          <w:b w:val="1"/>
          <w:bCs w:val="1"/>
          <w:color w:val="auto"/>
        </w:rPr>
        <w:t>Net gain from exchange difference,</w:t>
      </w:r>
      <w:r>
        <w:rPr>
          <w:rFonts w:ascii="Arial" w:cs="Arial" w:eastAsia="Arial" w:hAnsi="Arial"/>
          <w:sz w:val="18"/>
          <w:szCs w:val="18"/>
          <w:color w:val="auto"/>
        </w:rPr>
        <w:t xml:space="preserve"> due to the valuation of the exchange rate for regional currencies, which was reflected in gains on Trading positions and on off-balance positions at Credicorp Capital and BCP Stand-alone.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was partially offset by:</w:t>
      </w:r>
    </w:p>
    <w:p>
      <w:pPr>
        <w:spacing w:after="0" w:line="216" w:lineRule="exact"/>
        <w:rPr>
          <w:sz w:val="20"/>
          <w:szCs w:val="20"/>
          <w:color w:val="auto"/>
        </w:rPr>
      </w:pPr>
    </w:p>
    <w:p>
      <w:pPr>
        <w:jc w:val="both"/>
        <w:ind w:left="880" w:hanging="500"/>
        <w:spacing w:after="0" w:line="293" w:lineRule="auto"/>
        <w:tabs>
          <w:tab w:leader="none" w:pos="8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The contraction in </w:t>
      </w:r>
      <w:r>
        <w:rPr>
          <w:rFonts w:ascii="Arial" w:cs="Arial" w:eastAsia="Arial" w:hAnsi="Arial"/>
          <w:sz w:val="16"/>
          <w:szCs w:val="16"/>
          <w:b w:val="1"/>
          <w:bCs w:val="1"/>
          <w:color w:val="auto"/>
        </w:rPr>
        <w:t>Fee Income</w:t>
      </w:r>
      <w:r>
        <w:rPr>
          <w:rFonts w:ascii="Arial" w:cs="Arial" w:eastAsia="Arial" w:hAnsi="Arial"/>
          <w:sz w:val="16"/>
          <w:szCs w:val="16"/>
          <w:color w:val="auto"/>
        </w:rPr>
        <w:t>, mainly at (i) BCP Stand-alone due to a decrease in transactional activity at banks due to the quarantine and, to a lesser extent, at (ii) Prima AFP, due to a decrease in flow fees due to the suspension of contributions in the month of April (liquidity measure enacted by the Peruvian government), (iii) Mibanco, which posted a decline for the same reasons that affected BCP Stand-alone, and (iv) Credicorp Capital, due to a drop in income in Corporate Finance due to an unfavorable juncture for transactions and in Wealth Management due to a drop in fees in the Family Office and brokerage businesses. For more information, please see 5.1.2 Fee income in the Banking Business.</w:t>
      </w:r>
    </w:p>
    <w:p>
      <w:pPr>
        <w:spacing w:after="0" w:line="157" w:lineRule="exact"/>
        <w:rPr>
          <w:rFonts w:ascii="Arial" w:cs="Arial" w:eastAsia="Arial" w:hAnsi="Arial"/>
          <w:sz w:val="16"/>
          <w:szCs w:val="16"/>
          <w:color w:val="auto"/>
        </w:rPr>
      </w:pPr>
    </w:p>
    <w:p>
      <w:pPr>
        <w:ind w:left="880" w:right="20" w:hanging="500"/>
        <w:spacing w:after="0" w:line="274"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Other non-financial income</w:t>
      </w:r>
      <w:r>
        <w:rPr>
          <w:rFonts w:ascii="Arial" w:cs="Arial" w:eastAsia="Arial" w:hAnsi="Arial"/>
          <w:sz w:val="18"/>
          <w:szCs w:val="18"/>
          <w:color w:val="auto"/>
        </w:rPr>
        <w:t>, due to extraordinary income in 1Q20 at (i) BCP Stand-alone due to the sale of a judicial portfolio and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reversals, and (ii) Mibanco, due to the sale of a property.</w:t>
      </w:r>
    </w:p>
    <w:p>
      <w:pPr>
        <w:spacing w:after="0" w:line="385"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p>
      <w:pPr>
        <w:jc w:val="both"/>
        <w:ind w:left="880" w:hanging="500"/>
        <w:spacing w:after="0" w:line="256"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drop in the </w:t>
      </w:r>
      <w:r>
        <w:rPr>
          <w:rFonts w:ascii="Arial" w:cs="Arial" w:eastAsia="Arial" w:hAnsi="Arial"/>
          <w:sz w:val="18"/>
          <w:szCs w:val="18"/>
          <w:b w:val="1"/>
          <w:bCs w:val="1"/>
          <w:color w:val="auto"/>
        </w:rPr>
        <w:t>Net gain on speculative derivatives</w:t>
      </w:r>
      <w:r>
        <w:rPr>
          <w:rFonts w:ascii="Arial" w:cs="Arial" w:eastAsia="Arial" w:hAnsi="Arial"/>
          <w:sz w:val="18"/>
          <w:szCs w:val="18"/>
          <w:color w:val="auto"/>
        </w:rPr>
        <w:t xml:space="preserve"> was attributable to Credicorp Capital, specifically to Trading and Currency derivatives to cover investment positions and exchange rate differences, which were reflected in losses. In addition, the drop was attributable to the outstanding results obtained in 1Q20 by the Asset Management business. All of the aforementioned was slightly attenuated by the increase at BCP Stand-alone after gains were registered for Trading Swaps and Forwards in the month of June.</w:t>
      </w:r>
    </w:p>
    <w:p>
      <w:pPr>
        <w:spacing w:after="0" w:line="184" w:lineRule="exact"/>
        <w:rPr>
          <w:rFonts w:ascii="Arial" w:cs="Arial" w:eastAsia="Arial" w:hAnsi="Arial"/>
          <w:sz w:val="18"/>
          <w:szCs w:val="18"/>
          <w:color w:val="auto"/>
        </w:rPr>
      </w:pPr>
    </w:p>
    <w:p>
      <w:pPr>
        <w:ind w:left="880" w:hanging="500"/>
        <w:spacing w:after="0" w:line="274"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decrease in income from the </w:t>
      </w:r>
      <w:r>
        <w:rPr>
          <w:rFonts w:ascii="Arial" w:cs="Arial" w:eastAsia="Arial" w:hAnsi="Arial"/>
          <w:sz w:val="18"/>
          <w:szCs w:val="18"/>
          <w:b w:val="1"/>
          <w:bCs w:val="1"/>
          <w:color w:val="auto"/>
        </w:rPr>
        <w:t>Net gain on foreign exchange transactions</w:t>
      </w:r>
      <w:r>
        <w:rPr>
          <w:rFonts w:ascii="Arial" w:cs="Arial" w:eastAsia="Arial" w:hAnsi="Arial"/>
          <w:sz w:val="18"/>
          <w:szCs w:val="18"/>
          <w:color w:val="auto"/>
        </w:rPr>
        <w:t xml:space="preserve"> was due to lower transactions volume of clients in Wholesale Banking and Retail Banking at BCP Stand-alone.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YoY analysis </w:t>
      </w:r>
      <w:r>
        <w:rPr>
          <w:rFonts w:ascii="Arial" w:cs="Arial" w:eastAsia="Arial" w:hAnsi="Arial"/>
          <w:sz w:val="18"/>
          <w:szCs w:val="18"/>
          <w:color w:val="auto"/>
        </w:rPr>
        <w:t>indicates a decrease of -15.0% in non-financial income due to:</w:t>
      </w:r>
    </w:p>
    <w:p>
      <w:pPr>
        <w:spacing w:after="0" w:line="220" w:lineRule="exact"/>
        <w:rPr>
          <w:sz w:val="20"/>
          <w:szCs w:val="20"/>
          <w:color w:val="auto"/>
        </w:rPr>
      </w:pPr>
    </w:p>
    <w:p>
      <w:pPr>
        <w:jc w:val="both"/>
        <w:ind w:left="880" w:hanging="499"/>
        <w:spacing w:after="0" w:line="256" w:lineRule="auto"/>
        <w:tabs>
          <w:tab w:leader="none" w:pos="8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 xml:space="preserve">A decrease in the result for </w:t>
      </w:r>
      <w:r>
        <w:rPr>
          <w:rFonts w:ascii="Arial" w:cs="Arial" w:eastAsia="Arial" w:hAnsi="Arial"/>
          <w:sz w:val="18"/>
          <w:szCs w:val="18"/>
          <w:b w:val="1"/>
          <w:bCs w:val="1"/>
          <w:color w:val="auto"/>
        </w:rPr>
        <w:t>Fee income</w:t>
      </w:r>
      <w:r>
        <w:rPr>
          <w:rFonts w:ascii="Arial" w:cs="Arial" w:eastAsia="Arial" w:hAnsi="Arial"/>
          <w:sz w:val="18"/>
          <w:szCs w:val="18"/>
          <w:color w:val="auto"/>
        </w:rPr>
        <w:t>, due to (i) benefits and fee exonerations for our clients during the crisis generated by the pandemic, and (ii) a decrease in the consumption volume as explained in the QoQ analysis. It is important to note that the subsidiary that was the most affected by these effects was BCP Stand-alone. The contraction in fee income at this subsidiary represented 78% of the total decline reported for this account.</w:t>
      </w:r>
    </w:p>
    <w:p>
      <w:pPr>
        <w:spacing w:after="0" w:line="184" w:lineRule="exact"/>
        <w:rPr>
          <w:sz w:val="20"/>
          <w:szCs w:val="20"/>
          <w:color w:val="auto"/>
        </w:rPr>
      </w:pPr>
    </w:p>
    <w:p>
      <w:pPr>
        <w:ind w:left="880" w:hanging="500"/>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Other non-financial income </w:t>
      </w:r>
      <w:r>
        <w:rPr>
          <w:rFonts w:ascii="Arial" w:cs="Arial" w:eastAsia="Arial" w:hAnsi="Arial"/>
          <w:sz w:val="18"/>
          <w:szCs w:val="18"/>
          <w:color w:val="auto"/>
        </w:rPr>
        <w:t>due to BCP Bolivia, following the sale of a property in 2Q19.</w:t>
      </w:r>
    </w:p>
    <w:p>
      <w:pPr>
        <w:spacing w:after="0" w:line="219" w:lineRule="exact"/>
        <w:rPr>
          <w:rFonts w:ascii="Arial" w:cs="Arial" w:eastAsia="Arial" w:hAnsi="Arial"/>
          <w:sz w:val="18"/>
          <w:szCs w:val="18"/>
          <w:color w:val="auto"/>
        </w:rPr>
      </w:pPr>
    </w:p>
    <w:p>
      <w:pPr>
        <w:ind w:left="880" w:hanging="500"/>
        <w:spacing w:after="0" w:line="274"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A decrease in income from the </w:t>
      </w:r>
      <w:r>
        <w:rPr>
          <w:rFonts w:ascii="Arial" w:cs="Arial" w:eastAsia="Arial" w:hAnsi="Arial"/>
          <w:sz w:val="18"/>
          <w:szCs w:val="18"/>
          <w:b w:val="1"/>
          <w:bCs w:val="1"/>
          <w:color w:val="auto"/>
        </w:rPr>
        <w:t>Net gain on foreign exchange transactions</w:t>
      </w:r>
      <w:r>
        <w:rPr>
          <w:rFonts w:ascii="Arial" w:cs="Arial" w:eastAsia="Arial" w:hAnsi="Arial"/>
          <w:sz w:val="18"/>
          <w:szCs w:val="18"/>
          <w:color w:val="auto"/>
        </w:rPr>
        <w:t>, which was mainly attributable to a decrease in the volumes and margins for client transactions through Retail Banking at BCP Stand-alone.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was slightly offset by:</w:t>
      </w:r>
    </w:p>
    <w:p>
      <w:pPr>
        <w:spacing w:after="0" w:line="216" w:lineRule="exact"/>
        <w:rPr>
          <w:sz w:val="20"/>
          <w:szCs w:val="20"/>
          <w:color w:val="auto"/>
        </w:rPr>
      </w:pPr>
    </w:p>
    <w:p>
      <w:pPr>
        <w:ind w:left="880" w:hanging="500"/>
        <w:spacing w:after="0" w:line="274"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Growth in the </w:t>
      </w:r>
      <w:r>
        <w:rPr>
          <w:rFonts w:ascii="Arial" w:cs="Arial" w:eastAsia="Arial" w:hAnsi="Arial"/>
          <w:sz w:val="18"/>
          <w:szCs w:val="18"/>
          <w:b w:val="1"/>
          <w:bCs w:val="1"/>
          <w:color w:val="auto"/>
        </w:rPr>
        <w:t>Net gain on sales of securities</w:t>
      </w:r>
      <w:r>
        <w:rPr>
          <w:rFonts w:ascii="Arial" w:cs="Arial" w:eastAsia="Arial" w:hAnsi="Arial"/>
          <w:sz w:val="18"/>
          <w:szCs w:val="18"/>
          <w:color w:val="auto"/>
        </w:rPr>
        <w:t>, mainly at ASB and Prima AFP, which was attributable to the favorable evolution of the financial markets in 2Q20.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YTD (Jun 20 vs Jun 19), non-financial income fell -16.8% due to:</w:t>
      </w:r>
    </w:p>
    <w:p>
      <w:pPr>
        <w:spacing w:after="0" w:line="216" w:lineRule="exact"/>
        <w:rPr>
          <w:sz w:val="20"/>
          <w:szCs w:val="20"/>
          <w:color w:val="auto"/>
        </w:rPr>
      </w:pPr>
    </w:p>
    <w:p>
      <w:pPr>
        <w:jc w:val="both"/>
        <w:ind w:left="880" w:hanging="499"/>
        <w:spacing w:after="0" w:line="261" w:lineRule="auto"/>
        <w:tabs>
          <w:tab w:leader="none" w:pos="8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 xml:space="preserve">The contraction in </w:t>
      </w:r>
      <w:r>
        <w:rPr>
          <w:rFonts w:ascii="Arial" w:cs="Arial" w:eastAsia="Arial" w:hAnsi="Arial"/>
          <w:sz w:val="18"/>
          <w:szCs w:val="18"/>
          <w:b w:val="1"/>
          <w:bCs w:val="1"/>
          <w:color w:val="auto"/>
        </w:rPr>
        <w:t>Fee Income</w:t>
      </w:r>
      <w:r>
        <w:rPr>
          <w:rFonts w:ascii="Arial" w:cs="Arial" w:eastAsia="Arial" w:hAnsi="Arial"/>
          <w:sz w:val="18"/>
          <w:szCs w:val="18"/>
          <w:color w:val="auto"/>
        </w:rPr>
        <w:t xml:space="preserve"> as 2020 has been a challenging year for banking products and services given that the transactions level has dropped by 50% since the beginning of the quarantine. The positive evolution of banking fees in 2019 casts this quarter’s figure in an even starker light.</w:t>
      </w:r>
    </w:p>
    <w:p>
      <w:pPr>
        <w:spacing w:after="0" w:line="179" w:lineRule="exact"/>
        <w:rPr>
          <w:sz w:val="20"/>
          <w:szCs w:val="20"/>
          <w:color w:val="auto"/>
        </w:rPr>
      </w:pPr>
    </w:p>
    <w:p>
      <w:pPr>
        <w:ind w:left="880" w:hanging="500"/>
        <w:spacing w:after="0" w:line="305" w:lineRule="auto"/>
        <w:tabs>
          <w:tab w:leader="none" w:pos="880"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Net gain on sales of securities</w:t>
      </w:r>
      <w:r>
        <w:rPr>
          <w:rFonts w:ascii="Arial" w:cs="Arial" w:eastAsia="Arial" w:hAnsi="Arial"/>
          <w:sz w:val="17"/>
          <w:szCs w:val="17"/>
          <w:color w:val="auto"/>
        </w:rPr>
        <w:t>, whose recovery in 2Q20 was insufficient to offset the impact of COVID-19 in the first quarter and the higher</w:t>
      </w:r>
      <w:r>
        <w:rPr>
          <w:rFonts w:ascii="Arial" w:cs="Arial" w:eastAsia="Arial" w:hAnsi="Arial"/>
          <w:sz w:val="17"/>
          <w:szCs w:val="17"/>
          <w:b w:val="1"/>
          <w:bCs w:val="1"/>
          <w:color w:val="auto"/>
        </w:rPr>
        <w:t xml:space="preserve"> </w:t>
      </w:r>
      <w:r>
        <w:rPr>
          <w:rFonts w:ascii="Arial" w:cs="Arial" w:eastAsia="Arial" w:hAnsi="Arial"/>
          <w:sz w:val="17"/>
          <w:szCs w:val="17"/>
          <w:color w:val="auto"/>
        </w:rPr>
        <w:t>results in 2Q19 in a scenario marked by declining international interest rates, which positively affected the global markets.</w:t>
      </w:r>
    </w:p>
    <w:p>
      <w:pPr>
        <w:spacing w:after="0" w:line="361"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5.1. Fee Income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5.1.1. By subsidiary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shows the contribution of each of Credicorp’s subsidiaries to growth in its fee income in 2Q20</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Evolution of fee income QoQ by subsidiary </w:t>
      </w:r>
      <w:r>
        <w:rPr>
          <w:rFonts w:ascii="Arial" w:cs="Arial" w:eastAsia="Arial" w:hAnsi="Arial"/>
          <w:sz w:val="18"/>
          <w:szCs w:val="18"/>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151130</wp:posOffset>
            </wp:positionV>
            <wp:extent cx="6515735" cy="2296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15735" cy="229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Evolution of fee income YoY by subsidiary </w:t>
      </w:r>
      <w:r>
        <w:rPr>
          <w:rFonts w:ascii="Arial" w:cs="Arial" w:eastAsia="Arial" w:hAnsi="Arial"/>
          <w:sz w:val="18"/>
          <w:szCs w:val="18"/>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151130</wp:posOffset>
            </wp:positionV>
            <wp:extent cx="6473190" cy="2304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73190" cy="2304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Evolution of fee income YTD by subsidiary </w:t>
      </w: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151130</wp:posOffset>
            </wp:positionV>
            <wp:extent cx="6727190" cy="23641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27190" cy="2364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*Others include Encumbra, Bancompartir, Grupo Pacifico and eliminations for consolidation purposes.</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5" w:right="379" w:bottom="357"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5.1.2. Fee income in the Banking Business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figure below shows the evolution of the main components of fee income in the banking business: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Fee Income in the Banking Business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040" w:type="dxa"/>
            <w:vAlign w:val="bottom"/>
            <w:gridSpan w:val="2"/>
          </w:tcPr>
          <w:p>
            <w:pPr>
              <w:spacing w:after="0"/>
              <w:rPr>
                <w:sz w:val="20"/>
                <w:szCs w:val="20"/>
                <w:color w:val="auto"/>
              </w:rPr>
            </w:pPr>
            <w:r>
              <w:rPr>
                <w:rFonts w:ascii="Arial" w:cs="Arial" w:eastAsia="Arial" w:hAnsi="Arial"/>
                <w:sz w:val="12"/>
                <w:szCs w:val="12"/>
                <w:b w:val="1"/>
                <w:bCs w:val="1"/>
                <w:color w:val="auto"/>
              </w:rPr>
              <w:t>Fee Income</w:t>
            </w: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2"/>
                <w:szCs w:val="12"/>
                <w:b w:val="1"/>
                <w:bCs w:val="1"/>
                <w:color w:val="auto"/>
              </w:rPr>
              <w:t>Quarter</w:t>
            </w:r>
          </w:p>
        </w:tc>
        <w:tc>
          <w:tcPr>
            <w:tcW w:w="7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Borders>
              <w:bottom w:val="single" w:sz="8" w:color="auto"/>
            </w:tcBorders>
            <w:gridSpan w:val="3"/>
          </w:tcPr>
          <w:p>
            <w:pPr>
              <w:ind w:left="640"/>
              <w:spacing w:after="0"/>
              <w:rPr>
                <w:sz w:val="20"/>
                <w:szCs w:val="20"/>
                <w:color w:val="auto"/>
              </w:rPr>
            </w:pPr>
            <w:r>
              <w:rPr>
                <w:rFonts w:ascii="Arial" w:cs="Arial" w:eastAsia="Arial" w:hAnsi="Arial"/>
                <w:sz w:val="12"/>
                <w:szCs w:val="12"/>
                <w:b w:val="1"/>
                <w:bCs w:val="1"/>
                <w:color w:val="auto"/>
                <w:w w:val="99"/>
              </w:rPr>
              <w:t>% change</w:t>
            </w:r>
          </w:p>
        </w:tc>
        <w:tc>
          <w:tcPr>
            <w:tcW w:w="5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Borders>
              <w:bottom w:val="single" w:sz="8" w:color="auto"/>
            </w:tcBorders>
            <w:gridSpan w:val="3"/>
          </w:tcPr>
          <w:p>
            <w:pPr>
              <w:ind w:left="740"/>
              <w:spacing w:after="0"/>
              <w:rPr>
                <w:sz w:val="20"/>
                <w:szCs w:val="20"/>
                <w:color w:val="auto"/>
              </w:rPr>
            </w:pPr>
            <w:r>
              <w:rPr>
                <w:rFonts w:ascii="Arial" w:cs="Arial" w:eastAsia="Arial" w:hAnsi="Arial"/>
                <w:sz w:val="12"/>
                <w:szCs w:val="12"/>
                <w:b w:val="1"/>
                <w:bCs w:val="1"/>
                <w:color w:val="auto"/>
              </w:rPr>
              <w:t>Year</w:t>
            </w:r>
          </w:p>
        </w:tc>
        <w:tc>
          <w:tcPr>
            <w:tcW w:w="6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 change</w:t>
            </w:r>
          </w:p>
        </w:tc>
      </w:tr>
      <w:tr>
        <w:trPr>
          <w:trHeight w:val="140"/>
        </w:trPr>
        <w:tc>
          <w:tcPr>
            <w:tcW w:w="2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 000</w:t>
            </w: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b w:val="1"/>
                <w:bCs w:val="1"/>
                <w:color w:val="auto"/>
              </w:rPr>
              <w:t>2Q19</w:t>
            </w:r>
          </w:p>
        </w:tc>
        <w:tc>
          <w:tcPr>
            <w:tcW w:w="2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1Q20</w:t>
            </w: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2Q20</w:t>
            </w:r>
          </w:p>
        </w:tc>
        <w:tc>
          <w:tcPr>
            <w:tcW w:w="2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QoQ</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YoY</w:t>
            </w:r>
          </w:p>
        </w:tc>
        <w:tc>
          <w:tcPr>
            <w:tcW w:w="2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b w:val="1"/>
                <w:bCs w:val="1"/>
                <w:color w:val="auto"/>
              </w:rPr>
              <w:t>Jun 19</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b w:val="1"/>
                <w:bCs w:val="1"/>
                <w:color w:val="auto"/>
              </w:rPr>
              <w:t>Jun 20</w:t>
            </w:r>
          </w:p>
        </w:tc>
        <w:tc>
          <w:tcPr>
            <w:tcW w:w="2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Jun 20 / Jun 19</w:t>
            </w:r>
          </w:p>
        </w:tc>
        <w:tc>
          <w:tcPr>
            <w:tcW w:w="140" w:type="dxa"/>
            <w:vAlign w:val="bottom"/>
            <w:tcBorders>
              <w:bottom w:val="single" w:sz="8" w:color="CCEEFF"/>
            </w:tcBorders>
          </w:tcPr>
          <w:p>
            <w:pPr>
              <w:spacing w:after="0"/>
              <w:rPr>
                <w:sz w:val="12"/>
                <w:szCs w:val="12"/>
                <w:color w:val="auto"/>
              </w:rPr>
            </w:pPr>
          </w:p>
        </w:tc>
      </w:tr>
      <w:tr>
        <w:trPr>
          <w:trHeight w:val="127"/>
        </w:trPr>
        <w:tc>
          <w:tcPr>
            <w:tcW w:w="29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Miscellaneous accounts (1)</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169,732</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164,963</w:t>
            </w: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115,586</w:t>
            </w:r>
          </w:p>
        </w:tc>
        <w:tc>
          <w:tcPr>
            <w:tcW w:w="2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-29.9%</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-31.9%</w:t>
            </w:r>
          </w:p>
        </w:tc>
        <w:tc>
          <w:tcPr>
            <w:tcW w:w="7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347,249</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280,549</w:t>
            </w:r>
          </w:p>
        </w:tc>
        <w:tc>
          <w:tcPr>
            <w:tcW w:w="2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0"/>
              <w:spacing w:after="0" w:line="127" w:lineRule="exact"/>
              <w:rPr>
                <w:sz w:val="20"/>
                <w:szCs w:val="20"/>
                <w:color w:val="auto"/>
              </w:rPr>
            </w:pPr>
            <w:r>
              <w:rPr>
                <w:rFonts w:ascii="Arial" w:cs="Arial" w:eastAsia="Arial" w:hAnsi="Arial"/>
                <w:sz w:val="12"/>
                <w:szCs w:val="12"/>
                <w:color w:val="auto"/>
              </w:rPr>
              <w:t>-19.2%</w:t>
            </w:r>
          </w:p>
        </w:tc>
      </w:tr>
      <w:tr>
        <w:trPr>
          <w:trHeight w:val="133"/>
        </w:trPr>
        <w:tc>
          <w:tcPr>
            <w:tcW w:w="3040" w:type="dxa"/>
            <w:vAlign w:val="bottom"/>
            <w:gridSpan w:val="2"/>
          </w:tcPr>
          <w:p>
            <w:pPr>
              <w:spacing w:after="0" w:line="134" w:lineRule="exact"/>
              <w:rPr>
                <w:sz w:val="20"/>
                <w:szCs w:val="20"/>
                <w:color w:val="auto"/>
              </w:rPr>
            </w:pPr>
            <w:r>
              <w:rPr>
                <w:rFonts w:ascii="Arial" w:cs="Arial" w:eastAsia="Arial" w:hAnsi="Arial"/>
                <w:sz w:val="12"/>
                <w:szCs w:val="12"/>
                <w:color w:val="auto"/>
              </w:rPr>
              <w:t>Credit cards (2)</w:t>
            </w:r>
          </w:p>
        </w:tc>
        <w:tc>
          <w:tcPr>
            <w:tcW w:w="104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71,029</w:t>
            </w:r>
          </w:p>
        </w:tc>
        <w:tc>
          <w:tcPr>
            <w:tcW w:w="104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60,435</w:t>
            </w:r>
          </w:p>
        </w:tc>
        <w:tc>
          <w:tcPr>
            <w:tcW w:w="98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12,606</w:t>
            </w:r>
          </w:p>
        </w:tc>
        <w:tc>
          <w:tcPr>
            <w:tcW w:w="10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-79.1%</w:t>
            </w:r>
          </w:p>
        </w:tc>
        <w:tc>
          <w:tcPr>
            <w:tcW w:w="200" w:type="dxa"/>
            <w:vAlign w:val="bottom"/>
          </w:tcPr>
          <w:p>
            <w:pPr>
              <w:spacing w:after="0"/>
              <w:rPr>
                <w:sz w:val="11"/>
                <w:szCs w:val="11"/>
                <w:color w:val="auto"/>
              </w:rPr>
            </w:pP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-82.3%</w:t>
            </w:r>
          </w:p>
        </w:tc>
        <w:tc>
          <w:tcPr>
            <w:tcW w:w="98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140,529</w:t>
            </w:r>
          </w:p>
        </w:tc>
        <w:tc>
          <w:tcPr>
            <w:tcW w:w="120" w:type="dxa"/>
            <w:vAlign w:val="bottom"/>
          </w:tcPr>
          <w:p>
            <w:pPr>
              <w:spacing w:after="0"/>
              <w:rPr>
                <w:sz w:val="11"/>
                <w:szCs w:val="11"/>
                <w:color w:val="auto"/>
              </w:rPr>
            </w:pPr>
          </w:p>
        </w:tc>
        <w:tc>
          <w:tcPr>
            <w:tcW w:w="8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73,041</w:t>
            </w:r>
          </w:p>
        </w:tc>
        <w:tc>
          <w:tcPr>
            <w:tcW w:w="114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-48.0%</w:t>
            </w:r>
          </w:p>
        </w:tc>
      </w:tr>
      <w:tr>
        <w:trPr>
          <w:trHeight w:val="133"/>
        </w:trPr>
        <w:tc>
          <w:tcPr>
            <w:tcW w:w="304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color w:val="auto"/>
              </w:rPr>
              <w:t>Drafts and transfers</w:t>
            </w:r>
          </w:p>
        </w:tc>
        <w:tc>
          <w:tcPr>
            <w:tcW w:w="104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64,485</w:t>
            </w:r>
          </w:p>
        </w:tc>
        <w:tc>
          <w:tcPr>
            <w:tcW w:w="104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61,846</w:t>
            </w:r>
          </w:p>
        </w:tc>
        <w:tc>
          <w:tcPr>
            <w:tcW w:w="98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40,995</w:t>
            </w:r>
          </w:p>
        </w:tc>
        <w:tc>
          <w:tcPr>
            <w:tcW w:w="10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-33.7%</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-36.4%</w:t>
            </w:r>
          </w:p>
        </w:tc>
        <w:tc>
          <w:tcPr>
            <w:tcW w:w="98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124,717</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102,841</w:t>
            </w:r>
          </w:p>
        </w:tc>
        <w:tc>
          <w:tcPr>
            <w:tcW w:w="114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-17.5%</w:t>
            </w:r>
          </w:p>
        </w:tc>
      </w:tr>
      <w:tr>
        <w:trPr>
          <w:trHeight w:val="133"/>
        </w:trPr>
        <w:tc>
          <w:tcPr>
            <w:tcW w:w="3040" w:type="dxa"/>
            <w:vAlign w:val="bottom"/>
            <w:gridSpan w:val="2"/>
          </w:tcPr>
          <w:p>
            <w:pPr>
              <w:spacing w:after="0" w:line="134" w:lineRule="exact"/>
              <w:rPr>
                <w:sz w:val="20"/>
                <w:szCs w:val="20"/>
                <w:color w:val="auto"/>
              </w:rPr>
            </w:pPr>
            <w:r>
              <w:rPr>
                <w:rFonts w:ascii="Arial" w:cs="Arial" w:eastAsia="Arial" w:hAnsi="Arial"/>
                <w:sz w:val="12"/>
                <w:szCs w:val="12"/>
                <w:color w:val="auto"/>
              </w:rPr>
              <w:t>Personal loans (2)</w:t>
            </w:r>
          </w:p>
        </w:tc>
        <w:tc>
          <w:tcPr>
            <w:tcW w:w="104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24,918</w:t>
            </w:r>
          </w:p>
        </w:tc>
        <w:tc>
          <w:tcPr>
            <w:tcW w:w="104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28,352</w:t>
            </w:r>
          </w:p>
        </w:tc>
        <w:tc>
          <w:tcPr>
            <w:tcW w:w="98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11,298</w:t>
            </w:r>
          </w:p>
        </w:tc>
        <w:tc>
          <w:tcPr>
            <w:tcW w:w="10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-60.2%</w:t>
            </w:r>
          </w:p>
        </w:tc>
        <w:tc>
          <w:tcPr>
            <w:tcW w:w="200" w:type="dxa"/>
            <w:vAlign w:val="bottom"/>
          </w:tcPr>
          <w:p>
            <w:pPr>
              <w:spacing w:after="0"/>
              <w:rPr>
                <w:sz w:val="11"/>
                <w:szCs w:val="11"/>
                <w:color w:val="auto"/>
              </w:rPr>
            </w:pP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-54.7%</w:t>
            </w:r>
          </w:p>
        </w:tc>
        <w:tc>
          <w:tcPr>
            <w:tcW w:w="98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48,508</w:t>
            </w:r>
          </w:p>
        </w:tc>
        <w:tc>
          <w:tcPr>
            <w:tcW w:w="120" w:type="dxa"/>
            <w:vAlign w:val="bottom"/>
          </w:tcPr>
          <w:p>
            <w:pPr>
              <w:spacing w:after="0"/>
              <w:rPr>
                <w:sz w:val="11"/>
                <w:szCs w:val="11"/>
                <w:color w:val="auto"/>
              </w:rPr>
            </w:pPr>
          </w:p>
        </w:tc>
        <w:tc>
          <w:tcPr>
            <w:tcW w:w="8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39,650</w:t>
            </w:r>
          </w:p>
        </w:tc>
        <w:tc>
          <w:tcPr>
            <w:tcW w:w="114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-18.3%</w:t>
            </w:r>
          </w:p>
        </w:tc>
      </w:tr>
      <w:tr>
        <w:trPr>
          <w:trHeight w:val="133"/>
        </w:trPr>
        <w:tc>
          <w:tcPr>
            <w:tcW w:w="304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color w:val="auto"/>
              </w:rPr>
              <w:t>SME loans (2)</w:t>
            </w:r>
          </w:p>
        </w:tc>
        <w:tc>
          <w:tcPr>
            <w:tcW w:w="104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16,971</w:t>
            </w:r>
          </w:p>
        </w:tc>
        <w:tc>
          <w:tcPr>
            <w:tcW w:w="104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18,808</w:t>
            </w:r>
          </w:p>
        </w:tc>
        <w:tc>
          <w:tcPr>
            <w:tcW w:w="98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6,450</w:t>
            </w:r>
          </w:p>
        </w:tc>
        <w:tc>
          <w:tcPr>
            <w:tcW w:w="10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-65.7%</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-62.0%</w:t>
            </w:r>
          </w:p>
        </w:tc>
        <w:tc>
          <w:tcPr>
            <w:tcW w:w="98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35,535</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25,258</w:t>
            </w:r>
          </w:p>
        </w:tc>
        <w:tc>
          <w:tcPr>
            <w:tcW w:w="114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-28.9%</w:t>
            </w:r>
          </w:p>
        </w:tc>
      </w:tr>
      <w:tr>
        <w:trPr>
          <w:trHeight w:val="133"/>
        </w:trPr>
        <w:tc>
          <w:tcPr>
            <w:tcW w:w="3040" w:type="dxa"/>
            <w:vAlign w:val="bottom"/>
            <w:gridSpan w:val="2"/>
          </w:tcPr>
          <w:p>
            <w:pPr>
              <w:spacing w:after="0" w:line="134" w:lineRule="exact"/>
              <w:rPr>
                <w:sz w:val="20"/>
                <w:szCs w:val="20"/>
                <w:color w:val="auto"/>
              </w:rPr>
            </w:pPr>
            <w:r>
              <w:rPr>
                <w:rFonts w:ascii="Arial" w:cs="Arial" w:eastAsia="Arial" w:hAnsi="Arial"/>
                <w:sz w:val="12"/>
                <w:szCs w:val="12"/>
                <w:color w:val="auto"/>
              </w:rPr>
              <w:t>Insurance (2)</w:t>
            </w:r>
          </w:p>
        </w:tc>
        <w:tc>
          <w:tcPr>
            <w:tcW w:w="104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23,549</w:t>
            </w:r>
          </w:p>
        </w:tc>
        <w:tc>
          <w:tcPr>
            <w:tcW w:w="104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25,179</w:t>
            </w:r>
          </w:p>
        </w:tc>
        <w:tc>
          <w:tcPr>
            <w:tcW w:w="98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22,747</w:t>
            </w:r>
          </w:p>
        </w:tc>
        <w:tc>
          <w:tcPr>
            <w:tcW w:w="10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-9.7%</w:t>
            </w:r>
          </w:p>
        </w:tc>
        <w:tc>
          <w:tcPr>
            <w:tcW w:w="200" w:type="dxa"/>
            <w:vAlign w:val="bottom"/>
          </w:tcPr>
          <w:p>
            <w:pPr>
              <w:spacing w:after="0"/>
              <w:rPr>
                <w:sz w:val="11"/>
                <w:szCs w:val="11"/>
                <w:color w:val="auto"/>
              </w:rPr>
            </w:pP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-3.4%</w:t>
            </w:r>
          </w:p>
        </w:tc>
        <w:tc>
          <w:tcPr>
            <w:tcW w:w="98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45,759</w:t>
            </w:r>
          </w:p>
        </w:tc>
        <w:tc>
          <w:tcPr>
            <w:tcW w:w="120" w:type="dxa"/>
            <w:vAlign w:val="bottom"/>
          </w:tcPr>
          <w:p>
            <w:pPr>
              <w:spacing w:after="0"/>
              <w:rPr>
                <w:sz w:val="11"/>
                <w:szCs w:val="11"/>
                <w:color w:val="auto"/>
              </w:rPr>
            </w:pPr>
          </w:p>
        </w:tc>
        <w:tc>
          <w:tcPr>
            <w:tcW w:w="8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47,926</w:t>
            </w:r>
          </w:p>
        </w:tc>
        <w:tc>
          <w:tcPr>
            <w:tcW w:w="114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4.7%</w:t>
            </w:r>
          </w:p>
        </w:tc>
      </w:tr>
      <w:tr>
        <w:trPr>
          <w:trHeight w:val="133"/>
        </w:trPr>
        <w:tc>
          <w:tcPr>
            <w:tcW w:w="304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color w:val="auto"/>
              </w:rPr>
              <w:t>Mortgage loans (2)</w:t>
            </w:r>
          </w:p>
        </w:tc>
        <w:tc>
          <w:tcPr>
            <w:tcW w:w="8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9,738</w:t>
            </w:r>
          </w:p>
        </w:tc>
        <w:tc>
          <w:tcPr>
            <w:tcW w:w="2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9,402</w:t>
            </w:r>
          </w:p>
        </w:tc>
        <w:tc>
          <w:tcPr>
            <w:tcW w:w="98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-870</w:t>
            </w:r>
          </w:p>
        </w:tc>
        <w:tc>
          <w:tcPr>
            <w:tcW w:w="10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-109.3%</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-108.9%</w:t>
            </w:r>
          </w:p>
        </w:tc>
        <w:tc>
          <w:tcPr>
            <w:tcW w:w="98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19,166</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8,531</w:t>
            </w:r>
          </w:p>
        </w:tc>
        <w:tc>
          <w:tcPr>
            <w:tcW w:w="114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-55.5%</w:t>
            </w:r>
          </w:p>
        </w:tc>
      </w:tr>
      <w:tr>
        <w:trPr>
          <w:trHeight w:val="133"/>
        </w:trPr>
        <w:tc>
          <w:tcPr>
            <w:tcW w:w="3040" w:type="dxa"/>
            <w:vAlign w:val="bottom"/>
            <w:gridSpan w:val="2"/>
          </w:tcPr>
          <w:p>
            <w:pPr>
              <w:spacing w:after="0" w:line="134" w:lineRule="exact"/>
              <w:rPr>
                <w:sz w:val="20"/>
                <w:szCs w:val="20"/>
                <w:color w:val="auto"/>
              </w:rPr>
            </w:pPr>
            <w:r>
              <w:rPr>
                <w:rFonts w:ascii="Arial" w:cs="Arial" w:eastAsia="Arial" w:hAnsi="Arial"/>
                <w:sz w:val="12"/>
                <w:szCs w:val="12"/>
                <w:color w:val="auto"/>
              </w:rPr>
              <w:t>Off-balance sheet (3)</w:t>
            </w:r>
          </w:p>
        </w:tc>
        <w:tc>
          <w:tcPr>
            <w:tcW w:w="104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47,869</w:t>
            </w:r>
          </w:p>
        </w:tc>
        <w:tc>
          <w:tcPr>
            <w:tcW w:w="104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50,093</w:t>
            </w:r>
          </w:p>
        </w:tc>
        <w:tc>
          <w:tcPr>
            <w:tcW w:w="98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49,231</w:t>
            </w:r>
          </w:p>
        </w:tc>
        <w:tc>
          <w:tcPr>
            <w:tcW w:w="10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-1.7%</w:t>
            </w:r>
          </w:p>
        </w:tc>
        <w:tc>
          <w:tcPr>
            <w:tcW w:w="200" w:type="dxa"/>
            <w:vAlign w:val="bottom"/>
          </w:tcPr>
          <w:p>
            <w:pPr>
              <w:spacing w:after="0"/>
              <w:rPr>
                <w:sz w:val="11"/>
                <w:szCs w:val="11"/>
                <w:color w:val="auto"/>
              </w:rPr>
            </w:pP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2.8%</w:t>
            </w:r>
          </w:p>
        </w:tc>
        <w:tc>
          <w:tcPr>
            <w:tcW w:w="98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95,171</w:t>
            </w:r>
          </w:p>
        </w:tc>
        <w:tc>
          <w:tcPr>
            <w:tcW w:w="120" w:type="dxa"/>
            <w:vAlign w:val="bottom"/>
          </w:tcPr>
          <w:p>
            <w:pPr>
              <w:spacing w:after="0"/>
              <w:rPr>
                <w:sz w:val="11"/>
                <w:szCs w:val="11"/>
                <w:color w:val="auto"/>
              </w:rPr>
            </w:pPr>
          </w:p>
        </w:tc>
        <w:tc>
          <w:tcPr>
            <w:tcW w:w="8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99,324</w:t>
            </w:r>
          </w:p>
        </w:tc>
        <w:tc>
          <w:tcPr>
            <w:tcW w:w="114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4.4%</w:t>
            </w:r>
          </w:p>
        </w:tc>
      </w:tr>
      <w:tr>
        <w:trPr>
          <w:trHeight w:val="133"/>
        </w:trPr>
        <w:tc>
          <w:tcPr>
            <w:tcW w:w="304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color w:val="auto"/>
              </w:rPr>
              <w:t>Payments and collections (3)</w:t>
            </w:r>
          </w:p>
        </w:tc>
        <w:tc>
          <w:tcPr>
            <w:tcW w:w="8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104,948</w:t>
            </w:r>
          </w:p>
        </w:tc>
        <w:tc>
          <w:tcPr>
            <w:tcW w:w="2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101,283</w:t>
            </w:r>
          </w:p>
        </w:tc>
        <w:tc>
          <w:tcPr>
            <w:tcW w:w="98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82,325</w:t>
            </w:r>
          </w:p>
        </w:tc>
        <w:tc>
          <w:tcPr>
            <w:tcW w:w="10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-18.7%</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-21.6%</w:t>
            </w:r>
          </w:p>
        </w:tc>
        <w:tc>
          <w:tcPr>
            <w:tcW w:w="98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208,711</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183,608</w:t>
            </w:r>
          </w:p>
        </w:tc>
        <w:tc>
          <w:tcPr>
            <w:tcW w:w="114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-12.0%</w:t>
            </w:r>
          </w:p>
        </w:tc>
      </w:tr>
      <w:tr>
        <w:trPr>
          <w:trHeight w:val="133"/>
        </w:trPr>
        <w:tc>
          <w:tcPr>
            <w:tcW w:w="3040" w:type="dxa"/>
            <w:vAlign w:val="bottom"/>
            <w:gridSpan w:val="2"/>
          </w:tcPr>
          <w:p>
            <w:pPr>
              <w:spacing w:after="0" w:line="134" w:lineRule="exact"/>
              <w:rPr>
                <w:sz w:val="20"/>
                <w:szCs w:val="20"/>
                <w:color w:val="auto"/>
              </w:rPr>
            </w:pPr>
            <w:r>
              <w:rPr>
                <w:rFonts w:ascii="Arial" w:cs="Arial" w:eastAsia="Arial" w:hAnsi="Arial"/>
                <w:sz w:val="12"/>
                <w:szCs w:val="12"/>
                <w:color w:val="auto"/>
              </w:rPr>
              <w:t>Commercial loans (3)(4)</w:t>
            </w:r>
          </w:p>
        </w:tc>
        <w:tc>
          <w:tcPr>
            <w:tcW w:w="104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20,725</w:t>
            </w:r>
          </w:p>
        </w:tc>
        <w:tc>
          <w:tcPr>
            <w:tcW w:w="104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17,978</w:t>
            </w:r>
          </w:p>
        </w:tc>
        <w:tc>
          <w:tcPr>
            <w:tcW w:w="98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10,448</w:t>
            </w:r>
          </w:p>
        </w:tc>
        <w:tc>
          <w:tcPr>
            <w:tcW w:w="10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-41.9%</w:t>
            </w:r>
          </w:p>
        </w:tc>
        <w:tc>
          <w:tcPr>
            <w:tcW w:w="200" w:type="dxa"/>
            <w:vAlign w:val="bottom"/>
          </w:tcPr>
          <w:p>
            <w:pPr>
              <w:spacing w:after="0"/>
              <w:rPr>
                <w:sz w:val="11"/>
                <w:szCs w:val="11"/>
                <w:color w:val="auto"/>
              </w:rPr>
            </w:pP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-49.6%</w:t>
            </w:r>
          </w:p>
        </w:tc>
        <w:tc>
          <w:tcPr>
            <w:tcW w:w="98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43,148</w:t>
            </w:r>
          </w:p>
        </w:tc>
        <w:tc>
          <w:tcPr>
            <w:tcW w:w="120" w:type="dxa"/>
            <w:vAlign w:val="bottom"/>
          </w:tcPr>
          <w:p>
            <w:pPr>
              <w:spacing w:after="0"/>
              <w:rPr>
                <w:sz w:val="11"/>
                <w:szCs w:val="11"/>
                <w:color w:val="auto"/>
              </w:rPr>
            </w:pPr>
          </w:p>
        </w:tc>
        <w:tc>
          <w:tcPr>
            <w:tcW w:w="8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28,426</w:t>
            </w:r>
          </w:p>
        </w:tc>
        <w:tc>
          <w:tcPr>
            <w:tcW w:w="114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-34.1%</w:t>
            </w:r>
          </w:p>
        </w:tc>
      </w:tr>
      <w:tr>
        <w:trPr>
          <w:trHeight w:val="133"/>
        </w:trPr>
        <w:tc>
          <w:tcPr>
            <w:tcW w:w="304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color w:val="auto"/>
              </w:rPr>
              <w:t>Foreign trade (3)</w:t>
            </w:r>
          </w:p>
        </w:tc>
        <w:tc>
          <w:tcPr>
            <w:tcW w:w="104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13,849</w:t>
            </w:r>
          </w:p>
        </w:tc>
        <w:tc>
          <w:tcPr>
            <w:tcW w:w="104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11,576</w:t>
            </w:r>
          </w:p>
        </w:tc>
        <w:tc>
          <w:tcPr>
            <w:tcW w:w="98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9,960</w:t>
            </w:r>
          </w:p>
        </w:tc>
        <w:tc>
          <w:tcPr>
            <w:tcW w:w="10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-14.0%</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-28.1%</w:t>
            </w:r>
          </w:p>
        </w:tc>
        <w:tc>
          <w:tcPr>
            <w:tcW w:w="98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28,797</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21,536</w:t>
            </w:r>
          </w:p>
        </w:tc>
        <w:tc>
          <w:tcPr>
            <w:tcW w:w="114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-25.2%</w:t>
            </w:r>
          </w:p>
        </w:tc>
      </w:tr>
      <w:tr>
        <w:trPr>
          <w:trHeight w:val="133"/>
        </w:trPr>
        <w:tc>
          <w:tcPr>
            <w:tcW w:w="3040" w:type="dxa"/>
            <w:vAlign w:val="bottom"/>
            <w:gridSpan w:val="2"/>
          </w:tcPr>
          <w:p>
            <w:pPr>
              <w:spacing w:after="0" w:line="134" w:lineRule="exact"/>
              <w:rPr>
                <w:sz w:val="20"/>
                <w:szCs w:val="20"/>
                <w:color w:val="auto"/>
              </w:rPr>
            </w:pPr>
            <w:r>
              <w:rPr>
                <w:rFonts w:ascii="Arial" w:cs="Arial" w:eastAsia="Arial" w:hAnsi="Arial"/>
                <w:sz w:val="12"/>
                <w:szCs w:val="12"/>
                <w:color w:val="auto"/>
              </w:rPr>
              <w:t>Corporate finance and mutual funds (4)</w:t>
            </w:r>
          </w:p>
        </w:tc>
        <w:tc>
          <w:tcPr>
            <w:tcW w:w="104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21,844</w:t>
            </w:r>
          </w:p>
        </w:tc>
        <w:tc>
          <w:tcPr>
            <w:tcW w:w="104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16,673</w:t>
            </w:r>
          </w:p>
        </w:tc>
        <w:tc>
          <w:tcPr>
            <w:tcW w:w="98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12,151</w:t>
            </w:r>
          </w:p>
        </w:tc>
        <w:tc>
          <w:tcPr>
            <w:tcW w:w="10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-27.1%</w:t>
            </w:r>
          </w:p>
        </w:tc>
        <w:tc>
          <w:tcPr>
            <w:tcW w:w="200" w:type="dxa"/>
            <w:vAlign w:val="bottom"/>
          </w:tcPr>
          <w:p>
            <w:pPr>
              <w:spacing w:after="0"/>
              <w:rPr>
                <w:sz w:val="11"/>
                <w:szCs w:val="11"/>
                <w:color w:val="auto"/>
              </w:rPr>
            </w:pP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-44.4%</w:t>
            </w:r>
          </w:p>
        </w:tc>
        <w:tc>
          <w:tcPr>
            <w:tcW w:w="98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36,872</w:t>
            </w:r>
          </w:p>
        </w:tc>
        <w:tc>
          <w:tcPr>
            <w:tcW w:w="120" w:type="dxa"/>
            <w:vAlign w:val="bottom"/>
          </w:tcPr>
          <w:p>
            <w:pPr>
              <w:spacing w:after="0"/>
              <w:rPr>
                <w:sz w:val="11"/>
                <w:szCs w:val="11"/>
                <w:color w:val="auto"/>
              </w:rPr>
            </w:pPr>
          </w:p>
        </w:tc>
        <w:tc>
          <w:tcPr>
            <w:tcW w:w="8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28,825</w:t>
            </w:r>
          </w:p>
        </w:tc>
        <w:tc>
          <w:tcPr>
            <w:tcW w:w="114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-21.8%</w:t>
            </w:r>
          </w:p>
        </w:tc>
      </w:tr>
      <w:tr>
        <w:trPr>
          <w:trHeight w:val="133"/>
        </w:trPr>
        <w:tc>
          <w:tcPr>
            <w:tcW w:w="304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color w:val="auto"/>
              </w:rPr>
              <w:t>ASB (4)</w:t>
            </w:r>
          </w:p>
        </w:tc>
        <w:tc>
          <w:tcPr>
            <w:tcW w:w="104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11,915</w:t>
            </w:r>
          </w:p>
        </w:tc>
        <w:tc>
          <w:tcPr>
            <w:tcW w:w="104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8,412</w:t>
            </w:r>
          </w:p>
        </w:tc>
        <w:tc>
          <w:tcPr>
            <w:tcW w:w="98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6,772</w:t>
            </w:r>
          </w:p>
        </w:tc>
        <w:tc>
          <w:tcPr>
            <w:tcW w:w="10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-19.5%</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-43.2%</w:t>
            </w:r>
          </w:p>
        </w:tc>
        <w:tc>
          <w:tcPr>
            <w:tcW w:w="98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22,186</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15,184</w:t>
            </w:r>
          </w:p>
        </w:tc>
        <w:tc>
          <w:tcPr>
            <w:tcW w:w="114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-31.6%</w:t>
            </w:r>
          </w:p>
        </w:tc>
      </w:tr>
      <w:tr>
        <w:trPr>
          <w:trHeight w:val="133"/>
        </w:trPr>
        <w:tc>
          <w:tcPr>
            <w:tcW w:w="3040" w:type="dxa"/>
            <w:vAlign w:val="bottom"/>
            <w:gridSpan w:val="2"/>
          </w:tcPr>
          <w:p>
            <w:pPr>
              <w:spacing w:after="0" w:line="134" w:lineRule="exact"/>
              <w:rPr>
                <w:sz w:val="20"/>
                <w:szCs w:val="20"/>
                <w:color w:val="auto"/>
              </w:rPr>
            </w:pPr>
            <w:r>
              <w:rPr>
                <w:rFonts w:ascii="Arial" w:cs="Arial" w:eastAsia="Arial" w:hAnsi="Arial"/>
                <w:sz w:val="12"/>
                <w:szCs w:val="12"/>
                <w:color w:val="auto"/>
              </w:rPr>
              <w:t>Others (4)(5)</w:t>
            </w:r>
          </w:p>
        </w:tc>
        <w:tc>
          <w:tcPr>
            <w:tcW w:w="104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73,382</w:t>
            </w:r>
          </w:p>
        </w:tc>
        <w:tc>
          <w:tcPr>
            <w:tcW w:w="104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62,067</w:t>
            </w:r>
          </w:p>
        </w:tc>
        <w:tc>
          <w:tcPr>
            <w:tcW w:w="98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29,633</w:t>
            </w:r>
          </w:p>
        </w:tc>
        <w:tc>
          <w:tcPr>
            <w:tcW w:w="10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-52.3%</w:t>
            </w:r>
          </w:p>
        </w:tc>
        <w:tc>
          <w:tcPr>
            <w:tcW w:w="200" w:type="dxa"/>
            <w:vAlign w:val="bottom"/>
          </w:tcPr>
          <w:p>
            <w:pPr>
              <w:spacing w:after="0"/>
              <w:rPr>
                <w:sz w:val="11"/>
                <w:szCs w:val="11"/>
                <w:color w:val="auto"/>
              </w:rPr>
            </w:pPr>
          </w:p>
        </w:tc>
        <w:tc>
          <w:tcPr>
            <w:tcW w:w="8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-59.6%</w:t>
            </w:r>
          </w:p>
        </w:tc>
        <w:tc>
          <w:tcPr>
            <w:tcW w:w="98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143,218</w:t>
            </w:r>
          </w:p>
        </w:tc>
        <w:tc>
          <w:tcPr>
            <w:tcW w:w="120" w:type="dxa"/>
            <w:vAlign w:val="bottom"/>
          </w:tcPr>
          <w:p>
            <w:pPr>
              <w:spacing w:after="0"/>
              <w:rPr>
                <w:sz w:val="11"/>
                <w:szCs w:val="11"/>
                <w:color w:val="auto"/>
              </w:rPr>
            </w:pPr>
          </w:p>
        </w:tc>
        <w:tc>
          <w:tcPr>
            <w:tcW w:w="8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91,700</w:t>
            </w:r>
          </w:p>
        </w:tc>
        <w:tc>
          <w:tcPr>
            <w:tcW w:w="114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-36.0%</w:t>
            </w:r>
          </w:p>
        </w:tc>
      </w:tr>
      <w:tr>
        <w:trPr>
          <w:trHeight w:val="133"/>
        </w:trPr>
        <w:tc>
          <w:tcPr>
            <w:tcW w:w="304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fee income</w:t>
            </w:r>
          </w:p>
        </w:tc>
        <w:tc>
          <w:tcPr>
            <w:tcW w:w="8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674,954</w:t>
            </w:r>
          </w:p>
        </w:tc>
        <w:tc>
          <w:tcPr>
            <w:tcW w:w="2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b w:val="1"/>
                <w:bCs w:val="1"/>
                <w:color w:val="auto"/>
              </w:rPr>
              <w:t>637,067</w:t>
            </w:r>
          </w:p>
        </w:tc>
        <w:tc>
          <w:tcPr>
            <w:tcW w:w="98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b w:val="1"/>
                <w:bCs w:val="1"/>
                <w:color w:val="auto"/>
              </w:rPr>
              <w:t>409,332</w:t>
            </w:r>
          </w:p>
        </w:tc>
        <w:tc>
          <w:tcPr>
            <w:tcW w:w="102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b w:val="1"/>
                <w:bCs w:val="1"/>
                <w:color w:val="auto"/>
              </w:rPr>
              <w:t>-35.7%</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b w:val="1"/>
                <w:bCs w:val="1"/>
                <w:color w:val="auto"/>
              </w:rPr>
              <w:t>-39.4%</w:t>
            </w:r>
          </w:p>
        </w:tc>
        <w:tc>
          <w:tcPr>
            <w:tcW w:w="98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b w:val="1"/>
                <w:bCs w:val="1"/>
                <w:color w:val="auto"/>
              </w:rPr>
              <w:t>1,339,566</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1,046,399</w:t>
            </w:r>
          </w:p>
        </w:tc>
        <w:tc>
          <w:tcPr>
            <w:tcW w:w="2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-21.9%</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BCP</w:t>
      </w:r>
    </w:p>
    <w:p>
      <w:pPr>
        <w:ind w:left="180" w:hanging="173"/>
        <w:spacing w:after="0" w:line="232" w:lineRule="auto"/>
        <w:tabs>
          <w:tab w:leader="none" w:pos="1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Saving accounts, current accounts, debit card and master account.</w:t>
      </w:r>
    </w:p>
    <w:p>
      <w:pPr>
        <w:ind w:left="180" w:hanging="173"/>
        <w:spacing w:after="0" w:line="232" w:lineRule="auto"/>
        <w:tabs>
          <w:tab w:leader="none" w:pos="1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Mainly Retail fees.</w:t>
      </w:r>
    </w:p>
    <w:p>
      <w:pPr>
        <w:ind w:left="180" w:hanging="173"/>
        <w:spacing w:after="0" w:line="232" w:lineRule="auto"/>
        <w:tabs>
          <w:tab w:leader="none" w:pos="1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Mainly Wholesale fees.</w:t>
      </w:r>
    </w:p>
    <w:p>
      <w:pPr>
        <w:ind w:left="180" w:hanging="173"/>
        <w:spacing w:after="0" w:line="232" w:lineRule="auto"/>
        <w:tabs>
          <w:tab w:leader="none" w:pos="1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Figures differ from previously reported, please consider the data presented on this report.</w:t>
      </w:r>
    </w:p>
    <w:p>
      <w:pPr>
        <w:ind w:left="180" w:hanging="173"/>
        <w:spacing w:after="0"/>
        <w:tabs>
          <w:tab w:leader="none" w:pos="1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Includes fees from BCP Bolivia, Mibanco, network usage and other services to third parties, among others.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the </w:t>
      </w:r>
      <w:r>
        <w:rPr>
          <w:rFonts w:ascii="Arial" w:cs="Arial" w:eastAsia="Arial" w:hAnsi="Arial"/>
          <w:sz w:val="16"/>
          <w:szCs w:val="16"/>
          <w:b w:val="1"/>
          <w:bCs w:val="1"/>
          <w:color w:val="auto"/>
        </w:rPr>
        <w:t>QoQ analysis,</w:t>
      </w:r>
      <w:r>
        <w:rPr>
          <w:rFonts w:ascii="Arial" w:cs="Arial" w:eastAsia="Arial" w:hAnsi="Arial"/>
          <w:sz w:val="16"/>
          <w:szCs w:val="16"/>
          <w:color w:val="auto"/>
        </w:rPr>
        <w:t xml:space="preserve"> fee income in the banking business fell -35.7% QoQ. The components that registered the highest contraction in the quarter were:</w:t>
      </w:r>
    </w:p>
    <w:p>
      <w:pPr>
        <w:spacing w:after="0" w:line="243" w:lineRule="exact"/>
        <w:rPr>
          <w:sz w:val="20"/>
          <w:szCs w:val="20"/>
          <w:color w:val="auto"/>
        </w:rPr>
      </w:pPr>
    </w:p>
    <w:p>
      <w:pPr>
        <w:jc w:val="both"/>
        <w:ind w:left="880" w:hanging="500"/>
        <w:spacing w:after="0" w:line="261"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Miscellaneous accounts</w:t>
      </w:r>
      <w:r>
        <w:rPr>
          <w:rFonts w:ascii="Arial" w:cs="Arial" w:eastAsia="Arial" w:hAnsi="Arial"/>
          <w:sz w:val="18"/>
          <w:szCs w:val="18"/>
          <w:color w:val="auto"/>
        </w:rPr>
        <w:t>, primarily for (i) Debit cards, due to a decrease in fees for card placement and cash withdrawals and, to a lesser extent,</w:t>
      </w:r>
      <w:r>
        <w:rPr>
          <w:rFonts w:ascii="Arial" w:cs="Arial" w:eastAsia="Arial" w:hAnsi="Arial"/>
          <w:sz w:val="18"/>
          <w:szCs w:val="18"/>
          <w:b w:val="1"/>
          <w:bCs w:val="1"/>
          <w:color w:val="auto"/>
        </w:rPr>
        <w:t xml:space="preserve"> </w:t>
      </w:r>
      <w:r>
        <w:rPr>
          <w:rFonts w:ascii="Arial" w:cs="Arial" w:eastAsia="Arial" w:hAnsi="Arial"/>
          <w:sz w:val="18"/>
          <w:szCs w:val="18"/>
          <w:color w:val="auto"/>
        </w:rPr>
        <w:t>to a decrease in fees for (ii) Savings accounts and (iii) Current accounts. The contraction in the last two is due to a drop in income for account maintenance and a decrease in transactions.</w:t>
      </w:r>
    </w:p>
    <w:p>
      <w:pPr>
        <w:spacing w:after="0" w:line="178" w:lineRule="exact"/>
        <w:rPr>
          <w:rFonts w:ascii="Arial" w:cs="Arial" w:eastAsia="Arial" w:hAnsi="Arial"/>
          <w:sz w:val="18"/>
          <w:szCs w:val="18"/>
          <w:color w:val="auto"/>
        </w:rPr>
      </w:pPr>
    </w:p>
    <w:p>
      <w:pPr>
        <w:jc w:val="both"/>
        <w:ind w:left="880" w:hanging="500"/>
        <w:spacing w:after="0" w:line="261"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Credit cards</w:t>
      </w:r>
      <w:r>
        <w:rPr>
          <w:rFonts w:ascii="Arial" w:cs="Arial" w:eastAsia="Arial" w:hAnsi="Arial"/>
          <w:sz w:val="18"/>
          <w:szCs w:val="18"/>
          <w:color w:val="auto"/>
        </w:rPr>
        <w:t>, attributable to (i) merchant-fee, associated with a reduction in fees paid by establishments that experienced a decline in billing,</w:t>
      </w:r>
      <w:r>
        <w:rPr>
          <w:rFonts w:ascii="Arial" w:cs="Arial" w:eastAsia="Arial" w:hAnsi="Arial"/>
          <w:sz w:val="18"/>
          <w:szCs w:val="18"/>
          <w:b w:val="1"/>
          <w:bCs w:val="1"/>
          <w:color w:val="auto"/>
        </w:rPr>
        <w:t xml:space="preserve"> </w:t>
      </w:r>
      <w:r>
        <w:rPr>
          <w:rFonts w:ascii="Arial" w:cs="Arial" w:eastAsia="Arial" w:hAnsi="Arial"/>
          <w:sz w:val="18"/>
          <w:szCs w:val="18"/>
          <w:color w:val="auto"/>
        </w:rPr>
        <w:t>(ii) lower fees for late payment penalties from clients who requested skips or debt freezing, and (iii) a decrease in membership fees (collections delayed until July).</w:t>
      </w:r>
    </w:p>
    <w:p>
      <w:pPr>
        <w:spacing w:after="0" w:line="178" w:lineRule="exact"/>
        <w:rPr>
          <w:rFonts w:ascii="Arial" w:cs="Arial" w:eastAsia="Arial" w:hAnsi="Arial"/>
          <w:sz w:val="18"/>
          <w:szCs w:val="18"/>
          <w:color w:val="auto"/>
        </w:rPr>
      </w:pPr>
    </w:p>
    <w:p>
      <w:pPr>
        <w:ind w:left="880" w:hanging="500"/>
        <w:spacing w:after="0"/>
        <w:tabs>
          <w:tab w:leader="none" w:pos="880" w:val="left"/>
        </w:tabs>
        <w:numPr>
          <w:ilvl w:val="0"/>
          <w:numId w:val="61"/>
        </w:numPr>
        <w:rPr>
          <w:rFonts w:ascii="Arial" w:cs="Arial" w:eastAsia="Arial" w:hAnsi="Arial"/>
          <w:sz w:val="17"/>
          <w:szCs w:val="17"/>
          <w:color w:val="auto"/>
        </w:rPr>
      </w:pPr>
      <w:r>
        <w:rPr>
          <w:rFonts w:ascii="Arial" w:cs="Arial" w:eastAsia="Arial" w:hAnsi="Arial"/>
          <w:sz w:val="17"/>
          <w:szCs w:val="17"/>
          <w:b w:val="1"/>
          <w:bCs w:val="1"/>
          <w:color w:val="auto"/>
        </w:rPr>
        <w:t xml:space="preserve">Others, </w:t>
      </w:r>
      <w:r>
        <w:rPr>
          <w:rFonts w:ascii="Arial" w:cs="Arial" w:eastAsia="Arial" w:hAnsi="Arial"/>
          <w:sz w:val="17"/>
          <w:szCs w:val="17"/>
          <w:color w:val="auto"/>
        </w:rPr>
        <w:t>mainly at Mibanco, which accounts for 71% of the total contraction in this item due to a drop in fees for late payment penalties.</w:t>
      </w:r>
    </w:p>
    <w:p>
      <w:pPr>
        <w:spacing w:after="0" w:line="231" w:lineRule="exact"/>
        <w:rPr>
          <w:rFonts w:ascii="Arial" w:cs="Arial" w:eastAsia="Arial" w:hAnsi="Arial"/>
          <w:sz w:val="17"/>
          <w:szCs w:val="17"/>
          <w:color w:val="auto"/>
        </w:rPr>
      </w:pPr>
    </w:p>
    <w:p>
      <w:pPr>
        <w:ind w:left="880" w:hanging="500"/>
        <w:spacing w:after="0" w:line="274"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Drafts and transfers</w:t>
      </w:r>
      <w:r>
        <w:rPr>
          <w:rFonts w:ascii="Arial" w:cs="Arial" w:eastAsia="Arial" w:hAnsi="Arial"/>
          <w:sz w:val="18"/>
          <w:szCs w:val="18"/>
          <w:color w:val="auto"/>
        </w:rPr>
        <w:t>, after no-cost national drafts were offered to clients. It is important to note that in the months of May and June, an uptick</w:t>
      </w:r>
      <w:r>
        <w:rPr>
          <w:rFonts w:ascii="Arial" w:cs="Arial" w:eastAsia="Arial" w:hAnsi="Arial"/>
          <w:sz w:val="18"/>
          <w:szCs w:val="18"/>
          <w:b w:val="1"/>
          <w:bCs w:val="1"/>
          <w:color w:val="auto"/>
        </w:rPr>
        <w:t xml:space="preserve"> </w:t>
      </w:r>
      <w:r>
        <w:rPr>
          <w:rFonts w:ascii="Arial" w:cs="Arial" w:eastAsia="Arial" w:hAnsi="Arial"/>
          <w:sz w:val="18"/>
          <w:szCs w:val="18"/>
          <w:color w:val="auto"/>
        </w:rPr>
        <w:t>was registered in the transactions volume.</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and YTD analysis,</w:t>
      </w:r>
      <w:r>
        <w:rPr>
          <w:rFonts w:ascii="Arial" w:cs="Arial" w:eastAsia="Arial" w:hAnsi="Arial"/>
          <w:sz w:val="18"/>
          <w:szCs w:val="18"/>
          <w:color w:val="auto"/>
        </w:rPr>
        <w:t xml:space="preserve"> the contractions observed, which were -39.4% and -21.9% respectively, were primarily attributable to the same accounts responsible for the contractions in the quarterly analysis. These decreases were also due, although to a lesser extent, to </w:t>
      </w:r>
      <w:r>
        <w:rPr>
          <w:rFonts w:ascii="Arial" w:cs="Arial" w:eastAsia="Arial" w:hAnsi="Arial"/>
          <w:sz w:val="18"/>
          <w:szCs w:val="18"/>
          <w:b w:val="1"/>
          <w:bCs w:val="1"/>
          <w:color w:val="auto"/>
        </w:rPr>
        <w:t>Collections and payments</w:t>
      </w:r>
      <w:r>
        <w:rPr>
          <w:rFonts w:ascii="Arial" w:cs="Arial" w:eastAsia="Arial" w:hAnsi="Arial"/>
          <w:sz w:val="18"/>
          <w:szCs w:val="18"/>
          <w:color w:val="auto"/>
        </w:rPr>
        <w:t>, which registered a decline due to a drop in collections and retention of guarantees and invoices.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It is important to note that the variations in fee income as of June 2020 versus similar periods in 2019 are generally attributable to COVID-19, given that the quarantine led to a drop in transactional activity that was visible throughout 2Q20. This, coupled with the group’s decision to offer clients at the subsidiary level facilities or exonerations to deal with fallout from the pandemic, had a major impact on fee income. Another factor that impacted fee income, this time on the positive note, was client migration to digital and cost-efficient channels, which reflects the group’s strategy to build a profitable and efficacious client service network.</w:t>
      </w:r>
    </w:p>
    <w:p>
      <w:pPr>
        <w:spacing w:after="0" w:line="200" w:lineRule="exact"/>
        <w:rPr>
          <w:sz w:val="20"/>
          <w:szCs w:val="20"/>
          <w:color w:val="auto"/>
        </w:rPr>
      </w:pPr>
    </w:p>
    <w:p>
      <w:pPr>
        <w:spacing w:after="0" w:line="203"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6. Insurance Underwriting Result</w:t>
      </w:r>
    </w:p>
    <w:p>
      <w:pPr>
        <w:spacing w:after="0" w:line="2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The insurance underwriting result registered a drop of 4.4% QoQ, which was mainly attributable to a decrease in net earned premiums for both P&amp;C and Life insurance, which was mitigated by a decrease in claims in P&amp;C and lower acquisition costs in both businesses. In the YoY analysis, the underwriting result increased 14.8%, which was attributable to a decrease in claims in property and casualty insurance and lower acquisition costs in life insurance, which was attenuated by a drop in net premiums in both businesses and higher claims in Life Insurance. YTD, the underwriting result rose 22.1% due to P&amp;C, which was attenuated by Life insurance. In P&amp;C, the increase in the underwriting result was associated with a decrease in claims while the drop in Life insurance was attributable to an increase in claims and fees.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Insurance underw riting result </w:t>
            </w:r>
            <w:r>
              <w:rPr>
                <w:rFonts w:ascii="Arial" w:cs="Arial" w:eastAsia="Arial" w:hAnsi="Arial"/>
                <w:sz w:val="20"/>
                <w:szCs w:val="20"/>
                <w:b w:val="1"/>
                <w:bCs w:val="1"/>
                <w:color w:val="auto"/>
                <w:vertAlign w:val="superscript"/>
              </w:rPr>
              <w:t>(1)</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Quarter</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3"/>
          </w:tcPr>
          <w:p>
            <w:pPr>
              <w:ind w:left="120"/>
              <w:spacing w:after="0"/>
              <w:rPr>
                <w:sz w:val="20"/>
                <w:szCs w:val="20"/>
                <w:color w:val="auto"/>
              </w:rPr>
            </w:pPr>
            <w:r>
              <w:rPr>
                <w:rFonts w:ascii="Arial" w:cs="Arial" w:eastAsia="Arial" w:hAnsi="Arial"/>
                <w:sz w:val="12"/>
                <w:szCs w:val="12"/>
                <w:b w:val="1"/>
                <w:bCs w:val="1"/>
                <w:color w:val="auto"/>
              </w:rPr>
              <w:t>% change</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ind w:left="740"/>
              <w:spacing w:after="0"/>
              <w:rPr>
                <w:sz w:val="20"/>
                <w:szCs w:val="20"/>
                <w:color w:val="auto"/>
              </w:rPr>
            </w:pPr>
            <w:r>
              <w:rPr>
                <w:rFonts w:ascii="Arial" w:cs="Arial" w:eastAsia="Arial" w:hAnsi="Arial"/>
                <w:sz w:val="12"/>
                <w:szCs w:val="12"/>
                <w:b w:val="1"/>
                <w:bCs w:val="1"/>
                <w:color w:val="auto"/>
              </w:rPr>
              <w:t>YTD</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 change</w:t>
            </w:r>
          </w:p>
        </w:tc>
      </w:tr>
      <w:tr>
        <w:trPr>
          <w:trHeight w:val="140"/>
        </w:trPr>
        <w:tc>
          <w:tcPr>
            <w:tcW w:w="2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 000</w:t>
            </w:r>
          </w:p>
        </w:tc>
        <w:tc>
          <w:tcPr>
            <w:tcW w:w="1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2"/>
                <w:szCs w:val="12"/>
                <w:b w:val="1"/>
                <w:bCs w:val="1"/>
                <w:color w:val="auto"/>
              </w:rPr>
              <w:t>2Q19</w:t>
            </w:r>
          </w:p>
        </w:tc>
        <w:tc>
          <w:tcPr>
            <w:tcW w:w="24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1Q20</w:t>
            </w:r>
          </w:p>
        </w:tc>
        <w:tc>
          <w:tcPr>
            <w:tcW w:w="22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2Q20</w:t>
            </w:r>
          </w:p>
        </w:tc>
        <w:tc>
          <w:tcPr>
            <w:tcW w:w="2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2"/>
                <w:szCs w:val="12"/>
                <w:b w:val="1"/>
                <w:bCs w:val="1"/>
                <w:color w:val="auto"/>
                <w:w w:val="92"/>
              </w:rPr>
              <w:t>QoQ</w:t>
            </w:r>
          </w:p>
        </w:tc>
        <w:tc>
          <w:tcPr>
            <w:tcW w:w="2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2"/>
                <w:szCs w:val="12"/>
                <w:b w:val="1"/>
                <w:bCs w:val="1"/>
                <w:color w:val="auto"/>
                <w:w w:val="85"/>
              </w:rPr>
              <w:t>YoY</w:t>
            </w:r>
          </w:p>
        </w:tc>
        <w:tc>
          <w:tcPr>
            <w:tcW w:w="28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2"/>
                <w:szCs w:val="12"/>
                <w:b w:val="1"/>
                <w:bCs w:val="1"/>
                <w:color w:val="auto"/>
              </w:rPr>
              <w:t>Jun 19</w:t>
            </w: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2"/>
                <w:szCs w:val="12"/>
                <w:b w:val="1"/>
                <w:bCs w:val="1"/>
                <w:color w:val="auto"/>
              </w:rPr>
              <w:t>Jun 20</w:t>
            </w:r>
          </w:p>
        </w:tc>
        <w:tc>
          <w:tcPr>
            <w:tcW w:w="20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Jun 20 / Jun 19</w:t>
            </w:r>
          </w:p>
        </w:tc>
        <w:tc>
          <w:tcPr>
            <w:tcW w:w="140" w:type="dxa"/>
            <w:vAlign w:val="bottom"/>
            <w:tcBorders>
              <w:bottom w:val="single" w:sz="8" w:color="CCEEFF"/>
            </w:tcBorders>
          </w:tcPr>
          <w:p>
            <w:pPr>
              <w:spacing w:after="0"/>
              <w:rPr>
                <w:sz w:val="12"/>
                <w:szCs w:val="12"/>
                <w:color w:val="auto"/>
              </w:rPr>
            </w:pPr>
          </w:p>
        </w:tc>
      </w:tr>
      <w:tr>
        <w:trPr>
          <w:trHeight w:val="127"/>
        </w:trPr>
        <w:tc>
          <w:tcPr>
            <w:tcW w:w="29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Net earned premiums</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584,579</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627,935</w:t>
            </w: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552,061</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w w:val="89"/>
              </w:rPr>
              <w:t>-12.1%</w:t>
            </w:r>
          </w:p>
        </w:tc>
        <w:tc>
          <w:tcPr>
            <w:tcW w:w="5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-5.6%</w:t>
            </w:r>
          </w:p>
        </w:tc>
        <w:tc>
          <w:tcPr>
            <w:tcW w:w="7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1,168,788</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1,179,997</w:t>
            </w:r>
          </w:p>
        </w:tc>
        <w:tc>
          <w:tcPr>
            <w:tcW w:w="2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0"/>
              <w:spacing w:after="0" w:line="127" w:lineRule="exact"/>
              <w:rPr>
                <w:sz w:val="20"/>
                <w:szCs w:val="20"/>
                <w:color w:val="auto"/>
              </w:rPr>
            </w:pPr>
            <w:r>
              <w:rPr>
                <w:rFonts w:ascii="Arial" w:cs="Arial" w:eastAsia="Arial" w:hAnsi="Arial"/>
                <w:sz w:val="12"/>
                <w:szCs w:val="12"/>
                <w:color w:val="auto"/>
              </w:rPr>
              <w:t>1.0%</w:t>
            </w:r>
          </w:p>
        </w:tc>
      </w:tr>
      <w:tr>
        <w:trPr>
          <w:trHeight w:val="133"/>
        </w:trPr>
        <w:tc>
          <w:tcPr>
            <w:tcW w:w="3040" w:type="dxa"/>
            <w:vAlign w:val="bottom"/>
            <w:gridSpan w:val="2"/>
          </w:tcPr>
          <w:p>
            <w:pPr>
              <w:spacing w:after="0" w:line="134" w:lineRule="exact"/>
              <w:rPr>
                <w:sz w:val="20"/>
                <w:szCs w:val="20"/>
                <w:color w:val="auto"/>
              </w:rPr>
            </w:pPr>
            <w:r>
              <w:rPr>
                <w:rFonts w:ascii="Arial" w:cs="Arial" w:eastAsia="Arial" w:hAnsi="Arial"/>
                <w:sz w:val="12"/>
                <w:szCs w:val="12"/>
                <w:color w:val="auto"/>
              </w:rPr>
              <w:t>Net claims</w:t>
            </w:r>
          </w:p>
        </w:tc>
        <w:tc>
          <w:tcPr>
            <w:tcW w:w="10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(374,688)</w:t>
            </w:r>
          </w:p>
        </w:tc>
        <w:tc>
          <w:tcPr>
            <w:tcW w:w="10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(373,502)</w:t>
            </w:r>
          </w:p>
        </w:tc>
        <w:tc>
          <w:tcPr>
            <w:tcW w:w="98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(328,783)</w:t>
            </w:r>
          </w:p>
        </w:tc>
        <w:tc>
          <w:tcPr>
            <w:tcW w:w="520" w:type="dxa"/>
            <w:vAlign w:val="bottom"/>
          </w:tcPr>
          <w:p>
            <w:pPr>
              <w:spacing w:after="0"/>
              <w:rPr>
                <w:sz w:val="11"/>
                <w:szCs w:val="11"/>
                <w:color w:val="auto"/>
              </w:rPr>
            </w:pPr>
          </w:p>
        </w:tc>
        <w:tc>
          <w:tcPr>
            <w:tcW w:w="50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89"/>
              </w:rPr>
              <w:t>-12.0%</w:t>
            </w:r>
          </w:p>
        </w:tc>
        <w:tc>
          <w:tcPr>
            <w:tcW w:w="500" w:type="dxa"/>
            <w:vAlign w:val="bottom"/>
          </w:tcPr>
          <w:p>
            <w:pPr>
              <w:spacing w:after="0"/>
              <w:rPr>
                <w:sz w:val="11"/>
                <w:szCs w:val="11"/>
                <w:color w:val="auto"/>
              </w:rPr>
            </w:pPr>
          </w:p>
        </w:tc>
        <w:tc>
          <w:tcPr>
            <w:tcW w:w="5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w w:val="94"/>
              </w:rPr>
              <w:t>-12.3%</w:t>
            </w:r>
          </w:p>
        </w:tc>
        <w:tc>
          <w:tcPr>
            <w:tcW w:w="98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(758,506)</w:t>
            </w:r>
          </w:p>
        </w:tc>
        <w:tc>
          <w:tcPr>
            <w:tcW w:w="120" w:type="dxa"/>
            <w:vAlign w:val="bottom"/>
          </w:tcPr>
          <w:p>
            <w:pPr>
              <w:spacing w:after="0"/>
              <w:rPr>
                <w:sz w:val="11"/>
                <w:szCs w:val="11"/>
                <w:color w:val="auto"/>
              </w:rPr>
            </w:pPr>
          </w:p>
        </w:tc>
        <w:tc>
          <w:tcPr>
            <w:tcW w:w="86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(702,285)</w:t>
            </w:r>
          </w:p>
        </w:tc>
        <w:tc>
          <w:tcPr>
            <w:tcW w:w="114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-7.4%</w:t>
            </w:r>
          </w:p>
        </w:tc>
      </w:tr>
      <w:tr>
        <w:trPr>
          <w:trHeight w:val="173"/>
        </w:trPr>
        <w:tc>
          <w:tcPr>
            <w:tcW w:w="3040" w:type="dxa"/>
            <w:vAlign w:val="bottom"/>
            <w:gridSpan w:val="2"/>
            <w:shd w:val="clear" w:color="auto" w:fill="CCEEFF"/>
          </w:tcPr>
          <w:p>
            <w:pPr>
              <w:spacing w:after="0" w:line="174" w:lineRule="exact"/>
              <w:rPr>
                <w:sz w:val="20"/>
                <w:szCs w:val="20"/>
                <w:color w:val="auto"/>
              </w:rPr>
            </w:pPr>
            <w:r>
              <w:rPr>
                <w:rFonts w:ascii="Arial" w:cs="Arial" w:eastAsia="Arial" w:hAnsi="Arial"/>
                <w:sz w:val="12"/>
                <w:szCs w:val="12"/>
                <w:color w:val="auto"/>
              </w:rPr>
              <w:t xml:space="preserve">Acquisition cost </w:t>
            </w:r>
            <w:r>
              <w:rPr>
                <w:rFonts w:ascii="Arial" w:cs="Arial" w:eastAsia="Arial" w:hAnsi="Arial"/>
                <w:sz w:val="20"/>
                <w:szCs w:val="20"/>
                <w:color w:val="auto"/>
                <w:vertAlign w:val="superscript"/>
              </w:rPr>
              <w:t>(2)</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(91,666)</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(112,507)</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(87,598)</w:t>
            </w:r>
          </w:p>
        </w:tc>
        <w:tc>
          <w:tcPr>
            <w:tcW w:w="5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9"/>
              </w:rPr>
              <w:t>-22.1%</w:t>
            </w:r>
          </w:p>
        </w:tc>
        <w:tc>
          <w:tcPr>
            <w:tcW w:w="5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-4.4%</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(182,947)</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(200,105)</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9.4%</w:t>
            </w:r>
          </w:p>
        </w:tc>
      </w:tr>
      <w:tr>
        <w:trPr>
          <w:trHeight w:val="161"/>
        </w:trPr>
        <w:tc>
          <w:tcPr>
            <w:tcW w:w="3040" w:type="dxa"/>
            <w:vAlign w:val="bottom"/>
            <w:gridSpan w:val="2"/>
          </w:tcPr>
          <w:p>
            <w:pPr>
              <w:spacing w:after="0"/>
              <w:rPr>
                <w:sz w:val="20"/>
                <w:szCs w:val="20"/>
                <w:color w:val="auto"/>
              </w:rPr>
            </w:pPr>
            <w:r>
              <w:rPr>
                <w:rFonts w:ascii="Arial" w:cs="Arial" w:eastAsia="Arial" w:hAnsi="Arial"/>
                <w:sz w:val="12"/>
                <w:szCs w:val="12"/>
                <w:b w:val="1"/>
                <w:bCs w:val="1"/>
                <w:color w:val="auto"/>
              </w:rPr>
              <w:t>Total insurance underwriting result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118,225</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141,926</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135,680</w:t>
            </w:r>
          </w:p>
        </w:tc>
        <w:tc>
          <w:tcPr>
            <w:tcW w:w="52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-4.4%</w:t>
            </w:r>
          </w:p>
        </w:tc>
        <w:tc>
          <w:tcPr>
            <w:tcW w:w="50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14.8%</w:t>
            </w:r>
          </w:p>
        </w:tc>
        <w:tc>
          <w:tcPr>
            <w:tcW w:w="9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227,336</w:t>
            </w:r>
          </w:p>
        </w:tc>
        <w:tc>
          <w:tcPr>
            <w:tcW w:w="12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277,607</w:t>
            </w:r>
          </w:p>
        </w:tc>
        <w:tc>
          <w:tcPr>
            <w:tcW w:w="1140" w:type="dxa"/>
            <w:vAlign w:val="bottom"/>
            <w:gridSpan w:val="2"/>
          </w:tcPr>
          <w:p>
            <w:pPr>
              <w:jc w:val="right"/>
              <w:spacing w:after="0"/>
              <w:rPr>
                <w:sz w:val="20"/>
                <w:szCs w:val="20"/>
                <w:color w:val="auto"/>
              </w:rPr>
            </w:pPr>
            <w:r>
              <w:rPr>
                <w:rFonts w:ascii="Arial" w:cs="Arial" w:eastAsia="Arial" w:hAnsi="Arial"/>
                <w:sz w:val="12"/>
                <w:szCs w:val="12"/>
                <w:b w:val="1"/>
                <w:bCs w:val="1"/>
                <w:color w:val="auto"/>
              </w:rPr>
              <w:t>22.1%</w:t>
            </w:r>
          </w:p>
        </w:tc>
      </w:tr>
    </w:tbl>
    <w:p>
      <w:pPr>
        <w:spacing w:after="0" w:line="172" w:lineRule="exact"/>
        <w:rPr>
          <w:sz w:val="20"/>
          <w:szCs w:val="20"/>
          <w:color w:val="auto"/>
        </w:rPr>
      </w:pPr>
    </w:p>
    <w:p>
      <w:pPr>
        <w:ind w:left="180" w:hanging="173"/>
        <w:spacing w:after="0"/>
        <w:tabs>
          <w:tab w:leader="none" w:pos="1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Includes the results of the Life, Property &amp; Casualty and Crediseguros business</w:t>
      </w:r>
    </w:p>
    <w:p>
      <w:pPr>
        <w:spacing w:after="0" w:line="5" w:lineRule="exact"/>
        <w:rPr>
          <w:rFonts w:ascii="Arial" w:cs="Arial" w:eastAsia="Arial" w:hAnsi="Arial"/>
          <w:sz w:val="12"/>
          <w:szCs w:val="12"/>
          <w:color w:val="auto"/>
        </w:rPr>
      </w:pPr>
    </w:p>
    <w:p>
      <w:pPr>
        <w:ind w:left="180" w:hanging="173"/>
        <w:spacing w:after="0"/>
        <w:tabs>
          <w:tab w:leader="none" w:pos="1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Includes net fees and underwriting expenses.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 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151130</wp:posOffset>
            </wp:positionV>
            <wp:extent cx="6202045" cy="266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02045" cy="266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(1) Total premiums without considering reinsurance nor reserve premiums.</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Total premiums decreased 14.6% QoQ due to (i) Credit Life, which was mainly attributable to a decrease in new sales for bancassurance (Mibanco) in the current scenario and to alliances, which regularized solidarity payments (debts with penalties that are assumed by the entity) in the last quarter; (ii) D&amp;S, explained by provisions of lower estimated collections of premiums in SISCO IV, in line with expectations of an increase in unemployment; (iii) Group Life, attributable to the SCTR product (insurance for high-risk occupations), which was affected by the fact that fewer companies were operating during the lockdown and to a decrease in mining renewals in comparison to figures for 1Q20, and in Collective Life, due a decrease in sales through the bancassurance channel; and (iv) Individual Life, due to a decrease in policy issuances through the direct channel. The aforementioned was mitigated by Annuities, primarily through an increase in new sales for the Individual Annuities product.</w:t>
      </w:r>
    </w:p>
    <w:p>
      <w:pPr>
        <w:spacing w:after="0" w:line="18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Net earned premiums fell 16.8% due to the aforementioned reasons and Annuities decreased due to an increase in reserves in line with growth in total premiums.</w:t>
      </w:r>
    </w:p>
    <w:p>
      <w:pPr>
        <w:spacing w:after="0" w:line="388"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jc w:val="both"/>
        <w:spacing w:after="0" w:line="333" w:lineRule="auto"/>
        <w:rPr>
          <w:sz w:val="20"/>
          <w:szCs w:val="20"/>
          <w:color w:val="auto"/>
        </w:rPr>
      </w:pPr>
      <w:r>
        <w:rPr>
          <w:rFonts w:ascii="Arial" w:cs="Arial" w:eastAsia="Arial" w:hAnsi="Arial"/>
          <w:sz w:val="16"/>
          <w:szCs w:val="16"/>
          <w:color w:val="auto"/>
        </w:rPr>
        <w:t>In the YoY analysis, total premiums fell 9.1%, primarily for products in Credit Life, D&amp;S, Group Life and Individual Life lines, which was attributable to the same reasons outlined in the QoQ analysis and due to Annuities, which was primarily driven by a drop in new sales for Individual Annuities product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 this context, Net earned premiums fell 3.9% which was mitigated by a drop in reserves in line to a decrease in total premiums.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YTD, in 2020, total premiums fell 4.1%, which was primarily attributable to Annuities and in Individual Annuities products in particular; D&amp;S, due to provisions to anticipate a decrease in estimated collections of premiums, and Group Life, due to a drop in new sales of SCTR and Collective Life products, which was mitigated by an increase in Credit Life in the Alliance Channel; Statutory Life, due to the new regulation went into effect in January; and Individual Life, via the direct channel.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Net earned premiums rise 3.8% due to a drop in reserves, in line to a decrease in total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148590</wp:posOffset>
            </wp:positionV>
            <wp:extent cx="4592320" cy="24739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592320" cy="2473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Net claims increased 2.7% QoQ, which was primarily attributable to Credit Life and Individual Life after the number of reported cases increased and more incurred but not reported claims (IBNR) were reported due to COVID-19. This was mitigated by D&amp;S due to a decrease in case frequency and to the fact that reserves were released for SISCO II and SISCO III; and Group Life, due to a decrease in cases for the SCTR product due to the lockdown.</w:t>
      </w:r>
    </w:p>
    <w:p>
      <w:pPr>
        <w:spacing w:after="0" w:line="15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In the YoY analysis, net claims increased 10.6%, which was primarily driven by Credit Life and Individual Life due to the reasons outlined in the QoQ analysis; and Annuities, which was attributable to an increase in pension payments for Individual Annuities. The aforementioned was mitigated by D&amp;S given that fewer cases were registered by Group Life, through the SCTR product, given that client exposure decreased during the lockdown.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 the YTD analysis, claims increased 9.3% for the same reasons outlined in the YoY analysis.</w:t>
      </w:r>
    </w:p>
    <w:p>
      <w:pPr>
        <w:spacing w:after="0" w:line="200" w:lineRule="exact"/>
        <w:rPr>
          <w:sz w:val="20"/>
          <w:szCs w:val="20"/>
          <w:color w:val="auto"/>
        </w:rPr>
      </w:pPr>
    </w:p>
    <w:p>
      <w:pPr>
        <w:spacing w:after="0" w:line="233"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9" w:name="page40"/>
    <w:bookmarkEnd w:id="39"/>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r>
              <w:rPr>
                <w:rFonts w:ascii="Arial" w:cs="Arial" w:eastAsia="Arial" w:hAnsi="Arial"/>
                <w:sz w:val="18"/>
                <w:szCs w:val="18"/>
                <w:b w:val="1"/>
                <w:bCs w:val="1"/>
                <w:color w:val="auto"/>
              </w:rPr>
              <w:t>6.2. Property and Casualty Insurance</w:t>
            </w:r>
          </w:p>
        </w:tc>
        <w:tc>
          <w:tcPr>
            <w:tcW w:w="3000" w:type="dxa"/>
            <w:vAlign w:val="bottom"/>
          </w:tcPr>
          <w:p>
            <w:pPr>
              <w:spacing w:after="0"/>
              <w:rPr>
                <w:sz w:val="20"/>
                <w:szCs w:val="20"/>
                <w:color w:val="auto"/>
              </w:rPr>
            </w:pPr>
          </w:p>
        </w:tc>
      </w:tr>
      <w:tr>
        <w:trPr>
          <w:trHeight w:val="414"/>
        </w:trPr>
        <w:tc>
          <w:tcPr>
            <w:tcW w:w="5660" w:type="dxa"/>
            <w:vAlign w:val="bottom"/>
          </w:tcPr>
          <w:p>
            <w:pPr>
              <w:ind w:left="740"/>
              <w:spacing w:after="0"/>
              <w:rPr>
                <w:sz w:val="20"/>
                <w:szCs w:val="20"/>
                <w:color w:val="auto"/>
              </w:rPr>
            </w:pPr>
            <w:r>
              <w:rPr>
                <w:rFonts w:ascii="Arial" w:cs="Arial" w:eastAsia="Arial" w:hAnsi="Arial"/>
                <w:sz w:val="18"/>
                <w:szCs w:val="18"/>
                <w:b w:val="1"/>
                <w:bCs w:val="1"/>
                <w:color w:val="auto"/>
              </w:rPr>
              <w:t>Property and Casualty total premiums</w:t>
            </w:r>
          </w:p>
        </w:tc>
        <w:tc>
          <w:tcPr>
            <w:tcW w:w="3000" w:type="dxa"/>
            <w:vAlign w:val="bottom"/>
          </w:tcPr>
          <w:p>
            <w:pPr>
              <w:jc w:val="center"/>
              <w:ind w:left="1891"/>
              <w:spacing w:after="0"/>
              <w:rPr>
                <w:sz w:val="20"/>
                <w:szCs w:val="20"/>
                <w:color w:val="auto"/>
              </w:rPr>
            </w:pPr>
            <w:r>
              <w:rPr>
                <w:rFonts w:ascii="Arial" w:cs="Arial" w:eastAsia="Arial" w:hAnsi="Arial"/>
                <w:sz w:val="18"/>
                <w:szCs w:val="18"/>
                <w:b w:val="1"/>
                <w:bCs w:val="1"/>
                <w:color w:val="auto"/>
                <w:w w:val="91"/>
              </w:rPr>
              <w:t>Property and</w:t>
            </w:r>
          </w:p>
        </w:tc>
      </w:tr>
      <w:tr>
        <w:trPr>
          <w:trHeight w:val="254"/>
        </w:trPr>
        <w:tc>
          <w:tcPr>
            <w:tcW w:w="5660" w:type="dxa"/>
            <w:vAlign w:val="bottom"/>
          </w:tcPr>
          <w:p>
            <w:pPr>
              <w:ind w:left="580"/>
              <w:spacing w:after="0" w:line="253" w:lineRule="exact"/>
              <w:rPr>
                <w:sz w:val="20"/>
                <w:szCs w:val="20"/>
                <w:color w:val="auto"/>
              </w:rPr>
            </w:pPr>
            <w:r>
              <w:rPr>
                <w:rFonts w:ascii="Arial" w:cs="Arial" w:eastAsia="Arial" w:hAnsi="Arial"/>
                <w:sz w:val="18"/>
                <w:szCs w:val="18"/>
                <w:b w:val="1"/>
                <w:bCs w:val="1"/>
                <w:color w:val="auto"/>
              </w:rPr>
              <w:t xml:space="preserve">Casualty net earned premiums </w:t>
            </w:r>
            <w:r>
              <w:rPr>
                <w:rFonts w:ascii="Arial" w:cs="Arial" w:eastAsia="Arial" w:hAnsi="Arial"/>
                <w:sz w:val="29"/>
                <w:szCs w:val="29"/>
                <w:b w:val="1"/>
                <w:bCs w:val="1"/>
                <w:color w:val="auto"/>
                <w:vertAlign w:val="superscript"/>
              </w:rPr>
              <w:t>(1)</w:t>
            </w:r>
          </w:p>
        </w:tc>
        <w:tc>
          <w:tcPr>
            <w:tcW w:w="3000" w:type="dxa"/>
            <w:vAlign w:val="bottom"/>
          </w:tcPr>
          <w:p>
            <w:pPr>
              <w:spacing w:after="0"/>
              <w:rPr>
                <w:sz w:val="22"/>
                <w:szCs w:val="22"/>
                <w:color w:val="auto"/>
              </w:rPr>
            </w:pPr>
          </w:p>
        </w:tc>
      </w:tr>
      <w:tr>
        <w:trPr>
          <w:trHeight w:val="226"/>
        </w:trPr>
        <w:tc>
          <w:tcPr>
            <w:tcW w:w="5660" w:type="dxa"/>
            <w:vAlign w:val="bottom"/>
          </w:tcPr>
          <w:p>
            <w:pPr>
              <w:ind w:left="1540"/>
              <w:spacing w:after="0"/>
              <w:rPr>
                <w:sz w:val="20"/>
                <w:szCs w:val="20"/>
                <w:color w:val="auto"/>
              </w:rPr>
            </w:pPr>
            <w:r>
              <w:rPr>
                <w:rFonts w:ascii="Arial" w:cs="Arial" w:eastAsia="Arial" w:hAnsi="Arial"/>
                <w:sz w:val="18"/>
                <w:szCs w:val="18"/>
                <w:color w:val="auto"/>
              </w:rPr>
              <w:t>(S/ millions)</w:t>
            </w:r>
          </w:p>
        </w:tc>
        <w:tc>
          <w:tcPr>
            <w:tcW w:w="3000" w:type="dxa"/>
            <w:vAlign w:val="bottom"/>
          </w:tcPr>
          <w:p>
            <w:pPr>
              <w:jc w:val="center"/>
              <w:ind w:left="1891"/>
              <w:spacing w:after="0"/>
              <w:rPr>
                <w:sz w:val="20"/>
                <w:szCs w:val="20"/>
                <w:color w:val="auto"/>
              </w:rPr>
            </w:pPr>
            <w:r>
              <w:rPr>
                <w:rFonts w:ascii="Arial" w:cs="Arial" w:eastAsia="Arial" w:hAnsi="Arial"/>
                <w:sz w:val="18"/>
                <w:szCs w:val="18"/>
                <w:color w:val="auto"/>
                <w:w w:val="95"/>
              </w:rPr>
              <w:t>(S/ millions)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136525</wp:posOffset>
            </wp:positionV>
            <wp:extent cx="6760845" cy="23552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60845" cy="2355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(1) Total premiums without considering reinsurance nor reserve premiums.</w:t>
      </w:r>
    </w:p>
    <w:p>
      <w:pPr>
        <w:spacing w:after="0" w:line="22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Total premiums fell 8.3% QoQ, which was attributable to (i) Personal lines, due to an increase in renewed premiums on the mortgage product in the last quarter and to a decrease in new sales through the bancassurance channel; (ii) Cars, due to a decrease in new sales and renewals and policy cancellations due to the current context; (iii) Medical assistance, due to cancellations; and (iv) SOAT, due to a decrease in new sales through the brokers’ channel. The aforementioned was mitigated by Commercial Lines through an increase in renewals in the fire and aviation risks.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Net earned premiums decreased 7.6%, due to the aforementioned factors, which were mitigated by a release of reserves for current risk, in line with a decrease in sales for the Cars and Personal Lines products.</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the YoY analysis, total premiums fell 20.9% due to (i) Commercial lines, through the aviation risks due to new accounts in 2Q19; (ii) Cars, due to a decrease in new sales and renewals; and to cancellations of policies issued; (iii) Personal lines, due to a decrease in new sales through the bancassurance channel and lower premiums for renewals for student accident policies due to closures of schools and universities during the pandemic; (iv) SOAT, due to a decrease in new sales through the brokers’ channel and (v) Medical assistance due to policy cancellations.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Net earned premiums fell 8.0%, which was primarily attributable to Cars after reserves were released for current risk, in line with the decrease in sales and a drop in ceded premiums in Commercial lines.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YTD, total premiums in 2020 fell 10.4%, which was driven by Cars, Commercial Lines, SOAT and Personal Lines, due to the factors described in the YoY analysis. The aforementioned was mitigated by Medical Assistance, due to an increase in sales of oncological and comprehensive health products in the first few months of the year.</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Net earned premiums fell 2.3% YTD due to an increase in releases of reserves for current risk, in line with a decrease in sales and a drop in ceded premiums in Commercial Lines.</w:t>
      </w:r>
    </w:p>
    <w:p>
      <w:pPr>
        <w:spacing w:after="0" w:line="388"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jc w:val="center"/>
        <w:ind w:right="40"/>
        <w:spacing w:after="0"/>
        <w:rPr>
          <w:sz w:val="20"/>
          <w:szCs w:val="20"/>
          <w:color w:val="auto"/>
        </w:rPr>
      </w:pPr>
      <w:r>
        <w:rPr>
          <w:rFonts w:ascii="Arial" w:cs="Arial" w:eastAsia="Arial" w:hAnsi="Arial"/>
          <w:sz w:val="18"/>
          <w:szCs w:val="18"/>
          <w:b w:val="1"/>
          <w:bCs w:val="1"/>
          <w:color w:val="auto"/>
        </w:rPr>
        <w:t>Property &amp; Casualty net claims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140335</wp:posOffset>
            </wp:positionV>
            <wp:extent cx="5515610" cy="22618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15610" cy="226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Net claims fell 38.3% QoQ, which was attributable to a drop in claims due to the lockdown, which began in mid-March and continued until the end of June. This decrease was driven mainly by the Medical Assistance, Cars, SOAT and Personal lines and was mitigated by Commercial Lines through an increase in cases in the marine hulls and technical lines.</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YoY analysis, net claims fell 45.6%. This decrease in claims was seen across business segments but was led by Cars due to the drop in notifications of claims during the lockdown and to an improvement in claims management; Medical Assistance, due to a drop in the exposure levels of clients, who preferred to avoid going to clinics; SOAT, due to a drop in cases (motorcycles); and Personal Lines, due to a drop in Student Accident claims given that schools and universities were closed due to the lockdown.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YTD, claims fell 31.0%, which was attributable to a decrease in cases across business lines, due to the same reasons explained in the YoY analysis.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 Acquisition Cost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cost per Business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1918970</wp:posOffset>
            </wp:positionH>
            <wp:positionV relativeFrom="paragraph">
              <wp:posOffset>140335</wp:posOffset>
            </wp:positionV>
            <wp:extent cx="3304540" cy="20758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04540" cy="207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tbl>
      <w:tblPr>
        <w:tblLayout w:type="fixed"/>
        <w:tblInd w:w="300" w:type="dxa"/>
        <w:tblCellMar>
          <w:top w:w="0" w:type="dxa"/>
          <w:left w:w="0" w:type="dxa"/>
          <w:bottom w:w="0" w:type="dxa"/>
          <w:right w:w="0" w:type="dxa"/>
        </w:tblCellMar>
      </w:tblPr>
      <w:tr>
        <w:trPr>
          <w:trHeight w:val="169"/>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Acquisition cost</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auto"/>
              </w:rPr>
              <w:t>Quarter</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ind w:left="540"/>
              <w:spacing w:after="0"/>
              <w:rPr>
                <w:sz w:val="20"/>
                <w:szCs w:val="20"/>
                <w:color w:val="auto"/>
              </w:rPr>
            </w:pPr>
            <w:r>
              <w:rPr>
                <w:rFonts w:ascii="Arial" w:cs="Arial" w:eastAsia="Arial" w:hAnsi="Arial"/>
                <w:sz w:val="14"/>
                <w:szCs w:val="14"/>
                <w:b w:val="1"/>
                <w:bCs w:val="1"/>
                <w:color w:val="auto"/>
                <w:w w:val="91"/>
              </w:rPr>
              <w:t>% change</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ind w:left="700"/>
              <w:spacing w:after="0"/>
              <w:rPr>
                <w:sz w:val="20"/>
                <w:szCs w:val="20"/>
                <w:color w:val="auto"/>
              </w:rPr>
            </w:pPr>
            <w:r>
              <w:rPr>
                <w:rFonts w:ascii="Arial" w:cs="Arial" w:eastAsia="Arial" w:hAnsi="Arial"/>
                <w:sz w:val="14"/>
                <w:szCs w:val="14"/>
                <w:b w:val="1"/>
                <w:bCs w:val="1"/>
                <w:color w:val="auto"/>
              </w:rPr>
              <w:t>YTD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ind w:right="249"/>
              <w:spacing w:after="0"/>
              <w:rPr>
                <w:sz w:val="20"/>
                <w:szCs w:val="20"/>
                <w:color w:val="auto"/>
              </w:rPr>
            </w:pPr>
            <w:r>
              <w:rPr>
                <w:rFonts w:ascii="Arial" w:cs="Arial" w:eastAsia="Arial" w:hAnsi="Arial"/>
                <w:sz w:val="14"/>
                <w:szCs w:val="14"/>
                <w:b w:val="1"/>
                <w:bCs w:val="1"/>
                <w:color w:val="auto"/>
              </w:rPr>
              <w:t>% change</w:t>
            </w:r>
          </w:p>
        </w:tc>
      </w:tr>
      <w:tr>
        <w:trPr>
          <w:trHeight w:val="153"/>
        </w:trPr>
        <w:tc>
          <w:tcPr>
            <w:tcW w:w="298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S/ 000</w:t>
            </w:r>
          </w:p>
        </w:tc>
        <w:tc>
          <w:tcPr>
            <w:tcW w:w="12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49"/>
              <w:spacing w:after="0" w:line="153" w:lineRule="exact"/>
              <w:rPr>
                <w:sz w:val="20"/>
                <w:szCs w:val="20"/>
                <w:color w:val="auto"/>
              </w:rPr>
            </w:pPr>
            <w:r>
              <w:rPr>
                <w:rFonts w:ascii="Arial" w:cs="Arial" w:eastAsia="Arial" w:hAnsi="Arial"/>
                <w:sz w:val="14"/>
                <w:szCs w:val="14"/>
                <w:b w:val="1"/>
                <w:bCs w:val="1"/>
                <w:color w:val="auto"/>
              </w:rPr>
              <w:t>2Q19</w:t>
            </w:r>
          </w:p>
        </w:tc>
        <w:tc>
          <w:tcPr>
            <w:tcW w:w="180" w:type="dxa"/>
            <w:vAlign w:val="bottom"/>
            <w:tcBorders>
              <w:top w:val="single" w:sz="8" w:color="auto"/>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49"/>
              <w:spacing w:after="0" w:line="153" w:lineRule="exact"/>
              <w:rPr>
                <w:sz w:val="20"/>
                <w:szCs w:val="20"/>
                <w:color w:val="auto"/>
              </w:rPr>
            </w:pPr>
            <w:r>
              <w:rPr>
                <w:rFonts w:ascii="Arial" w:cs="Arial" w:eastAsia="Arial" w:hAnsi="Arial"/>
                <w:sz w:val="14"/>
                <w:szCs w:val="14"/>
                <w:b w:val="1"/>
                <w:bCs w:val="1"/>
                <w:color w:val="auto"/>
              </w:rPr>
              <w:t>1Q20</w:t>
            </w:r>
          </w:p>
        </w:tc>
        <w:tc>
          <w:tcPr>
            <w:tcW w:w="180" w:type="dxa"/>
            <w:vAlign w:val="bottom"/>
            <w:tcBorders>
              <w:top w:val="single" w:sz="8" w:color="auto"/>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29"/>
              <w:spacing w:after="0" w:line="153" w:lineRule="exact"/>
              <w:rPr>
                <w:sz w:val="20"/>
                <w:szCs w:val="20"/>
                <w:color w:val="auto"/>
              </w:rPr>
            </w:pPr>
            <w:r>
              <w:rPr>
                <w:rFonts w:ascii="Arial" w:cs="Arial" w:eastAsia="Arial" w:hAnsi="Arial"/>
                <w:sz w:val="14"/>
                <w:szCs w:val="14"/>
                <w:b w:val="1"/>
                <w:bCs w:val="1"/>
                <w:color w:val="auto"/>
              </w:rPr>
              <w:t>2Q20</w:t>
            </w:r>
          </w:p>
        </w:tc>
        <w:tc>
          <w:tcPr>
            <w:tcW w:w="18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49"/>
              <w:spacing w:after="0" w:line="153" w:lineRule="exact"/>
              <w:rPr>
                <w:sz w:val="20"/>
                <w:szCs w:val="20"/>
                <w:color w:val="auto"/>
              </w:rPr>
            </w:pPr>
            <w:r>
              <w:rPr>
                <w:rFonts w:ascii="Arial" w:cs="Arial" w:eastAsia="Arial" w:hAnsi="Arial"/>
                <w:sz w:val="14"/>
                <w:szCs w:val="14"/>
                <w:b w:val="1"/>
                <w:bCs w:val="1"/>
                <w:color w:val="auto"/>
              </w:rPr>
              <w:t>QoQ</w:t>
            </w:r>
          </w:p>
        </w:tc>
        <w:tc>
          <w:tcPr>
            <w:tcW w:w="2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69"/>
              <w:spacing w:after="0" w:line="153" w:lineRule="exact"/>
              <w:rPr>
                <w:sz w:val="20"/>
                <w:szCs w:val="20"/>
                <w:color w:val="auto"/>
              </w:rPr>
            </w:pPr>
            <w:r>
              <w:rPr>
                <w:rFonts w:ascii="Arial" w:cs="Arial" w:eastAsia="Arial" w:hAnsi="Arial"/>
                <w:sz w:val="14"/>
                <w:szCs w:val="14"/>
                <w:b w:val="1"/>
                <w:bCs w:val="1"/>
                <w:color w:val="auto"/>
                <w:w w:val="95"/>
              </w:rPr>
              <w:t>YoY</w:t>
            </w:r>
          </w:p>
        </w:tc>
        <w:tc>
          <w:tcPr>
            <w:tcW w:w="24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89"/>
              <w:spacing w:after="0" w:line="153" w:lineRule="exact"/>
              <w:rPr>
                <w:sz w:val="20"/>
                <w:szCs w:val="20"/>
                <w:color w:val="auto"/>
              </w:rPr>
            </w:pPr>
            <w:r>
              <w:rPr>
                <w:rFonts w:ascii="Arial" w:cs="Arial" w:eastAsia="Arial" w:hAnsi="Arial"/>
                <w:sz w:val="14"/>
                <w:szCs w:val="14"/>
                <w:b w:val="1"/>
                <w:bCs w:val="1"/>
                <w:color w:val="auto"/>
              </w:rPr>
              <w:t>Jun 19</w:t>
            </w:r>
          </w:p>
        </w:tc>
        <w:tc>
          <w:tcPr>
            <w:tcW w:w="20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89"/>
              <w:spacing w:after="0" w:line="153" w:lineRule="exact"/>
              <w:rPr>
                <w:sz w:val="20"/>
                <w:szCs w:val="20"/>
                <w:color w:val="auto"/>
              </w:rPr>
            </w:pPr>
            <w:r>
              <w:rPr>
                <w:rFonts w:ascii="Arial" w:cs="Arial" w:eastAsia="Arial" w:hAnsi="Arial"/>
                <w:sz w:val="14"/>
                <w:szCs w:val="14"/>
                <w:b w:val="1"/>
                <w:bCs w:val="1"/>
                <w:color w:val="auto"/>
                <w:w w:val="94"/>
              </w:rPr>
              <w:t>Jun 20</w:t>
            </w:r>
          </w:p>
        </w:tc>
        <w:tc>
          <w:tcPr>
            <w:tcW w:w="80" w:type="dxa"/>
            <w:vAlign w:val="bottom"/>
            <w:tcBorders>
              <w:top w:val="single" w:sz="8" w:color="auto"/>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gridSpan w:val="2"/>
          </w:tcPr>
          <w:p>
            <w:pPr>
              <w:jc w:val="right"/>
              <w:ind w:right="20"/>
              <w:spacing w:after="0" w:line="153" w:lineRule="exact"/>
              <w:rPr>
                <w:sz w:val="20"/>
                <w:szCs w:val="20"/>
                <w:color w:val="auto"/>
              </w:rPr>
            </w:pPr>
            <w:r>
              <w:rPr>
                <w:rFonts w:ascii="Arial" w:cs="Arial" w:eastAsia="Arial" w:hAnsi="Arial"/>
                <w:sz w:val="14"/>
                <w:szCs w:val="14"/>
                <w:b w:val="1"/>
                <w:bCs w:val="1"/>
                <w:color w:val="auto"/>
                <w:w w:val="89"/>
              </w:rPr>
              <w:t>Jun 20 / Jun 19</w:t>
            </w:r>
          </w:p>
        </w:tc>
        <w:tc>
          <w:tcPr>
            <w:tcW w:w="140" w:type="dxa"/>
            <w:vAlign w:val="bottom"/>
            <w:tcBorders>
              <w:bottom w:val="single" w:sz="8" w:color="CCEEFF"/>
            </w:tcBorders>
          </w:tcPr>
          <w:p>
            <w:pPr>
              <w:spacing w:after="0"/>
              <w:rPr>
                <w:sz w:val="13"/>
                <w:szCs w:val="13"/>
                <w:color w:val="auto"/>
              </w:rPr>
            </w:pPr>
          </w:p>
        </w:tc>
      </w:tr>
      <w:tr>
        <w:trPr>
          <w:trHeight w:val="140"/>
        </w:trPr>
        <w:tc>
          <w:tcPr>
            <w:tcW w:w="29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Net fees</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(58,717)</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(66,650)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(49,084)</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9"/>
              <w:spacing w:after="0" w:line="140" w:lineRule="exact"/>
              <w:rPr>
                <w:sz w:val="20"/>
                <w:szCs w:val="20"/>
                <w:color w:val="auto"/>
              </w:rPr>
            </w:pPr>
            <w:r>
              <w:rPr>
                <w:rFonts w:ascii="Arial" w:cs="Arial" w:eastAsia="Arial" w:hAnsi="Arial"/>
                <w:sz w:val="14"/>
                <w:szCs w:val="14"/>
                <w:color w:val="auto"/>
              </w:rPr>
              <w:t>-26.4%</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9"/>
              <w:spacing w:after="0" w:line="140" w:lineRule="exact"/>
              <w:rPr>
                <w:sz w:val="20"/>
                <w:szCs w:val="20"/>
                <w:color w:val="auto"/>
              </w:rPr>
            </w:pPr>
            <w:r>
              <w:rPr>
                <w:rFonts w:ascii="Arial" w:cs="Arial" w:eastAsia="Arial" w:hAnsi="Arial"/>
                <w:sz w:val="14"/>
                <w:szCs w:val="14"/>
                <w:color w:val="auto"/>
              </w:rPr>
              <w:t>-16.4%</w:t>
            </w: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(118,731)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w w:val="96"/>
              </w:rPr>
              <w:t>(115,734)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spacing w:after="0" w:line="140" w:lineRule="exact"/>
              <w:rPr>
                <w:sz w:val="20"/>
                <w:szCs w:val="20"/>
                <w:color w:val="auto"/>
              </w:rPr>
            </w:pPr>
            <w:r>
              <w:rPr>
                <w:rFonts w:ascii="Arial" w:cs="Arial" w:eastAsia="Arial" w:hAnsi="Arial"/>
                <w:sz w:val="14"/>
                <w:szCs w:val="14"/>
                <w:color w:val="auto"/>
              </w:rPr>
              <w:t>-2.5%</w:t>
            </w:r>
          </w:p>
        </w:tc>
      </w:tr>
      <w:tr>
        <w:trPr>
          <w:trHeight w:val="147"/>
        </w:trPr>
        <w:tc>
          <w:tcPr>
            <w:tcW w:w="3100" w:type="dxa"/>
            <w:vAlign w:val="bottom"/>
            <w:gridSpan w:val="2"/>
          </w:tcPr>
          <w:p>
            <w:pPr>
              <w:spacing w:after="0" w:line="147" w:lineRule="exact"/>
              <w:rPr>
                <w:sz w:val="20"/>
                <w:szCs w:val="20"/>
                <w:color w:val="auto"/>
              </w:rPr>
            </w:pPr>
            <w:r>
              <w:rPr>
                <w:rFonts w:ascii="Arial" w:cs="Arial" w:eastAsia="Arial" w:hAnsi="Arial"/>
                <w:sz w:val="14"/>
                <w:szCs w:val="14"/>
                <w:color w:val="auto"/>
              </w:rPr>
              <w:t>Underwriting expenses</w:t>
            </w:r>
          </w:p>
        </w:tc>
        <w:tc>
          <w:tcPr>
            <w:tcW w:w="920" w:type="dxa"/>
            <w:vAlign w:val="bottom"/>
            <w:gridSpan w:val="2"/>
          </w:tcPr>
          <w:p>
            <w:pPr>
              <w:jc w:val="right"/>
              <w:ind w:right="99"/>
              <w:spacing w:after="0" w:line="147" w:lineRule="exact"/>
              <w:rPr>
                <w:sz w:val="20"/>
                <w:szCs w:val="20"/>
                <w:color w:val="auto"/>
              </w:rPr>
            </w:pPr>
            <w:r>
              <w:rPr>
                <w:rFonts w:ascii="Arial" w:cs="Arial" w:eastAsia="Arial" w:hAnsi="Arial"/>
                <w:sz w:val="14"/>
                <w:szCs w:val="14"/>
                <w:color w:val="auto"/>
              </w:rPr>
              <w:t>(49,237)</w:t>
            </w:r>
          </w:p>
        </w:tc>
        <w:tc>
          <w:tcPr>
            <w:tcW w:w="920" w:type="dxa"/>
            <w:vAlign w:val="bottom"/>
            <w:gridSpan w:val="2"/>
          </w:tcPr>
          <w:p>
            <w:pPr>
              <w:jc w:val="right"/>
              <w:ind w:right="99"/>
              <w:spacing w:after="0" w:line="147" w:lineRule="exact"/>
              <w:rPr>
                <w:sz w:val="20"/>
                <w:szCs w:val="20"/>
                <w:color w:val="auto"/>
              </w:rPr>
            </w:pPr>
            <w:r>
              <w:rPr>
                <w:rFonts w:ascii="Arial" w:cs="Arial" w:eastAsia="Arial" w:hAnsi="Arial"/>
                <w:sz w:val="14"/>
                <w:szCs w:val="14"/>
                <w:color w:val="auto"/>
              </w:rPr>
              <w:t>(46,461)</w:t>
            </w:r>
          </w:p>
        </w:tc>
        <w:tc>
          <w:tcPr>
            <w:tcW w:w="900" w:type="dxa"/>
            <w:vAlign w:val="bottom"/>
            <w:gridSpan w:val="2"/>
          </w:tcPr>
          <w:p>
            <w:pPr>
              <w:jc w:val="right"/>
              <w:ind w:right="99"/>
              <w:spacing w:after="0" w:line="147" w:lineRule="exact"/>
              <w:rPr>
                <w:sz w:val="20"/>
                <w:szCs w:val="20"/>
                <w:color w:val="auto"/>
              </w:rPr>
            </w:pPr>
            <w:r>
              <w:rPr>
                <w:rFonts w:ascii="Arial" w:cs="Arial" w:eastAsia="Arial" w:hAnsi="Arial"/>
                <w:sz w:val="14"/>
                <w:szCs w:val="14"/>
                <w:color w:val="auto"/>
              </w:rPr>
              <w:t>(39,189)</w:t>
            </w:r>
          </w:p>
        </w:tc>
        <w:tc>
          <w:tcPr>
            <w:tcW w:w="960" w:type="dxa"/>
            <w:vAlign w:val="bottom"/>
            <w:gridSpan w:val="2"/>
          </w:tcPr>
          <w:p>
            <w:pPr>
              <w:jc w:val="right"/>
              <w:ind w:right="49"/>
              <w:spacing w:after="0" w:line="147" w:lineRule="exact"/>
              <w:rPr>
                <w:sz w:val="20"/>
                <w:szCs w:val="20"/>
                <w:color w:val="auto"/>
              </w:rPr>
            </w:pPr>
            <w:r>
              <w:rPr>
                <w:rFonts w:ascii="Arial" w:cs="Arial" w:eastAsia="Arial" w:hAnsi="Arial"/>
                <w:sz w:val="14"/>
                <w:szCs w:val="14"/>
                <w:color w:val="auto"/>
              </w:rPr>
              <w:t>-15.7%</w:t>
            </w:r>
          </w:p>
        </w:tc>
        <w:tc>
          <w:tcPr>
            <w:tcW w:w="200" w:type="dxa"/>
            <w:vAlign w:val="bottom"/>
          </w:tcPr>
          <w:p>
            <w:pPr>
              <w:spacing w:after="0"/>
              <w:rPr>
                <w:sz w:val="12"/>
                <w:szCs w:val="12"/>
                <w:color w:val="auto"/>
              </w:rPr>
            </w:pPr>
          </w:p>
        </w:tc>
        <w:tc>
          <w:tcPr>
            <w:tcW w:w="760" w:type="dxa"/>
            <w:vAlign w:val="bottom"/>
            <w:gridSpan w:val="2"/>
          </w:tcPr>
          <w:p>
            <w:pPr>
              <w:jc w:val="right"/>
              <w:ind w:right="49"/>
              <w:spacing w:after="0" w:line="147" w:lineRule="exact"/>
              <w:rPr>
                <w:sz w:val="20"/>
                <w:szCs w:val="20"/>
                <w:color w:val="auto"/>
              </w:rPr>
            </w:pPr>
            <w:r>
              <w:rPr>
                <w:rFonts w:ascii="Arial" w:cs="Arial" w:eastAsia="Arial" w:hAnsi="Arial"/>
                <w:sz w:val="14"/>
                <w:szCs w:val="14"/>
                <w:color w:val="auto"/>
              </w:rPr>
              <w:t>-20.4%</w:t>
            </w:r>
          </w:p>
        </w:tc>
        <w:tc>
          <w:tcPr>
            <w:tcW w:w="920" w:type="dxa"/>
            <w:vAlign w:val="bottom"/>
            <w:gridSpan w:val="2"/>
          </w:tcPr>
          <w:p>
            <w:pPr>
              <w:jc w:val="right"/>
              <w:ind w:right="119"/>
              <w:spacing w:after="0" w:line="147" w:lineRule="exact"/>
              <w:rPr>
                <w:sz w:val="20"/>
                <w:szCs w:val="20"/>
                <w:color w:val="auto"/>
              </w:rPr>
            </w:pPr>
            <w:r>
              <w:rPr>
                <w:rFonts w:ascii="Arial" w:cs="Arial" w:eastAsia="Arial" w:hAnsi="Arial"/>
                <w:sz w:val="14"/>
                <w:szCs w:val="14"/>
                <w:color w:val="auto"/>
              </w:rPr>
              <w:t>(83,813)</w:t>
            </w:r>
          </w:p>
        </w:tc>
        <w:tc>
          <w:tcPr>
            <w:tcW w:w="120" w:type="dxa"/>
            <w:vAlign w:val="bottom"/>
          </w:tcPr>
          <w:p>
            <w:pPr>
              <w:spacing w:after="0"/>
              <w:rPr>
                <w:sz w:val="12"/>
                <w:szCs w:val="12"/>
                <w:color w:val="auto"/>
              </w:rPr>
            </w:pPr>
          </w:p>
        </w:tc>
        <w:tc>
          <w:tcPr>
            <w:tcW w:w="6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(85,650)</w:t>
            </w:r>
          </w:p>
        </w:tc>
        <w:tc>
          <w:tcPr>
            <w:tcW w:w="1180" w:type="dxa"/>
            <w:vAlign w:val="bottom"/>
            <w:gridSpan w:val="4"/>
          </w:tcPr>
          <w:p>
            <w:pPr>
              <w:jc w:val="right"/>
              <w:spacing w:after="0" w:line="147" w:lineRule="exact"/>
              <w:rPr>
                <w:sz w:val="20"/>
                <w:szCs w:val="20"/>
                <w:color w:val="auto"/>
              </w:rPr>
            </w:pPr>
            <w:r>
              <w:rPr>
                <w:rFonts w:ascii="Arial" w:cs="Arial" w:eastAsia="Arial" w:hAnsi="Arial"/>
                <w:sz w:val="14"/>
                <w:szCs w:val="14"/>
                <w:color w:val="auto"/>
              </w:rPr>
              <w:t>2.2%</w:t>
            </w:r>
          </w:p>
        </w:tc>
      </w:tr>
      <w:tr>
        <w:trPr>
          <w:trHeight w:val="160"/>
        </w:trPr>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Underwriting income</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16,288</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11.7%</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-95.9%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19,597</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w:t>
            </w:r>
          </w:p>
        </w:tc>
        <w:tc>
          <w:tcPr>
            <w:tcW w:w="80" w:type="dxa"/>
            <w:vAlign w:val="bottom"/>
            <w:shd w:val="clear" w:color="auto" w:fill="CCEEFF"/>
          </w:tcPr>
          <w:p>
            <w:pPr>
              <w:spacing w:after="0"/>
              <w:rPr>
                <w:sz w:val="13"/>
                <w:szCs w:val="13"/>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-93.5%</w:t>
            </w:r>
          </w:p>
        </w:tc>
      </w:tr>
      <w:tr>
        <w:trPr>
          <w:trHeight w:val="180"/>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Acquisition cost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(91,666</w:t>
            </w:r>
          </w:p>
        </w:tc>
        <w:tc>
          <w:tcPr>
            <w:tcW w:w="180" w:type="dxa"/>
            <w:vAlign w:val="bottom"/>
          </w:tcPr>
          <w:p>
            <w:pPr>
              <w:jc w:val="right"/>
              <w:ind w:right="99"/>
              <w:spacing w:after="0"/>
              <w:rPr>
                <w:sz w:val="20"/>
                <w:szCs w:val="20"/>
                <w:color w:val="auto"/>
              </w:rPr>
            </w:pPr>
            <w:r>
              <w:rPr>
                <w:rFonts w:ascii="Arial" w:cs="Arial" w:eastAsia="Arial" w:hAnsi="Arial"/>
                <w:sz w:val="8"/>
                <w:szCs w:val="8"/>
                <w:b w:val="1"/>
                <w:bCs w:val="1"/>
                <w:color w:val="auto"/>
                <w:w w:val="73"/>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(112,507</w:t>
            </w:r>
          </w:p>
        </w:tc>
        <w:tc>
          <w:tcPr>
            <w:tcW w:w="180" w:type="dxa"/>
            <w:vAlign w:val="bottom"/>
          </w:tcPr>
          <w:p>
            <w:pPr>
              <w:jc w:val="right"/>
              <w:ind w:right="99"/>
              <w:spacing w:after="0"/>
              <w:rPr>
                <w:sz w:val="20"/>
                <w:szCs w:val="20"/>
                <w:color w:val="auto"/>
              </w:rPr>
            </w:pPr>
            <w:r>
              <w:rPr>
                <w:rFonts w:ascii="Arial" w:cs="Arial" w:eastAsia="Arial" w:hAnsi="Arial"/>
                <w:sz w:val="8"/>
                <w:szCs w:val="8"/>
                <w:b w:val="1"/>
                <w:bCs w:val="1"/>
                <w:color w:val="auto"/>
                <w:w w:val="73"/>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(87,598</w:t>
            </w:r>
          </w:p>
        </w:tc>
        <w:tc>
          <w:tcPr>
            <w:tcW w:w="180" w:type="dxa"/>
            <w:vAlign w:val="bottom"/>
          </w:tcPr>
          <w:p>
            <w:pPr>
              <w:jc w:val="right"/>
              <w:ind w:right="99"/>
              <w:spacing w:after="0"/>
              <w:rPr>
                <w:sz w:val="20"/>
                <w:szCs w:val="20"/>
                <w:color w:val="auto"/>
              </w:rPr>
            </w:pPr>
            <w:r>
              <w:rPr>
                <w:rFonts w:ascii="Arial" w:cs="Arial" w:eastAsia="Arial" w:hAnsi="Arial"/>
                <w:sz w:val="8"/>
                <w:szCs w:val="8"/>
                <w:b w:val="1"/>
                <w:bCs w:val="1"/>
                <w:color w:val="auto"/>
                <w:w w:val="73"/>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-22.1</w:t>
            </w:r>
          </w:p>
        </w:tc>
        <w:tc>
          <w:tcPr>
            <w:tcW w:w="240" w:type="dxa"/>
            <w:vAlign w:val="bottom"/>
          </w:tcPr>
          <w:p>
            <w:pPr>
              <w:jc w:val="right"/>
              <w:ind w:right="29"/>
              <w:spacing w:after="0"/>
              <w:rPr>
                <w:sz w:val="20"/>
                <w:szCs w:val="20"/>
                <w:color w:val="auto"/>
              </w:rPr>
            </w:pPr>
            <w:r>
              <w:rPr>
                <w:rFonts w:ascii="Arial" w:cs="Arial" w:eastAsia="Arial" w:hAnsi="Arial"/>
                <w:sz w:val="14"/>
                <w:szCs w:val="14"/>
                <w:b w:val="1"/>
                <w:bCs w:val="1"/>
                <w:color w:val="auto"/>
                <w:w w:val="96"/>
              </w:rPr>
              <w:t>%</w:t>
            </w:r>
          </w:p>
        </w:tc>
        <w:tc>
          <w:tcPr>
            <w:tcW w:w="2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-4.4</w:t>
            </w:r>
          </w:p>
        </w:tc>
        <w:tc>
          <w:tcPr>
            <w:tcW w:w="240" w:type="dxa"/>
            <w:vAlign w:val="bottom"/>
          </w:tcPr>
          <w:p>
            <w:pPr>
              <w:jc w:val="right"/>
              <w:ind w:right="29"/>
              <w:spacing w:after="0"/>
              <w:rPr>
                <w:sz w:val="20"/>
                <w:szCs w:val="20"/>
                <w:color w:val="auto"/>
              </w:rPr>
            </w:pPr>
            <w:r>
              <w:rPr>
                <w:rFonts w:ascii="Arial" w:cs="Arial" w:eastAsia="Arial" w:hAnsi="Arial"/>
                <w:sz w:val="14"/>
                <w:szCs w:val="14"/>
                <w:b w:val="1"/>
                <w:bCs w:val="1"/>
                <w:color w:val="auto"/>
                <w:w w:val="9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(182,947</w:t>
            </w:r>
          </w:p>
        </w:tc>
        <w:tc>
          <w:tcPr>
            <w:tcW w:w="200" w:type="dxa"/>
            <w:vAlign w:val="bottom"/>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(200,105</w:t>
            </w: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100" w:type="dxa"/>
            <w:vAlign w:val="bottom"/>
          </w:tcPr>
          <w:p>
            <w:pPr>
              <w:spacing w:after="0"/>
              <w:rPr>
                <w:sz w:val="15"/>
                <w:szCs w:val="15"/>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9.4</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9"/>
              </w:rPr>
              <w:t>%</w:t>
            </w: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acquisition cost fell 22.1% QoQ, which was attributable to a decrease in fees and underwriting expenses in both businesses. In life insurance, the drop in the fee was driven primarily by Credit Life and Group Life after registered premiums fell and to a decrease in underwriting expenses after profit sharing in Group Life and a release of provisions for uncollectible premiums in Credit Life. In property and casualty, the decrease in fee was primarily attributable to a drop in premiums in the quarter and to a decrease in the underwriting expenses, which was driven primarily by Cars given that last quarter, clients were reimbursed for a total of 8 million Soles because clients were unable to use their vehicles during a portion of the quarantine period.</w:t>
      </w:r>
    </w:p>
    <w:p>
      <w:pPr>
        <w:spacing w:after="0" w:line="1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the YoY analysis, the acquisition cost fell 4.4% due to the evolution of life insurance; this was attenuated by the performance of P&amp;C. The decrease in the underwriting expense in the life business was attributable to profit sharing in Group Life and to the release of provisions for uncollectible premiums in Credit Life. In P&amp;C, the increase was due to the same reasons outlined in the YoY analysis and to an increase in reserves for uncollectible premiums in Cars, Commercial Lines and Medical Assistance, and higher provisions for uncollectible reinsurance premiums in Medical Assistance.</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YTD analysis, the acquisition cost increased 9.4% due to growth in underwriting expenses in P&amp;C and an increase in fee for life insurance. In P&amp;C, expansion was primarily due to Cars given that a total of 10 million Soles was returned to clients who were unable to use their vehicles during the lockdown, to an increase in reserves for uncollectible premiums in Cars, Commercial Lines and Medical Assistance and to an increase in uncollectible reinsurance premiums in Medical Assistance. In the Life insurance business, the increase was driven mainly by an increase in fees in Credit Life due to growth in premiums through the alliance channel.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6.4 Underwriting Result by Business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Result by Business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1707515</wp:posOffset>
            </wp:positionH>
            <wp:positionV relativeFrom="paragraph">
              <wp:posOffset>140335</wp:posOffset>
            </wp:positionV>
            <wp:extent cx="3728085" cy="22707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728085" cy="2270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QoQ analysis, the decrease in the underwriting result was attributable to the Life business, in line with (i) a decrease in net premiums, mainly in Credit Life, Statutory Life and Group Life; and (ii) an increase in claims, mainly in the Credit Life and Individual Life lines, which was mitigated by a decrease in the acquisition cost due to a drop in the fee , in line with a decrease in premiums and by a decrease in the underwriting expenses due to release of profit sharing and provisions for uncollectible premiums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aforementioned was mitigated by an increase in P&amp;C, due to a drop in claims across business lines in the context of the lockdown, led by Medical Assistance and Cars; and to a decrease in the acquisition cost due to an increase in fee income from reinsurers and to the decrease in the underwriting expense due to premium reimbursements last quarter in the Cars line. The aforementioned was attenuated by a decrease in net premiums across business lines.</w:t>
      </w:r>
    </w:p>
    <w:p>
      <w:pPr>
        <w:spacing w:after="0" w:line="200" w:lineRule="exact"/>
        <w:rPr>
          <w:sz w:val="20"/>
          <w:szCs w:val="20"/>
          <w:color w:val="auto"/>
        </w:rPr>
      </w:pPr>
    </w:p>
    <w:p>
      <w:pPr>
        <w:spacing w:after="0" w:line="201"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spacing w:after="0" w:line="296" w:lineRule="auto"/>
        <w:rPr>
          <w:sz w:val="20"/>
          <w:szCs w:val="20"/>
          <w:color w:val="auto"/>
        </w:rPr>
      </w:pPr>
      <w:r>
        <w:rPr>
          <w:rFonts w:ascii="Arial" w:cs="Arial" w:eastAsia="Arial" w:hAnsi="Arial"/>
          <w:sz w:val="16"/>
          <w:szCs w:val="16"/>
          <w:color w:val="auto"/>
        </w:rPr>
        <w:t>In the YoY analysis, the increase in the underwriting result was attributable to P&amp;C and attenuated by life insurance. In P&amp;C, growth was due to a decrease in claims, which was attenuated by a drop in the premiums level due to the reasons explained in the QoQ analysis and to an increase in the acquisition cost due to higher underwriting expenses after uncollectible premiums were registered and premiums were returned in Cars. In Life insurance, the decrease in the result was attributable to a lower underwriting result, which was attributable to the reasons outlined in the QoQ analysis.</w:t>
      </w:r>
    </w:p>
    <w:p>
      <w:pPr>
        <w:spacing w:after="0" w:line="16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YTD analysis, the highest underwriting result is explained by general insurance, attenuated by life insurance. The P&amp;C result was driven by a drop in claims given that clients’ exposure levels fell during the lockdown. This was attenuated by a decrease in the net earned premium after new sales dropped and policies were canceled due to lack of payment and by an increase in the acquisition cost after 10 million Soles were reimbursed in the Cars segment. In the Life insurance business, the decrease in the underwriting results was attributable to an increase in claims in Credit Life, Group Life and Individual Life due to the current context and to an increase in acquisition costs in Credit Life, which was mitigated by the increase in the premium levels for Credit Life and Statutory life.</w:t>
      </w:r>
    </w:p>
    <w:p>
      <w:pPr>
        <w:spacing w:after="0" w:line="200" w:lineRule="exact"/>
        <w:rPr>
          <w:sz w:val="20"/>
          <w:szCs w:val="20"/>
          <w:color w:val="auto"/>
        </w:rPr>
      </w:pPr>
    </w:p>
    <w:p>
      <w:pPr>
        <w:spacing w:after="0" w:line="204"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7. Operating Expenses and Efficiency</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Credicorp’s operating efficiency ratio deteriorated QoQ, YoY and YTD. This was attributable to the fact that operating income fell mainly at BCP Stand-alone and Mibanco, which reflects both the impairment that was taken this quarter and the drop registered in fee income. The aforementioned was attenuated by a decrease in operating expenses, which is in line with the measures Credicorp is taking to offset the anticipated reduction in operating income due to COVID-19.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Quarter</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 change</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3"/>
          </w:tcPr>
          <w:p>
            <w:pPr>
              <w:ind w:left="740"/>
              <w:spacing w:after="0"/>
              <w:rPr>
                <w:sz w:val="20"/>
                <w:szCs w:val="20"/>
                <w:color w:val="auto"/>
              </w:rPr>
            </w:pPr>
            <w:r>
              <w:rPr>
                <w:rFonts w:ascii="Arial" w:cs="Arial" w:eastAsia="Arial" w:hAnsi="Arial"/>
                <w:sz w:val="14"/>
                <w:szCs w:val="14"/>
                <w:b w:val="1"/>
                <w:bCs w:val="1"/>
                <w:color w:val="auto"/>
              </w:rPr>
              <w:t>YTD</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53"/>
        </w:trPr>
        <w:tc>
          <w:tcPr>
            <w:tcW w:w="268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S/ 000</w:t>
            </w:r>
          </w:p>
        </w:tc>
        <w:tc>
          <w:tcPr>
            <w:tcW w:w="12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49"/>
              <w:spacing w:after="0" w:line="153" w:lineRule="exact"/>
              <w:rPr>
                <w:sz w:val="20"/>
                <w:szCs w:val="20"/>
                <w:color w:val="auto"/>
              </w:rPr>
            </w:pPr>
            <w:r>
              <w:rPr>
                <w:rFonts w:ascii="Arial" w:cs="Arial" w:eastAsia="Arial" w:hAnsi="Arial"/>
                <w:sz w:val="14"/>
                <w:szCs w:val="14"/>
                <w:b w:val="1"/>
                <w:bCs w:val="1"/>
                <w:color w:val="auto"/>
              </w:rPr>
              <w:t>2Q19</w:t>
            </w:r>
          </w:p>
        </w:tc>
        <w:tc>
          <w:tcPr>
            <w:tcW w:w="280" w:type="dxa"/>
            <w:vAlign w:val="bottom"/>
            <w:tcBorders>
              <w:top w:val="single" w:sz="8" w:color="auto"/>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9"/>
              </w:rPr>
              <w:t>1Q20</w:t>
            </w:r>
          </w:p>
        </w:tc>
        <w:tc>
          <w:tcPr>
            <w:tcW w:w="300" w:type="dxa"/>
            <w:vAlign w:val="bottom"/>
            <w:tcBorders>
              <w:top w:val="single" w:sz="8" w:color="auto"/>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49"/>
              <w:spacing w:after="0" w:line="153" w:lineRule="exact"/>
              <w:rPr>
                <w:sz w:val="20"/>
                <w:szCs w:val="20"/>
                <w:color w:val="auto"/>
              </w:rPr>
            </w:pPr>
            <w:r>
              <w:rPr>
                <w:rFonts w:ascii="Arial" w:cs="Arial" w:eastAsia="Arial" w:hAnsi="Arial"/>
                <w:sz w:val="14"/>
                <w:szCs w:val="14"/>
                <w:b w:val="1"/>
                <w:bCs w:val="1"/>
                <w:color w:val="auto"/>
              </w:rPr>
              <w:t>2Q20</w:t>
            </w:r>
          </w:p>
        </w:tc>
        <w:tc>
          <w:tcPr>
            <w:tcW w:w="30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ind w:left="220"/>
              <w:spacing w:after="0" w:line="153" w:lineRule="exact"/>
              <w:rPr>
                <w:sz w:val="20"/>
                <w:szCs w:val="20"/>
                <w:color w:val="auto"/>
              </w:rPr>
            </w:pPr>
            <w:r>
              <w:rPr>
                <w:rFonts w:ascii="Arial" w:cs="Arial" w:eastAsia="Arial" w:hAnsi="Arial"/>
                <w:sz w:val="14"/>
                <w:szCs w:val="14"/>
                <w:b w:val="1"/>
                <w:bCs w:val="1"/>
                <w:color w:val="auto"/>
              </w:rPr>
              <w:t>QoQ</w:t>
            </w:r>
          </w:p>
        </w:tc>
        <w:tc>
          <w:tcPr>
            <w:tcW w:w="32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ind w:left="40"/>
              <w:spacing w:after="0" w:line="153" w:lineRule="exact"/>
              <w:rPr>
                <w:sz w:val="20"/>
                <w:szCs w:val="20"/>
                <w:color w:val="auto"/>
              </w:rPr>
            </w:pPr>
            <w:r>
              <w:rPr>
                <w:rFonts w:ascii="Arial" w:cs="Arial" w:eastAsia="Arial" w:hAnsi="Arial"/>
                <w:sz w:val="14"/>
                <w:szCs w:val="14"/>
                <w:b w:val="1"/>
                <w:bCs w:val="1"/>
                <w:color w:val="auto"/>
              </w:rPr>
              <w:t>YoY</w:t>
            </w:r>
          </w:p>
        </w:tc>
        <w:tc>
          <w:tcPr>
            <w:tcW w:w="32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09"/>
              <w:spacing w:after="0" w:line="153" w:lineRule="exact"/>
              <w:rPr>
                <w:sz w:val="20"/>
                <w:szCs w:val="20"/>
                <w:color w:val="auto"/>
              </w:rPr>
            </w:pPr>
            <w:r>
              <w:rPr>
                <w:rFonts w:ascii="Arial" w:cs="Arial" w:eastAsia="Arial" w:hAnsi="Arial"/>
                <w:sz w:val="14"/>
                <w:szCs w:val="14"/>
                <w:b w:val="1"/>
                <w:bCs w:val="1"/>
                <w:color w:val="auto"/>
              </w:rPr>
              <w:t>Jun 19</w:t>
            </w:r>
          </w:p>
        </w:tc>
        <w:tc>
          <w:tcPr>
            <w:tcW w:w="2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09"/>
              <w:spacing w:after="0" w:line="153" w:lineRule="exact"/>
              <w:rPr>
                <w:sz w:val="20"/>
                <w:szCs w:val="20"/>
                <w:color w:val="auto"/>
              </w:rPr>
            </w:pPr>
            <w:r>
              <w:rPr>
                <w:rFonts w:ascii="Arial" w:cs="Arial" w:eastAsia="Arial" w:hAnsi="Arial"/>
                <w:sz w:val="14"/>
                <w:szCs w:val="14"/>
                <w:b w:val="1"/>
                <w:bCs w:val="1"/>
                <w:color w:val="auto"/>
              </w:rPr>
              <w:t>Jun 20</w:t>
            </w:r>
          </w:p>
        </w:tc>
        <w:tc>
          <w:tcPr>
            <w:tcW w:w="260" w:type="dxa"/>
            <w:vAlign w:val="bottom"/>
            <w:tcBorders>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Jun 20 / Jun 19</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6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Salaries and employees benefits</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845,835</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891,183</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825,997</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0" w:lineRule="exact"/>
              <w:rPr>
                <w:sz w:val="20"/>
                <w:szCs w:val="20"/>
                <w:color w:val="auto"/>
              </w:rPr>
            </w:pPr>
            <w:r>
              <w:rPr>
                <w:rFonts w:ascii="Arial" w:cs="Arial" w:eastAsia="Arial" w:hAnsi="Arial"/>
                <w:sz w:val="14"/>
                <w:szCs w:val="14"/>
                <w:color w:val="auto"/>
              </w:rPr>
              <w:t>-7.3%</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0" w:lineRule="exact"/>
              <w:rPr>
                <w:sz w:val="20"/>
                <w:szCs w:val="20"/>
                <w:color w:val="auto"/>
              </w:rPr>
            </w:pPr>
            <w:r>
              <w:rPr>
                <w:rFonts w:ascii="Arial" w:cs="Arial" w:eastAsia="Arial" w:hAnsi="Arial"/>
                <w:sz w:val="14"/>
                <w:szCs w:val="14"/>
                <w:color w:val="auto"/>
              </w:rPr>
              <w:t>-2.3%</w:t>
            </w:r>
          </w:p>
        </w:tc>
        <w:tc>
          <w:tcPr>
            <w:tcW w:w="7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1,680,152</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1,717,180</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7"/>
        </w:trPr>
        <w:tc>
          <w:tcPr>
            <w:tcW w:w="2800" w:type="dxa"/>
            <w:vAlign w:val="bottom"/>
            <w:gridSpan w:val="2"/>
          </w:tcPr>
          <w:p>
            <w:pPr>
              <w:spacing w:after="0" w:line="147" w:lineRule="exact"/>
              <w:rPr>
                <w:sz w:val="20"/>
                <w:szCs w:val="20"/>
                <w:color w:val="auto"/>
              </w:rPr>
            </w:pPr>
            <w:r>
              <w:rPr>
                <w:rFonts w:ascii="Arial" w:cs="Arial" w:eastAsia="Arial" w:hAnsi="Arial"/>
                <w:sz w:val="14"/>
                <w:szCs w:val="14"/>
                <w:color w:val="auto"/>
              </w:rPr>
              <w:t>Administrative, general and tax expenses</w:t>
            </w:r>
          </w:p>
        </w:tc>
        <w:tc>
          <w:tcPr>
            <w:tcW w:w="104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552,653</w:t>
            </w:r>
          </w:p>
        </w:tc>
        <w:tc>
          <w:tcPr>
            <w:tcW w:w="106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539,644</w:t>
            </w:r>
          </w:p>
        </w:tc>
        <w:tc>
          <w:tcPr>
            <w:tcW w:w="106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508,078</w:t>
            </w:r>
          </w:p>
        </w:tc>
        <w:tc>
          <w:tcPr>
            <w:tcW w:w="104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-5.8%</w:t>
            </w: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-8.1%</w:t>
            </w:r>
          </w:p>
        </w:tc>
        <w:tc>
          <w:tcPr>
            <w:tcW w:w="100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1,090,810</w:t>
            </w:r>
          </w:p>
        </w:tc>
        <w:tc>
          <w:tcPr>
            <w:tcW w:w="120" w:type="dxa"/>
            <w:vAlign w:val="bottom"/>
          </w:tcPr>
          <w:p>
            <w:pPr>
              <w:spacing w:after="0"/>
              <w:rPr>
                <w:sz w:val="12"/>
                <w:szCs w:val="12"/>
                <w:color w:val="auto"/>
              </w:rPr>
            </w:pPr>
          </w:p>
        </w:tc>
        <w:tc>
          <w:tcPr>
            <w:tcW w:w="92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1,047,722</w:t>
            </w:r>
          </w:p>
        </w:tc>
        <w:tc>
          <w:tcPr>
            <w:tcW w:w="11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7"/>
        </w:trPr>
        <w:tc>
          <w:tcPr>
            <w:tcW w:w="280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Depreciation and amortization</w:t>
            </w:r>
          </w:p>
        </w:tc>
        <w:tc>
          <w:tcPr>
            <w:tcW w:w="104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158,663</w:t>
            </w:r>
          </w:p>
        </w:tc>
        <w:tc>
          <w:tcPr>
            <w:tcW w:w="106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171,748</w:t>
            </w:r>
          </w:p>
        </w:tc>
        <w:tc>
          <w:tcPr>
            <w:tcW w:w="106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171,439</w:t>
            </w:r>
          </w:p>
        </w:tc>
        <w:tc>
          <w:tcPr>
            <w:tcW w:w="104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-0.2%</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8.1%</w:t>
            </w:r>
          </w:p>
        </w:tc>
        <w:tc>
          <w:tcPr>
            <w:tcW w:w="100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289,988</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343,187</w:t>
            </w:r>
          </w:p>
        </w:tc>
        <w:tc>
          <w:tcPr>
            <w:tcW w:w="11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47"/>
        </w:trPr>
        <w:tc>
          <w:tcPr>
            <w:tcW w:w="2800" w:type="dxa"/>
            <w:vAlign w:val="bottom"/>
            <w:gridSpan w:val="2"/>
          </w:tcPr>
          <w:p>
            <w:pPr>
              <w:spacing w:after="0" w:line="147" w:lineRule="exact"/>
              <w:rPr>
                <w:sz w:val="20"/>
                <w:szCs w:val="20"/>
                <w:color w:val="auto"/>
              </w:rPr>
            </w:pPr>
            <w:r>
              <w:rPr>
                <w:rFonts w:ascii="Arial" w:cs="Arial" w:eastAsia="Arial" w:hAnsi="Arial"/>
                <w:sz w:val="14"/>
                <w:szCs w:val="14"/>
                <w:color w:val="auto"/>
              </w:rPr>
              <w:t>Association in participation</w:t>
            </w:r>
          </w:p>
        </w:tc>
        <w:tc>
          <w:tcPr>
            <w:tcW w:w="104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4,746</w:t>
            </w:r>
          </w:p>
        </w:tc>
        <w:tc>
          <w:tcPr>
            <w:tcW w:w="106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6,430</w:t>
            </w:r>
          </w:p>
        </w:tc>
        <w:tc>
          <w:tcPr>
            <w:tcW w:w="106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17,944</w:t>
            </w:r>
          </w:p>
        </w:tc>
        <w:tc>
          <w:tcPr>
            <w:tcW w:w="104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179.1%</w:t>
            </w: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278.1%</w:t>
            </w:r>
          </w:p>
        </w:tc>
        <w:tc>
          <w:tcPr>
            <w:tcW w:w="100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7,482</w:t>
            </w:r>
          </w:p>
        </w:tc>
        <w:tc>
          <w:tcPr>
            <w:tcW w:w="120" w:type="dxa"/>
            <w:vAlign w:val="bottom"/>
          </w:tcPr>
          <w:p>
            <w:pPr>
              <w:spacing w:after="0"/>
              <w:rPr>
                <w:sz w:val="12"/>
                <w:szCs w:val="12"/>
                <w:color w:val="auto"/>
              </w:rPr>
            </w:pPr>
          </w:p>
        </w:tc>
        <w:tc>
          <w:tcPr>
            <w:tcW w:w="92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24,374</w:t>
            </w:r>
          </w:p>
        </w:tc>
        <w:tc>
          <w:tcPr>
            <w:tcW w:w="11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225.8%</w:t>
            </w:r>
          </w:p>
        </w:tc>
        <w:tc>
          <w:tcPr>
            <w:tcW w:w="0" w:type="dxa"/>
            <w:vAlign w:val="bottom"/>
          </w:tcPr>
          <w:p>
            <w:pPr>
              <w:spacing w:after="0"/>
              <w:rPr>
                <w:sz w:val="1"/>
                <w:szCs w:val="1"/>
                <w:color w:val="auto"/>
              </w:rPr>
            </w:pPr>
          </w:p>
        </w:tc>
      </w:tr>
      <w:tr>
        <w:trPr>
          <w:trHeight w:val="200"/>
        </w:trPr>
        <w:tc>
          <w:tcPr>
            <w:tcW w:w="2800" w:type="dxa"/>
            <w:vAlign w:val="bottom"/>
            <w:gridSpan w:val="2"/>
            <w:shd w:val="clear" w:color="auto" w:fill="CCEEFF"/>
          </w:tcPr>
          <w:p>
            <w:pPr>
              <w:spacing w:after="0" w:line="200" w:lineRule="exact"/>
              <w:rPr>
                <w:sz w:val="20"/>
                <w:szCs w:val="20"/>
                <w:color w:val="auto"/>
              </w:rPr>
            </w:pPr>
            <w:r>
              <w:rPr>
                <w:rFonts w:ascii="Arial" w:cs="Arial" w:eastAsia="Arial" w:hAnsi="Arial"/>
                <w:sz w:val="14"/>
                <w:szCs w:val="14"/>
                <w:color w:val="auto"/>
              </w:rPr>
              <w:t xml:space="preserve">Acquisition cost </w:t>
            </w:r>
            <w:r>
              <w:rPr>
                <w:rFonts w:ascii="Arial" w:cs="Arial" w:eastAsia="Arial" w:hAnsi="Arial"/>
                <w:sz w:val="23"/>
                <w:szCs w:val="23"/>
                <w:color w:val="auto"/>
                <w:vertAlign w:val="superscript"/>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91,666</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112,507</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87,598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-22.1%</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182,947</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200,105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line="200" w:lineRule="exact"/>
              <w:rPr>
                <w:sz w:val="20"/>
                <w:szCs w:val="20"/>
                <w:color w:val="auto"/>
              </w:rPr>
            </w:pPr>
            <w:r>
              <w:rPr>
                <w:rFonts w:ascii="Arial" w:cs="Arial" w:eastAsia="Arial" w:hAnsi="Arial"/>
                <w:sz w:val="14"/>
                <w:szCs w:val="14"/>
                <w:b w:val="1"/>
                <w:bCs w:val="1"/>
                <w:color w:val="auto"/>
              </w:rPr>
              <w:t xml:space="preserve">Operating expenses </w:t>
            </w:r>
            <w:r>
              <w:rPr>
                <w:rFonts w:ascii="Arial" w:cs="Arial" w:eastAsia="Arial" w:hAnsi="Arial"/>
                <w:sz w:val="23"/>
                <w:szCs w:val="23"/>
                <w:b w:val="1"/>
                <w:bCs w:val="1"/>
                <w:color w:val="auto"/>
                <w:vertAlign w:val="superscript"/>
              </w:rPr>
              <w:t>(2)</w:t>
            </w: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800" w:type="dxa"/>
            <w:vAlign w:val="bottom"/>
            <w:gridSpan w:val="2"/>
            <w:vMerge w:val="continue"/>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1,653,563</w:t>
            </w:r>
          </w:p>
        </w:tc>
        <w:tc>
          <w:tcPr>
            <w:tcW w:w="280" w:type="dxa"/>
            <w:vAlign w:val="bottom"/>
          </w:tcPr>
          <w:p>
            <w:pPr>
              <w:spacing w:after="0"/>
              <w:rPr>
                <w:sz w:val="15"/>
                <w:szCs w:val="15"/>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1,721,512</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1,611,056</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-6.4%</w:t>
            </w:r>
          </w:p>
        </w:tc>
        <w:tc>
          <w:tcPr>
            <w:tcW w:w="20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-2.6%</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3,251,379</w:t>
            </w:r>
          </w:p>
        </w:tc>
        <w:tc>
          <w:tcPr>
            <w:tcW w:w="12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3,332,568</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20"/>
        </w:trPr>
        <w:tc>
          <w:tcPr>
            <w:tcW w:w="2800" w:type="dxa"/>
            <w:vAlign w:val="bottom"/>
            <w:gridSpan w:val="2"/>
            <w:vMerge w:val="restart"/>
            <w:shd w:val="clear" w:color="auto" w:fill="CCEEFF"/>
          </w:tcPr>
          <w:p>
            <w:pPr>
              <w:spacing w:after="0" w:line="200" w:lineRule="exact"/>
              <w:rPr>
                <w:sz w:val="20"/>
                <w:szCs w:val="20"/>
                <w:color w:val="auto"/>
              </w:rPr>
            </w:pPr>
            <w:r>
              <w:rPr>
                <w:rFonts w:ascii="Arial" w:cs="Arial" w:eastAsia="Arial" w:hAnsi="Arial"/>
                <w:sz w:val="14"/>
                <w:szCs w:val="14"/>
                <w:b w:val="1"/>
                <w:bCs w:val="1"/>
                <w:color w:val="auto"/>
              </w:rPr>
              <w:t xml:space="preserve">Operating income </w:t>
            </w:r>
            <w:r>
              <w:rPr>
                <w:rFonts w:ascii="Arial" w:cs="Arial" w:eastAsia="Arial" w:hAnsi="Arial"/>
                <w:sz w:val="23"/>
                <w:szCs w:val="23"/>
                <w:b w:val="1"/>
                <w:bCs w:val="1"/>
                <w:color w:val="auto"/>
                <w:vertAlign w:val="superscript"/>
              </w:rPr>
              <w:t>(3)</w:t>
            </w: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800" w:type="dxa"/>
            <w:vAlign w:val="bottom"/>
            <w:gridSpan w:val="2"/>
            <w:vMerge w:val="continue"/>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3,832,407</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3,967,962</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3,212,780</w:t>
            </w:r>
          </w:p>
        </w:tc>
        <w:tc>
          <w:tcPr>
            <w:tcW w:w="3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-19.0%</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-16.2%</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7,600,971</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7,180,742</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-5.5%</w:t>
            </w: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line="200" w:lineRule="exact"/>
              <w:rPr>
                <w:sz w:val="20"/>
                <w:szCs w:val="20"/>
                <w:color w:val="auto"/>
              </w:rPr>
            </w:pPr>
            <w:r>
              <w:rPr>
                <w:rFonts w:ascii="Arial" w:cs="Arial" w:eastAsia="Arial" w:hAnsi="Arial"/>
                <w:sz w:val="14"/>
                <w:szCs w:val="14"/>
                <w:b w:val="1"/>
                <w:bCs w:val="1"/>
                <w:color w:val="auto"/>
              </w:rPr>
              <w:t xml:space="preserve">Efficiency ratio </w:t>
            </w:r>
            <w:r>
              <w:rPr>
                <w:rFonts w:ascii="Arial" w:cs="Arial" w:eastAsia="Arial" w:hAnsi="Arial"/>
                <w:sz w:val="23"/>
                <w:szCs w:val="23"/>
                <w:b w:val="1"/>
                <w:bCs w:val="1"/>
                <w:color w:val="auto"/>
                <w:vertAlign w:val="superscript"/>
              </w:rPr>
              <w:t>(4)</w:t>
            </w: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800" w:type="dxa"/>
            <w:vAlign w:val="bottom"/>
            <w:gridSpan w:val="2"/>
            <w:vMerge w:val="continue"/>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43.1%</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43.4%</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50.1%</w:t>
            </w:r>
          </w:p>
        </w:tc>
        <w:tc>
          <w:tcPr>
            <w:tcW w:w="12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670bps</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700bps</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42.8%</w:t>
            </w:r>
          </w:p>
        </w:tc>
        <w:tc>
          <w:tcPr>
            <w:tcW w:w="1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46.4%</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360bps</w:t>
            </w:r>
          </w:p>
        </w:tc>
        <w:tc>
          <w:tcPr>
            <w:tcW w:w="0" w:type="dxa"/>
            <w:vAlign w:val="bottom"/>
          </w:tcPr>
          <w:p>
            <w:pPr>
              <w:spacing w:after="0"/>
              <w:rPr>
                <w:sz w:val="1"/>
                <w:szCs w:val="1"/>
                <w:color w:val="auto"/>
              </w:rPr>
            </w:pPr>
          </w:p>
        </w:tc>
      </w:tr>
      <w:tr>
        <w:trPr>
          <w:trHeight w:val="20"/>
        </w:trPr>
        <w:tc>
          <w:tcPr>
            <w:tcW w:w="2800" w:type="dxa"/>
            <w:vAlign w:val="bottom"/>
            <w:gridSpan w:val="2"/>
            <w:vMerge w:val="restart"/>
            <w:shd w:val="clear" w:color="auto" w:fill="CCEEFF"/>
          </w:tcPr>
          <w:p>
            <w:pPr>
              <w:spacing w:after="0" w:line="200" w:lineRule="exact"/>
              <w:rPr>
                <w:sz w:val="20"/>
                <w:szCs w:val="20"/>
                <w:color w:val="auto"/>
              </w:rPr>
            </w:pPr>
            <w:r>
              <w:rPr>
                <w:rFonts w:ascii="Arial" w:cs="Arial" w:eastAsia="Arial" w:hAnsi="Arial"/>
                <w:sz w:val="14"/>
                <w:szCs w:val="14"/>
                <w:b w:val="1"/>
                <w:bCs w:val="1"/>
                <w:color w:val="auto"/>
                <w:w w:val="90"/>
              </w:rPr>
              <w:t xml:space="preserve">Operating expenses / Total average assets </w:t>
            </w:r>
            <w:r>
              <w:rPr>
                <w:rFonts w:ascii="Arial" w:cs="Arial" w:eastAsia="Arial" w:hAnsi="Arial"/>
                <w:sz w:val="23"/>
                <w:szCs w:val="23"/>
                <w:b w:val="1"/>
                <w:bCs w:val="1"/>
                <w:color w:val="auto"/>
                <w:w w:val="90"/>
                <w:vertAlign w:val="superscript"/>
              </w:rPr>
              <w:t>(5)</w:t>
            </w: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800" w:type="dxa"/>
            <w:vAlign w:val="bottom"/>
            <w:gridSpan w:val="2"/>
            <w:vMerge w:val="continue"/>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3.69 %</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3.57%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3.07%</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-50bps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-62bps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3.64%</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3.26%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-38bps</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260" w:hanging="253"/>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acquisition cost of Pacífico includes net fees and underwriting expenses.</w:t>
      </w:r>
    </w:p>
    <w:p>
      <w:pPr>
        <w:spacing w:after="0" w:line="19" w:lineRule="exact"/>
        <w:rPr>
          <w:rFonts w:ascii="Arial" w:cs="Arial" w:eastAsia="Arial" w:hAnsi="Arial"/>
          <w:sz w:val="18"/>
          <w:szCs w:val="18"/>
          <w:color w:val="auto"/>
        </w:rPr>
      </w:pPr>
    </w:p>
    <w:p>
      <w:pPr>
        <w:ind w:right="540" w:firstLine="7"/>
        <w:spacing w:after="0" w:line="262" w:lineRule="auto"/>
        <w:tabs>
          <w:tab w:leader="none" w:pos="252" w:val="left"/>
        </w:tabs>
        <w:numPr>
          <w:ilvl w:val="0"/>
          <w:numId w:val="63"/>
        </w:numPr>
        <w:rPr>
          <w:rFonts w:ascii="Arial" w:cs="Arial" w:eastAsia="Arial" w:hAnsi="Arial"/>
          <w:sz w:val="17"/>
          <w:szCs w:val="17"/>
          <w:color w:val="auto"/>
        </w:rPr>
      </w:pPr>
      <w:r>
        <w:rPr>
          <w:rFonts w:ascii="Arial" w:cs="Arial" w:eastAsia="Arial" w:hAnsi="Arial"/>
          <w:sz w:val="17"/>
          <w:szCs w:val="17"/>
          <w:color w:val="auto"/>
        </w:rPr>
        <w:t>Figures differ from previously reported, please consider the data presented on this report. Operating expenses = Salaries and employee’s benefits + Administrative, general and tax expenses + Depreciation and amortization + Acquisition cost + Association in participation.</w:t>
      </w:r>
    </w:p>
    <w:p>
      <w:pPr>
        <w:ind w:right="140" w:firstLine="7"/>
        <w:spacing w:after="0" w:line="247" w:lineRule="auto"/>
        <w:tabs>
          <w:tab w:leader="none" w:pos="2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Operating income = Net interest income + Fee income + Net gain on foreign exchange transactions + Net gain from associates + Net gain on derivatives held for trading + Result on exchange differences + Net premiums earned.</w:t>
      </w:r>
    </w:p>
    <w:p>
      <w:pPr>
        <w:ind w:left="260" w:hanging="253"/>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 Operating expenses / Operating income.</w:t>
      </w:r>
    </w:p>
    <w:p>
      <w:pPr>
        <w:spacing w:after="0" w:line="6" w:lineRule="exact"/>
        <w:rPr>
          <w:rFonts w:ascii="Arial" w:cs="Arial" w:eastAsia="Arial" w:hAnsi="Arial"/>
          <w:sz w:val="18"/>
          <w:szCs w:val="18"/>
          <w:color w:val="auto"/>
        </w:rPr>
      </w:pPr>
    </w:p>
    <w:p>
      <w:pPr>
        <w:ind w:right="520" w:firstLine="7"/>
        <w:spacing w:after="0" w:line="255" w:lineRule="auto"/>
        <w:tabs>
          <w:tab w:leader="none" w:pos="2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 Operating expenses / Average of Total Assets. Average is calculated with period-beginning and period-ending balances.</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QoQ and YoY analysis reveal a deterioration of 670 bps and 700 bps respectively in the efficiency ratio. This was primarily attributable to a decrease in operating income.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shows the impact of the variation in each component of income and operating expenses on the efficiency ratio YoY: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YoY evolution of the efficiency ratio by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151130</wp:posOffset>
            </wp:positionV>
            <wp:extent cx="6481445" cy="18637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81445" cy="1863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20" w:firstLine="7"/>
        <w:spacing w:after="0" w:line="255" w:lineRule="auto"/>
        <w:tabs>
          <w:tab w:leader="none" w:pos="252" w:val="left"/>
        </w:tabs>
        <w:numPr>
          <w:ilvl w:val="0"/>
          <w:numId w:val="64"/>
        </w:numPr>
        <w:rPr>
          <w:rFonts w:ascii="Arial" w:cs="Arial" w:eastAsia="Arial" w:hAnsi="Arial"/>
          <w:sz w:val="18"/>
          <w:szCs w:val="18"/>
          <w:color w:val="auto"/>
        </w:rPr>
      </w:pPr>
      <w:r>
        <w:rPr>
          <w:rFonts w:ascii="Arial" w:cs="Arial" w:eastAsia="Arial" w:hAnsi="Arial"/>
          <w:sz w:val="18"/>
          <w:szCs w:val="18"/>
          <w:color w:val="auto"/>
        </w:rPr>
        <w:t>Other operating income includes: Net gain on foreign exchange transactions, Net gain from associates, Net gain on derivatives held for trading and Net gain from exchange difference.</w:t>
      </w:r>
    </w:p>
    <w:p>
      <w:pPr>
        <w:ind w:left="260" w:hanging="253"/>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Other operating expenses includes: Acquisition cost and Association in participation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fell, mainly due to:</w:t>
      </w:r>
    </w:p>
    <w:p>
      <w:pPr>
        <w:spacing w:after="0" w:line="220" w:lineRule="exact"/>
        <w:rPr>
          <w:sz w:val="20"/>
          <w:szCs w:val="20"/>
          <w:color w:val="auto"/>
        </w:rPr>
      </w:pPr>
    </w:p>
    <w:p>
      <w:pPr>
        <w:ind w:left="880" w:hanging="500"/>
        <w:spacing w:after="0" w:line="333" w:lineRule="auto"/>
        <w:tabs>
          <w:tab w:leader="none" w:pos="8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reduction in net interest income, which was attributable to the impairment taken at BCP Stand-alone and Mibanco due to the debt freezing facilities offered to some clients whose income has been affected by the COVID-19 crisis, as explained in section 4.1. Interest income.</w:t>
      </w:r>
    </w:p>
    <w:p>
      <w:pPr>
        <w:spacing w:after="0" w:line="129" w:lineRule="exact"/>
        <w:rPr>
          <w:rFonts w:ascii="Arial" w:cs="Arial" w:eastAsia="Arial" w:hAnsi="Arial"/>
          <w:sz w:val="16"/>
          <w:szCs w:val="16"/>
          <w:color w:val="auto"/>
        </w:rPr>
      </w:pPr>
    </w:p>
    <w:p>
      <w:pPr>
        <w:ind w:left="880" w:hanging="500"/>
        <w:spacing w:after="0" w:line="270"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decrease in fee income at BCP Stand-alone and, to a lesser extent, at Mibanco. Both reductions were attributable to a decrease in the transaction levels, as explained in 5.1.2. Fee income in the banking business.</w:t>
      </w:r>
    </w:p>
    <w:p>
      <w:pPr>
        <w:spacing w:after="0" w:line="388"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4" w:name="page45"/>
    <w:bookmarkEnd w:id="44"/>
    <w:p>
      <w:pPr>
        <w:spacing w:after="0" w:line="270" w:lineRule="auto"/>
        <w:rPr>
          <w:sz w:val="20"/>
          <w:szCs w:val="20"/>
          <w:color w:val="auto"/>
        </w:rPr>
      </w:pPr>
      <w:r>
        <w:rPr>
          <w:rFonts w:ascii="Arial" w:cs="Arial" w:eastAsia="Arial" w:hAnsi="Arial"/>
          <w:sz w:val="18"/>
          <w:szCs w:val="18"/>
          <w:color w:val="auto"/>
        </w:rPr>
        <w:t>Operating expenses also fell, which reflects the efforts being made to reduce the impact of lower operating income. The drop in operating expenses was due to:</w:t>
      </w:r>
    </w:p>
    <w:p>
      <w:pPr>
        <w:spacing w:after="0" w:line="175" w:lineRule="exact"/>
        <w:rPr>
          <w:sz w:val="20"/>
          <w:szCs w:val="20"/>
          <w:color w:val="auto"/>
        </w:rPr>
      </w:pPr>
    </w:p>
    <w:p>
      <w:pPr>
        <w:jc w:val="both"/>
        <w:ind w:left="880" w:hanging="500"/>
        <w:spacing w:after="0" w:line="258"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contraction in administrative and general expenses and taxes due to the savings generated by the fact that a large percentage of our employees are working remotely. Currently, a long-term project to optimize the workspace and generate savings in the medium term is in development.</w:t>
      </w:r>
    </w:p>
    <w:p>
      <w:pPr>
        <w:spacing w:after="0" w:line="186" w:lineRule="exact"/>
        <w:rPr>
          <w:rFonts w:ascii="Arial" w:cs="Arial" w:eastAsia="Arial" w:hAnsi="Arial"/>
          <w:sz w:val="18"/>
          <w:szCs w:val="18"/>
          <w:color w:val="auto"/>
        </w:rPr>
      </w:pPr>
    </w:p>
    <w:p>
      <w:pPr>
        <w:jc w:val="both"/>
        <w:ind w:left="880" w:hanging="500"/>
        <w:spacing w:after="0" w:line="258"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reduction in salaries and employee benefits, which was mainly registered at BCP Stand-alone, was attributable to a reduction in variable compensation. It is important to note that we are working to retain personnel and relocate some employees to areas that are working at full capacity during the pandemic to ensure our capacity to grow down the line.</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YTD, efficiency deteriorated 360 bps. This impact was less significant given that in 1Q20, operating income increased in the annual comparison, which attenuated the impact of the YoY decrease. The increase in operating expenses was mainly attributable to growth in salaries and employee benefits in the Microfinance business after Mibanco increased its head count in 2019 and employees from Bancompatir were added to the payroll. The chart below shows the impact of the variation of each component of operating income and expenses on the YTD efficiency ratio: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YTD evolution of the efficiency ratio by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151130</wp:posOffset>
            </wp:positionV>
            <wp:extent cx="6464300" cy="16351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64300" cy="163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20" w:firstLine="7"/>
        <w:spacing w:after="0" w:line="255" w:lineRule="auto"/>
        <w:tabs>
          <w:tab w:leader="none" w:pos="2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 operating income includes: Net gain on foreign exchange transactions, Net gain from associates, Net gain on derivatives held for trading and Net gain from exchange difference.</w:t>
      </w:r>
    </w:p>
    <w:p>
      <w:pPr>
        <w:ind w:left="260" w:hanging="253"/>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 operating expenses includes: Acquisition cost and Association in participation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 Credicorp’s Administrative, General and Tax Expenses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Credicorp’s administrative, general and tax expenses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320" w:type="dxa"/>
            <w:vAlign w:val="bottom"/>
            <w:gridSpan w:val="2"/>
          </w:tcPr>
          <w:p>
            <w:pPr>
              <w:spacing w:after="0"/>
              <w:rPr>
                <w:sz w:val="20"/>
                <w:szCs w:val="20"/>
                <w:color w:val="auto"/>
              </w:rPr>
            </w:pPr>
            <w:r>
              <w:rPr>
                <w:rFonts w:ascii="Arial" w:cs="Arial" w:eastAsia="Arial" w:hAnsi="Arial"/>
                <w:sz w:val="12"/>
                <w:szCs w:val="12"/>
                <w:b w:val="1"/>
                <w:bCs w:val="1"/>
                <w:color w:val="auto"/>
              </w:rPr>
              <w:t>Administrative, general and tax expenses</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3"/>
          </w:tcPr>
          <w:p>
            <w:pPr>
              <w:ind w:left="320"/>
              <w:spacing w:after="0"/>
              <w:rPr>
                <w:sz w:val="20"/>
                <w:szCs w:val="20"/>
                <w:color w:val="auto"/>
              </w:rPr>
            </w:pPr>
            <w:r>
              <w:rPr>
                <w:rFonts w:ascii="Arial" w:cs="Arial" w:eastAsia="Arial" w:hAnsi="Arial"/>
                <w:sz w:val="12"/>
                <w:szCs w:val="12"/>
                <w:b w:val="1"/>
                <w:bCs w:val="1"/>
                <w:color w:val="auto"/>
              </w:rPr>
              <w:t>Quarter</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4"/>
          </w:tcPr>
          <w:p>
            <w:pPr>
              <w:jc w:val="right"/>
              <w:ind w:right="540"/>
              <w:spacing w:after="0"/>
              <w:rPr>
                <w:sz w:val="20"/>
                <w:szCs w:val="20"/>
                <w:color w:val="auto"/>
              </w:rPr>
            </w:pPr>
            <w:r>
              <w:rPr>
                <w:rFonts w:ascii="Arial" w:cs="Arial" w:eastAsia="Arial" w:hAnsi="Arial"/>
                <w:sz w:val="12"/>
                <w:szCs w:val="12"/>
                <w:b w:val="1"/>
                <w:bCs w:val="1"/>
                <w:color w:val="auto"/>
              </w:rPr>
              <w:t>% change</w:t>
            </w:r>
          </w:p>
        </w:tc>
        <w:tc>
          <w:tcPr>
            <w:tcW w:w="900" w:type="dxa"/>
            <w:vAlign w:val="bottom"/>
            <w:gridSpan w:val="3"/>
          </w:tcPr>
          <w:p>
            <w:pPr>
              <w:ind w:left="580"/>
              <w:spacing w:after="0"/>
              <w:rPr>
                <w:sz w:val="20"/>
                <w:szCs w:val="20"/>
                <w:color w:val="auto"/>
              </w:rPr>
            </w:pPr>
            <w:r>
              <w:rPr>
                <w:rFonts w:ascii="Arial" w:cs="Arial" w:eastAsia="Arial" w:hAnsi="Arial"/>
                <w:sz w:val="12"/>
                <w:szCs w:val="12"/>
                <w:b w:val="1"/>
                <w:bCs w:val="1"/>
                <w:color w:val="auto"/>
              </w:rPr>
              <w:t>YTD</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 change</w:t>
            </w:r>
          </w:p>
        </w:tc>
      </w:tr>
      <w:tr>
        <w:trPr>
          <w:trHeight w:val="127"/>
        </w:trPr>
        <w:tc>
          <w:tcPr>
            <w:tcW w:w="3220" w:type="dxa"/>
            <w:vAlign w:val="bottom"/>
            <w:tcBorders>
              <w:bottom w:val="single" w:sz="8" w:color="auto"/>
            </w:tcBorders>
          </w:tcPr>
          <w:p>
            <w:pPr>
              <w:spacing w:after="0" w:line="127" w:lineRule="exact"/>
              <w:rPr>
                <w:sz w:val="20"/>
                <w:szCs w:val="20"/>
                <w:color w:val="auto"/>
              </w:rPr>
            </w:pPr>
            <w:r>
              <w:rPr>
                <w:rFonts w:ascii="Arial" w:cs="Arial" w:eastAsia="Arial" w:hAnsi="Arial"/>
                <w:sz w:val="12"/>
                <w:szCs w:val="12"/>
                <w:b w:val="1"/>
                <w:bCs w:val="1"/>
                <w:color w:val="auto"/>
              </w:rPr>
              <w:t>S/ 000</w:t>
            </w:r>
          </w:p>
        </w:tc>
        <w:tc>
          <w:tcPr>
            <w:tcW w:w="100" w:type="dxa"/>
            <w:vAlign w:val="bottom"/>
            <w:tcBorders>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38"/>
              <w:spacing w:after="0" w:line="127" w:lineRule="exact"/>
              <w:rPr>
                <w:sz w:val="20"/>
                <w:szCs w:val="20"/>
                <w:color w:val="auto"/>
              </w:rPr>
            </w:pPr>
            <w:r>
              <w:rPr>
                <w:rFonts w:ascii="Arial" w:cs="Arial" w:eastAsia="Arial" w:hAnsi="Arial"/>
                <w:sz w:val="12"/>
                <w:szCs w:val="12"/>
                <w:b w:val="1"/>
                <w:bCs w:val="1"/>
                <w:color w:val="auto"/>
              </w:rPr>
              <w:t>2Q19</w:t>
            </w:r>
          </w:p>
        </w:tc>
        <w:tc>
          <w:tcPr>
            <w:tcW w:w="180" w:type="dxa"/>
            <w:vAlign w:val="bottom"/>
            <w:tcBorders>
              <w:top w:val="single" w:sz="8" w:color="auto"/>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58"/>
              <w:spacing w:after="0" w:line="127" w:lineRule="exact"/>
              <w:rPr>
                <w:sz w:val="20"/>
                <w:szCs w:val="20"/>
                <w:color w:val="auto"/>
              </w:rPr>
            </w:pPr>
            <w:r>
              <w:rPr>
                <w:rFonts w:ascii="Arial" w:cs="Arial" w:eastAsia="Arial" w:hAnsi="Arial"/>
                <w:sz w:val="12"/>
                <w:szCs w:val="12"/>
                <w:b w:val="1"/>
                <w:bCs w:val="1"/>
                <w:color w:val="auto"/>
              </w:rPr>
              <w:t>%</w:t>
            </w:r>
          </w:p>
        </w:tc>
        <w:tc>
          <w:tcPr>
            <w:tcW w:w="24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38"/>
              <w:spacing w:after="0" w:line="127" w:lineRule="exact"/>
              <w:rPr>
                <w:sz w:val="20"/>
                <w:szCs w:val="20"/>
                <w:color w:val="auto"/>
              </w:rPr>
            </w:pPr>
            <w:r>
              <w:rPr>
                <w:rFonts w:ascii="Arial" w:cs="Arial" w:eastAsia="Arial" w:hAnsi="Arial"/>
                <w:sz w:val="12"/>
                <w:szCs w:val="12"/>
                <w:b w:val="1"/>
                <w:bCs w:val="1"/>
                <w:color w:val="auto"/>
              </w:rPr>
              <w:t>1Q20</w:t>
            </w:r>
          </w:p>
        </w:tc>
        <w:tc>
          <w:tcPr>
            <w:tcW w:w="20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ind w:right="78"/>
              <w:spacing w:after="0" w:line="127" w:lineRule="exact"/>
              <w:rPr>
                <w:sz w:val="20"/>
                <w:szCs w:val="20"/>
                <w:color w:val="auto"/>
              </w:rPr>
            </w:pPr>
            <w:r>
              <w:rPr>
                <w:rFonts w:ascii="Arial" w:cs="Arial" w:eastAsia="Arial" w:hAnsi="Arial"/>
                <w:sz w:val="12"/>
                <w:szCs w:val="12"/>
                <w:b w:val="1"/>
                <w:bCs w:val="1"/>
                <w:color w:val="auto"/>
              </w:rPr>
              <w:t>%</w:t>
            </w:r>
          </w:p>
        </w:tc>
        <w:tc>
          <w:tcPr>
            <w:tcW w:w="22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38"/>
              <w:spacing w:after="0" w:line="127" w:lineRule="exact"/>
              <w:rPr>
                <w:sz w:val="20"/>
                <w:szCs w:val="20"/>
                <w:color w:val="auto"/>
              </w:rPr>
            </w:pPr>
            <w:r>
              <w:rPr>
                <w:rFonts w:ascii="Arial" w:cs="Arial" w:eastAsia="Arial" w:hAnsi="Arial"/>
                <w:sz w:val="12"/>
                <w:szCs w:val="12"/>
                <w:b w:val="1"/>
                <w:bCs w:val="1"/>
                <w:color w:val="auto"/>
              </w:rPr>
              <w:t>2Q20</w:t>
            </w:r>
          </w:p>
        </w:tc>
        <w:tc>
          <w:tcPr>
            <w:tcW w:w="200" w:type="dxa"/>
            <w:vAlign w:val="bottom"/>
            <w:tcBorders>
              <w:top w:val="single" w:sz="8" w:color="auto"/>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78"/>
              <w:spacing w:after="0" w:line="127" w:lineRule="exact"/>
              <w:rPr>
                <w:sz w:val="20"/>
                <w:szCs w:val="20"/>
                <w:color w:val="auto"/>
              </w:rPr>
            </w:pPr>
            <w:r>
              <w:rPr>
                <w:rFonts w:ascii="Arial" w:cs="Arial" w:eastAsia="Arial" w:hAnsi="Arial"/>
                <w:sz w:val="12"/>
                <w:szCs w:val="12"/>
                <w:b w:val="1"/>
                <w:bCs w:val="1"/>
                <w:color w:val="auto"/>
              </w:rPr>
              <w:t>%</w:t>
            </w:r>
          </w:p>
        </w:tc>
        <w:tc>
          <w:tcPr>
            <w:tcW w:w="24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ind w:left="80"/>
              <w:spacing w:after="0" w:line="127" w:lineRule="exact"/>
              <w:rPr>
                <w:sz w:val="20"/>
                <w:szCs w:val="20"/>
                <w:color w:val="auto"/>
              </w:rPr>
            </w:pPr>
            <w:r>
              <w:rPr>
                <w:rFonts w:ascii="Arial" w:cs="Arial" w:eastAsia="Arial" w:hAnsi="Arial"/>
                <w:sz w:val="12"/>
                <w:szCs w:val="12"/>
                <w:b w:val="1"/>
                <w:bCs w:val="1"/>
                <w:color w:val="auto"/>
              </w:rPr>
              <w:t>QoQ</w:t>
            </w:r>
          </w:p>
        </w:tc>
        <w:tc>
          <w:tcPr>
            <w:tcW w:w="240" w:type="dxa"/>
            <w:vAlign w:val="bottom"/>
            <w:tcBorders>
              <w:top w:val="single" w:sz="8" w:color="auto"/>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58"/>
              <w:spacing w:after="0" w:line="127" w:lineRule="exact"/>
              <w:rPr>
                <w:sz w:val="20"/>
                <w:szCs w:val="20"/>
                <w:color w:val="auto"/>
              </w:rPr>
            </w:pPr>
            <w:r>
              <w:rPr>
                <w:rFonts w:ascii="Arial" w:cs="Arial" w:eastAsia="Arial" w:hAnsi="Arial"/>
                <w:sz w:val="12"/>
                <w:szCs w:val="12"/>
                <w:b w:val="1"/>
                <w:bCs w:val="1"/>
                <w:color w:val="auto"/>
              </w:rPr>
              <w:t>YoY</w:t>
            </w:r>
          </w:p>
        </w:tc>
        <w:tc>
          <w:tcPr>
            <w:tcW w:w="24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58"/>
              <w:spacing w:after="0" w:line="127" w:lineRule="exact"/>
              <w:rPr>
                <w:sz w:val="20"/>
                <w:szCs w:val="20"/>
                <w:color w:val="auto"/>
              </w:rPr>
            </w:pPr>
            <w:r>
              <w:rPr>
                <w:rFonts w:ascii="Arial" w:cs="Arial" w:eastAsia="Arial" w:hAnsi="Arial"/>
                <w:sz w:val="12"/>
                <w:szCs w:val="12"/>
                <w:b w:val="1"/>
                <w:bCs w:val="1"/>
                <w:color w:val="auto"/>
              </w:rPr>
              <w:t>Jun 19</w:t>
            </w:r>
          </w:p>
        </w:tc>
        <w:tc>
          <w:tcPr>
            <w:tcW w:w="22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78"/>
              <w:spacing w:after="0" w:line="127" w:lineRule="exact"/>
              <w:rPr>
                <w:sz w:val="20"/>
                <w:szCs w:val="20"/>
                <w:color w:val="auto"/>
              </w:rPr>
            </w:pPr>
            <w:r>
              <w:rPr>
                <w:rFonts w:ascii="Arial" w:cs="Arial" w:eastAsia="Arial" w:hAnsi="Arial"/>
                <w:sz w:val="12"/>
                <w:szCs w:val="12"/>
                <w:b w:val="1"/>
                <w:bCs w:val="1"/>
                <w:color w:val="auto"/>
                <w:w w:val="99"/>
              </w:rPr>
              <w:t>Jun 20</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center"/>
              <w:spacing w:after="0" w:line="127" w:lineRule="exact"/>
              <w:rPr>
                <w:sz w:val="20"/>
                <w:szCs w:val="20"/>
                <w:color w:val="auto"/>
              </w:rPr>
            </w:pPr>
            <w:r>
              <w:rPr>
                <w:rFonts w:ascii="Arial" w:cs="Arial" w:eastAsia="Arial" w:hAnsi="Arial"/>
                <w:sz w:val="12"/>
                <w:szCs w:val="12"/>
                <w:b w:val="1"/>
                <w:bCs w:val="1"/>
                <w:color w:val="auto"/>
                <w:w w:val="92"/>
              </w:rPr>
              <w:t>Jun 20 / Jun 19</w:t>
            </w:r>
          </w:p>
        </w:tc>
        <w:tc>
          <w:tcPr>
            <w:tcW w:w="140" w:type="dxa"/>
            <w:vAlign w:val="bottom"/>
            <w:tcBorders>
              <w:bottom w:val="single" w:sz="8" w:color="CCEEFF"/>
            </w:tcBorders>
          </w:tcPr>
          <w:p>
            <w:pPr>
              <w:spacing w:after="0"/>
              <w:rPr>
                <w:sz w:val="11"/>
                <w:szCs w:val="11"/>
                <w:color w:val="auto"/>
              </w:rPr>
            </w:pPr>
          </w:p>
        </w:tc>
      </w:tr>
      <w:tr>
        <w:trPr>
          <w:trHeight w:val="127"/>
        </w:trPr>
        <w:tc>
          <w:tcPr>
            <w:tcW w:w="322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Repair and maintenance</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92,654</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17%</w:t>
            </w:r>
          </w:p>
        </w:tc>
        <w:tc>
          <w:tcPr>
            <w:tcW w:w="50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76,051</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2"/>
                <w:szCs w:val="12"/>
                <w:color w:val="auto"/>
              </w:rPr>
              <w:t>14%</w:t>
            </w:r>
          </w:p>
        </w:tc>
        <w:tc>
          <w:tcPr>
            <w:tcW w:w="50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98,069</w:t>
            </w:r>
          </w:p>
        </w:tc>
        <w:tc>
          <w:tcPr>
            <w:tcW w:w="2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19%</w:t>
            </w:r>
          </w:p>
        </w:tc>
        <w:tc>
          <w:tcPr>
            <w:tcW w:w="68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29.0%</w:t>
            </w:r>
          </w:p>
        </w:tc>
        <w:tc>
          <w:tcPr>
            <w:tcW w:w="68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2"/>
                <w:szCs w:val="12"/>
                <w:color w:val="auto"/>
              </w:rPr>
              <w:t>5.8%</w:t>
            </w:r>
          </w:p>
        </w:tc>
        <w:tc>
          <w:tcPr>
            <w:tcW w:w="60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170,310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174,120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
              <w:spacing w:after="0" w:line="127" w:lineRule="exact"/>
              <w:rPr>
                <w:sz w:val="20"/>
                <w:szCs w:val="20"/>
                <w:color w:val="auto"/>
              </w:rPr>
            </w:pPr>
            <w:r>
              <w:rPr>
                <w:rFonts w:ascii="Arial" w:cs="Arial" w:eastAsia="Arial" w:hAnsi="Arial"/>
                <w:sz w:val="12"/>
                <w:szCs w:val="12"/>
                <w:color w:val="auto"/>
              </w:rPr>
              <w:t>2.2%</w:t>
            </w:r>
          </w:p>
        </w:tc>
      </w:tr>
      <w:tr>
        <w:trPr>
          <w:trHeight w:val="133"/>
        </w:trPr>
        <w:tc>
          <w:tcPr>
            <w:tcW w:w="3320" w:type="dxa"/>
            <w:vAlign w:val="bottom"/>
            <w:gridSpan w:val="2"/>
          </w:tcPr>
          <w:p>
            <w:pPr>
              <w:spacing w:after="0" w:line="134" w:lineRule="exact"/>
              <w:rPr>
                <w:sz w:val="20"/>
                <w:szCs w:val="20"/>
                <w:color w:val="auto"/>
              </w:rPr>
            </w:pPr>
            <w:r>
              <w:rPr>
                <w:rFonts w:ascii="Arial" w:cs="Arial" w:eastAsia="Arial" w:hAnsi="Arial"/>
                <w:sz w:val="12"/>
                <w:szCs w:val="12"/>
                <w:color w:val="auto"/>
              </w:rPr>
              <w:t>Publicity</w:t>
            </w:r>
          </w:p>
        </w:tc>
        <w:tc>
          <w:tcPr>
            <w:tcW w:w="68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86,323</w:t>
            </w:r>
          </w:p>
        </w:tc>
        <w:tc>
          <w:tcPr>
            <w:tcW w:w="64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16%</w:t>
            </w:r>
          </w:p>
        </w:tc>
        <w:tc>
          <w:tcPr>
            <w:tcW w:w="70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75,256</w:t>
            </w:r>
          </w:p>
        </w:tc>
        <w:tc>
          <w:tcPr>
            <w:tcW w:w="100" w:type="dxa"/>
            <w:vAlign w:val="bottom"/>
          </w:tcPr>
          <w:p>
            <w:pPr>
              <w:spacing w:after="0"/>
              <w:rPr>
                <w:sz w:val="11"/>
                <w:szCs w:val="11"/>
                <w:color w:val="auto"/>
              </w:rPr>
            </w:pPr>
          </w:p>
        </w:tc>
        <w:tc>
          <w:tcPr>
            <w:tcW w:w="52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14%</w:t>
            </w:r>
          </w:p>
        </w:tc>
        <w:tc>
          <w:tcPr>
            <w:tcW w:w="70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53,505</w:t>
            </w:r>
          </w:p>
        </w:tc>
        <w:tc>
          <w:tcPr>
            <w:tcW w:w="64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11%</w:t>
            </w:r>
          </w:p>
        </w:tc>
        <w:tc>
          <w:tcPr>
            <w:tcW w:w="68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-28.9%</w:t>
            </w:r>
          </w:p>
        </w:tc>
        <w:tc>
          <w:tcPr>
            <w:tcW w:w="68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-38.0%</w:t>
            </w:r>
          </w:p>
        </w:tc>
        <w:tc>
          <w:tcPr>
            <w:tcW w:w="82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162,498</w:t>
            </w:r>
          </w:p>
        </w:tc>
        <w:tc>
          <w:tcPr>
            <w:tcW w:w="80" w:type="dxa"/>
            <w:vAlign w:val="bottom"/>
          </w:tcPr>
          <w:p>
            <w:pPr>
              <w:spacing w:after="0"/>
              <w:rPr>
                <w:sz w:val="11"/>
                <w:szCs w:val="11"/>
                <w:color w:val="auto"/>
              </w:rPr>
            </w:pPr>
          </w:p>
        </w:tc>
        <w:tc>
          <w:tcPr>
            <w:tcW w:w="64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128,761</w:t>
            </w:r>
          </w:p>
        </w:tc>
        <w:tc>
          <w:tcPr>
            <w:tcW w:w="1040" w:type="dxa"/>
            <w:vAlign w:val="bottom"/>
            <w:gridSpan w:val="3"/>
          </w:tcPr>
          <w:p>
            <w:pPr>
              <w:jc w:val="right"/>
              <w:ind w:right="20"/>
              <w:spacing w:after="0" w:line="134" w:lineRule="exact"/>
              <w:rPr>
                <w:sz w:val="20"/>
                <w:szCs w:val="20"/>
                <w:color w:val="auto"/>
              </w:rPr>
            </w:pPr>
            <w:r>
              <w:rPr>
                <w:rFonts w:ascii="Arial" w:cs="Arial" w:eastAsia="Arial" w:hAnsi="Arial"/>
                <w:sz w:val="12"/>
                <w:szCs w:val="12"/>
                <w:color w:val="auto"/>
              </w:rPr>
              <w:t>-20.8%</w:t>
            </w:r>
          </w:p>
        </w:tc>
      </w:tr>
      <w:tr>
        <w:trPr>
          <w:trHeight w:val="133"/>
        </w:trPr>
        <w:tc>
          <w:tcPr>
            <w:tcW w:w="332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color w:val="auto"/>
              </w:rPr>
              <w:t>Taxes and contributions</w:t>
            </w:r>
          </w:p>
        </w:tc>
        <w:tc>
          <w:tcPr>
            <w:tcW w:w="68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64,182</w:t>
            </w:r>
          </w:p>
        </w:tc>
        <w:tc>
          <w:tcPr>
            <w:tcW w:w="64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12%</w:t>
            </w:r>
          </w:p>
        </w:tc>
        <w:tc>
          <w:tcPr>
            <w:tcW w:w="70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68,017</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13%</w:t>
            </w:r>
          </w:p>
        </w:tc>
        <w:tc>
          <w:tcPr>
            <w:tcW w:w="70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63,344</w:t>
            </w:r>
          </w:p>
        </w:tc>
        <w:tc>
          <w:tcPr>
            <w:tcW w:w="64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12%</w:t>
            </w:r>
          </w:p>
        </w:tc>
        <w:tc>
          <w:tcPr>
            <w:tcW w:w="68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-6.9%</w:t>
            </w:r>
          </w:p>
        </w:tc>
        <w:tc>
          <w:tcPr>
            <w:tcW w:w="68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-1.3%</w:t>
            </w:r>
          </w:p>
        </w:tc>
        <w:tc>
          <w:tcPr>
            <w:tcW w:w="82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130,891</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131,361</w:t>
            </w:r>
          </w:p>
        </w:tc>
        <w:tc>
          <w:tcPr>
            <w:tcW w:w="1040" w:type="dxa"/>
            <w:vAlign w:val="bottom"/>
            <w:gridSpan w:val="3"/>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0.4%</w:t>
            </w:r>
          </w:p>
        </w:tc>
      </w:tr>
      <w:tr>
        <w:trPr>
          <w:trHeight w:val="133"/>
        </w:trPr>
        <w:tc>
          <w:tcPr>
            <w:tcW w:w="3320" w:type="dxa"/>
            <w:vAlign w:val="bottom"/>
            <w:gridSpan w:val="2"/>
          </w:tcPr>
          <w:p>
            <w:pPr>
              <w:spacing w:after="0" w:line="134" w:lineRule="exact"/>
              <w:rPr>
                <w:sz w:val="20"/>
                <w:szCs w:val="20"/>
                <w:color w:val="auto"/>
              </w:rPr>
            </w:pPr>
            <w:r>
              <w:rPr>
                <w:rFonts w:ascii="Arial" w:cs="Arial" w:eastAsia="Arial" w:hAnsi="Arial"/>
                <w:sz w:val="12"/>
                <w:szCs w:val="12"/>
                <w:color w:val="auto"/>
              </w:rPr>
              <w:t>Leases of low value and short-term</w:t>
            </w:r>
          </w:p>
        </w:tc>
        <w:tc>
          <w:tcPr>
            <w:tcW w:w="68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8,162</w:t>
            </w:r>
          </w:p>
        </w:tc>
        <w:tc>
          <w:tcPr>
            <w:tcW w:w="64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1%</w:t>
            </w:r>
          </w:p>
        </w:tc>
        <w:tc>
          <w:tcPr>
            <w:tcW w:w="70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18,843</w:t>
            </w:r>
          </w:p>
        </w:tc>
        <w:tc>
          <w:tcPr>
            <w:tcW w:w="100" w:type="dxa"/>
            <w:vAlign w:val="bottom"/>
          </w:tcPr>
          <w:p>
            <w:pPr>
              <w:spacing w:after="0"/>
              <w:rPr>
                <w:sz w:val="11"/>
                <w:szCs w:val="11"/>
                <w:color w:val="auto"/>
              </w:rPr>
            </w:pPr>
          </w:p>
        </w:tc>
        <w:tc>
          <w:tcPr>
            <w:tcW w:w="52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3%</w:t>
            </w:r>
          </w:p>
        </w:tc>
        <w:tc>
          <w:tcPr>
            <w:tcW w:w="70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12,476</w:t>
            </w:r>
          </w:p>
        </w:tc>
        <w:tc>
          <w:tcPr>
            <w:tcW w:w="64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2%</w:t>
            </w:r>
          </w:p>
        </w:tc>
        <w:tc>
          <w:tcPr>
            <w:tcW w:w="68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-33.8%</w:t>
            </w:r>
          </w:p>
        </w:tc>
        <w:tc>
          <w:tcPr>
            <w:tcW w:w="68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52.9%</w:t>
            </w:r>
          </w:p>
        </w:tc>
        <w:tc>
          <w:tcPr>
            <w:tcW w:w="82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30,580</w:t>
            </w:r>
          </w:p>
        </w:tc>
        <w:tc>
          <w:tcPr>
            <w:tcW w:w="80" w:type="dxa"/>
            <w:vAlign w:val="bottom"/>
          </w:tcPr>
          <w:p>
            <w:pPr>
              <w:spacing w:after="0"/>
              <w:rPr>
                <w:sz w:val="11"/>
                <w:szCs w:val="11"/>
                <w:color w:val="auto"/>
              </w:rPr>
            </w:pPr>
          </w:p>
        </w:tc>
        <w:tc>
          <w:tcPr>
            <w:tcW w:w="64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31,319</w:t>
            </w:r>
          </w:p>
        </w:tc>
        <w:tc>
          <w:tcPr>
            <w:tcW w:w="1040" w:type="dxa"/>
            <w:vAlign w:val="bottom"/>
            <w:gridSpan w:val="3"/>
          </w:tcPr>
          <w:p>
            <w:pPr>
              <w:jc w:val="right"/>
              <w:ind w:right="20"/>
              <w:spacing w:after="0" w:line="134" w:lineRule="exact"/>
              <w:rPr>
                <w:sz w:val="20"/>
                <w:szCs w:val="20"/>
                <w:color w:val="auto"/>
              </w:rPr>
            </w:pPr>
            <w:r>
              <w:rPr>
                <w:rFonts w:ascii="Arial" w:cs="Arial" w:eastAsia="Arial" w:hAnsi="Arial"/>
                <w:sz w:val="12"/>
                <w:szCs w:val="12"/>
                <w:color w:val="auto"/>
              </w:rPr>
              <w:t>2.4%</w:t>
            </w:r>
          </w:p>
        </w:tc>
      </w:tr>
      <w:tr>
        <w:trPr>
          <w:trHeight w:val="133"/>
        </w:trPr>
        <w:tc>
          <w:tcPr>
            <w:tcW w:w="332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color w:val="auto"/>
              </w:rPr>
              <w:t>Consulting and professional fees</w:t>
            </w:r>
          </w:p>
        </w:tc>
        <w:tc>
          <w:tcPr>
            <w:tcW w:w="68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43,255</w:t>
            </w:r>
          </w:p>
        </w:tc>
        <w:tc>
          <w:tcPr>
            <w:tcW w:w="64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8%</w:t>
            </w:r>
          </w:p>
        </w:tc>
        <w:tc>
          <w:tcPr>
            <w:tcW w:w="70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39,485</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7%</w:t>
            </w:r>
          </w:p>
        </w:tc>
        <w:tc>
          <w:tcPr>
            <w:tcW w:w="70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46,412</w:t>
            </w:r>
          </w:p>
        </w:tc>
        <w:tc>
          <w:tcPr>
            <w:tcW w:w="64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9%</w:t>
            </w:r>
          </w:p>
        </w:tc>
        <w:tc>
          <w:tcPr>
            <w:tcW w:w="68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17.5%</w:t>
            </w:r>
          </w:p>
        </w:tc>
        <w:tc>
          <w:tcPr>
            <w:tcW w:w="68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7.3%</w:t>
            </w:r>
          </w:p>
        </w:tc>
        <w:tc>
          <w:tcPr>
            <w:tcW w:w="82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84,615</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85,897</w:t>
            </w:r>
          </w:p>
        </w:tc>
        <w:tc>
          <w:tcPr>
            <w:tcW w:w="1040" w:type="dxa"/>
            <w:vAlign w:val="bottom"/>
            <w:gridSpan w:val="3"/>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1.5%</w:t>
            </w:r>
          </w:p>
        </w:tc>
      </w:tr>
      <w:tr>
        <w:trPr>
          <w:trHeight w:val="133"/>
        </w:trPr>
        <w:tc>
          <w:tcPr>
            <w:tcW w:w="3320" w:type="dxa"/>
            <w:vAlign w:val="bottom"/>
            <w:gridSpan w:val="2"/>
          </w:tcPr>
          <w:p>
            <w:pPr>
              <w:spacing w:after="0" w:line="134" w:lineRule="exact"/>
              <w:rPr>
                <w:sz w:val="20"/>
                <w:szCs w:val="20"/>
                <w:color w:val="auto"/>
              </w:rPr>
            </w:pPr>
            <w:r>
              <w:rPr>
                <w:rFonts w:ascii="Arial" w:cs="Arial" w:eastAsia="Arial" w:hAnsi="Arial"/>
                <w:sz w:val="12"/>
                <w:szCs w:val="12"/>
                <w:color w:val="auto"/>
              </w:rPr>
              <w:t>Transport and communications</w:t>
            </w:r>
          </w:p>
        </w:tc>
        <w:tc>
          <w:tcPr>
            <w:tcW w:w="68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43,096</w:t>
            </w:r>
          </w:p>
        </w:tc>
        <w:tc>
          <w:tcPr>
            <w:tcW w:w="64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8%</w:t>
            </w:r>
          </w:p>
        </w:tc>
        <w:tc>
          <w:tcPr>
            <w:tcW w:w="70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35,466</w:t>
            </w:r>
          </w:p>
        </w:tc>
        <w:tc>
          <w:tcPr>
            <w:tcW w:w="100" w:type="dxa"/>
            <w:vAlign w:val="bottom"/>
          </w:tcPr>
          <w:p>
            <w:pPr>
              <w:spacing w:after="0"/>
              <w:rPr>
                <w:sz w:val="11"/>
                <w:szCs w:val="11"/>
                <w:color w:val="auto"/>
              </w:rPr>
            </w:pPr>
          </w:p>
        </w:tc>
        <w:tc>
          <w:tcPr>
            <w:tcW w:w="52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7%</w:t>
            </w:r>
          </w:p>
        </w:tc>
        <w:tc>
          <w:tcPr>
            <w:tcW w:w="70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30,156</w:t>
            </w:r>
          </w:p>
        </w:tc>
        <w:tc>
          <w:tcPr>
            <w:tcW w:w="64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6%</w:t>
            </w:r>
          </w:p>
        </w:tc>
        <w:tc>
          <w:tcPr>
            <w:tcW w:w="68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-15.0%</w:t>
            </w:r>
          </w:p>
        </w:tc>
        <w:tc>
          <w:tcPr>
            <w:tcW w:w="68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-30.0%</w:t>
            </w:r>
          </w:p>
        </w:tc>
        <w:tc>
          <w:tcPr>
            <w:tcW w:w="82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84,732</w:t>
            </w:r>
          </w:p>
        </w:tc>
        <w:tc>
          <w:tcPr>
            <w:tcW w:w="80" w:type="dxa"/>
            <w:vAlign w:val="bottom"/>
          </w:tcPr>
          <w:p>
            <w:pPr>
              <w:spacing w:after="0"/>
              <w:rPr>
                <w:sz w:val="11"/>
                <w:szCs w:val="11"/>
                <w:color w:val="auto"/>
              </w:rPr>
            </w:pPr>
          </w:p>
        </w:tc>
        <w:tc>
          <w:tcPr>
            <w:tcW w:w="64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65,622</w:t>
            </w:r>
          </w:p>
        </w:tc>
        <w:tc>
          <w:tcPr>
            <w:tcW w:w="1040" w:type="dxa"/>
            <w:vAlign w:val="bottom"/>
            <w:gridSpan w:val="3"/>
          </w:tcPr>
          <w:p>
            <w:pPr>
              <w:jc w:val="right"/>
              <w:ind w:right="20"/>
              <w:spacing w:after="0" w:line="134" w:lineRule="exact"/>
              <w:rPr>
                <w:sz w:val="20"/>
                <w:szCs w:val="20"/>
                <w:color w:val="auto"/>
              </w:rPr>
            </w:pPr>
            <w:r>
              <w:rPr>
                <w:rFonts w:ascii="Arial" w:cs="Arial" w:eastAsia="Arial" w:hAnsi="Arial"/>
                <w:sz w:val="12"/>
                <w:szCs w:val="12"/>
                <w:color w:val="auto"/>
              </w:rPr>
              <w:t>-22.6%</w:t>
            </w:r>
          </w:p>
        </w:tc>
      </w:tr>
      <w:tr>
        <w:trPr>
          <w:trHeight w:val="133"/>
        </w:trPr>
        <w:tc>
          <w:tcPr>
            <w:tcW w:w="332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color w:val="auto"/>
              </w:rPr>
              <w:t>Sundry supplies</w:t>
            </w:r>
          </w:p>
        </w:tc>
        <w:tc>
          <w:tcPr>
            <w:tcW w:w="68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18,603</w:t>
            </w:r>
          </w:p>
        </w:tc>
        <w:tc>
          <w:tcPr>
            <w:tcW w:w="64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3%</w:t>
            </w:r>
          </w:p>
        </w:tc>
        <w:tc>
          <w:tcPr>
            <w:tcW w:w="70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23,424</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4%</w:t>
            </w:r>
          </w:p>
        </w:tc>
        <w:tc>
          <w:tcPr>
            <w:tcW w:w="70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9,776</w:t>
            </w:r>
          </w:p>
        </w:tc>
        <w:tc>
          <w:tcPr>
            <w:tcW w:w="64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w:t>
            </w:r>
          </w:p>
        </w:tc>
        <w:tc>
          <w:tcPr>
            <w:tcW w:w="68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-58.3%</w:t>
            </w:r>
          </w:p>
        </w:tc>
        <w:tc>
          <w:tcPr>
            <w:tcW w:w="68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-47.4%</w:t>
            </w:r>
          </w:p>
        </w:tc>
        <w:tc>
          <w:tcPr>
            <w:tcW w:w="82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36,167</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33,200</w:t>
            </w:r>
          </w:p>
        </w:tc>
        <w:tc>
          <w:tcPr>
            <w:tcW w:w="1040" w:type="dxa"/>
            <w:vAlign w:val="bottom"/>
            <w:gridSpan w:val="3"/>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-8.2%</w:t>
            </w:r>
          </w:p>
        </w:tc>
      </w:tr>
      <w:tr>
        <w:trPr>
          <w:trHeight w:val="133"/>
        </w:trPr>
        <w:tc>
          <w:tcPr>
            <w:tcW w:w="3320" w:type="dxa"/>
            <w:vAlign w:val="bottom"/>
            <w:gridSpan w:val="2"/>
          </w:tcPr>
          <w:p>
            <w:pPr>
              <w:spacing w:after="0" w:line="134" w:lineRule="exact"/>
              <w:rPr>
                <w:sz w:val="20"/>
                <w:szCs w:val="20"/>
                <w:color w:val="auto"/>
              </w:rPr>
            </w:pPr>
            <w:r>
              <w:rPr>
                <w:rFonts w:ascii="Arial" w:cs="Arial" w:eastAsia="Arial" w:hAnsi="Arial"/>
                <w:sz w:val="12"/>
                <w:szCs w:val="12"/>
                <w:color w:val="auto"/>
              </w:rPr>
              <w:t>Security and protection</w:t>
            </w:r>
          </w:p>
        </w:tc>
        <w:tc>
          <w:tcPr>
            <w:tcW w:w="68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17,200</w:t>
            </w:r>
          </w:p>
        </w:tc>
        <w:tc>
          <w:tcPr>
            <w:tcW w:w="64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3%</w:t>
            </w:r>
          </w:p>
        </w:tc>
        <w:tc>
          <w:tcPr>
            <w:tcW w:w="70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15,286</w:t>
            </w:r>
          </w:p>
        </w:tc>
        <w:tc>
          <w:tcPr>
            <w:tcW w:w="100" w:type="dxa"/>
            <w:vAlign w:val="bottom"/>
          </w:tcPr>
          <w:p>
            <w:pPr>
              <w:spacing w:after="0"/>
              <w:rPr>
                <w:sz w:val="11"/>
                <w:szCs w:val="11"/>
                <w:color w:val="auto"/>
              </w:rPr>
            </w:pPr>
          </w:p>
        </w:tc>
        <w:tc>
          <w:tcPr>
            <w:tcW w:w="52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3%</w:t>
            </w:r>
          </w:p>
        </w:tc>
        <w:tc>
          <w:tcPr>
            <w:tcW w:w="70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15,277</w:t>
            </w:r>
          </w:p>
        </w:tc>
        <w:tc>
          <w:tcPr>
            <w:tcW w:w="64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3%</w:t>
            </w:r>
          </w:p>
        </w:tc>
        <w:tc>
          <w:tcPr>
            <w:tcW w:w="68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-0.1%</w:t>
            </w:r>
          </w:p>
        </w:tc>
        <w:tc>
          <w:tcPr>
            <w:tcW w:w="68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-11.2%</w:t>
            </w:r>
          </w:p>
        </w:tc>
        <w:tc>
          <w:tcPr>
            <w:tcW w:w="82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34,202</w:t>
            </w:r>
          </w:p>
        </w:tc>
        <w:tc>
          <w:tcPr>
            <w:tcW w:w="80" w:type="dxa"/>
            <w:vAlign w:val="bottom"/>
          </w:tcPr>
          <w:p>
            <w:pPr>
              <w:spacing w:after="0"/>
              <w:rPr>
                <w:sz w:val="11"/>
                <w:szCs w:val="11"/>
                <w:color w:val="auto"/>
              </w:rPr>
            </w:pPr>
          </w:p>
        </w:tc>
        <w:tc>
          <w:tcPr>
            <w:tcW w:w="64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30,563</w:t>
            </w:r>
          </w:p>
        </w:tc>
        <w:tc>
          <w:tcPr>
            <w:tcW w:w="1040" w:type="dxa"/>
            <w:vAlign w:val="bottom"/>
            <w:gridSpan w:val="3"/>
          </w:tcPr>
          <w:p>
            <w:pPr>
              <w:jc w:val="right"/>
              <w:ind w:right="20"/>
              <w:spacing w:after="0" w:line="134" w:lineRule="exact"/>
              <w:rPr>
                <w:sz w:val="20"/>
                <w:szCs w:val="20"/>
                <w:color w:val="auto"/>
              </w:rPr>
            </w:pPr>
            <w:r>
              <w:rPr>
                <w:rFonts w:ascii="Arial" w:cs="Arial" w:eastAsia="Arial" w:hAnsi="Arial"/>
                <w:sz w:val="12"/>
                <w:szCs w:val="12"/>
                <w:color w:val="auto"/>
              </w:rPr>
              <w:t>-10.6%</w:t>
            </w:r>
          </w:p>
        </w:tc>
      </w:tr>
      <w:tr>
        <w:trPr>
          <w:trHeight w:val="133"/>
        </w:trPr>
        <w:tc>
          <w:tcPr>
            <w:tcW w:w="3320" w:type="dxa"/>
            <w:vAlign w:val="bottom"/>
            <w:gridSpan w:val="2"/>
            <w:shd w:val="clear" w:color="auto" w:fill="CCEEFF"/>
          </w:tcPr>
          <w:p>
            <w:pPr>
              <w:spacing w:after="0" w:line="134" w:lineRule="exact"/>
              <w:rPr>
                <w:sz w:val="20"/>
                <w:szCs w:val="20"/>
                <w:color w:val="auto"/>
              </w:rPr>
            </w:pPr>
            <w:r>
              <w:rPr>
                <w:rFonts w:ascii="Arial" w:cs="Arial" w:eastAsia="Arial" w:hAnsi="Arial"/>
                <w:sz w:val="12"/>
                <w:szCs w:val="12"/>
                <w:color w:val="auto"/>
              </w:rPr>
              <w:t>Electricity and water</w:t>
            </w:r>
          </w:p>
        </w:tc>
        <w:tc>
          <w:tcPr>
            <w:tcW w:w="68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14,012</w:t>
            </w:r>
          </w:p>
        </w:tc>
        <w:tc>
          <w:tcPr>
            <w:tcW w:w="64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3%</w:t>
            </w:r>
          </w:p>
        </w:tc>
        <w:tc>
          <w:tcPr>
            <w:tcW w:w="70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11,175</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color w:val="auto"/>
              </w:rPr>
              <w:t>2%</w:t>
            </w:r>
          </w:p>
        </w:tc>
        <w:tc>
          <w:tcPr>
            <w:tcW w:w="70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12,579</w:t>
            </w:r>
          </w:p>
        </w:tc>
        <w:tc>
          <w:tcPr>
            <w:tcW w:w="64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2%</w:t>
            </w:r>
          </w:p>
        </w:tc>
        <w:tc>
          <w:tcPr>
            <w:tcW w:w="68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12.6%</w:t>
            </w:r>
          </w:p>
        </w:tc>
        <w:tc>
          <w:tcPr>
            <w:tcW w:w="68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-10.2%</w:t>
            </w:r>
          </w:p>
        </w:tc>
        <w:tc>
          <w:tcPr>
            <w:tcW w:w="82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26,039</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23,754</w:t>
            </w:r>
          </w:p>
        </w:tc>
        <w:tc>
          <w:tcPr>
            <w:tcW w:w="1040" w:type="dxa"/>
            <w:vAlign w:val="bottom"/>
            <w:gridSpan w:val="3"/>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-8.8%</w:t>
            </w:r>
          </w:p>
        </w:tc>
      </w:tr>
      <w:tr>
        <w:trPr>
          <w:trHeight w:val="133"/>
        </w:trPr>
        <w:tc>
          <w:tcPr>
            <w:tcW w:w="3320" w:type="dxa"/>
            <w:vAlign w:val="bottom"/>
            <w:gridSpan w:val="2"/>
          </w:tcPr>
          <w:p>
            <w:pPr>
              <w:spacing w:after="0" w:line="134" w:lineRule="exact"/>
              <w:rPr>
                <w:sz w:val="20"/>
                <w:szCs w:val="20"/>
                <w:color w:val="auto"/>
              </w:rPr>
            </w:pPr>
            <w:r>
              <w:rPr>
                <w:rFonts w:ascii="Arial" w:cs="Arial" w:eastAsia="Arial" w:hAnsi="Arial"/>
                <w:sz w:val="12"/>
                <w:szCs w:val="12"/>
                <w:color w:val="auto"/>
              </w:rPr>
              <w:t>Subscriptions and quotes</w:t>
            </w:r>
          </w:p>
        </w:tc>
        <w:tc>
          <w:tcPr>
            <w:tcW w:w="68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9,781</w:t>
            </w:r>
          </w:p>
        </w:tc>
        <w:tc>
          <w:tcPr>
            <w:tcW w:w="64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2%</w:t>
            </w:r>
          </w:p>
        </w:tc>
        <w:tc>
          <w:tcPr>
            <w:tcW w:w="70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10,752</w:t>
            </w:r>
          </w:p>
        </w:tc>
        <w:tc>
          <w:tcPr>
            <w:tcW w:w="100" w:type="dxa"/>
            <w:vAlign w:val="bottom"/>
          </w:tcPr>
          <w:p>
            <w:pPr>
              <w:spacing w:after="0"/>
              <w:rPr>
                <w:sz w:val="11"/>
                <w:szCs w:val="11"/>
                <w:color w:val="auto"/>
              </w:rPr>
            </w:pPr>
          </w:p>
        </w:tc>
        <w:tc>
          <w:tcPr>
            <w:tcW w:w="520" w:type="dxa"/>
            <w:vAlign w:val="bottom"/>
            <w:gridSpan w:val="2"/>
          </w:tcPr>
          <w:p>
            <w:pPr>
              <w:jc w:val="right"/>
              <w:ind w:right="120"/>
              <w:spacing w:after="0" w:line="134" w:lineRule="exact"/>
              <w:rPr>
                <w:sz w:val="20"/>
                <w:szCs w:val="20"/>
                <w:color w:val="auto"/>
              </w:rPr>
            </w:pPr>
            <w:r>
              <w:rPr>
                <w:rFonts w:ascii="Arial" w:cs="Arial" w:eastAsia="Arial" w:hAnsi="Arial"/>
                <w:sz w:val="12"/>
                <w:szCs w:val="12"/>
                <w:color w:val="auto"/>
              </w:rPr>
              <w:t>2%</w:t>
            </w:r>
          </w:p>
        </w:tc>
        <w:tc>
          <w:tcPr>
            <w:tcW w:w="70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12,219</w:t>
            </w:r>
          </w:p>
        </w:tc>
        <w:tc>
          <w:tcPr>
            <w:tcW w:w="64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2%</w:t>
            </w:r>
          </w:p>
        </w:tc>
        <w:tc>
          <w:tcPr>
            <w:tcW w:w="68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13.6%</w:t>
            </w:r>
          </w:p>
        </w:tc>
        <w:tc>
          <w:tcPr>
            <w:tcW w:w="68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24.9%</w:t>
            </w:r>
          </w:p>
        </w:tc>
        <w:tc>
          <w:tcPr>
            <w:tcW w:w="82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19,351</w:t>
            </w:r>
          </w:p>
        </w:tc>
        <w:tc>
          <w:tcPr>
            <w:tcW w:w="80" w:type="dxa"/>
            <w:vAlign w:val="bottom"/>
          </w:tcPr>
          <w:p>
            <w:pPr>
              <w:spacing w:after="0"/>
              <w:rPr>
                <w:sz w:val="11"/>
                <w:szCs w:val="11"/>
                <w:color w:val="auto"/>
              </w:rPr>
            </w:pPr>
          </w:p>
        </w:tc>
        <w:tc>
          <w:tcPr>
            <w:tcW w:w="640" w:type="dxa"/>
            <w:vAlign w:val="bottom"/>
            <w:gridSpan w:val="2"/>
          </w:tcPr>
          <w:p>
            <w:pPr>
              <w:jc w:val="right"/>
              <w:ind w:right="100"/>
              <w:spacing w:after="0" w:line="134" w:lineRule="exact"/>
              <w:rPr>
                <w:sz w:val="20"/>
                <w:szCs w:val="20"/>
                <w:color w:val="auto"/>
              </w:rPr>
            </w:pPr>
            <w:r>
              <w:rPr>
                <w:rFonts w:ascii="Arial" w:cs="Arial" w:eastAsia="Arial" w:hAnsi="Arial"/>
                <w:sz w:val="12"/>
                <w:szCs w:val="12"/>
                <w:color w:val="auto"/>
              </w:rPr>
              <w:t>22,971</w:t>
            </w:r>
          </w:p>
        </w:tc>
        <w:tc>
          <w:tcPr>
            <w:tcW w:w="1040" w:type="dxa"/>
            <w:vAlign w:val="bottom"/>
            <w:gridSpan w:val="3"/>
          </w:tcPr>
          <w:p>
            <w:pPr>
              <w:jc w:val="right"/>
              <w:ind w:right="20"/>
              <w:spacing w:after="0" w:line="134" w:lineRule="exact"/>
              <w:rPr>
                <w:sz w:val="20"/>
                <w:szCs w:val="20"/>
                <w:color w:val="auto"/>
              </w:rPr>
            </w:pPr>
            <w:r>
              <w:rPr>
                <w:rFonts w:ascii="Arial" w:cs="Arial" w:eastAsia="Arial" w:hAnsi="Arial"/>
                <w:sz w:val="12"/>
                <w:szCs w:val="12"/>
                <w:color w:val="auto"/>
              </w:rPr>
              <w:t>18.7%</w:t>
            </w:r>
          </w:p>
        </w:tc>
      </w:tr>
      <w:tr>
        <w:trPr>
          <w:trHeight w:val="173"/>
        </w:trPr>
        <w:tc>
          <w:tcPr>
            <w:tcW w:w="3320" w:type="dxa"/>
            <w:vAlign w:val="bottom"/>
            <w:gridSpan w:val="2"/>
            <w:shd w:val="clear" w:color="auto" w:fill="CCEEFF"/>
          </w:tcPr>
          <w:p>
            <w:pPr>
              <w:spacing w:after="0" w:line="174" w:lineRule="exact"/>
              <w:rPr>
                <w:sz w:val="20"/>
                <w:szCs w:val="20"/>
                <w:color w:val="auto"/>
              </w:rPr>
            </w:pPr>
            <w:r>
              <w:rPr>
                <w:rFonts w:ascii="Arial" w:cs="Arial" w:eastAsia="Arial" w:hAnsi="Arial"/>
                <w:sz w:val="12"/>
                <w:szCs w:val="12"/>
                <w:color w:val="auto"/>
              </w:rPr>
              <w:t xml:space="preserve">Services by third-party and others </w:t>
            </w:r>
            <w:r>
              <w:rPr>
                <w:rFonts w:ascii="Arial" w:cs="Arial" w:eastAsia="Arial" w:hAnsi="Arial"/>
                <w:sz w:val="20"/>
                <w:szCs w:val="20"/>
                <w:color w:val="auto"/>
                <w:vertAlign w:val="superscript"/>
              </w:rPr>
              <w:t>(1)</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155,385</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165,889</w:t>
            </w: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154,265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30%</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-7.0%</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-0.7%</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311,425</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320,154</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2.8%</w:t>
            </w:r>
          </w:p>
        </w:tc>
      </w:tr>
      <w:tr>
        <w:trPr>
          <w:trHeight w:val="161"/>
        </w:trPr>
        <w:tc>
          <w:tcPr>
            <w:tcW w:w="3320" w:type="dxa"/>
            <w:vAlign w:val="bottom"/>
            <w:gridSpan w:val="2"/>
          </w:tcPr>
          <w:p>
            <w:pPr>
              <w:spacing w:after="0"/>
              <w:rPr>
                <w:sz w:val="20"/>
                <w:szCs w:val="20"/>
                <w:color w:val="auto"/>
              </w:rPr>
            </w:pPr>
            <w:r>
              <w:rPr>
                <w:rFonts w:ascii="Arial" w:cs="Arial" w:eastAsia="Arial" w:hAnsi="Arial"/>
                <w:sz w:val="12"/>
                <w:szCs w:val="12"/>
                <w:b w:val="1"/>
                <w:bCs w:val="1"/>
                <w:color w:val="auto"/>
              </w:rPr>
              <w:t>Total administrative and general expenses</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552,653</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100%</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539,644</w:t>
            </w:r>
          </w:p>
        </w:tc>
        <w:tc>
          <w:tcPr>
            <w:tcW w:w="10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100%</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508,078</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100%</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-5.8%</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-8.1%</w:t>
            </w:r>
          </w:p>
        </w:tc>
        <w:tc>
          <w:tcPr>
            <w:tcW w:w="82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1,090,810</w:t>
            </w: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w w:val="97"/>
              </w:rPr>
              <w:t>1,047,722</w:t>
            </w:r>
          </w:p>
        </w:tc>
        <w:tc>
          <w:tcPr>
            <w:tcW w:w="1040" w:type="dxa"/>
            <w:vAlign w:val="bottom"/>
            <w:gridSpan w:val="3"/>
          </w:tcPr>
          <w:p>
            <w:pPr>
              <w:jc w:val="right"/>
              <w:spacing w:after="0"/>
              <w:rPr>
                <w:sz w:val="20"/>
                <w:szCs w:val="20"/>
                <w:color w:val="auto"/>
              </w:rPr>
            </w:pPr>
            <w:r>
              <w:rPr>
                <w:rFonts w:ascii="Arial" w:cs="Arial" w:eastAsia="Arial" w:hAnsi="Arial"/>
                <w:sz w:val="12"/>
                <w:szCs w:val="12"/>
                <w:b w:val="1"/>
                <w:bCs w:val="1"/>
                <w:color w:val="auto"/>
              </w:rPr>
              <w:t>-4.0%</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(1) The balance consists mainly of security and protection services, cleaning service, representation expenses, electricity and water utilities, insurance policiy expenses, subscription expenses and commission expenses.</w:t>
      </w:r>
    </w:p>
    <w:p>
      <w:pPr>
        <w:spacing w:after="0" w:line="200" w:lineRule="exact"/>
        <w:rPr>
          <w:sz w:val="20"/>
          <w:szCs w:val="20"/>
          <w:color w:val="auto"/>
        </w:rPr>
      </w:pPr>
    </w:p>
    <w:p>
      <w:pPr>
        <w:spacing w:after="0" w:line="234"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45" w:name="page46"/>
    <w:bookmarkEnd w:id="45"/>
    <w:p>
      <w:pPr>
        <w:spacing w:after="0" w:line="270" w:lineRule="auto"/>
        <w:rPr>
          <w:sz w:val="20"/>
          <w:szCs w:val="20"/>
          <w:color w:val="auto"/>
        </w:rPr>
      </w:pPr>
      <w:r>
        <w:rPr>
          <w:rFonts w:ascii="Arial" w:cs="Arial" w:eastAsia="Arial" w:hAnsi="Arial"/>
          <w:sz w:val="18"/>
          <w:szCs w:val="18"/>
          <w:color w:val="auto"/>
        </w:rPr>
        <w:t>Administrative, general expenses and taxes decreased QoQ, YoY and YTD, which reflects the efforts Credicorp has made to control operating expenses. The main reductions in expenses YTD were reported in the following accounts:</w:t>
      </w:r>
    </w:p>
    <w:p>
      <w:pPr>
        <w:spacing w:after="0" w:line="175" w:lineRule="exact"/>
        <w:rPr>
          <w:sz w:val="20"/>
          <w:szCs w:val="20"/>
          <w:color w:val="auto"/>
        </w:rPr>
      </w:pPr>
    </w:p>
    <w:p>
      <w:pPr>
        <w:ind w:left="880" w:hanging="500"/>
        <w:spacing w:after="0" w:line="270"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Total expenses for Publicity fell, mainly at BCP Stand-alone, due to a decrease in expenses for the Latam Miles Program, which reflects the drop reported in transactional activity of clients with BCP credit and debit cards.</w:t>
      </w:r>
    </w:p>
    <w:p>
      <w:pPr>
        <w:spacing w:after="0" w:line="174" w:lineRule="exact"/>
        <w:rPr>
          <w:rFonts w:ascii="Arial" w:cs="Arial" w:eastAsia="Arial" w:hAnsi="Arial"/>
          <w:sz w:val="18"/>
          <w:szCs w:val="18"/>
          <w:color w:val="auto"/>
        </w:rPr>
      </w:pPr>
    </w:p>
    <w:p>
      <w:pPr>
        <w:jc w:val="both"/>
        <w:ind w:left="880" w:hanging="500"/>
        <w:spacing w:after="0" w:line="258"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Expenses for transport and communications fell at BCP Stand-alone, which was attributable to a decrease in transportation of cash between branches and fund replenishment for ATMs, both handled by private security companies. The aforementioned is aligned with growth in the digitalization level of our clients.</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aforementioned was attenuated by the increase in expenses for third-party services and others, which was in line with an increase in expenses for maintenance of our servers during the first half of the year.</w:t>
      </w:r>
    </w:p>
    <w:p>
      <w:pPr>
        <w:spacing w:after="0" w:line="17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It is important to mention that the reduction in administrative and general expenses mitigated the increase in other expenses. The latter increased due to (i) the expenses of the donations made by BCP Stand-Alone, Mibanco and Pacifico in the first quarter and (ii) the protection measures of COVID-19 for our employees and clients who are served through physical channels (medical supplies, mobility payment, gloves, among others).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 Efficiency Ratio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Efficiency Ratio by Subsidiary </w:t>
      </w:r>
      <w:r>
        <w:rPr>
          <w:rFonts w:ascii="Arial" w:cs="Arial" w:eastAsia="Arial" w:hAnsi="Arial"/>
          <w:sz w:val="29"/>
          <w:szCs w:val="29"/>
          <w:b w:val="1"/>
          <w:bCs w:val="1"/>
          <w:color w:val="auto"/>
          <w:vertAlign w:val="superscript"/>
        </w:rPr>
        <w:t>(1)(2)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BCP</w:t>
            </w: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vMerge w:val="restart"/>
          </w:tcPr>
          <w:p>
            <w:pPr>
              <w:ind w:left="80"/>
              <w:spacing w:after="0"/>
              <w:rPr>
                <w:sz w:val="20"/>
                <w:szCs w:val="20"/>
                <w:color w:val="auto"/>
              </w:rPr>
            </w:pPr>
            <w:r>
              <w:rPr>
                <w:rFonts w:ascii="Arial" w:cs="Arial" w:eastAsia="Arial" w:hAnsi="Arial"/>
                <w:sz w:val="16"/>
                <w:szCs w:val="16"/>
                <w:b w:val="1"/>
                <w:bCs w:val="1"/>
                <w:color w:val="auto"/>
                <w:w w:val="94"/>
              </w:rPr>
              <w:t xml:space="preserve">Microfinance </w:t>
            </w:r>
            <w:r>
              <w:rPr>
                <w:rFonts w:ascii="Arial" w:cs="Arial" w:eastAsia="Arial" w:hAnsi="Arial"/>
                <w:sz w:val="26"/>
                <w:szCs w:val="26"/>
                <w:b w:val="1"/>
                <w:bCs w:val="1"/>
                <w:color w:val="auto"/>
                <w:w w:val="94"/>
                <w:vertAlign w:val="superscript"/>
              </w:rPr>
              <w:t>(3)</w:t>
            </w:r>
          </w:p>
        </w:tc>
        <w:tc>
          <w:tcPr>
            <w:tcW w:w="36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440" w:type="dxa"/>
            <w:vAlign w:val="bottom"/>
            <w:tcBorders>
              <w:bottom w:val="single" w:sz="8" w:color="CCEEFE"/>
            </w:tcBorders>
          </w:tcPr>
          <w:p>
            <w:pPr>
              <w:spacing w:after="0"/>
              <w:rPr>
                <w:sz w:val="21"/>
                <w:szCs w:val="21"/>
                <w:color w:val="auto"/>
              </w:rPr>
            </w:pPr>
          </w:p>
        </w:tc>
        <w:tc>
          <w:tcPr>
            <w:tcW w:w="100" w:type="dxa"/>
            <w:vAlign w:val="bottom"/>
            <w:tcBorders>
              <w:bottom w:val="single" w:sz="8" w:color="CCEEFE"/>
            </w:tcBorders>
          </w:tcPr>
          <w:p>
            <w:pPr>
              <w:spacing w:after="0"/>
              <w:rPr>
                <w:sz w:val="21"/>
                <w:szCs w:val="21"/>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Stand-alone</w:t>
            </w:r>
          </w:p>
        </w:tc>
        <w:tc>
          <w:tcPr>
            <w:tcW w:w="360" w:type="dxa"/>
            <w:vAlign w:val="bottom"/>
            <w:tcBorders>
              <w:bottom w:val="single" w:sz="8" w:color="CCEEFE"/>
            </w:tcBorders>
          </w:tcPr>
          <w:p>
            <w:pPr>
              <w:spacing w:after="0"/>
              <w:rPr>
                <w:sz w:val="21"/>
                <w:szCs w:val="21"/>
                <w:color w:val="auto"/>
              </w:rPr>
            </w:pPr>
          </w:p>
        </w:tc>
        <w:tc>
          <w:tcPr>
            <w:tcW w:w="13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BCP Bolivia</w:t>
            </w:r>
          </w:p>
        </w:tc>
        <w:tc>
          <w:tcPr>
            <w:tcW w:w="380" w:type="dxa"/>
            <w:vAlign w:val="bottom"/>
            <w:tcBorders>
              <w:bottom w:val="single" w:sz="8" w:color="CCEEFE"/>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CCEEFE"/>
            </w:tcBorders>
            <w:vMerge w:val="continue"/>
          </w:tcPr>
          <w:p>
            <w:pPr>
              <w:spacing w:after="0"/>
              <w:rPr>
                <w:sz w:val="21"/>
                <w:szCs w:val="21"/>
                <w:color w:val="auto"/>
              </w:rPr>
            </w:pPr>
          </w:p>
        </w:tc>
        <w:tc>
          <w:tcPr>
            <w:tcW w:w="92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w w:val="91"/>
              </w:rPr>
              <w:t>Pacifico</w:t>
            </w:r>
          </w:p>
        </w:tc>
        <w:tc>
          <w:tcPr>
            <w:tcW w:w="320" w:type="dxa"/>
            <w:vAlign w:val="bottom"/>
            <w:tcBorders>
              <w:bottom w:val="single" w:sz="8" w:color="auto"/>
            </w:tcBorders>
          </w:tcPr>
          <w:p>
            <w:pPr>
              <w:spacing w:after="0"/>
              <w:rPr>
                <w:sz w:val="21"/>
                <w:szCs w:val="21"/>
                <w:color w:val="auto"/>
              </w:rPr>
            </w:pPr>
          </w:p>
        </w:tc>
        <w:tc>
          <w:tcPr>
            <w:tcW w:w="360" w:type="dxa"/>
            <w:vAlign w:val="bottom"/>
            <w:tcBorders>
              <w:bottom w:val="single" w:sz="8" w:color="CCEEFE"/>
            </w:tcBorders>
          </w:tcPr>
          <w:p>
            <w:pPr>
              <w:spacing w:after="0"/>
              <w:rPr>
                <w:sz w:val="21"/>
                <w:szCs w:val="21"/>
                <w:color w:val="auto"/>
              </w:rPr>
            </w:pPr>
          </w:p>
        </w:tc>
        <w:tc>
          <w:tcPr>
            <w:tcW w:w="12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Prima AFP</w:t>
            </w:r>
          </w:p>
        </w:tc>
        <w:tc>
          <w:tcPr>
            <w:tcW w:w="360" w:type="dxa"/>
            <w:vAlign w:val="bottom"/>
            <w:tcBorders>
              <w:bottom w:val="single" w:sz="8" w:color="CCEEFE"/>
            </w:tcBorders>
          </w:tcPr>
          <w:p>
            <w:pPr>
              <w:spacing w:after="0"/>
              <w:rPr>
                <w:sz w:val="21"/>
                <w:szCs w:val="21"/>
                <w:color w:val="auto"/>
              </w:rPr>
            </w:pPr>
          </w:p>
        </w:tc>
        <w:tc>
          <w:tcPr>
            <w:tcW w:w="126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Credicorp</w:t>
            </w:r>
          </w:p>
        </w:tc>
        <w:tc>
          <w:tcPr>
            <w:tcW w:w="260" w:type="dxa"/>
            <w:vAlign w:val="bottom"/>
            <w:tcBorders>
              <w:bottom w:val="single" w:sz="8" w:color="CCEEFE"/>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1440" w:type="dxa"/>
            <w:vAlign w:val="bottom"/>
            <w:shd w:val="clear" w:color="auto" w:fill="CCEEFE"/>
          </w:tcPr>
          <w:p>
            <w:pPr>
              <w:jc w:val="center"/>
              <w:spacing w:after="0"/>
              <w:rPr>
                <w:sz w:val="20"/>
                <w:szCs w:val="20"/>
                <w:color w:val="auto"/>
              </w:rPr>
            </w:pPr>
            <w:r>
              <w:rPr>
                <w:rFonts w:ascii="Arial" w:cs="Arial" w:eastAsia="Arial" w:hAnsi="Arial"/>
                <w:sz w:val="16"/>
                <w:szCs w:val="16"/>
                <w:b w:val="1"/>
                <w:bCs w:val="1"/>
                <w:color w:val="auto"/>
                <w:w w:val="91"/>
              </w:rPr>
              <w:t>2Q19</w:t>
            </w:r>
          </w:p>
        </w:tc>
        <w:tc>
          <w:tcPr>
            <w:tcW w:w="100" w:type="dxa"/>
            <w:vAlign w:val="bottom"/>
            <w:shd w:val="clear" w:color="auto" w:fill="CCEEFE"/>
          </w:tcPr>
          <w:p>
            <w:pPr>
              <w:spacing w:after="0"/>
              <w:rPr>
                <w:sz w:val="16"/>
                <w:szCs w:val="16"/>
                <w:color w:val="auto"/>
              </w:rPr>
            </w:pPr>
          </w:p>
        </w:tc>
        <w:tc>
          <w:tcPr>
            <w:tcW w:w="1660" w:type="dxa"/>
            <w:vAlign w:val="bottom"/>
            <w:gridSpan w:val="2"/>
            <w:shd w:val="clear" w:color="auto" w:fill="CCEEFE"/>
          </w:tcPr>
          <w:p>
            <w:pPr>
              <w:jc w:val="right"/>
              <w:ind w:right="220"/>
              <w:spacing w:after="0"/>
              <w:rPr>
                <w:sz w:val="20"/>
                <w:szCs w:val="20"/>
                <w:color w:val="auto"/>
              </w:rPr>
            </w:pPr>
            <w:r>
              <w:rPr>
                <w:rFonts w:ascii="Arial" w:cs="Arial" w:eastAsia="Arial" w:hAnsi="Arial"/>
                <w:sz w:val="16"/>
                <w:szCs w:val="16"/>
                <w:color w:val="auto"/>
              </w:rPr>
              <w:t>40.2%</w:t>
            </w:r>
          </w:p>
        </w:tc>
        <w:tc>
          <w:tcPr>
            <w:tcW w:w="1700" w:type="dxa"/>
            <w:vAlign w:val="bottom"/>
            <w:gridSpan w:val="2"/>
            <w:shd w:val="clear" w:color="auto" w:fill="CCEEFE"/>
          </w:tcPr>
          <w:p>
            <w:pPr>
              <w:jc w:val="right"/>
              <w:ind w:right="240"/>
              <w:spacing w:after="0"/>
              <w:rPr>
                <w:sz w:val="20"/>
                <w:szCs w:val="20"/>
                <w:color w:val="auto"/>
              </w:rPr>
            </w:pPr>
            <w:r>
              <w:rPr>
                <w:rFonts w:ascii="Arial" w:cs="Arial" w:eastAsia="Arial" w:hAnsi="Arial"/>
                <w:sz w:val="16"/>
                <w:szCs w:val="16"/>
                <w:color w:val="auto"/>
              </w:rPr>
              <w:t>61.7%</w:t>
            </w:r>
          </w:p>
        </w:tc>
        <w:tc>
          <w:tcPr>
            <w:tcW w:w="1640" w:type="dxa"/>
            <w:vAlign w:val="bottom"/>
            <w:gridSpan w:val="2"/>
            <w:shd w:val="clear" w:color="auto" w:fill="CCEEFE"/>
          </w:tcPr>
          <w:p>
            <w:pPr>
              <w:jc w:val="right"/>
              <w:ind w:right="240"/>
              <w:spacing w:after="0"/>
              <w:rPr>
                <w:sz w:val="20"/>
                <w:szCs w:val="20"/>
                <w:color w:val="auto"/>
              </w:rPr>
            </w:pPr>
            <w:r>
              <w:rPr>
                <w:rFonts w:ascii="Arial" w:cs="Arial" w:eastAsia="Arial" w:hAnsi="Arial"/>
                <w:sz w:val="16"/>
                <w:szCs w:val="16"/>
                <w:color w:val="auto"/>
              </w:rPr>
              <w:t>52.6%</w:t>
            </w:r>
          </w:p>
        </w:tc>
        <w:tc>
          <w:tcPr>
            <w:tcW w:w="920" w:type="dxa"/>
            <w:vAlign w:val="bottom"/>
            <w:shd w:val="clear" w:color="auto" w:fill="CCEEFE"/>
          </w:tcPr>
          <w:p>
            <w:pPr>
              <w:spacing w:after="0"/>
              <w:rPr>
                <w:sz w:val="16"/>
                <w:szCs w:val="16"/>
                <w:color w:val="auto"/>
              </w:rPr>
            </w:pPr>
          </w:p>
        </w:tc>
        <w:tc>
          <w:tcPr>
            <w:tcW w:w="680" w:type="dxa"/>
            <w:vAlign w:val="bottom"/>
            <w:gridSpan w:val="2"/>
            <w:shd w:val="clear" w:color="auto" w:fill="CCEEFE"/>
          </w:tcPr>
          <w:p>
            <w:pPr>
              <w:jc w:val="right"/>
              <w:ind w:right="240"/>
              <w:spacing w:after="0"/>
              <w:rPr>
                <w:sz w:val="20"/>
                <w:szCs w:val="20"/>
                <w:color w:val="auto"/>
              </w:rPr>
            </w:pPr>
            <w:r>
              <w:rPr>
                <w:rFonts w:ascii="Arial" w:cs="Arial" w:eastAsia="Arial" w:hAnsi="Arial"/>
                <w:sz w:val="16"/>
                <w:szCs w:val="16"/>
                <w:color w:val="auto"/>
                <w:w w:val="92"/>
              </w:rPr>
              <w:t>38.6%</w:t>
            </w:r>
          </w:p>
        </w:tc>
        <w:tc>
          <w:tcPr>
            <w:tcW w:w="1580" w:type="dxa"/>
            <w:vAlign w:val="bottom"/>
            <w:gridSpan w:val="2"/>
            <w:shd w:val="clear" w:color="auto" w:fill="CCEEFE"/>
          </w:tcPr>
          <w:p>
            <w:pPr>
              <w:jc w:val="right"/>
              <w:ind w:right="220"/>
              <w:spacing w:after="0"/>
              <w:rPr>
                <w:sz w:val="20"/>
                <w:szCs w:val="20"/>
                <w:color w:val="auto"/>
              </w:rPr>
            </w:pPr>
            <w:r>
              <w:rPr>
                <w:rFonts w:ascii="Arial" w:cs="Arial" w:eastAsia="Arial" w:hAnsi="Arial"/>
                <w:sz w:val="16"/>
                <w:szCs w:val="16"/>
                <w:color w:val="auto"/>
              </w:rPr>
              <w:t>40.6%</w:t>
            </w:r>
          </w:p>
        </w:tc>
        <w:tc>
          <w:tcPr>
            <w:tcW w:w="1520" w:type="dxa"/>
            <w:vAlign w:val="bottom"/>
            <w:gridSpan w:val="2"/>
            <w:shd w:val="clear" w:color="auto" w:fill="CCEEFE"/>
          </w:tcPr>
          <w:p>
            <w:pPr>
              <w:jc w:val="right"/>
              <w:ind w:right="120"/>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200"/>
        </w:trPr>
        <w:tc>
          <w:tcPr>
            <w:tcW w:w="1440" w:type="dxa"/>
            <w:vAlign w:val="bottom"/>
            <w:shd w:val="clear" w:color="auto" w:fill="CCEEFE"/>
          </w:tcPr>
          <w:p>
            <w:pPr>
              <w:jc w:val="center"/>
              <w:spacing w:after="0"/>
              <w:rPr>
                <w:sz w:val="20"/>
                <w:szCs w:val="20"/>
                <w:color w:val="auto"/>
              </w:rPr>
            </w:pPr>
            <w:r>
              <w:rPr>
                <w:rFonts w:ascii="Arial" w:cs="Arial" w:eastAsia="Arial" w:hAnsi="Arial"/>
                <w:sz w:val="16"/>
                <w:szCs w:val="16"/>
                <w:b w:val="1"/>
                <w:bCs w:val="1"/>
                <w:color w:val="auto"/>
                <w:w w:val="91"/>
              </w:rPr>
              <w:t>1Q20</w:t>
            </w:r>
          </w:p>
        </w:tc>
        <w:tc>
          <w:tcPr>
            <w:tcW w:w="100" w:type="dxa"/>
            <w:vAlign w:val="bottom"/>
            <w:shd w:val="clear" w:color="auto" w:fill="CCEEFE"/>
          </w:tcPr>
          <w:p>
            <w:pPr>
              <w:spacing w:after="0"/>
              <w:rPr>
                <w:sz w:val="17"/>
                <w:szCs w:val="17"/>
                <w:color w:val="auto"/>
              </w:rPr>
            </w:pPr>
          </w:p>
        </w:tc>
        <w:tc>
          <w:tcPr>
            <w:tcW w:w="1660" w:type="dxa"/>
            <w:vAlign w:val="bottom"/>
            <w:gridSpan w:val="2"/>
            <w:shd w:val="clear" w:color="auto" w:fill="CCEEFE"/>
          </w:tcPr>
          <w:p>
            <w:pPr>
              <w:jc w:val="right"/>
              <w:ind w:right="220"/>
              <w:spacing w:after="0"/>
              <w:rPr>
                <w:sz w:val="20"/>
                <w:szCs w:val="20"/>
                <w:color w:val="auto"/>
              </w:rPr>
            </w:pPr>
            <w:r>
              <w:rPr>
                <w:rFonts w:ascii="Arial" w:cs="Arial" w:eastAsia="Arial" w:hAnsi="Arial"/>
                <w:sz w:val="16"/>
                <w:szCs w:val="16"/>
                <w:color w:val="auto"/>
              </w:rPr>
              <w:t>38.8%</w:t>
            </w:r>
          </w:p>
        </w:tc>
        <w:tc>
          <w:tcPr>
            <w:tcW w:w="1700" w:type="dxa"/>
            <w:vAlign w:val="bottom"/>
            <w:gridSpan w:val="2"/>
            <w:shd w:val="clear" w:color="auto" w:fill="CCEEFE"/>
          </w:tcPr>
          <w:p>
            <w:pPr>
              <w:jc w:val="right"/>
              <w:ind w:right="240"/>
              <w:spacing w:after="0"/>
              <w:rPr>
                <w:sz w:val="20"/>
                <w:szCs w:val="20"/>
                <w:color w:val="auto"/>
              </w:rPr>
            </w:pPr>
            <w:r>
              <w:rPr>
                <w:rFonts w:ascii="Arial" w:cs="Arial" w:eastAsia="Arial" w:hAnsi="Arial"/>
                <w:sz w:val="16"/>
                <w:szCs w:val="16"/>
                <w:color w:val="auto"/>
              </w:rPr>
              <w:t>56.4%</w:t>
            </w:r>
          </w:p>
        </w:tc>
        <w:tc>
          <w:tcPr>
            <w:tcW w:w="1640" w:type="dxa"/>
            <w:vAlign w:val="bottom"/>
            <w:gridSpan w:val="2"/>
            <w:shd w:val="clear" w:color="auto" w:fill="CCEEFE"/>
          </w:tcPr>
          <w:p>
            <w:pPr>
              <w:jc w:val="right"/>
              <w:ind w:right="240"/>
              <w:spacing w:after="0"/>
              <w:rPr>
                <w:sz w:val="20"/>
                <w:szCs w:val="20"/>
                <w:color w:val="auto"/>
              </w:rPr>
            </w:pPr>
            <w:r>
              <w:rPr>
                <w:rFonts w:ascii="Arial" w:cs="Arial" w:eastAsia="Arial" w:hAnsi="Arial"/>
                <w:sz w:val="16"/>
                <w:szCs w:val="16"/>
                <w:color w:val="auto"/>
              </w:rPr>
              <w:t>58.4%</w:t>
            </w:r>
          </w:p>
        </w:tc>
        <w:tc>
          <w:tcPr>
            <w:tcW w:w="920" w:type="dxa"/>
            <w:vAlign w:val="bottom"/>
            <w:shd w:val="clear" w:color="auto" w:fill="CCEEFE"/>
          </w:tcPr>
          <w:p>
            <w:pPr>
              <w:spacing w:after="0"/>
              <w:rPr>
                <w:sz w:val="17"/>
                <w:szCs w:val="17"/>
                <w:color w:val="auto"/>
              </w:rPr>
            </w:pPr>
          </w:p>
        </w:tc>
        <w:tc>
          <w:tcPr>
            <w:tcW w:w="680" w:type="dxa"/>
            <w:vAlign w:val="bottom"/>
            <w:gridSpan w:val="2"/>
            <w:shd w:val="clear" w:color="auto" w:fill="CCEEFE"/>
          </w:tcPr>
          <w:p>
            <w:pPr>
              <w:jc w:val="right"/>
              <w:ind w:right="240"/>
              <w:spacing w:after="0"/>
              <w:rPr>
                <w:sz w:val="20"/>
                <w:szCs w:val="20"/>
                <w:color w:val="auto"/>
              </w:rPr>
            </w:pPr>
            <w:r>
              <w:rPr>
                <w:rFonts w:ascii="Arial" w:cs="Arial" w:eastAsia="Arial" w:hAnsi="Arial"/>
                <w:sz w:val="16"/>
                <w:szCs w:val="16"/>
                <w:color w:val="auto"/>
                <w:w w:val="92"/>
              </w:rPr>
              <w:t>40.6%</w:t>
            </w:r>
          </w:p>
        </w:tc>
        <w:tc>
          <w:tcPr>
            <w:tcW w:w="1580" w:type="dxa"/>
            <w:vAlign w:val="bottom"/>
            <w:gridSpan w:val="2"/>
            <w:shd w:val="clear" w:color="auto" w:fill="CCEEFE"/>
          </w:tcPr>
          <w:p>
            <w:pPr>
              <w:jc w:val="right"/>
              <w:ind w:right="220"/>
              <w:spacing w:after="0"/>
              <w:rPr>
                <w:sz w:val="20"/>
                <w:szCs w:val="20"/>
                <w:color w:val="auto"/>
              </w:rPr>
            </w:pPr>
            <w:r>
              <w:rPr>
                <w:rFonts w:ascii="Arial" w:cs="Arial" w:eastAsia="Arial" w:hAnsi="Arial"/>
                <w:sz w:val="16"/>
                <w:szCs w:val="16"/>
                <w:color w:val="auto"/>
              </w:rPr>
              <w:t>40.6%</w:t>
            </w:r>
          </w:p>
        </w:tc>
        <w:tc>
          <w:tcPr>
            <w:tcW w:w="1520" w:type="dxa"/>
            <w:vAlign w:val="bottom"/>
            <w:gridSpan w:val="2"/>
            <w:shd w:val="clear" w:color="auto" w:fill="CCEEFE"/>
          </w:tcPr>
          <w:p>
            <w:pPr>
              <w:jc w:val="right"/>
              <w:ind w:right="120"/>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200"/>
        </w:trPr>
        <w:tc>
          <w:tcPr>
            <w:tcW w:w="1440" w:type="dxa"/>
            <w:vAlign w:val="bottom"/>
            <w:shd w:val="clear" w:color="auto" w:fill="CCEEFE"/>
          </w:tcPr>
          <w:p>
            <w:pPr>
              <w:jc w:val="center"/>
              <w:spacing w:after="0"/>
              <w:rPr>
                <w:sz w:val="20"/>
                <w:szCs w:val="20"/>
                <w:color w:val="auto"/>
              </w:rPr>
            </w:pPr>
            <w:r>
              <w:rPr>
                <w:rFonts w:ascii="Arial" w:cs="Arial" w:eastAsia="Arial" w:hAnsi="Arial"/>
                <w:sz w:val="16"/>
                <w:szCs w:val="16"/>
                <w:b w:val="1"/>
                <w:bCs w:val="1"/>
                <w:color w:val="auto"/>
                <w:w w:val="91"/>
              </w:rPr>
              <w:t>2Q20</w:t>
            </w:r>
          </w:p>
        </w:tc>
        <w:tc>
          <w:tcPr>
            <w:tcW w:w="100" w:type="dxa"/>
            <w:vAlign w:val="bottom"/>
            <w:shd w:val="clear" w:color="auto" w:fill="CCEEFE"/>
          </w:tcPr>
          <w:p>
            <w:pPr>
              <w:spacing w:after="0"/>
              <w:rPr>
                <w:sz w:val="17"/>
                <w:szCs w:val="17"/>
                <w:color w:val="auto"/>
              </w:rPr>
            </w:pPr>
          </w:p>
        </w:tc>
        <w:tc>
          <w:tcPr>
            <w:tcW w:w="1660" w:type="dxa"/>
            <w:vAlign w:val="bottom"/>
            <w:gridSpan w:val="2"/>
            <w:shd w:val="clear" w:color="auto" w:fill="CCEEFE"/>
          </w:tcPr>
          <w:p>
            <w:pPr>
              <w:jc w:val="right"/>
              <w:ind w:right="220"/>
              <w:spacing w:after="0"/>
              <w:rPr>
                <w:sz w:val="20"/>
                <w:szCs w:val="20"/>
                <w:color w:val="auto"/>
              </w:rPr>
            </w:pPr>
            <w:r>
              <w:rPr>
                <w:rFonts w:ascii="Arial" w:cs="Arial" w:eastAsia="Arial" w:hAnsi="Arial"/>
                <w:sz w:val="16"/>
                <w:szCs w:val="16"/>
                <w:color w:val="auto"/>
              </w:rPr>
              <w:t>43.0%</w:t>
            </w:r>
          </w:p>
        </w:tc>
        <w:tc>
          <w:tcPr>
            <w:tcW w:w="1700" w:type="dxa"/>
            <w:vAlign w:val="bottom"/>
            <w:gridSpan w:val="2"/>
            <w:shd w:val="clear" w:color="auto" w:fill="CCEEFE"/>
          </w:tcPr>
          <w:p>
            <w:pPr>
              <w:jc w:val="right"/>
              <w:ind w:right="240"/>
              <w:spacing w:after="0"/>
              <w:rPr>
                <w:sz w:val="20"/>
                <w:szCs w:val="20"/>
                <w:color w:val="auto"/>
              </w:rPr>
            </w:pPr>
            <w:r>
              <w:rPr>
                <w:rFonts w:ascii="Arial" w:cs="Arial" w:eastAsia="Arial" w:hAnsi="Arial"/>
                <w:sz w:val="16"/>
                <w:szCs w:val="16"/>
                <w:color w:val="auto"/>
              </w:rPr>
              <w:t>51.0%</w:t>
            </w:r>
          </w:p>
        </w:tc>
        <w:tc>
          <w:tcPr>
            <w:tcW w:w="1640" w:type="dxa"/>
            <w:vAlign w:val="bottom"/>
            <w:gridSpan w:val="2"/>
            <w:shd w:val="clear" w:color="auto" w:fill="CCEEFE"/>
          </w:tcPr>
          <w:p>
            <w:pPr>
              <w:jc w:val="right"/>
              <w:ind w:right="240"/>
              <w:spacing w:after="0"/>
              <w:rPr>
                <w:sz w:val="20"/>
                <w:szCs w:val="20"/>
                <w:color w:val="auto"/>
              </w:rPr>
            </w:pPr>
            <w:r>
              <w:rPr>
                <w:rFonts w:ascii="Arial" w:cs="Arial" w:eastAsia="Arial" w:hAnsi="Arial"/>
                <w:sz w:val="16"/>
                <w:szCs w:val="16"/>
                <w:color w:val="auto"/>
              </w:rPr>
              <w:t>93.1%</w:t>
            </w:r>
          </w:p>
        </w:tc>
        <w:tc>
          <w:tcPr>
            <w:tcW w:w="920" w:type="dxa"/>
            <w:vAlign w:val="bottom"/>
            <w:shd w:val="clear" w:color="auto" w:fill="CCEEFE"/>
          </w:tcPr>
          <w:p>
            <w:pPr>
              <w:spacing w:after="0"/>
              <w:rPr>
                <w:sz w:val="17"/>
                <w:szCs w:val="17"/>
                <w:color w:val="auto"/>
              </w:rPr>
            </w:pPr>
          </w:p>
        </w:tc>
        <w:tc>
          <w:tcPr>
            <w:tcW w:w="680" w:type="dxa"/>
            <w:vAlign w:val="bottom"/>
            <w:gridSpan w:val="2"/>
            <w:shd w:val="clear" w:color="auto" w:fill="CCEEFE"/>
          </w:tcPr>
          <w:p>
            <w:pPr>
              <w:jc w:val="right"/>
              <w:ind w:right="240"/>
              <w:spacing w:after="0"/>
              <w:rPr>
                <w:sz w:val="20"/>
                <w:szCs w:val="20"/>
                <w:color w:val="auto"/>
              </w:rPr>
            </w:pPr>
            <w:r>
              <w:rPr>
                <w:rFonts w:ascii="Arial" w:cs="Arial" w:eastAsia="Arial" w:hAnsi="Arial"/>
                <w:sz w:val="16"/>
                <w:szCs w:val="16"/>
                <w:color w:val="auto"/>
                <w:w w:val="92"/>
              </w:rPr>
              <w:t>40.0%</w:t>
            </w:r>
          </w:p>
        </w:tc>
        <w:tc>
          <w:tcPr>
            <w:tcW w:w="1580" w:type="dxa"/>
            <w:vAlign w:val="bottom"/>
            <w:gridSpan w:val="2"/>
            <w:shd w:val="clear" w:color="auto" w:fill="CCEEFE"/>
          </w:tcPr>
          <w:p>
            <w:pPr>
              <w:jc w:val="right"/>
              <w:ind w:right="220"/>
              <w:spacing w:after="0"/>
              <w:rPr>
                <w:sz w:val="20"/>
                <w:szCs w:val="20"/>
                <w:color w:val="auto"/>
              </w:rPr>
            </w:pPr>
            <w:r>
              <w:rPr>
                <w:rFonts w:ascii="Arial" w:cs="Arial" w:eastAsia="Arial" w:hAnsi="Arial"/>
                <w:sz w:val="16"/>
                <w:szCs w:val="16"/>
                <w:color w:val="auto"/>
              </w:rPr>
              <w:t>57.3%</w:t>
            </w:r>
          </w:p>
        </w:tc>
        <w:tc>
          <w:tcPr>
            <w:tcW w:w="1520" w:type="dxa"/>
            <w:vAlign w:val="bottom"/>
            <w:gridSpan w:val="2"/>
            <w:shd w:val="clear" w:color="auto" w:fill="CCEEFE"/>
          </w:tcPr>
          <w:p>
            <w:pPr>
              <w:jc w:val="right"/>
              <w:ind w:right="120"/>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00"/>
        </w:trPr>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2"/>
              </w:rPr>
              <w:t>Var. QoQ</w:t>
            </w:r>
          </w:p>
        </w:tc>
        <w:tc>
          <w:tcPr>
            <w:tcW w:w="100" w:type="dxa"/>
            <w:vAlign w:val="bottom"/>
          </w:tcPr>
          <w:p>
            <w:pPr>
              <w:spacing w:after="0"/>
              <w:rPr>
                <w:sz w:val="17"/>
                <w:szCs w:val="17"/>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420bps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-540bps</w:t>
            </w:r>
          </w:p>
        </w:tc>
        <w:tc>
          <w:tcPr>
            <w:tcW w:w="16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3470bps</w:t>
            </w:r>
          </w:p>
        </w:tc>
        <w:tc>
          <w:tcPr>
            <w:tcW w:w="9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-60bps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1670bps</w:t>
            </w:r>
          </w:p>
        </w:tc>
        <w:tc>
          <w:tcPr>
            <w:tcW w:w="15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670bps</w:t>
            </w:r>
          </w:p>
        </w:tc>
        <w:tc>
          <w:tcPr>
            <w:tcW w:w="0" w:type="dxa"/>
            <w:vAlign w:val="bottom"/>
          </w:tcPr>
          <w:p>
            <w:pPr>
              <w:spacing w:after="0"/>
              <w:rPr>
                <w:sz w:val="1"/>
                <w:szCs w:val="1"/>
                <w:color w:val="auto"/>
              </w:rPr>
            </w:pPr>
          </w:p>
        </w:tc>
      </w:tr>
      <w:tr>
        <w:trPr>
          <w:trHeight w:val="200"/>
        </w:trPr>
        <w:tc>
          <w:tcPr>
            <w:tcW w:w="14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1"/>
              </w:rPr>
              <w:t>Var. YoY</w:t>
            </w:r>
          </w:p>
        </w:tc>
        <w:tc>
          <w:tcPr>
            <w:tcW w:w="1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280bps</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-1070bps</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4050bps</w:t>
            </w:r>
          </w:p>
        </w:tc>
        <w:tc>
          <w:tcPr>
            <w:tcW w:w="9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97"/>
              </w:rPr>
              <w:t>140bps</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1670bps</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700bps</w:t>
            </w:r>
          </w:p>
        </w:tc>
        <w:tc>
          <w:tcPr>
            <w:tcW w:w="0" w:type="dxa"/>
            <w:vAlign w:val="bottom"/>
          </w:tcPr>
          <w:p>
            <w:pPr>
              <w:spacing w:after="0"/>
              <w:rPr>
                <w:sz w:val="1"/>
                <w:szCs w:val="1"/>
                <w:color w:val="auto"/>
              </w:rPr>
            </w:pPr>
          </w:p>
        </w:tc>
      </w:tr>
      <w:tr>
        <w:trPr>
          <w:trHeight w:val="200"/>
        </w:trPr>
        <w:tc>
          <w:tcPr>
            <w:tcW w:w="1440" w:type="dxa"/>
            <w:vAlign w:val="bottom"/>
            <w:shd w:val="clear" w:color="auto" w:fill="CCEEFE"/>
          </w:tcPr>
          <w:p>
            <w:pPr>
              <w:jc w:val="center"/>
              <w:spacing w:after="0"/>
              <w:rPr>
                <w:sz w:val="20"/>
                <w:szCs w:val="20"/>
                <w:color w:val="auto"/>
              </w:rPr>
            </w:pPr>
            <w:r>
              <w:rPr>
                <w:rFonts w:ascii="Arial" w:cs="Arial" w:eastAsia="Arial" w:hAnsi="Arial"/>
                <w:sz w:val="16"/>
                <w:szCs w:val="16"/>
                <w:b w:val="1"/>
                <w:bCs w:val="1"/>
                <w:color w:val="auto"/>
                <w:w w:val="94"/>
              </w:rPr>
              <w:t>YTD - Jun 19</w:t>
            </w:r>
          </w:p>
        </w:tc>
        <w:tc>
          <w:tcPr>
            <w:tcW w:w="1760" w:type="dxa"/>
            <w:vAlign w:val="bottom"/>
            <w:gridSpan w:val="3"/>
            <w:shd w:val="clear" w:color="auto" w:fill="CCEEFE"/>
          </w:tcPr>
          <w:p>
            <w:pPr>
              <w:jc w:val="right"/>
              <w:ind w:right="220"/>
              <w:spacing w:after="0"/>
              <w:rPr>
                <w:sz w:val="20"/>
                <w:szCs w:val="20"/>
                <w:color w:val="auto"/>
              </w:rPr>
            </w:pPr>
            <w:r>
              <w:rPr>
                <w:rFonts w:ascii="Arial" w:cs="Arial" w:eastAsia="Arial" w:hAnsi="Arial"/>
                <w:sz w:val="16"/>
                <w:szCs w:val="16"/>
                <w:color w:val="auto"/>
              </w:rPr>
              <w:t>39.2%</w:t>
            </w:r>
          </w:p>
        </w:tc>
        <w:tc>
          <w:tcPr>
            <w:tcW w:w="1700" w:type="dxa"/>
            <w:vAlign w:val="bottom"/>
            <w:gridSpan w:val="2"/>
            <w:shd w:val="clear" w:color="auto" w:fill="CCEEFE"/>
          </w:tcPr>
          <w:p>
            <w:pPr>
              <w:jc w:val="right"/>
              <w:ind w:right="240"/>
              <w:spacing w:after="0"/>
              <w:rPr>
                <w:sz w:val="20"/>
                <w:szCs w:val="20"/>
                <w:color w:val="auto"/>
              </w:rPr>
            </w:pPr>
            <w:r>
              <w:rPr>
                <w:rFonts w:ascii="Arial" w:cs="Arial" w:eastAsia="Arial" w:hAnsi="Arial"/>
                <w:sz w:val="16"/>
                <w:szCs w:val="16"/>
                <w:color w:val="auto"/>
              </w:rPr>
              <w:t>61.7%</w:t>
            </w:r>
          </w:p>
        </w:tc>
        <w:tc>
          <w:tcPr>
            <w:tcW w:w="1640" w:type="dxa"/>
            <w:vAlign w:val="bottom"/>
            <w:gridSpan w:val="2"/>
            <w:shd w:val="clear" w:color="auto" w:fill="CCEEFE"/>
          </w:tcPr>
          <w:p>
            <w:pPr>
              <w:jc w:val="right"/>
              <w:ind w:right="240"/>
              <w:spacing w:after="0"/>
              <w:rPr>
                <w:sz w:val="20"/>
                <w:szCs w:val="20"/>
                <w:color w:val="auto"/>
              </w:rPr>
            </w:pPr>
            <w:r>
              <w:rPr>
                <w:rFonts w:ascii="Arial" w:cs="Arial" w:eastAsia="Arial" w:hAnsi="Arial"/>
                <w:sz w:val="16"/>
                <w:szCs w:val="16"/>
                <w:color w:val="auto"/>
              </w:rPr>
              <w:t>53.8%</w:t>
            </w:r>
          </w:p>
        </w:tc>
        <w:tc>
          <w:tcPr>
            <w:tcW w:w="920" w:type="dxa"/>
            <w:vAlign w:val="bottom"/>
            <w:shd w:val="clear" w:color="auto" w:fill="CCEEFE"/>
          </w:tcPr>
          <w:p>
            <w:pPr>
              <w:spacing w:after="0"/>
              <w:rPr>
                <w:sz w:val="17"/>
                <w:szCs w:val="17"/>
                <w:color w:val="auto"/>
              </w:rPr>
            </w:pPr>
          </w:p>
        </w:tc>
        <w:tc>
          <w:tcPr>
            <w:tcW w:w="680" w:type="dxa"/>
            <w:vAlign w:val="bottom"/>
            <w:gridSpan w:val="2"/>
            <w:shd w:val="clear" w:color="auto" w:fill="CCEEFE"/>
          </w:tcPr>
          <w:p>
            <w:pPr>
              <w:jc w:val="right"/>
              <w:ind w:right="240"/>
              <w:spacing w:after="0"/>
              <w:rPr>
                <w:sz w:val="20"/>
                <w:szCs w:val="20"/>
                <w:color w:val="auto"/>
              </w:rPr>
            </w:pPr>
            <w:r>
              <w:rPr>
                <w:rFonts w:ascii="Arial" w:cs="Arial" w:eastAsia="Arial" w:hAnsi="Arial"/>
                <w:sz w:val="16"/>
                <w:szCs w:val="16"/>
                <w:color w:val="auto"/>
                <w:w w:val="92"/>
              </w:rPr>
              <w:t>38.8%</w:t>
            </w:r>
          </w:p>
        </w:tc>
        <w:tc>
          <w:tcPr>
            <w:tcW w:w="1580" w:type="dxa"/>
            <w:vAlign w:val="bottom"/>
            <w:gridSpan w:val="2"/>
            <w:shd w:val="clear" w:color="auto" w:fill="CCEEFE"/>
          </w:tcPr>
          <w:p>
            <w:pPr>
              <w:jc w:val="right"/>
              <w:ind w:right="220"/>
              <w:spacing w:after="0"/>
              <w:rPr>
                <w:sz w:val="20"/>
                <w:szCs w:val="20"/>
                <w:color w:val="auto"/>
              </w:rPr>
            </w:pPr>
            <w:r>
              <w:rPr>
                <w:rFonts w:ascii="Arial" w:cs="Arial" w:eastAsia="Arial" w:hAnsi="Arial"/>
                <w:sz w:val="16"/>
                <w:szCs w:val="16"/>
                <w:color w:val="auto"/>
              </w:rPr>
              <w:t>41.1%</w:t>
            </w:r>
          </w:p>
        </w:tc>
        <w:tc>
          <w:tcPr>
            <w:tcW w:w="1520" w:type="dxa"/>
            <w:vAlign w:val="bottom"/>
            <w:gridSpan w:val="2"/>
            <w:shd w:val="clear" w:color="auto" w:fill="CCEEFE"/>
          </w:tcPr>
          <w:p>
            <w:pPr>
              <w:jc w:val="right"/>
              <w:ind w:right="120"/>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00"/>
        </w:trPr>
        <w:tc>
          <w:tcPr>
            <w:tcW w:w="1440" w:type="dxa"/>
            <w:vAlign w:val="bottom"/>
            <w:shd w:val="clear" w:color="auto" w:fill="CCEEFE"/>
          </w:tcPr>
          <w:p>
            <w:pPr>
              <w:jc w:val="center"/>
              <w:spacing w:after="0"/>
              <w:rPr>
                <w:sz w:val="20"/>
                <w:szCs w:val="20"/>
                <w:color w:val="auto"/>
              </w:rPr>
            </w:pPr>
            <w:r>
              <w:rPr>
                <w:rFonts w:ascii="Arial" w:cs="Arial" w:eastAsia="Arial" w:hAnsi="Arial"/>
                <w:sz w:val="16"/>
                <w:szCs w:val="16"/>
                <w:b w:val="1"/>
                <w:bCs w:val="1"/>
                <w:color w:val="auto"/>
                <w:w w:val="94"/>
              </w:rPr>
              <w:t>YTD - Jun 20</w:t>
            </w:r>
          </w:p>
        </w:tc>
        <w:tc>
          <w:tcPr>
            <w:tcW w:w="1760" w:type="dxa"/>
            <w:vAlign w:val="bottom"/>
            <w:gridSpan w:val="3"/>
            <w:shd w:val="clear" w:color="auto" w:fill="CCEEFE"/>
          </w:tcPr>
          <w:p>
            <w:pPr>
              <w:jc w:val="right"/>
              <w:ind w:right="220"/>
              <w:spacing w:after="0"/>
              <w:rPr>
                <w:sz w:val="20"/>
                <w:szCs w:val="20"/>
                <w:color w:val="auto"/>
              </w:rPr>
            </w:pPr>
            <w:r>
              <w:rPr>
                <w:rFonts w:ascii="Arial" w:cs="Arial" w:eastAsia="Arial" w:hAnsi="Arial"/>
                <w:sz w:val="16"/>
                <w:szCs w:val="16"/>
                <w:color w:val="auto"/>
              </w:rPr>
              <w:t>40.7%</w:t>
            </w:r>
          </w:p>
        </w:tc>
        <w:tc>
          <w:tcPr>
            <w:tcW w:w="1700" w:type="dxa"/>
            <w:vAlign w:val="bottom"/>
            <w:gridSpan w:val="2"/>
            <w:shd w:val="clear" w:color="auto" w:fill="CCEEFE"/>
          </w:tcPr>
          <w:p>
            <w:pPr>
              <w:jc w:val="right"/>
              <w:ind w:right="240"/>
              <w:spacing w:after="0"/>
              <w:rPr>
                <w:sz w:val="20"/>
                <w:szCs w:val="20"/>
                <w:color w:val="auto"/>
              </w:rPr>
            </w:pPr>
            <w:r>
              <w:rPr>
                <w:rFonts w:ascii="Arial" w:cs="Arial" w:eastAsia="Arial" w:hAnsi="Arial"/>
                <w:sz w:val="16"/>
                <w:szCs w:val="16"/>
                <w:color w:val="auto"/>
              </w:rPr>
              <w:t>53.7%</w:t>
            </w:r>
          </w:p>
        </w:tc>
        <w:tc>
          <w:tcPr>
            <w:tcW w:w="1640" w:type="dxa"/>
            <w:vAlign w:val="bottom"/>
            <w:gridSpan w:val="2"/>
            <w:shd w:val="clear" w:color="auto" w:fill="CCEEFE"/>
          </w:tcPr>
          <w:p>
            <w:pPr>
              <w:jc w:val="right"/>
              <w:ind w:right="240"/>
              <w:spacing w:after="0"/>
              <w:rPr>
                <w:sz w:val="20"/>
                <w:szCs w:val="20"/>
                <w:color w:val="auto"/>
              </w:rPr>
            </w:pPr>
            <w:r>
              <w:rPr>
                <w:rFonts w:ascii="Arial" w:cs="Arial" w:eastAsia="Arial" w:hAnsi="Arial"/>
                <w:sz w:val="16"/>
                <w:szCs w:val="16"/>
                <w:color w:val="auto"/>
              </w:rPr>
              <w:t>70.9%</w:t>
            </w:r>
          </w:p>
        </w:tc>
        <w:tc>
          <w:tcPr>
            <w:tcW w:w="920" w:type="dxa"/>
            <w:vAlign w:val="bottom"/>
            <w:shd w:val="clear" w:color="auto" w:fill="CCEEFE"/>
          </w:tcPr>
          <w:p>
            <w:pPr>
              <w:spacing w:after="0"/>
              <w:rPr>
                <w:sz w:val="17"/>
                <w:szCs w:val="17"/>
                <w:color w:val="auto"/>
              </w:rPr>
            </w:pPr>
          </w:p>
        </w:tc>
        <w:tc>
          <w:tcPr>
            <w:tcW w:w="680" w:type="dxa"/>
            <w:vAlign w:val="bottom"/>
            <w:gridSpan w:val="2"/>
            <w:shd w:val="clear" w:color="auto" w:fill="CCEEFE"/>
          </w:tcPr>
          <w:p>
            <w:pPr>
              <w:jc w:val="right"/>
              <w:ind w:right="240"/>
              <w:spacing w:after="0"/>
              <w:rPr>
                <w:sz w:val="20"/>
                <w:szCs w:val="20"/>
                <w:color w:val="auto"/>
              </w:rPr>
            </w:pPr>
            <w:r>
              <w:rPr>
                <w:rFonts w:ascii="Arial" w:cs="Arial" w:eastAsia="Arial" w:hAnsi="Arial"/>
                <w:sz w:val="16"/>
                <w:szCs w:val="16"/>
                <w:color w:val="auto"/>
                <w:w w:val="92"/>
              </w:rPr>
              <w:t>40.3%</w:t>
            </w:r>
          </w:p>
        </w:tc>
        <w:tc>
          <w:tcPr>
            <w:tcW w:w="1580" w:type="dxa"/>
            <w:vAlign w:val="bottom"/>
            <w:gridSpan w:val="2"/>
            <w:shd w:val="clear" w:color="auto" w:fill="CCEEFE"/>
          </w:tcPr>
          <w:p>
            <w:pPr>
              <w:jc w:val="right"/>
              <w:ind w:right="220"/>
              <w:spacing w:after="0"/>
              <w:rPr>
                <w:sz w:val="20"/>
                <w:szCs w:val="20"/>
                <w:color w:val="auto"/>
              </w:rPr>
            </w:pPr>
            <w:r>
              <w:rPr>
                <w:rFonts w:ascii="Arial" w:cs="Arial" w:eastAsia="Arial" w:hAnsi="Arial"/>
                <w:sz w:val="16"/>
                <w:szCs w:val="16"/>
                <w:color w:val="auto"/>
              </w:rPr>
              <w:t>47.1%</w:t>
            </w:r>
          </w:p>
        </w:tc>
        <w:tc>
          <w:tcPr>
            <w:tcW w:w="1520" w:type="dxa"/>
            <w:vAlign w:val="bottom"/>
            <w:gridSpan w:val="2"/>
            <w:shd w:val="clear" w:color="auto" w:fill="CCEEFE"/>
          </w:tcPr>
          <w:p>
            <w:pPr>
              <w:jc w:val="right"/>
              <w:ind w:right="120"/>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00"/>
        </w:trPr>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0"/>
              </w:rPr>
              <w:t>% change</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0"/>
              </w:rPr>
              <w:t>Jun 20 / Jun 19</w:t>
            </w:r>
          </w:p>
        </w:tc>
        <w:tc>
          <w:tcPr>
            <w:tcW w:w="1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150bps</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-800bps</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1710bps</w:t>
            </w:r>
          </w:p>
        </w:tc>
        <w:tc>
          <w:tcPr>
            <w:tcW w:w="9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97"/>
              </w:rPr>
              <w:t>150bps</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600bps</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360bps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-762000</wp:posOffset>
            </wp:positionV>
            <wp:extent cx="7134225" cy="3810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3810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-253365</wp:posOffset>
            </wp:positionV>
            <wp:extent cx="7134225" cy="2540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254000"/>
                    </a:xfrm>
                    <a:prstGeom prst="rect">
                      <a:avLst/>
                    </a:prstGeom>
                    <a:noFill/>
                  </pic:spPr>
                </pic:pic>
              </a:graphicData>
            </a:graphic>
          </wp:anchor>
        </w:drawing>
      </w:r>
    </w:p>
    <w:p>
      <w:pPr>
        <w:spacing w:after="0" w:line="179" w:lineRule="exact"/>
        <w:rPr>
          <w:sz w:val="20"/>
          <w:szCs w:val="20"/>
          <w:color w:val="auto"/>
        </w:rPr>
      </w:pPr>
    </w:p>
    <w:p>
      <w:pPr>
        <w:jc w:val="both"/>
        <w:ind w:firstLine="7"/>
        <w:spacing w:after="0" w:line="252" w:lineRule="auto"/>
        <w:tabs>
          <w:tab w:leader="none" w:pos="2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(Salaries and employee’s benefits + Administrative, general and tax expenses + Depreciation and amortization + Acquisition cost + Association in participation) / (Net interest income + Fee income + Net gain on foreign exchange transactions + Net gain from associates + Net gain on derivatives held for trading + Result on exchange differences + Net premiums earned).</w:t>
      </w:r>
    </w:p>
    <w:p>
      <w:pPr>
        <w:spacing w:after="0" w:line="1" w:lineRule="exact"/>
        <w:rPr>
          <w:rFonts w:ascii="Arial" w:cs="Arial" w:eastAsia="Arial" w:hAnsi="Arial"/>
          <w:sz w:val="18"/>
          <w:szCs w:val="18"/>
          <w:color w:val="auto"/>
        </w:rPr>
      </w:pPr>
    </w:p>
    <w:p>
      <w:pPr>
        <w:ind w:left="260" w:hanging="253"/>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efficiency ratio differs from previously reported, please consider the data presented on this report.</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Microfinance includes Mibanco, Bancompartir and Encumbra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In the QoQ and YoY analysis, the efficiency ratio deteriorated after operating income at BCP Stand-alone and Mibanco fell.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shows the contribution of each of the subsidiaries to the evolution of the YoY efficiency ratio.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YoY evolution of the efficiency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151130</wp:posOffset>
            </wp:positionV>
            <wp:extent cx="5685155" cy="2050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85155" cy="205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500" w:firstLine="7"/>
        <w:spacing w:after="0" w:line="270" w:lineRule="auto"/>
        <w:tabs>
          <w:tab w:leader="none" w:pos="2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Others includes: Credicorp Capital, Prima AFP, BCP Bolivia, ASB, Grupo Crédito, among other subsidiaries and the eliminations for consolidation purposes.</w:t>
      </w:r>
    </w:p>
    <w:p>
      <w:pPr>
        <w:spacing w:after="0" w:line="388"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In the YoY analysis, the efficiency ratio deteriorated 700 bps, which was attributable to:</w:t>
      </w:r>
    </w:p>
    <w:p>
      <w:pPr>
        <w:spacing w:after="0" w:line="220" w:lineRule="exact"/>
        <w:rPr>
          <w:sz w:val="20"/>
          <w:szCs w:val="20"/>
          <w:color w:val="auto"/>
        </w:rPr>
      </w:pPr>
    </w:p>
    <w:p>
      <w:pPr>
        <w:jc w:val="both"/>
        <w:ind w:left="880" w:hanging="500"/>
        <w:spacing w:after="0" w:line="253"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Microfinance business, the main driver of the increase was Mibanco, which registered a drop operating income. This decline was mainly attributable to a decrease in net interest income due to the impairment taken for loans that were frozen to support clients that are experiencing economic difficulties and to a lesser extent, to a decrease in fee income due to a drop in transactional activity. The Microfinance business also registered an increase in operating expenses due to expenses at Bancompartir, which have been included in the balance sheet since December 2019.</w:t>
      </w:r>
    </w:p>
    <w:p>
      <w:pPr>
        <w:spacing w:after="0" w:line="189" w:lineRule="exact"/>
        <w:rPr>
          <w:rFonts w:ascii="Arial" w:cs="Arial" w:eastAsia="Arial" w:hAnsi="Arial"/>
          <w:sz w:val="18"/>
          <w:szCs w:val="18"/>
          <w:color w:val="auto"/>
        </w:rPr>
      </w:pPr>
    </w:p>
    <w:p>
      <w:pPr>
        <w:jc w:val="both"/>
        <w:ind w:left="880" w:hanging="500"/>
        <w:spacing w:after="0" w:line="253"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BCP Stand-alone due to a decrease in operating income, which was mainly attributable to a decrease in net interest income due to the impairment that was taken for loans that were frozen to support clients during the pandemic and to a lesser extent, to a decrease in fee income due to lower transactional levels. The aforementioned was attenuated by the drop in operating expenses, which was primarily due to a decrease in variable compensation; a reduction in marketing expenses associated with the Milla Latam program; and the savings that were generated by a decrease in the use of physical space on BCP’s properties.</w:t>
      </w:r>
    </w:p>
    <w:p>
      <w:pPr>
        <w:spacing w:after="0" w:line="189" w:lineRule="exact"/>
        <w:rPr>
          <w:rFonts w:ascii="Arial" w:cs="Arial" w:eastAsia="Arial" w:hAnsi="Arial"/>
          <w:sz w:val="18"/>
          <w:szCs w:val="18"/>
          <w:color w:val="auto"/>
        </w:rPr>
      </w:pPr>
    </w:p>
    <w:p>
      <w:pPr>
        <w:ind w:left="880" w:hanging="500"/>
        <w:spacing w:after="0" w:line="270"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Prima AFP, due to a drop in fee income after the government implemented measures to generate liquidity for Peruvians, including eliminating obligatory fund contributions in the month of April for affiliates in the private pension system.</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YTD, efficiency deteriorated 360 bps. This impact was less significant given that in 1Q20, operating income increased in the annual comparison, which attenuated the impact of the YoY reduction. The increase in efficiency was due to the same reasons outlined in the YoY analysis. The figure below shows the impact of the variation of each subsidiary on the efficiency ratio YTD: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YTD evolution of the efficiency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151130</wp:posOffset>
            </wp:positionV>
            <wp:extent cx="6532245" cy="22618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32245" cy="226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8.</w:t>
            </w:r>
          </w:p>
        </w:tc>
        <w:tc>
          <w:tcPr>
            <w:tcW w:w="5020" w:type="dxa"/>
            <w:vAlign w:val="bottom"/>
            <w:gridSpan w:val="2"/>
          </w:tcPr>
          <w:p>
            <w:pPr>
              <w:ind w:left="300"/>
              <w:spacing w:after="0"/>
              <w:rPr>
                <w:sz w:val="20"/>
                <w:szCs w:val="20"/>
                <w:color w:val="auto"/>
              </w:rPr>
            </w:pPr>
            <w:r>
              <w:rPr>
                <w:rFonts w:ascii="Arial" w:cs="Arial" w:eastAsia="Arial" w:hAnsi="Arial"/>
                <w:sz w:val="18"/>
                <w:szCs w:val="18"/>
                <w:b w:val="1"/>
                <w:bCs w:val="1"/>
                <w:color w:val="auto"/>
              </w:rPr>
              <w:t>Regulatory Capital</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7"/>
        </w:trPr>
        <w:tc>
          <w:tcPr>
            <w:tcW w:w="5180" w:type="dxa"/>
            <w:vAlign w:val="bottom"/>
            <w:gridSpan w:val="3"/>
          </w:tcPr>
          <w:p>
            <w:pPr>
              <w:spacing w:after="0"/>
              <w:rPr>
                <w:sz w:val="20"/>
                <w:szCs w:val="20"/>
                <w:color w:val="auto"/>
              </w:rPr>
            </w:pPr>
            <w:r>
              <w:rPr>
                <w:rFonts w:ascii="Arial" w:cs="Arial" w:eastAsia="Arial" w:hAnsi="Arial"/>
                <w:sz w:val="18"/>
                <w:szCs w:val="18"/>
                <w:b w:val="1"/>
                <w:bCs w:val="1"/>
                <w:color w:val="auto"/>
              </w:rPr>
              <w:t>8.1. Regulatory Capital – BAP</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5180" w:type="dxa"/>
            <w:vAlign w:val="bottom"/>
            <w:gridSpan w:val="3"/>
          </w:tcPr>
          <w:p>
            <w:pPr>
              <w:spacing w:after="0"/>
              <w:rPr>
                <w:sz w:val="20"/>
                <w:szCs w:val="20"/>
                <w:color w:val="auto"/>
              </w:rPr>
            </w:pPr>
            <w:r>
              <w:rPr>
                <w:rFonts w:ascii="Arial" w:cs="Arial" w:eastAsia="Arial" w:hAnsi="Arial"/>
                <w:sz w:val="16"/>
                <w:szCs w:val="16"/>
                <w:b w:val="1"/>
                <w:bCs w:val="1"/>
                <w:color w:val="auto"/>
              </w:rPr>
              <w:t>Regulatory Capital and Capital Adequacy Ratios</w:t>
            </w: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6"/>
                <w:szCs w:val="16"/>
                <w:b w:val="1"/>
                <w:bCs w:val="1"/>
                <w:color w:val="auto"/>
              </w:rPr>
              <w:t>As of</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rPr>
              <w:t>% Change</w:t>
            </w: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9"/>
        </w:trPr>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S/ 000</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Jun-19</w:t>
            </w:r>
          </w:p>
        </w:tc>
        <w:tc>
          <w:tcPr>
            <w:tcW w:w="2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Mar-20</w:t>
            </w: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Jun-20</w:t>
            </w: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QoQ</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YoY</w:t>
            </w:r>
          </w:p>
        </w:tc>
        <w:tc>
          <w:tcPr>
            <w:tcW w:w="160" w:type="dxa"/>
            <w:vAlign w:val="bottom"/>
            <w:tcBorders>
              <w:bottom w:val="single" w:sz="8" w:color="CCEEFF"/>
            </w:tcBorders>
          </w:tcPr>
          <w:p>
            <w:pPr>
              <w:spacing w:after="0"/>
              <w:rPr>
                <w:sz w:val="17"/>
                <w:szCs w:val="17"/>
                <w:color w:val="auto"/>
              </w:rPr>
            </w:pPr>
          </w:p>
        </w:tc>
      </w:tr>
      <w:tr>
        <w:trPr>
          <w:trHeight w:val="193"/>
        </w:trPr>
        <w:tc>
          <w:tcPr>
            <w:tcW w:w="5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Capital Stock</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1,318,993</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1,318,993</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1,318,993</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w:t>
            </w:r>
          </w:p>
        </w:tc>
      </w:tr>
      <w:tr>
        <w:trPr>
          <w:trHeight w:val="200"/>
        </w:trPr>
        <w:tc>
          <w:tcPr>
            <w:tcW w:w="5180" w:type="dxa"/>
            <w:vAlign w:val="bottom"/>
            <w:gridSpan w:val="3"/>
          </w:tcPr>
          <w:p>
            <w:pPr>
              <w:spacing w:after="0"/>
              <w:rPr>
                <w:sz w:val="20"/>
                <w:szCs w:val="20"/>
                <w:color w:val="auto"/>
              </w:rPr>
            </w:pPr>
            <w:r>
              <w:rPr>
                <w:rFonts w:ascii="Arial" w:cs="Arial" w:eastAsia="Arial" w:hAnsi="Arial"/>
                <w:sz w:val="16"/>
                <w:szCs w:val="16"/>
                <w:color w:val="auto"/>
              </w:rPr>
              <w:t>Treasury Stocks</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(207,839)</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(209,309)</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(209,309)</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0.0%</w:t>
            </w:r>
          </w:p>
        </w:tc>
        <w:tc>
          <w:tcPr>
            <w:tcW w:w="3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0.7%</w:t>
            </w:r>
          </w:p>
        </w:tc>
      </w:tr>
      <w:tr>
        <w:trPr>
          <w:trHeight w:val="200"/>
        </w:trPr>
        <w:tc>
          <w:tcPr>
            <w:tcW w:w="51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Capital Surplus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227,380</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165,188</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160,430</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-29.4%</w:t>
            </w:r>
          </w:p>
        </w:tc>
      </w:tr>
      <w:tr>
        <w:trPr>
          <w:trHeight w:val="240"/>
        </w:trPr>
        <w:tc>
          <w:tcPr>
            <w:tcW w:w="5180" w:type="dxa"/>
            <w:vAlign w:val="bottom"/>
            <w:gridSpan w:val="3"/>
          </w:tcPr>
          <w:p>
            <w:pPr>
              <w:spacing w:after="0" w:line="240" w:lineRule="exact"/>
              <w:rPr>
                <w:sz w:val="20"/>
                <w:szCs w:val="20"/>
                <w:color w:val="auto"/>
              </w:rPr>
            </w:pPr>
            <w:r>
              <w:rPr>
                <w:rFonts w:ascii="Arial" w:cs="Arial" w:eastAsia="Arial" w:hAnsi="Arial"/>
                <w:sz w:val="16"/>
                <w:szCs w:val="16"/>
                <w:color w:val="auto"/>
              </w:rPr>
              <w:t xml:space="preserve">Legal and Other capital reserves </w:t>
            </w:r>
            <w:r>
              <w:rPr>
                <w:rFonts w:ascii="Arial" w:cs="Arial" w:eastAsia="Arial" w:hAnsi="Arial"/>
                <w:sz w:val="26"/>
                <w:szCs w:val="26"/>
                <w:color w:val="auto"/>
                <w:vertAlign w:val="superscript"/>
              </w:rPr>
              <w:t>(1)</w:t>
            </w:r>
          </w:p>
        </w:tc>
        <w:tc>
          <w:tcPr>
            <w:tcW w:w="1000" w:type="dxa"/>
            <w:vAlign w:val="bottom"/>
          </w:tcPr>
          <w:p>
            <w:pPr>
              <w:jc w:val="right"/>
              <w:spacing w:after="0"/>
              <w:rPr>
                <w:sz w:val="20"/>
                <w:szCs w:val="20"/>
                <w:color w:val="auto"/>
              </w:rPr>
            </w:pPr>
            <w:r>
              <w:rPr>
                <w:rFonts w:ascii="Arial" w:cs="Arial" w:eastAsia="Arial" w:hAnsi="Arial"/>
                <w:sz w:val="16"/>
                <w:szCs w:val="16"/>
                <w:color w:val="auto"/>
              </w:rPr>
              <w:t>19,423,324</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21,360,272</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21,381,402</w:t>
            </w:r>
          </w:p>
        </w:tc>
        <w:tc>
          <w:tcPr>
            <w:tcW w:w="2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0.1%</w:t>
            </w:r>
          </w:p>
        </w:tc>
        <w:tc>
          <w:tcPr>
            <w:tcW w:w="3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10.1%</w:t>
            </w:r>
          </w:p>
        </w:tc>
      </w:tr>
      <w:tr>
        <w:trPr>
          <w:trHeight w:val="240"/>
        </w:trPr>
        <w:tc>
          <w:tcPr>
            <w:tcW w:w="5180" w:type="dxa"/>
            <w:vAlign w:val="bottom"/>
            <w:gridSpan w:val="3"/>
            <w:shd w:val="clear" w:color="auto" w:fill="CCEEFF"/>
          </w:tcPr>
          <w:p>
            <w:pPr>
              <w:spacing w:after="0" w:line="240" w:lineRule="exact"/>
              <w:rPr>
                <w:sz w:val="20"/>
                <w:szCs w:val="20"/>
                <w:color w:val="auto"/>
              </w:rPr>
            </w:pPr>
            <w:r>
              <w:rPr>
                <w:rFonts w:ascii="Arial" w:cs="Arial" w:eastAsia="Arial" w:hAnsi="Arial"/>
                <w:sz w:val="16"/>
                <w:szCs w:val="16"/>
                <w:color w:val="auto"/>
              </w:rPr>
              <w:t xml:space="preserve">Minority interest </w:t>
            </w:r>
            <w:r>
              <w:rPr>
                <w:rFonts w:ascii="Arial" w:cs="Arial" w:eastAsia="Arial" w:hAnsi="Arial"/>
                <w:sz w:val="26"/>
                <w:szCs w:val="26"/>
                <w:color w:val="auto"/>
                <w:vertAlign w:val="superscript"/>
              </w:rPr>
              <w:t>(2)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357,067</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386,326</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440,412</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14.0%</w:t>
            </w:r>
          </w:p>
        </w:tc>
        <w:tc>
          <w:tcPr>
            <w:tcW w:w="3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23.3%</w:t>
            </w:r>
          </w:p>
        </w:tc>
      </w:tr>
      <w:tr>
        <w:trPr>
          <w:trHeight w:val="240"/>
        </w:trPr>
        <w:tc>
          <w:tcPr>
            <w:tcW w:w="5180" w:type="dxa"/>
            <w:vAlign w:val="bottom"/>
            <w:gridSpan w:val="3"/>
          </w:tcPr>
          <w:p>
            <w:pPr>
              <w:spacing w:after="0" w:line="240" w:lineRule="exact"/>
              <w:rPr>
                <w:sz w:val="20"/>
                <w:szCs w:val="20"/>
                <w:color w:val="auto"/>
              </w:rPr>
            </w:pPr>
            <w:r>
              <w:rPr>
                <w:rFonts w:ascii="Arial" w:cs="Arial" w:eastAsia="Arial" w:hAnsi="Arial"/>
                <w:sz w:val="16"/>
                <w:szCs w:val="16"/>
                <w:color w:val="auto"/>
              </w:rPr>
              <w:t xml:space="preserve">Loan loss reserves </w:t>
            </w:r>
            <w:r>
              <w:rPr>
                <w:rFonts w:ascii="Arial" w:cs="Arial" w:eastAsia="Arial" w:hAnsi="Arial"/>
                <w:sz w:val="26"/>
                <w:szCs w:val="26"/>
                <w:color w:val="auto"/>
                <w:vertAlign w:val="superscript"/>
              </w:rPr>
              <w:t>(3)</w:t>
            </w:r>
          </w:p>
        </w:tc>
        <w:tc>
          <w:tcPr>
            <w:tcW w:w="1000" w:type="dxa"/>
            <w:vAlign w:val="bottom"/>
          </w:tcPr>
          <w:p>
            <w:pPr>
              <w:jc w:val="right"/>
              <w:spacing w:after="0"/>
              <w:rPr>
                <w:sz w:val="20"/>
                <w:szCs w:val="20"/>
                <w:color w:val="auto"/>
              </w:rPr>
            </w:pPr>
            <w:r>
              <w:rPr>
                <w:rFonts w:ascii="Arial" w:cs="Arial" w:eastAsia="Arial" w:hAnsi="Arial"/>
                <w:sz w:val="16"/>
                <w:szCs w:val="16"/>
                <w:color w:val="auto"/>
              </w:rPr>
              <w:t>1,608,215</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1,728,836</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1,770,605</w:t>
            </w:r>
          </w:p>
        </w:tc>
        <w:tc>
          <w:tcPr>
            <w:tcW w:w="2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2.4%</w:t>
            </w:r>
          </w:p>
        </w:tc>
        <w:tc>
          <w:tcPr>
            <w:tcW w:w="3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10.1%</w:t>
            </w:r>
          </w:p>
        </w:tc>
      </w:tr>
      <w:tr>
        <w:trPr>
          <w:trHeight w:val="200"/>
        </w:trPr>
        <w:tc>
          <w:tcPr>
            <w:tcW w:w="51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Perpetual subordinated debt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575,225</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-100.0%</w:t>
            </w:r>
          </w:p>
        </w:tc>
      </w:tr>
      <w:tr>
        <w:trPr>
          <w:trHeight w:val="200"/>
        </w:trPr>
        <w:tc>
          <w:tcPr>
            <w:tcW w:w="5180" w:type="dxa"/>
            <w:vAlign w:val="bottom"/>
            <w:gridSpan w:val="3"/>
          </w:tcPr>
          <w:p>
            <w:pPr>
              <w:spacing w:after="0"/>
              <w:rPr>
                <w:sz w:val="20"/>
                <w:szCs w:val="20"/>
                <w:color w:val="auto"/>
              </w:rPr>
            </w:pPr>
            <w:r>
              <w:rPr>
                <w:rFonts w:ascii="Arial" w:cs="Arial" w:eastAsia="Arial" w:hAnsi="Arial"/>
                <w:sz w:val="16"/>
                <w:szCs w:val="16"/>
                <w:color w:val="auto"/>
              </w:rPr>
              <w:t>Subordinated Debt</w:t>
            </w:r>
          </w:p>
        </w:tc>
        <w:tc>
          <w:tcPr>
            <w:tcW w:w="1000" w:type="dxa"/>
            <w:vAlign w:val="bottom"/>
          </w:tcPr>
          <w:p>
            <w:pPr>
              <w:jc w:val="right"/>
              <w:spacing w:after="0"/>
              <w:rPr>
                <w:sz w:val="20"/>
                <w:szCs w:val="20"/>
                <w:color w:val="auto"/>
              </w:rPr>
            </w:pPr>
            <w:r>
              <w:rPr>
                <w:rFonts w:ascii="Arial" w:cs="Arial" w:eastAsia="Arial" w:hAnsi="Arial"/>
                <w:sz w:val="16"/>
                <w:szCs w:val="16"/>
                <w:color w:val="auto"/>
              </w:rPr>
              <w:t>4,735,573</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4,568,131</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4,698,109</w:t>
            </w:r>
          </w:p>
        </w:tc>
        <w:tc>
          <w:tcPr>
            <w:tcW w:w="2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2.8%</w:t>
            </w:r>
          </w:p>
        </w:tc>
        <w:tc>
          <w:tcPr>
            <w:tcW w:w="3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-0.8%</w:t>
            </w:r>
          </w:p>
        </w:tc>
      </w:tr>
      <w:tr>
        <w:trPr>
          <w:trHeight w:val="190"/>
        </w:trPr>
        <w:tc>
          <w:tcPr>
            <w:tcW w:w="51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Investments in equity and subordinated debt of financial and insurance</w:t>
            </w: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0"/>
        </w:trPr>
        <w:tc>
          <w:tcPr>
            <w:tcW w:w="16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companies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(777,011)</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(630,805)</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(676,471)</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7.2%</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-12.9%</w:t>
            </w:r>
          </w:p>
        </w:tc>
      </w:tr>
      <w:tr>
        <w:trPr>
          <w:trHeight w:val="200"/>
        </w:trPr>
        <w:tc>
          <w:tcPr>
            <w:tcW w:w="5180" w:type="dxa"/>
            <w:vAlign w:val="bottom"/>
            <w:gridSpan w:val="3"/>
          </w:tcPr>
          <w:p>
            <w:pPr>
              <w:spacing w:after="0"/>
              <w:rPr>
                <w:sz w:val="20"/>
                <w:szCs w:val="20"/>
                <w:color w:val="auto"/>
              </w:rPr>
            </w:pPr>
            <w:r>
              <w:rPr>
                <w:rFonts w:ascii="Arial" w:cs="Arial" w:eastAsia="Arial" w:hAnsi="Arial"/>
                <w:sz w:val="16"/>
                <w:szCs w:val="16"/>
                <w:color w:val="auto"/>
              </w:rPr>
              <w:t>Goodwill</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(601,333)</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(819,338)</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(851,731)</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4.0%</w:t>
            </w:r>
          </w:p>
        </w:tc>
        <w:tc>
          <w:tcPr>
            <w:tcW w:w="3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41.6%</w:t>
            </w:r>
          </w:p>
        </w:tc>
      </w:tr>
      <w:tr>
        <w:trPr>
          <w:trHeight w:val="240"/>
        </w:trPr>
        <w:tc>
          <w:tcPr>
            <w:tcW w:w="5180" w:type="dxa"/>
            <w:vAlign w:val="bottom"/>
            <w:gridSpan w:val="3"/>
            <w:shd w:val="clear" w:color="auto" w:fill="CCEEFF"/>
          </w:tcPr>
          <w:p>
            <w:pPr>
              <w:spacing w:after="0" w:line="240" w:lineRule="exact"/>
              <w:rPr>
                <w:sz w:val="20"/>
                <w:szCs w:val="20"/>
                <w:color w:val="auto"/>
              </w:rPr>
            </w:pPr>
            <w:r>
              <w:rPr>
                <w:rFonts w:ascii="Arial" w:cs="Arial" w:eastAsia="Arial" w:hAnsi="Arial"/>
                <w:sz w:val="16"/>
                <w:szCs w:val="16"/>
                <w:color w:val="auto"/>
                <w:w w:val="94"/>
              </w:rPr>
              <w:t xml:space="preserve">Deduction for subordinated debt limit (50% of Tier I excluding deductions) </w:t>
            </w:r>
            <w:r>
              <w:rPr>
                <w:rFonts w:ascii="Arial" w:cs="Arial" w:eastAsia="Arial" w:hAnsi="Arial"/>
                <w:sz w:val="26"/>
                <w:szCs w:val="26"/>
                <w:color w:val="auto"/>
                <w:w w:val="94"/>
                <w:vertAlign w:val="superscript"/>
              </w:rPr>
              <w:t>(4)</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r>
      <w:tr>
        <w:trPr>
          <w:trHeight w:val="240"/>
        </w:trPr>
        <w:tc>
          <w:tcPr>
            <w:tcW w:w="5180" w:type="dxa"/>
            <w:vAlign w:val="bottom"/>
            <w:gridSpan w:val="3"/>
          </w:tcPr>
          <w:p>
            <w:pPr>
              <w:spacing w:after="0" w:line="240" w:lineRule="exact"/>
              <w:rPr>
                <w:sz w:val="20"/>
                <w:szCs w:val="20"/>
                <w:color w:val="auto"/>
              </w:rPr>
            </w:pPr>
            <w:r>
              <w:rPr>
                <w:rFonts w:ascii="Arial" w:cs="Arial" w:eastAsia="Arial" w:hAnsi="Arial"/>
                <w:sz w:val="16"/>
                <w:szCs w:val="16"/>
                <w:color w:val="auto"/>
              </w:rPr>
              <w:t xml:space="preserve">Deduction for Tier I Limit (50% of Regulatory capital) </w:t>
            </w:r>
            <w:r>
              <w:rPr>
                <w:rFonts w:ascii="Arial" w:cs="Arial" w:eastAsia="Arial" w:hAnsi="Arial"/>
                <w:sz w:val="26"/>
                <w:szCs w:val="26"/>
                <w:color w:val="auto"/>
                <w:vertAlign w:val="superscript"/>
              </w:rPr>
              <w:t>(4)</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00"/>
        </w:trPr>
        <w:tc>
          <w:tcPr>
            <w:tcW w:w="51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Total Regulatory Capital (A)</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26,659,594</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27,868,294</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28,032,439</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0.6%</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5.1%</w:t>
            </w:r>
          </w:p>
        </w:tc>
      </w:tr>
      <w:tr>
        <w:trPr>
          <w:trHeight w:val="240"/>
        </w:trPr>
        <w:tc>
          <w:tcPr>
            <w:tcW w:w="5180" w:type="dxa"/>
            <w:vAlign w:val="bottom"/>
            <w:gridSpan w:val="3"/>
          </w:tcPr>
          <w:p>
            <w:pPr>
              <w:spacing w:after="0" w:line="240" w:lineRule="exact"/>
              <w:rPr>
                <w:sz w:val="20"/>
                <w:szCs w:val="20"/>
                <w:color w:val="auto"/>
              </w:rPr>
            </w:pPr>
            <w:r>
              <w:rPr>
                <w:rFonts w:ascii="Arial" w:cs="Arial" w:eastAsia="Arial" w:hAnsi="Arial"/>
                <w:sz w:val="16"/>
                <w:szCs w:val="16"/>
                <w:color w:val="auto"/>
              </w:rPr>
              <w:t>Tier 1</w:t>
            </w:r>
            <w:r>
              <w:rPr>
                <w:rFonts w:ascii="Arial" w:cs="Arial" w:eastAsia="Arial" w:hAnsi="Arial"/>
                <w:sz w:val="26"/>
                <w:szCs w:val="26"/>
                <w:color w:val="auto"/>
                <w:vertAlign w:val="superscript"/>
              </w:rPr>
              <w:t>(5)</w:t>
            </w:r>
          </w:p>
        </w:tc>
        <w:tc>
          <w:tcPr>
            <w:tcW w:w="1000" w:type="dxa"/>
            <w:vAlign w:val="bottom"/>
          </w:tcPr>
          <w:p>
            <w:pPr>
              <w:jc w:val="right"/>
              <w:spacing w:after="0"/>
              <w:rPr>
                <w:sz w:val="20"/>
                <w:szCs w:val="20"/>
                <w:color w:val="auto"/>
              </w:rPr>
            </w:pPr>
            <w:r>
              <w:rPr>
                <w:rFonts w:ascii="Arial" w:cs="Arial" w:eastAsia="Arial" w:hAnsi="Arial"/>
                <w:sz w:val="16"/>
                <w:szCs w:val="16"/>
                <w:color w:val="auto"/>
              </w:rPr>
              <w:t>14,746,304</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15,271,365</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15,265,466</w:t>
            </w:r>
          </w:p>
        </w:tc>
        <w:tc>
          <w:tcPr>
            <w:tcW w:w="2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0.0%</w:t>
            </w:r>
          </w:p>
        </w:tc>
        <w:tc>
          <w:tcPr>
            <w:tcW w:w="3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3.5%</w:t>
            </w:r>
          </w:p>
        </w:tc>
      </w:tr>
      <w:tr>
        <w:trPr>
          <w:trHeight w:val="240"/>
        </w:trPr>
        <w:tc>
          <w:tcPr>
            <w:tcW w:w="5180" w:type="dxa"/>
            <w:vAlign w:val="bottom"/>
            <w:gridSpan w:val="3"/>
            <w:shd w:val="clear" w:color="auto" w:fill="CCEEFF"/>
          </w:tcPr>
          <w:p>
            <w:pPr>
              <w:spacing w:after="0" w:line="240" w:lineRule="exact"/>
              <w:rPr>
                <w:sz w:val="20"/>
                <w:szCs w:val="20"/>
                <w:color w:val="auto"/>
              </w:rPr>
            </w:pPr>
            <w:r>
              <w:rPr>
                <w:rFonts w:ascii="Arial" w:cs="Arial" w:eastAsia="Arial" w:hAnsi="Arial"/>
                <w:sz w:val="16"/>
                <w:szCs w:val="16"/>
                <w:color w:val="auto"/>
              </w:rPr>
              <w:t xml:space="preserve">Tier 2 </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 Tier 3 </w:t>
            </w:r>
            <w:r>
              <w:rPr>
                <w:rFonts w:ascii="Arial" w:cs="Arial" w:eastAsia="Arial" w:hAnsi="Arial"/>
                <w:sz w:val="26"/>
                <w:szCs w:val="26"/>
                <w:color w:val="auto"/>
                <w:vertAlign w:val="superscript"/>
              </w:rPr>
              <w:t>(7)</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11,913,290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12,596,929</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12,766,973</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w:t>
            </w:r>
          </w:p>
        </w:tc>
        <w:tc>
          <w:tcPr>
            <w:tcW w:w="3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7.2%</w:t>
            </w:r>
          </w:p>
        </w:tc>
      </w:tr>
      <w:tr>
        <w:trPr>
          <w:trHeight w:val="240"/>
        </w:trPr>
        <w:tc>
          <w:tcPr>
            <w:tcW w:w="5180" w:type="dxa"/>
            <w:vAlign w:val="bottom"/>
            <w:gridSpan w:val="3"/>
          </w:tcPr>
          <w:p>
            <w:pPr>
              <w:spacing w:after="0" w:line="240" w:lineRule="exact"/>
              <w:rPr>
                <w:sz w:val="20"/>
                <w:szCs w:val="20"/>
                <w:color w:val="auto"/>
              </w:rPr>
            </w:pPr>
            <w:r>
              <w:rPr>
                <w:rFonts w:ascii="Arial" w:cs="Arial" w:eastAsia="Arial" w:hAnsi="Arial"/>
                <w:sz w:val="16"/>
                <w:szCs w:val="16"/>
                <w:color w:val="auto"/>
                <w:w w:val="98"/>
              </w:rPr>
              <w:t xml:space="preserve">Financial Consolidated Group (FCG) Regulatory Capital Requirements </w:t>
            </w:r>
            <w:r>
              <w:rPr>
                <w:rFonts w:ascii="Arial" w:cs="Arial" w:eastAsia="Arial" w:hAnsi="Arial"/>
                <w:sz w:val="26"/>
                <w:szCs w:val="26"/>
                <w:color w:val="auto"/>
                <w:w w:val="98"/>
                <w:vertAlign w:val="superscript"/>
              </w:rPr>
              <w:t>(8)</w:t>
            </w:r>
          </w:p>
        </w:tc>
        <w:tc>
          <w:tcPr>
            <w:tcW w:w="1000" w:type="dxa"/>
            <w:vAlign w:val="bottom"/>
          </w:tcPr>
          <w:p>
            <w:pPr>
              <w:jc w:val="right"/>
              <w:spacing w:after="0"/>
              <w:rPr>
                <w:sz w:val="20"/>
                <w:szCs w:val="20"/>
                <w:color w:val="auto"/>
              </w:rPr>
            </w:pPr>
            <w:r>
              <w:rPr>
                <w:rFonts w:ascii="Arial" w:cs="Arial" w:eastAsia="Arial" w:hAnsi="Arial"/>
                <w:sz w:val="16"/>
                <w:szCs w:val="16"/>
                <w:color w:val="auto"/>
              </w:rPr>
              <w:t>19,877,961</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19,925,877</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19,518,177</w:t>
            </w:r>
          </w:p>
        </w:tc>
        <w:tc>
          <w:tcPr>
            <w:tcW w:w="2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-2.0%</w:t>
            </w:r>
          </w:p>
        </w:tc>
        <w:tc>
          <w:tcPr>
            <w:tcW w:w="3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r>
      <w:tr>
        <w:trPr>
          <w:trHeight w:val="240"/>
        </w:trPr>
        <w:tc>
          <w:tcPr>
            <w:tcW w:w="5180" w:type="dxa"/>
            <w:vAlign w:val="bottom"/>
            <w:gridSpan w:val="3"/>
            <w:shd w:val="clear" w:color="auto" w:fill="CCEEFF"/>
          </w:tcPr>
          <w:p>
            <w:pPr>
              <w:spacing w:after="0" w:line="240" w:lineRule="exact"/>
              <w:rPr>
                <w:sz w:val="20"/>
                <w:szCs w:val="20"/>
                <w:color w:val="auto"/>
              </w:rPr>
            </w:pPr>
            <w:r>
              <w:rPr>
                <w:rFonts w:ascii="Arial" w:cs="Arial" w:eastAsia="Arial" w:hAnsi="Arial"/>
                <w:sz w:val="16"/>
                <w:szCs w:val="16"/>
                <w:color w:val="auto"/>
              </w:rPr>
              <w:t xml:space="preserve">Insurance Consolidated Group (ICG) Capital Requirements </w:t>
            </w:r>
            <w:r>
              <w:rPr>
                <w:rFonts w:ascii="Arial" w:cs="Arial" w:eastAsia="Arial" w:hAnsi="Arial"/>
                <w:sz w:val="26"/>
                <w:szCs w:val="26"/>
                <w:color w:val="auto"/>
                <w:vertAlign w:val="superscript"/>
              </w:rPr>
              <w:t>(9)</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1,090,628</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1,243,035</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1,231,777</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-0.9%</w:t>
            </w:r>
          </w:p>
        </w:tc>
        <w:tc>
          <w:tcPr>
            <w:tcW w:w="3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12.9%</w:t>
            </w:r>
          </w:p>
        </w:tc>
      </w:tr>
      <w:tr>
        <w:trPr>
          <w:trHeight w:val="200"/>
        </w:trPr>
        <w:tc>
          <w:tcPr>
            <w:tcW w:w="5180" w:type="dxa"/>
            <w:vAlign w:val="bottom"/>
            <w:gridSpan w:val="3"/>
          </w:tcPr>
          <w:p>
            <w:pPr>
              <w:spacing w:after="0"/>
              <w:rPr>
                <w:sz w:val="20"/>
                <w:szCs w:val="20"/>
                <w:color w:val="auto"/>
              </w:rPr>
            </w:pPr>
            <w:r>
              <w:rPr>
                <w:rFonts w:ascii="Arial" w:cs="Arial" w:eastAsia="Arial" w:hAnsi="Arial"/>
                <w:sz w:val="16"/>
                <w:szCs w:val="16"/>
                <w:color w:val="auto"/>
              </w:rPr>
              <w:t>FCG Capital Requirements related to operations with ICG</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(235,272)</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(503,013)</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(500,356)</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-0.5%</w:t>
            </w:r>
          </w:p>
        </w:tc>
        <w:tc>
          <w:tcPr>
            <w:tcW w:w="3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112.7%</w:t>
            </w:r>
          </w:p>
        </w:tc>
      </w:tr>
      <w:tr>
        <w:trPr>
          <w:trHeight w:val="200"/>
        </w:trPr>
        <w:tc>
          <w:tcPr>
            <w:tcW w:w="51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ICG Capital Requirements related to operations with FCG</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r>
      <w:tr>
        <w:trPr>
          <w:trHeight w:val="200"/>
        </w:trPr>
        <w:tc>
          <w:tcPr>
            <w:tcW w:w="5180" w:type="dxa"/>
            <w:vAlign w:val="bottom"/>
            <w:gridSpan w:val="3"/>
          </w:tcPr>
          <w:p>
            <w:pPr>
              <w:spacing w:after="0"/>
              <w:rPr>
                <w:sz w:val="20"/>
                <w:szCs w:val="20"/>
                <w:color w:val="auto"/>
              </w:rPr>
            </w:pPr>
            <w:r>
              <w:rPr>
                <w:rFonts w:ascii="Arial" w:cs="Arial" w:eastAsia="Arial" w:hAnsi="Arial"/>
                <w:sz w:val="16"/>
                <w:szCs w:val="16"/>
                <w:b w:val="1"/>
                <w:bCs w:val="1"/>
                <w:color w:val="auto"/>
              </w:rPr>
              <w:t>Total Regulatory Capital Requirements (B)</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20,733,318</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20,665,899</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20,249,597</w:t>
            </w:r>
          </w:p>
        </w:tc>
        <w:tc>
          <w:tcPr>
            <w:tcW w:w="2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w:t>
            </w:r>
          </w:p>
        </w:tc>
        <w:tc>
          <w:tcPr>
            <w:tcW w:w="3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-2.3%</w:t>
            </w:r>
          </w:p>
        </w:tc>
      </w:tr>
      <w:tr>
        <w:trPr>
          <w:trHeight w:val="200"/>
        </w:trPr>
        <w:tc>
          <w:tcPr>
            <w:tcW w:w="51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Regulatory Capital Ratio (A) / (B)</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1.29</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1.38</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9"/>
        </w:trPr>
        <w:tc>
          <w:tcPr>
            <w:tcW w:w="5180" w:type="dxa"/>
            <w:vAlign w:val="bottom"/>
            <w:gridSpan w:val="3"/>
          </w:tcPr>
          <w:p>
            <w:pPr>
              <w:spacing w:after="0"/>
              <w:rPr>
                <w:sz w:val="20"/>
                <w:szCs w:val="20"/>
                <w:color w:val="auto"/>
              </w:rPr>
            </w:pPr>
            <w:r>
              <w:rPr>
                <w:rFonts w:ascii="Arial" w:cs="Arial" w:eastAsia="Arial" w:hAnsi="Arial"/>
                <w:sz w:val="16"/>
                <w:szCs w:val="16"/>
                <w:b w:val="1"/>
                <w:bCs w:val="1"/>
                <w:color w:val="auto"/>
              </w:rPr>
              <w:t>Required Regulatory Capital Ratio (10)</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1.00</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1.00</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158" w:lineRule="exact"/>
        <w:rPr>
          <w:sz w:val="20"/>
          <w:szCs w:val="20"/>
          <w:color w:val="auto"/>
        </w:rPr>
      </w:pPr>
    </w:p>
    <w:p>
      <w:pPr>
        <w:ind w:left="220" w:hanging="213"/>
        <w:spacing w:after="0"/>
        <w:tabs>
          <w:tab w:leader="none" w:pos="220" w:val="left"/>
        </w:tabs>
        <w:numPr>
          <w:ilvl w:val="0"/>
          <w:numId w:val="72"/>
        </w:numPr>
        <w:rPr>
          <w:rFonts w:ascii="Arial" w:cs="Arial" w:eastAsia="Arial" w:hAnsi="Arial"/>
          <w:sz w:val="26"/>
          <w:szCs w:val="26"/>
          <w:color w:val="auto"/>
          <w:vertAlign w:val="superscript"/>
        </w:rPr>
      </w:pPr>
      <w:r>
        <w:rPr>
          <w:rFonts w:ascii="Arial" w:cs="Arial" w:eastAsia="Arial" w:hAnsi="Arial"/>
          <w:sz w:val="16"/>
          <w:szCs w:val="16"/>
          <w:color w:val="auto"/>
        </w:rPr>
        <w:t>Legal and other capital reserves include restricted capital reserves (PEN 14,745 million) and optional capital reserves (PEN 6,636 million).</w:t>
      </w:r>
    </w:p>
    <w:p>
      <w:pPr>
        <w:spacing w:after="0" w:line="43" w:lineRule="exact"/>
        <w:rPr>
          <w:rFonts w:ascii="Arial" w:cs="Arial" w:eastAsia="Arial" w:hAnsi="Arial"/>
          <w:sz w:val="26"/>
          <w:szCs w:val="26"/>
          <w:color w:val="auto"/>
          <w:vertAlign w:val="superscript"/>
        </w:rPr>
      </w:pPr>
    </w:p>
    <w:p>
      <w:pPr>
        <w:ind w:left="220" w:hanging="213"/>
        <w:spacing w:after="0" w:line="183" w:lineRule="auto"/>
        <w:tabs>
          <w:tab w:leader="none" w:pos="220" w:val="left"/>
        </w:tabs>
        <w:numPr>
          <w:ilvl w:val="0"/>
          <w:numId w:val="72"/>
        </w:numPr>
        <w:rPr>
          <w:rFonts w:ascii="Arial" w:cs="Arial" w:eastAsia="Arial" w:hAnsi="Arial"/>
          <w:sz w:val="24"/>
          <w:szCs w:val="24"/>
          <w:color w:val="auto"/>
          <w:vertAlign w:val="superscript"/>
        </w:rPr>
      </w:pPr>
      <w:r>
        <w:rPr>
          <w:rFonts w:ascii="Arial" w:cs="Arial" w:eastAsia="Arial" w:hAnsi="Arial"/>
          <w:sz w:val="15"/>
          <w:szCs w:val="15"/>
          <w:color w:val="auto"/>
        </w:rPr>
        <w:t>Minority interest includes Tier I (PEN 440 million)</w:t>
      </w:r>
    </w:p>
    <w:p>
      <w:pPr>
        <w:spacing w:after="0" w:line="43" w:lineRule="exact"/>
        <w:rPr>
          <w:rFonts w:ascii="Arial" w:cs="Arial" w:eastAsia="Arial" w:hAnsi="Arial"/>
          <w:sz w:val="24"/>
          <w:szCs w:val="24"/>
          <w:color w:val="auto"/>
          <w:vertAlign w:val="superscript"/>
        </w:rPr>
      </w:pPr>
    </w:p>
    <w:p>
      <w:pPr>
        <w:ind w:right="20" w:firstLine="7"/>
        <w:spacing w:after="0" w:line="201" w:lineRule="auto"/>
        <w:tabs>
          <w:tab w:leader="none" w:pos="229" w:val="left"/>
        </w:tabs>
        <w:numPr>
          <w:ilvl w:val="0"/>
          <w:numId w:val="72"/>
        </w:numPr>
        <w:rPr>
          <w:rFonts w:ascii="Arial" w:cs="Arial" w:eastAsia="Arial" w:hAnsi="Arial"/>
          <w:sz w:val="27"/>
          <w:szCs w:val="27"/>
          <w:color w:val="auto"/>
          <w:vertAlign w:val="superscript"/>
        </w:rPr>
      </w:pPr>
      <w:r>
        <w:rPr>
          <w:rFonts w:ascii="Arial" w:cs="Arial" w:eastAsia="Arial" w:hAnsi="Arial"/>
          <w:sz w:val="17"/>
          <w:szCs w:val="17"/>
          <w:color w:val="auto"/>
        </w:rPr>
        <w:t>Up to 1.25% of total risk-weighted assets of Banco de Crédito del Perú, Solución Empresa Administradora Hipotecaria, Mibanco and Atlantic Security Bank.</w:t>
      </w:r>
    </w:p>
    <w:p>
      <w:pPr>
        <w:ind w:left="220" w:hanging="213"/>
        <w:spacing w:after="0" w:line="203" w:lineRule="auto"/>
        <w:tabs>
          <w:tab w:leader="none" w:pos="220" w:val="left"/>
        </w:tabs>
        <w:numPr>
          <w:ilvl w:val="0"/>
          <w:numId w:val="72"/>
        </w:numPr>
        <w:rPr>
          <w:rFonts w:ascii="Arial" w:cs="Arial" w:eastAsia="Arial" w:hAnsi="Arial"/>
          <w:sz w:val="26"/>
          <w:szCs w:val="26"/>
          <w:color w:val="auto"/>
          <w:vertAlign w:val="superscript"/>
        </w:rPr>
      </w:pPr>
      <w:r>
        <w:rPr>
          <w:rFonts w:ascii="Arial" w:cs="Arial" w:eastAsia="Arial" w:hAnsi="Arial"/>
          <w:sz w:val="16"/>
          <w:szCs w:val="16"/>
          <w:color w:val="auto"/>
        </w:rPr>
        <w:t>Tier II + Tier III cannot be more than 50% of total regulatory capital.</w:t>
      </w:r>
    </w:p>
    <w:p>
      <w:pPr>
        <w:spacing w:after="0" w:line="43" w:lineRule="exact"/>
        <w:rPr>
          <w:rFonts w:ascii="Arial" w:cs="Arial" w:eastAsia="Arial" w:hAnsi="Arial"/>
          <w:sz w:val="26"/>
          <w:szCs w:val="26"/>
          <w:color w:val="auto"/>
          <w:vertAlign w:val="superscript"/>
        </w:rPr>
      </w:pPr>
    </w:p>
    <w:p>
      <w:pPr>
        <w:ind w:firstLine="7"/>
        <w:spacing w:after="0" w:line="201" w:lineRule="auto"/>
        <w:tabs>
          <w:tab w:leader="none" w:pos="237" w:val="left"/>
        </w:tabs>
        <w:numPr>
          <w:ilvl w:val="0"/>
          <w:numId w:val="72"/>
        </w:numPr>
        <w:rPr>
          <w:rFonts w:ascii="Arial" w:cs="Arial" w:eastAsia="Arial" w:hAnsi="Arial"/>
          <w:sz w:val="27"/>
          <w:szCs w:val="27"/>
          <w:color w:val="auto"/>
          <w:vertAlign w:val="superscript"/>
        </w:rPr>
      </w:pPr>
      <w:r>
        <w:rPr>
          <w:rFonts w:ascii="Arial" w:cs="Arial" w:eastAsia="Arial" w:hAnsi="Arial"/>
          <w:sz w:val="17"/>
          <w:szCs w:val="17"/>
          <w:color w:val="auto"/>
        </w:rPr>
        <w:t>Tier I = capital + restricted capital reserves + Tier I minority interest - goodwill - (0.5 x investment in equity and subordinated debt of financial and insurance companies) + perpetual subordinated debt.</w:t>
      </w:r>
    </w:p>
    <w:p>
      <w:pPr>
        <w:spacing w:after="0" w:line="27" w:lineRule="exact"/>
        <w:rPr>
          <w:rFonts w:ascii="Arial" w:cs="Arial" w:eastAsia="Arial" w:hAnsi="Arial"/>
          <w:sz w:val="27"/>
          <w:szCs w:val="27"/>
          <w:color w:val="auto"/>
          <w:vertAlign w:val="superscript"/>
        </w:rPr>
      </w:pPr>
    </w:p>
    <w:p>
      <w:pPr>
        <w:ind w:firstLine="7"/>
        <w:spacing w:after="0" w:line="199" w:lineRule="auto"/>
        <w:tabs>
          <w:tab w:leader="none" w:pos="245" w:val="left"/>
        </w:tabs>
        <w:numPr>
          <w:ilvl w:val="0"/>
          <w:numId w:val="72"/>
        </w:numPr>
        <w:rPr>
          <w:rFonts w:ascii="Arial" w:cs="Arial" w:eastAsia="Arial" w:hAnsi="Arial"/>
          <w:sz w:val="29"/>
          <w:szCs w:val="29"/>
          <w:color w:val="auto"/>
          <w:vertAlign w:val="superscript"/>
        </w:rPr>
      </w:pPr>
      <w:r>
        <w:rPr>
          <w:rFonts w:ascii="Arial" w:cs="Arial" w:eastAsia="Arial" w:hAnsi="Arial"/>
          <w:sz w:val="17"/>
          <w:szCs w:val="17"/>
          <w:color w:val="auto"/>
        </w:rPr>
        <w:t>Tier II = subordinated debt + TierII minority interest tier + loan loss reserves - (0.5 x investment in equity and subordinated debt of financial and insurance companies).</w:t>
      </w:r>
    </w:p>
    <w:p>
      <w:pPr>
        <w:spacing w:after="0" w:line="1" w:lineRule="exact"/>
        <w:rPr>
          <w:rFonts w:ascii="Arial" w:cs="Arial" w:eastAsia="Arial" w:hAnsi="Arial"/>
          <w:sz w:val="29"/>
          <w:szCs w:val="29"/>
          <w:color w:val="auto"/>
          <w:vertAlign w:val="superscript"/>
        </w:rPr>
      </w:pPr>
    </w:p>
    <w:p>
      <w:pPr>
        <w:ind w:left="220" w:hanging="213"/>
        <w:spacing w:after="0" w:line="203" w:lineRule="auto"/>
        <w:tabs>
          <w:tab w:leader="none" w:pos="220" w:val="left"/>
        </w:tabs>
        <w:numPr>
          <w:ilvl w:val="0"/>
          <w:numId w:val="72"/>
        </w:numPr>
        <w:rPr>
          <w:rFonts w:ascii="Arial" w:cs="Arial" w:eastAsia="Arial" w:hAnsi="Arial"/>
          <w:sz w:val="26"/>
          <w:szCs w:val="26"/>
          <w:color w:val="auto"/>
          <w:vertAlign w:val="superscript"/>
        </w:rPr>
      </w:pPr>
      <w:r>
        <w:rPr>
          <w:rFonts w:ascii="Arial" w:cs="Arial" w:eastAsia="Arial" w:hAnsi="Arial"/>
          <w:sz w:val="16"/>
          <w:szCs w:val="16"/>
          <w:color w:val="auto"/>
        </w:rPr>
        <w:t>Tier III = Subordinated debt covering market risk only.</w:t>
      </w:r>
    </w:p>
    <w:p>
      <w:pPr>
        <w:spacing w:after="0" w:line="43" w:lineRule="exact"/>
        <w:rPr>
          <w:rFonts w:ascii="Arial" w:cs="Arial" w:eastAsia="Arial" w:hAnsi="Arial"/>
          <w:sz w:val="26"/>
          <w:szCs w:val="26"/>
          <w:color w:val="auto"/>
          <w:vertAlign w:val="superscript"/>
        </w:rPr>
      </w:pPr>
    </w:p>
    <w:p>
      <w:pPr>
        <w:ind w:left="220" w:hanging="213"/>
        <w:spacing w:after="0" w:line="183" w:lineRule="auto"/>
        <w:tabs>
          <w:tab w:leader="none" w:pos="220" w:val="left"/>
        </w:tabs>
        <w:numPr>
          <w:ilvl w:val="0"/>
          <w:numId w:val="72"/>
        </w:numPr>
        <w:rPr>
          <w:rFonts w:ascii="Arial" w:cs="Arial" w:eastAsia="Arial" w:hAnsi="Arial"/>
          <w:sz w:val="24"/>
          <w:szCs w:val="24"/>
          <w:color w:val="auto"/>
          <w:vertAlign w:val="superscript"/>
        </w:rPr>
      </w:pPr>
      <w:r>
        <w:rPr>
          <w:rFonts w:ascii="Arial" w:cs="Arial" w:eastAsia="Arial" w:hAnsi="Arial"/>
          <w:sz w:val="15"/>
          <w:szCs w:val="15"/>
          <w:color w:val="auto"/>
        </w:rPr>
        <w:t>Includes regulatory capital requirements of the financial consolidated group.</w:t>
      </w:r>
    </w:p>
    <w:p>
      <w:pPr>
        <w:spacing w:after="0" w:line="43" w:lineRule="exact"/>
        <w:rPr>
          <w:rFonts w:ascii="Arial" w:cs="Arial" w:eastAsia="Arial" w:hAnsi="Arial"/>
          <w:sz w:val="24"/>
          <w:szCs w:val="24"/>
          <w:color w:val="auto"/>
          <w:vertAlign w:val="superscript"/>
        </w:rPr>
      </w:pPr>
    </w:p>
    <w:p>
      <w:pPr>
        <w:ind w:left="220" w:hanging="213"/>
        <w:spacing w:after="0" w:line="183" w:lineRule="auto"/>
        <w:tabs>
          <w:tab w:leader="none" w:pos="220" w:val="left"/>
        </w:tabs>
        <w:numPr>
          <w:ilvl w:val="0"/>
          <w:numId w:val="72"/>
        </w:numPr>
        <w:rPr>
          <w:rFonts w:ascii="Arial" w:cs="Arial" w:eastAsia="Arial" w:hAnsi="Arial"/>
          <w:sz w:val="24"/>
          <w:szCs w:val="24"/>
          <w:color w:val="auto"/>
          <w:vertAlign w:val="superscript"/>
        </w:rPr>
      </w:pPr>
      <w:r>
        <w:rPr>
          <w:rFonts w:ascii="Arial" w:cs="Arial" w:eastAsia="Arial" w:hAnsi="Arial"/>
          <w:sz w:val="15"/>
          <w:szCs w:val="15"/>
          <w:color w:val="auto"/>
        </w:rPr>
        <w:t>Includes regulatory capital requirements of the insurance consolidated group.</w:t>
      </w:r>
    </w:p>
    <w:p>
      <w:pPr>
        <w:spacing w:after="0" w:line="43" w:lineRule="exact"/>
        <w:rPr>
          <w:rFonts w:ascii="Arial" w:cs="Arial" w:eastAsia="Arial" w:hAnsi="Arial"/>
          <w:sz w:val="24"/>
          <w:szCs w:val="24"/>
          <w:color w:val="auto"/>
          <w:vertAlign w:val="superscript"/>
        </w:rPr>
      </w:pPr>
    </w:p>
    <w:p>
      <w:pPr>
        <w:ind w:left="300" w:hanging="293"/>
        <w:spacing w:after="0" w:line="183" w:lineRule="auto"/>
        <w:tabs>
          <w:tab w:leader="none" w:pos="300" w:val="left"/>
        </w:tabs>
        <w:numPr>
          <w:ilvl w:val="0"/>
          <w:numId w:val="72"/>
        </w:numPr>
        <w:rPr>
          <w:rFonts w:ascii="Arial" w:cs="Arial" w:eastAsia="Arial" w:hAnsi="Arial"/>
          <w:sz w:val="24"/>
          <w:szCs w:val="24"/>
          <w:color w:val="auto"/>
          <w:vertAlign w:val="superscript"/>
        </w:rPr>
      </w:pPr>
      <w:r>
        <w:rPr>
          <w:rFonts w:ascii="Arial" w:cs="Arial" w:eastAsia="Arial" w:hAnsi="Arial"/>
          <w:sz w:val="15"/>
          <w:szCs w:val="15"/>
          <w:color w:val="auto"/>
        </w:rPr>
        <w:t>Regulatory Capital / Total Regulatory Capital Requirements (legal minimum = 1.00).</w:t>
      </w:r>
    </w:p>
    <w:p>
      <w:pPr>
        <w:spacing w:after="0" w:line="20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Total regulatory capital at Credicorp increased 0.6% QoQ and 5.1% YoY. This was driven by an increase in legal and other capital reserves; and in loan loss reserves, both of which reflect preventive measures to absorb the potential effects of variations in expectations for economic growth in Peru due to the COVID-19 pandemic. Credicorp’s regulatory capital requirement fell -2.0% QoQ and -2.3% YoY, which was in line with the reduction in capital requirements set for financial companies that have benefited from the economic reactivation programs, and with the capital release instituted by the regulating entity, which was driven by the economic cycle. This readjustment is activated when real GDP is believed to be greater than potential GDP.</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Credicorp’s regulatory capital ratio remained at a comfortable level at the end of 2Q20 and represented 1.38 times the capital required by the regulator in Peru.</w:t>
      </w:r>
    </w:p>
    <w:p>
      <w:pPr>
        <w:spacing w:after="0" w:line="388"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8.2. Regulatory Capital – BCP Stand-alone based on Peru GAAP</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00" w:type="dxa"/>
            <w:vAlign w:val="bottom"/>
            <w:gridSpan w:val="3"/>
          </w:tcPr>
          <w:p>
            <w:pPr>
              <w:spacing w:after="0"/>
              <w:rPr>
                <w:sz w:val="20"/>
                <w:szCs w:val="20"/>
                <w:color w:val="auto"/>
              </w:rPr>
            </w:pPr>
            <w:r>
              <w:rPr>
                <w:rFonts w:ascii="Arial" w:cs="Arial" w:eastAsia="Arial" w:hAnsi="Arial"/>
                <w:sz w:val="16"/>
                <w:szCs w:val="16"/>
                <w:b w:val="1"/>
                <w:bCs w:val="1"/>
                <w:color w:val="auto"/>
              </w:rPr>
              <w:t>Regulatory Capital and Capital Adequacy Ratios - SBS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ind w:left="220"/>
              <w:spacing w:after="0"/>
              <w:rPr>
                <w:sz w:val="20"/>
                <w:szCs w:val="20"/>
                <w:color w:val="auto"/>
              </w:rPr>
            </w:pPr>
            <w:r>
              <w:rPr>
                <w:rFonts w:ascii="Arial" w:cs="Arial" w:eastAsia="Arial" w:hAnsi="Arial"/>
                <w:sz w:val="16"/>
                <w:szCs w:val="16"/>
                <w:b w:val="1"/>
                <w:bCs w:val="1"/>
                <w:color w:val="auto"/>
              </w:rPr>
              <w:t>As of</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4"/>
          </w:tcPr>
          <w:p>
            <w:pPr>
              <w:ind w:left="680"/>
              <w:spacing w:after="0"/>
              <w:rPr>
                <w:sz w:val="20"/>
                <w:szCs w:val="20"/>
                <w:color w:val="auto"/>
              </w:rPr>
            </w:pPr>
            <w:r>
              <w:rPr>
                <w:rFonts w:ascii="Arial" w:cs="Arial" w:eastAsia="Arial" w:hAnsi="Arial"/>
                <w:sz w:val="16"/>
                <w:szCs w:val="16"/>
                <w:b w:val="1"/>
                <w:bCs w:val="1"/>
                <w:color w:val="auto"/>
                <w:w w:val="99"/>
              </w:rPr>
              <w:t>% change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9"/>
        </w:trPr>
        <w:tc>
          <w:tcPr>
            <w:tcW w:w="4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 000</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Jun-19</w:t>
            </w:r>
          </w:p>
        </w:tc>
        <w:tc>
          <w:tcPr>
            <w:tcW w:w="24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Mar-20</w:t>
            </w:r>
          </w:p>
        </w:tc>
        <w:tc>
          <w:tcPr>
            <w:tcW w:w="24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Jun-20</w:t>
            </w:r>
          </w:p>
        </w:tc>
        <w:tc>
          <w:tcPr>
            <w:tcW w:w="2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QoQ</w:t>
            </w:r>
          </w:p>
        </w:tc>
        <w:tc>
          <w:tcPr>
            <w:tcW w:w="26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gridSpan w:val="2"/>
          </w:tcPr>
          <w:p>
            <w:pPr>
              <w:spacing w:after="0"/>
              <w:rPr>
                <w:sz w:val="17"/>
                <w:szCs w:val="17"/>
                <w:color w:val="auto"/>
              </w:rPr>
            </w:pPr>
          </w:p>
        </w:tc>
        <w:tc>
          <w:tcPr>
            <w:tcW w:w="72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YoY</w:t>
            </w:r>
          </w:p>
        </w:tc>
        <w:tc>
          <w:tcPr>
            <w:tcW w:w="160" w:type="dxa"/>
            <w:vAlign w:val="bottom"/>
            <w:tcBorders>
              <w:bottom w:val="single" w:sz="8" w:color="CCEEFF"/>
            </w:tcBorders>
          </w:tcPr>
          <w:p>
            <w:pPr>
              <w:spacing w:after="0"/>
              <w:rPr>
                <w:sz w:val="17"/>
                <w:szCs w:val="17"/>
                <w:color w:val="auto"/>
              </w:rPr>
            </w:pPr>
          </w:p>
        </w:tc>
      </w:tr>
      <w:tr>
        <w:trPr>
          <w:trHeight w:val="193"/>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Capital Stock</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10,217,387</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10,217,387</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11,067,387</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00"/>
        </w:trPr>
        <w:tc>
          <w:tcPr>
            <w:tcW w:w="5200" w:type="dxa"/>
            <w:vAlign w:val="bottom"/>
            <w:gridSpan w:val="3"/>
          </w:tcPr>
          <w:p>
            <w:pPr>
              <w:spacing w:after="0"/>
              <w:rPr>
                <w:sz w:val="20"/>
                <w:szCs w:val="20"/>
                <w:color w:val="auto"/>
              </w:rPr>
            </w:pPr>
            <w:r>
              <w:rPr>
                <w:rFonts w:ascii="Arial" w:cs="Arial" w:eastAsia="Arial" w:hAnsi="Arial"/>
                <w:sz w:val="16"/>
                <w:szCs w:val="16"/>
                <w:color w:val="auto"/>
              </w:rPr>
              <w:t>Legal and Other capital reserves</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4,695,118</w:t>
            </w:r>
          </w:p>
        </w:tc>
        <w:tc>
          <w:tcPr>
            <w:tcW w:w="10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4,695,118</w:t>
            </w:r>
          </w:p>
        </w:tc>
        <w:tc>
          <w:tcPr>
            <w:tcW w:w="10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6,164,175</w:t>
            </w:r>
          </w:p>
        </w:tc>
        <w:tc>
          <w:tcPr>
            <w:tcW w:w="1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31.3%</w:t>
            </w:r>
          </w:p>
        </w:tc>
      </w:tr>
      <w:tr>
        <w:trPr>
          <w:trHeight w:val="200"/>
        </w:trPr>
        <w:tc>
          <w:tcPr>
            <w:tcW w:w="52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Accumulated earnings with capitalization agreement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850,000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n.a.</w:t>
            </w:r>
          </w:p>
        </w:tc>
      </w:tr>
      <w:tr>
        <w:trPr>
          <w:trHeight w:val="240"/>
        </w:trPr>
        <w:tc>
          <w:tcPr>
            <w:tcW w:w="5200" w:type="dxa"/>
            <w:vAlign w:val="bottom"/>
            <w:gridSpan w:val="3"/>
          </w:tcPr>
          <w:p>
            <w:pPr>
              <w:spacing w:after="0" w:line="240" w:lineRule="exact"/>
              <w:rPr>
                <w:sz w:val="20"/>
                <w:szCs w:val="20"/>
                <w:color w:val="auto"/>
              </w:rPr>
            </w:pPr>
            <w:r>
              <w:rPr>
                <w:rFonts w:ascii="Arial" w:cs="Arial" w:eastAsia="Arial" w:hAnsi="Arial"/>
                <w:sz w:val="16"/>
                <w:szCs w:val="16"/>
                <w:color w:val="auto"/>
              </w:rPr>
              <w:t xml:space="preserve">Loan loss reserves </w:t>
            </w:r>
            <w:r>
              <w:rPr>
                <w:rFonts w:ascii="Arial" w:cs="Arial" w:eastAsia="Arial" w:hAnsi="Arial"/>
                <w:sz w:val="26"/>
                <w:szCs w:val="26"/>
                <w:color w:val="auto"/>
                <w:vertAlign w:val="superscript"/>
              </w:rPr>
              <w:t>(1)</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1,298,104</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1,383,834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1,603,535</w:t>
            </w:r>
          </w:p>
        </w:tc>
        <w:tc>
          <w:tcPr>
            <w:tcW w:w="1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23.5%</w:t>
            </w:r>
          </w:p>
        </w:tc>
      </w:tr>
      <w:tr>
        <w:trPr>
          <w:trHeight w:val="200"/>
        </w:trPr>
        <w:tc>
          <w:tcPr>
            <w:tcW w:w="52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Perpetual subordinated debt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575,225</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40" w:type="dxa"/>
            <w:vAlign w:val="bottom"/>
            <w:gridSpan w:val="4"/>
            <w:shd w:val="clear" w:color="auto" w:fill="CCEEFF"/>
          </w:tcPr>
          <w:p>
            <w:pPr>
              <w:jc w:val="right"/>
              <w:ind w:right="540"/>
              <w:spacing w:after="0"/>
              <w:rPr>
                <w:sz w:val="20"/>
                <w:szCs w:val="20"/>
                <w:color w:val="auto"/>
              </w:rPr>
            </w:pPr>
            <w:r>
              <w:rPr>
                <w:rFonts w:ascii="Arial" w:cs="Arial" w:eastAsia="Arial" w:hAnsi="Arial"/>
                <w:sz w:val="16"/>
                <w:szCs w:val="16"/>
                <w:color w:val="auto"/>
              </w:rPr>
              <w:t>n.a.</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n.a.</w:t>
            </w:r>
          </w:p>
        </w:tc>
      </w:tr>
      <w:tr>
        <w:trPr>
          <w:trHeight w:val="200"/>
        </w:trPr>
        <w:tc>
          <w:tcPr>
            <w:tcW w:w="5200" w:type="dxa"/>
            <w:vAlign w:val="bottom"/>
            <w:gridSpan w:val="3"/>
          </w:tcPr>
          <w:p>
            <w:pPr>
              <w:spacing w:after="0"/>
              <w:rPr>
                <w:sz w:val="20"/>
                <w:szCs w:val="20"/>
                <w:color w:val="auto"/>
              </w:rPr>
            </w:pPr>
            <w:r>
              <w:rPr>
                <w:rFonts w:ascii="Arial" w:cs="Arial" w:eastAsia="Arial" w:hAnsi="Arial"/>
                <w:sz w:val="16"/>
                <w:szCs w:val="16"/>
                <w:color w:val="auto"/>
              </w:rPr>
              <w:t>Subordinated Debt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4,197,063</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4,128,099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4,248,967</w:t>
            </w:r>
          </w:p>
        </w:tc>
        <w:tc>
          <w:tcPr>
            <w:tcW w:w="1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1.2%</w:t>
            </w:r>
          </w:p>
        </w:tc>
      </w:tr>
      <w:tr>
        <w:trPr>
          <w:trHeight w:val="200"/>
        </w:trPr>
        <w:tc>
          <w:tcPr>
            <w:tcW w:w="520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5"/>
              </w:rPr>
              <w:t>Investment in subsidiaries and others, net of unrealized profit and net income</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(1,722,979)</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(1,937,102)</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(1,934,790)</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00"/>
        </w:trPr>
        <w:tc>
          <w:tcPr>
            <w:tcW w:w="5200" w:type="dxa"/>
            <w:vAlign w:val="bottom"/>
            <w:gridSpan w:val="3"/>
          </w:tcPr>
          <w:p>
            <w:pPr>
              <w:ind w:left="300"/>
              <w:spacing w:after="0"/>
              <w:rPr>
                <w:sz w:val="20"/>
                <w:szCs w:val="20"/>
                <w:color w:val="auto"/>
              </w:rPr>
            </w:pPr>
            <w:r>
              <w:rPr>
                <w:rFonts w:ascii="Arial" w:cs="Arial" w:eastAsia="Arial" w:hAnsi="Arial"/>
                <w:sz w:val="16"/>
                <w:szCs w:val="16"/>
                <w:color w:val="auto"/>
              </w:rPr>
              <w:t>Investment in subsidiaries and others</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(1,903,858)</w:t>
            </w:r>
          </w:p>
        </w:tc>
        <w:tc>
          <w:tcPr>
            <w:tcW w:w="1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(2,008,782)</w:t>
            </w:r>
          </w:p>
        </w:tc>
        <w:tc>
          <w:tcPr>
            <w:tcW w:w="1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(2,020,533)</w:t>
            </w:r>
          </w:p>
        </w:tc>
        <w:tc>
          <w:tcPr>
            <w:tcW w:w="1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6.1%</w:t>
            </w:r>
          </w:p>
        </w:tc>
      </w:tr>
      <w:tr>
        <w:trPr>
          <w:trHeight w:val="200"/>
        </w:trPr>
        <w:tc>
          <w:tcPr>
            <w:tcW w:w="520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Unrealized profit and net income in subsidiaries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180,879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71,680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85,742</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-52.6%</w:t>
            </w:r>
          </w:p>
        </w:tc>
      </w:tr>
      <w:tr>
        <w:trPr>
          <w:trHeight w:val="200"/>
        </w:trPr>
        <w:tc>
          <w:tcPr>
            <w:tcW w:w="5200" w:type="dxa"/>
            <w:vAlign w:val="bottom"/>
            <w:gridSpan w:val="3"/>
          </w:tcPr>
          <w:p>
            <w:pPr>
              <w:spacing w:after="0"/>
              <w:rPr>
                <w:sz w:val="20"/>
                <w:szCs w:val="20"/>
                <w:color w:val="auto"/>
              </w:rPr>
            </w:pPr>
            <w:r>
              <w:rPr>
                <w:rFonts w:ascii="Arial" w:cs="Arial" w:eastAsia="Arial" w:hAnsi="Arial"/>
                <w:sz w:val="16"/>
                <w:szCs w:val="16"/>
                <w:color w:val="auto"/>
              </w:rPr>
              <w:t>Goodwill</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(122,083)</w:t>
            </w:r>
          </w:p>
        </w:tc>
        <w:tc>
          <w:tcPr>
            <w:tcW w:w="1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(122,083)</w:t>
            </w:r>
          </w:p>
        </w:tc>
        <w:tc>
          <w:tcPr>
            <w:tcW w:w="1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(122,083)</w:t>
            </w:r>
          </w:p>
        </w:tc>
        <w:tc>
          <w:tcPr>
            <w:tcW w:w="1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13"/>
        </w:trPr>
        <w:tc>
          <w:tcPr>
            <w:tcW w:w="52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Total Regulatory Capital - SBS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19,137,835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19,215,253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21,027,190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9.9%</w:t>
            </w:r>
          </w:p>
        </w:tc>
      </w:tr>
      <w:tr>
        <w:trPr>
          <w:trHeight w:val="193"/>
        </w:trPr>
        <w:tc>
          <w:tcPr>
            <w:tcW w:w="52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b w:val="1"/>
                <w:bCs w:val="1"/>
                <w:color w:val="auto"/>
              </w:rPr>
              <w:t>Off-balance sheet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84,178,682</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88,755,362</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87,359,668</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w w:val="98"/>
              </w:rPr>
              <w:t>%</w:t>
            </w:r>
          </w:p>
        </w:tc>
      </w:tr>
      <w:tr>
        <w:trPr>
          <w:trHeight w:val="193"/>
        </w:trPr>
        <w:tc>
          <w:tcPr>
            <w:tcW w:w="52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Regulatori Tier 1 Capital (2)</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14,504,157</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14,671,871</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14,971,384</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1"/>
        </w:trPr>
        <w:tc>
          <w:tcPr>
            <w:tcW w:w="5200" w:type="dxa"/>
            <w:vAlign w:val="bottom"/>
            <w:gridSpan w:val="3"/>
          </w:tcPr>
          <w:p>
            <w:pPr>
              <w:spacing w:after="0"/>
              <w:rPr>
                <w:sz w:val="20"/>
                <w:szCs w:val="20"/>
                <w:color w:val="auto"/>
              </w:rPr>
            </w:pPr>
            <w:r>
              <w:rPr>
                <w:rFonts w:ascii="Arial" w:cs="Arial" w:eastAsia="Arial" w:hAnsi="Arial"/>
                <w:sz w:val="16"/>
                <w:szCs w:val="16"/>
                <w:color w:val="auto"/>
              </w:rPr>
              <w:t>Regulatory Tier 2 Capital (3)</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4,633,677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4,543,382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6,055,806</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30.7%</w:t>
            </w:r>
          </w:p>
        </w:tc>
      </w:tr>
      <w:tr>
        <w:trPr>
          <w:trHeight w:val="196"/>
        </w:trPr>
        <w:tc>
          <w:tcPr>
            <w:tcW w:w="52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Total risk-weighted assets - SBS (4)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128,023,739</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142,084,684</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142,071,064</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0.0</w:t>
            </w:r>
          </w:p>
        </w:tc>
        <w:tc>
          <w:tcPr>
            <w:tcW w:w="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11.0</w:t>
            </w:r>
          </w:p>
        </w:tc>
        <w:tc>
          <w:tcPr>
            <w:tcW w:w="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w w:val="98"/>
              </w:rPr>
              <w:t>%</w:t>
            </w:r>
          </w:p>
        </w:tc>
      </w:tr>
      <w:tr>
        <w:trPr>
          <w:trHeight w:val="193"/>
        </w:trPr>
        <w:tc>
          <w:tcPr>
            <w:tcW w:w="5200" w:type="dxa"/>
            <w:vAlign w:val="bottom"/>
            <w:gridSpan w:val="3"/>
          </w:tcPr>
          <w:p>
            <w:pPr>
              <w:spacing w:after="0"/>
              <w:rPr>
                <w:sz w:val="20"/>
                <w:szCs w:val="20"/>
                <w:color w:val="auto"/>
              </w:rPr>
            </w:pPr>
            <w:r>
              <w:rPr>
                <w:rFonts w:ascii="Arial" w:cs="Arial" w:eastAsia="Arial" w:hAnsi="Arial"/>
                <w:sz w:val="16"/>
                <w:szCs w:val="16"/>
                <w:color w:val="auto"/>
              </w:rPr>
              <w:t>Credit risk-weighted assets</w:t>
            </w:r>
          </w:p>
        </w:tc>
        <w:tc>
          <w:tcPr>
            <w:tcW w:w="900" w:type="dxa"/>
            <w:vAlign w:val="bottom"/>
          </w:tcPr>
          <w:p>
            <w:pPr>
              <w:jc w:val="right"/>
              <w:spacing w:after="0"/>
              <w:rPr>
                <w:sz w:val="20"/>
                <w:szCs w:val="20"/>
                <w:color w:val="auto"/>
              </w:rPr>
            </w:pPr>
            <w:r>
              <w:rPr>
                <w:rFonts w:ascii="Arial" w:cs="Arial" w:eastAsia="Arial" w:hAnsi="Arial"/>
                <w:sz w:val="16"/>
                <w:szCs w:val="16"/>
                <w:color w:val="auto"/>
                <w:w w:val="98"/>
              </w:rPr>
              <w:t>115,994,876</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8"/>
              </w:rPr>
              <w:t>129,331,389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8"/>
              </w:rPr>
              <w:t>128,282,795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10.6%</w:t>
            </w:r>
          </w:p>
        </w:tc>
      </w:tr>
      <w:tr>
        <w:trPr>
          <w:trHeight w:val="200"/>
        </w:trPr>
        <w:tc>
          <w:tcPr>
            <w:tcW w:w="52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Market risk-weighted assets (5)</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2,701,436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3,074,766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4,010,627</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48.5%</w:t>
            </w:r>
          </w:p>
        </w:tc>
      </w:tr>
      <w:tr>
        <w:trPr>
          <w:trHeight w:val="211"/>
        </w:trPr>
        <w:tc>
          <w:tcPr>
            <w:tcW w:w="5200" w:type="dxa"/>
            <w:vAlign w:val="bottom"/>
            <w:gridSpan w:val="3"/>
          </w:tcPr>
          <w:p>
            <w:pPr>
              <w:spacing w:after="0"/>
              <w:rPr>
                <w:sz w:val="20"/>
                <w:szCs w:val="20"/>
                <w:color w:val="auto"/>
              </w:rPr>
            </w:pPr>
            <w:r>
              <w:rPr>
                <w:rFonts w:ascii="Arial" w:cs="Arial" w:eastAsia="Arial" w:hAnsi="Arial"/>
                <w:sz w:val="16"/>
                <w:szCs w:val="16"/>
                <w:color w:val="auto"/>
              </w:rPr>
              <w:t>Operational risk-weighted assets</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9,327,427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9,678,529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9,777,642</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4.8%</w:t>
            </w:r>
          </w:p>
        </w:tc>
      </w:tr>
      <w:tr>
        <w:trPr>
          <w:trHeight w:val="196"/>
        </w:trPr>
        <w:tc>
          <w:tcPr>
            <w:tcW w:w="52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Total capital requirement -SBS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16,265,477</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16,411,339</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16,077,302</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w w:val="98"/>
              </w:rPr>
              <w:t>%</w:t>
            </w:r>
          </w:p>
        </w:tc>
      </w:tr>
      <w:tr>
        <w:trPr>
          <w:trHeight w:val="193"/>
        </w:trPr>
        <w:tc>
          <w:tcPr>
            <w:tcW w:w="5200" w:type="dxa"/>
            <w:vAlign w:val="bottom"/>
            <w:gridSpan w:val="3"/>
          </w:tcPr>
          <w:p>
            <w:pPr>
              <w:spacing w:after="0"/>
              <w:rPr>
                <w:sz w:val="20"/>
                <w:szCs w:val="20"/>
                <w:color w:val="auto"/>
              </w:rPr>
            </w:pPr>
            <w:r>
              <w:rPr>
                <w:rFonts w:ascii="Arial" w:cs="Arial" w:eastAsia="Arial" w:hAnsi="Arial"/>
                <w:sz w:val="16"/>
                <w:szCs w:val="16"/>
                <w:color w:val="auto"/>
              </w:rPr>
              <w:t>Credit risk capital requirement</w:t>
            </w:r>
          </w:p>
        </w:tc>
        <w:tc>
          <w:tcPr>
            <w:tcW w:w="900" w:type="dxa"/>
            <w:vAlign w:val="bottom"/>
          </w:tcPr>
          <w:p>
            <w:pPr>
              <w:jc w:val="right"/>
              <w:spacing w:after="0"/>
              <w:rPr>
                <w:sz w:val="20"/>
                <w:szCs w:val="20"/>
                <w:color w:val="auto"/>
              </w:rPr>
            </w:pPr>
            <w:r>
              <w:rPr>
                <w:rFonts w:ascii="Arial" w:cs="Arial" w:eastAsia="Arial" w:hAnsi="Arial"/>
                <w:sz w:val="16"/>
                <w:szCs w:val="16"/>
                <w:color w:val="auto"/>
              </w:rPr>
              <w:t>11,599,488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12,933,139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12,828,280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10.6%</w:t>
            </w:r>
          </w:p>
        </w:tc>
      </w:tr>
      <w:tr>
        <w:trPr>
          <w:trHeight w:val="200"/>
        </w:trPr>
        <w:tc>
          <w:tcPr>
            <w:tcW w:w="52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Market risk capital requirement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270,144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307,477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401,063</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48.5%</w:t>
            </w:r>
          </w:p>
        </w:tc>
      </w:tr>
      <w:tr>
        <w:trPr>
          <w:trHeight w:val="200"/>
        </w:trPr>
        <w:tc>
          <w:tcPr>
            <w:tcW w:w="5200" w:type="dxa"/>
            <w:vAlign w:val="bottom"/>
            <w:gridSpan w:val="3"/>
          </w:tcPr>
          <w:p>
            <w:pPr>
              <w:spacing w:after="0"/>
              <w:rPr>
                <w:sz w:val="20"/>
                <w:szCs w:val="20"/>
                <w:color w:val="auto"/>
              </w:rPr>
            </w:pPr>
            <w:r>
              <w:rPr>
                <w:rFonts w:ascii="Arial" w:cs="Arial" w:eastAsia="Arial" w:hAnsi="Arial"/>
                <w:sz w:val="16"/>
                <w:szCs w:val="16"/>
                <w:color w:val="auto"/>
              </w:rPr>
              <w:t>Operational risk capital requirement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932,743</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967,853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977,764</w:t>
            </w:r>
          </w:p>
        </w:tc>
        <w:tc>
          <w:tcPr>
            <w:tcW w:w="1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4.8%</w:t>
            </w:r>
          </w:p>
        </w:tc>
      </w:tr>
      <w:tr>
        <w:trPr>
          <w:trHeight w:val="213"/>
        </w:trPr>
        <w:tc>
          <w:tcPr>
            <w:tcW w:w="52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Additional capital requirements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3,463,103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2,202,871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1,870,195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-46.0%</w:t>
            </w:r>
          </w:p>
        </w:tc>
      </w:tr>
      <w:tr>
        <w:trPr>
          <w:trHeight w:val="193"/>
        </w:trPr>
        <w:tc>
          <w:tcPr>
            <w:tcW w:w="52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b w:val="1"/>
                <w:bCs w:val="1"/>
                <w:color w:val="auto"/>
              </w:rPr>
              <w:t>Common Equity Tier 1 - Basel (6)</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14,682,446</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16,146,039</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15,266,427</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w:t>
            </w:r>
          </w:p>
        </w:tc>
        <w:tc>
          <w:tcPr>
            <w:tcW w:w="2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w:t>
            </w:r>
          </w:p>
        </w:tc>
        <w:tc>
          <w:tcPr>
            <w:tcW w:w="1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w w:val="98"/>
              </w:rPr>
              <w:t>%</w:t>
            </w:r>
          </w:p>
        </w:tc>
      </w:tr>
      <w:tr>
        <w:trPr>
          <w:trHeight w:val="193"/>
        </w:trPr>
        <w:tc>
          <w:tcPr>
            <w:tcW w:w="52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Capital and reserves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14,912,505</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14,912,505</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17,231,562</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00"/>
        </w:trPr>
        <w:tc>
          <w:tcPr>
            <w:tcW w:w="5200" w:type="dxa"/>
            <w:vAlign w:val="bottom"/>
            <w:gridSpan w:val="3"/>
          </w:tcPr>
          <w:p>
            <w:pPr>
              <w:spacing w:after="0"/>
              <w:rPr>
                <w:sz w:val="20"/>
                <w:szCs w:val="20"/>
                <w:color w:val="auto"/>
              </w:rPr>
            </w:pPr>
            <w:r>
              <w:rPr>
                <w:rFonts w:ascii="Arial" w:cs="Arial" w:eastAsia="Arial" w:hAnsi="Arial"/>
                <w:sz w:val="16"/>
                <w:szCs w:val="16"/>
                <w:color w:val="auto"/>
              </w:rPr>
              <w:t>Retained earnings</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2,377,670</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4,273,266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742,390</w:t>
            </w:r>
          </w:p>
        </w:tc>
        <w:tc>
          <w:tcPr>
            <w:tcW w:w="1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-68.8%</w:t>
            </w:r>
          </w:p>
        </w:tc>
      </w:tr>
      <w:tr>
        <w:trPr>
          <w:trHeight w:val="200"/>
        </w:trPr>
        <w:tc>
          <w:tcPr>
            <w:tcW w:w="52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Unrealized gains (losses)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230,993</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(20,316)</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330,343</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1526.0%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43.0%</w:t>
            </w:r>
          </w:p>
        </w:tc>
      </w:tr>
      <w:tr>
        <w:trPr>
          <w:trHeight w:val="200"/>
        </w:trPr>
        <w:tc>
          <w:tcPr>
            <w:tcW w:w="5200" w:type="dxa"/>
            <w:vAlign w:val="bottom"/>
            <w:gridSpan w:val="3"/>
          </w:tcPr>
          <w:p>
            <w:pPr>
              <w:spacing w:after="0"/>
              <w:rPr>
                <w:sz w:val="20"/>
                <w:szCs w:val="20"/>
                <w:color w:val="auto"/>
              </w:rPr>
            </w:pPr>
            <w:r>
              <w:rPr>
                <w:rFonts w:ascii="Arial" w:cs="Arial" w:eastAsia="Arial" w:hAnsi="Arial"/>
                <w:sz w:val="16"/>
                <w:szCs w:val="16"/>
                <w:color w:val="auto"/>
              </w:rPr>
              <w:t>Goodwill and intangibles</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(934,863)</w:t>
            </w:r>
          </w:p>
        </w:tc>
        <w:tc>
          <w:tcPr>
            <w:tcW w:w="1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(1,010,634)</w:t>
            </w:r>
          </w:p>
        </w:tc>
        <w:tc>
          <w:tcPr>
            <w:tcW w:w="1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(1,017,336)</w:t>
            </w:r>
          </w:p>
        </w:tc>
        <w:tc>
          <w:tcPr>
            <w:tcW w:w="1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8.8%</w:t>
            </w:r>
          </w:p>
        </w:tc>
      </w:tr>
      <w:tr>
        <w:trPr>
          <w:trHeight w:val="213"/>
        </w:trPr>
        <w:tc>
          <w:tcPr>
            <w:tcW w:w="52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Investments in subsidiaries</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(1,903,858)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(2,008,782)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(2,020,533)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193"/>
        </w:trPr>
        <w:tc>
          <w:tcPr>
            <w:tcW w:w="52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b w:val="1"/>
                <w:bCs w:val="1"/>
                <w:color w:val="auto"/>
              </w:rPr>
              <w:t>Adjusted Risk-Weighted Assets - Basel (7)</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124,260,803</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135,790,140</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136,054,845</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0.2</w:t>
            </w:r>
          </w:p>
        </w:tc>
        <w:tc>
          <w:tcPr>
            <w:tcW w:w="2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w:t>
            </w:r>
          </w:p>
        </w:tc>
        <w:tc>
          <w:tcPr>
            <w:tcW w:w="1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w w:val="98"/>
              </w:rPr>
              <w:t>%</w:t>
            </w:r>
          </w:p>
        </w:tc>
      </w:tr>
      <w:tr>
        <w:trPr>
          <w:trHeight w:val="193"/>
        </w:trPr>
        <w:tc>
          <w:tcPr>
            <w:tcW w:w="52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Total risk-weighted assets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128,023,739</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142,084,684</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142,071,064</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00"/>
        </w:trPr>
        <w:tc>
          <w:tcPr>
            <w:tcW w:w="5200" w:type="dxa"/>
            <w:vAlign w:val="bottom"/>
            <w:gridSpan w:val="3"/>
          </w:tcPr>
          <w:p>
            <w:pPr>
              <w:ind w:left="160"/>
              <w:spacing w:after="0"/>
              <w:rPr>
                <w:sz w:val="20"/>
                <w:szCs w:val="20"/>
                <w:color w:val="auto"/>
              </w:rPr>
            </w:pPr>
            <w:r>
              <w:rPr>
                <w:rFonts w:ascii="Arial" w:cs="Arial" w:eastAsia="Arial" w:hAnsi="Arial"/>
                <w:sz w:val="16"/>
                <w:szCs w:val="16"/>
                <w:color w:val="auto"/>
              </w:rPr>
              <w:t>(-) RWA Intangible assets, excluding goodwill.</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4,168,753</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6,802,121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6,841,476</w:t>
            </w:r>
          </w:p>
        </w:tc>
        <w:tc>
          <w:tcPr>
            <w:tcW w:w="1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64.1%</w:t>
            </w:r>
          </w:p>
        </w:tc>
      </w:tr>
      <w:tr>
        <w:trPr>
          <w:trHeight w:val="190"/>
        </w:trPr>
        <w:tc>
          <w:tcPr>
            <w:tcW w:w="52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w w:val="93"/>
              </w:rPr>
              <w:t>(+) RWA Deferred tax assets generated as a result of temporary differences</w:t>
            </w: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0"/>
        </w:trPr>
        <w:tc>
          <w:tcPr>
            <w:tcW w:w="52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in income tax, in excess of 10% of CET1</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405,816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507,578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825,258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00"/>
        </w:trPr>
        <w:tc>
          <w:tcPr>
            <w:tcW w:w="5200" w:type="dxa"/>
            <w:vAlign w:val="bottom"/>
            <w:gridSpan w:val="3"/>
          </w:tcPr>
          <w:p>
            <w:pPr>
              <w:ind w:left="160"/>
              <w:spacing w:after="0"/>
              <w:rPr>
                <w:sz w:val="20"/>
                <w:szCs w:val="20"/>
                <w:color w:val="auto"/>
              </w:rPr>
            </w:pPr>
            <w:r>
              <w:rPr>
                <w:rFonts w:ascii="Arial" w:cs="Arial" w:eastAsia="Arial" w:hAnsi="Arial"/>
                <w:sz w:val="16"/>
                <w:szCs w:val="16"/>
                <w:color w:val="auto"/>
              </w:rPr>
              <w:t>(+) RWA Deferred tax assets generated as a result of past losses</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00"/>
        </w:trPr>
        <w:tc>
          <w:tcPr>
            <w:tcW w:w="52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Capital ratios</w:t>
            </w: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0"/>
        </w:trPr>
        <w:tc>
          <w:tcPr>
            <w:tcW w:w="5200" w:type="dxa"/>
            <w:vAlign w:val="bottom"/>
            <w:gridSpan w:val="3"/>
          </w:tcPr>
          <w:p>
            <w:pPr>
              <w:spacing w:after="0"/>
              <w:rPr>
                <w:sz w:val="20"/>
                <w:szCs w:val="20"/>
                <w:color w:val="auto"/>
              </w:rPr>
            </w:pPr>
            <w:r>
              <w:rPr>
                <w:rFonts w:ascii="Arial" w:cs="Arial" w:eastAsia="Arial" w:hAnsi="Arial"/>
                <w:sz w:val="16"/>
                <w:szCs w:val="16"/>
                <w:color w:val="auto"/>
              </w:rPr>
              <w:t>Regulatory Tier 1 ratio (8)</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11.33%</w:t>
            </w: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10.33%</w:t>
            </w: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10.54%</w:t>
            </w:r>
          </w:p>
        </w:tc>
        <w:tc>
          <w:tcPr>
            <w:tcW w:w="100" w:type="dxa"/>
            <w:vAlign w:val="bottom"/>
          </w:tcPr>
          <w:p>
            <w:pPr>
              <w:spacing w:after="0"/>
              <w:rPr>
                <w:sz w:val="17"/>
                <w:szCs w:val="17"/>
                <w:color w:val="auto"/>
              </w:rPr>
            </w:pPr>
          </w:p>
        </w:tc>
        <w:tc>
          <w:tcPr>
            <w:tcW w:w="1440" w:type="dxa"/>
            <w:vAlign w:val="bottom"/>
            <w:gridSpan w:val="4"/>
          </w:tcPr>
          <w:p>
            <w:pPr>
              <w:jc w:val="right"/>
              <w:ind w:right="540"/>
              <w:spacing w:after="0"/>
              <w:rPr>
                <w:sz w:val="20"/>
                <w:szCs w:val="20"/>
                <w:color w:val="auto"/>
              </w:rPr>
            </w:pPr>
            <w:r>
              <w:rPr>
                <w:rFonts w:ascii="Arial" w:cs="Arial" w:eastAsia="Arial" w:hAnsi="Arial"/>
                <w:sz w:val="16"/>
                <w:szCs w:val="16"/>
                <w:color w:val="auto"/>
              </w:rPr>
              <w:t>21 bps</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-79 bps</w:t>
            </w:r>
          </w:p>
        </w:tc>
      </w:tr>
      <w:tr>
        <w:trPr>
          <w:trHeight w:val="200"/>
        </w:trPr>
        <w:tc>
          <w:tcPr>
            <w:tcW w:w="52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Common Equity Tier 1 ratio (9)</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11.82%</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11.89%</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11.22%</w:t>
            </w:r>
          </w:p>
        </w:tc>
        <w:tc>
          <w:tcPr>
            <w:tcW w:w="100" w:type="dxa"/>
            <w:vAlign w:val="bottom"/>
            <w:shd w:val="clear" w:color="auto" w:fill="CCEEFF"/>
          </w:tcPr>
          <w:p>
            <w:pPr>
              <w:spacing w:after="0"/>
              <w:rPr>
                <w:sz w:val="17"/>
                <w:szCs w:val="17"/>
                <w:color w:val="auto"/>
              </w:rPr>
            </w:pPr>
          </w:p>
        </w:tc>
        <w:tc>
          <w:tcPr>
            <w:tcW w:w="1440" w:type="dxa"/>
            <w:vAlign w:val="bottom"/>
            <w:gridSpan w:val="4"/>
            <w:shd w:val="clear" w:color="auto" w:fill="CCEEFF"/>
          </w:tcPr>
          <w:p>
            <w:pPr>
              <w:jc w:val="right"/>
              <w:ind w:right="540"/>
              <w:spacing w:after="0"/>
              <w:rPr>
                <w:sz w:val="20"/>
                <w:szCs w:val="20"/>
                <w:color w:val="auto"/>
              </w:rPr>
            </w:pPr>
            <w:r>
              <w:rPr>
                <w:rFonts w:ascii="Arial" w:cs="Arial" w:eastAsia="Arial" w:hAnsi="Arial"/>
                <w:sz w:val="16"/>
                <w:szCs w:val="16"/>
                <w:color w:val="auto"/>
              </w:rPr>
              <w:t>-67 bps</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-60 bps</w:t>
            </w:r>
          </w:p>
        </w:tc>
      </w:tr>
      <w:tr>
        <w:trPr>
          <w:trHeight w:val="200"/>
        </w:trPr>
        <w:tc>
          <w:tcPr>
            <w:tcW w:w="5200" w:type="dxa"/>
            <w:vAlign w:val="bottom"/>
            <w:gridSpan w:val="3"/>
          </w:tcPr>
          <w:p>
            <w:pPr>
              <w:spacing w:after="0"/>
              <w:rPr>
                <w:sz w:val="20"/>
                <w:szCs w:val="20"/>
                <w:color w:val="auto"/>
              </w:rPr>
            </w:pPr>
            <w:r>
              <w:rPr>
                <w:rFonts w:ascii="Arial" w:cs="Arial" w:eastAsia="Arial" w:hAnsi="Arial"/>
                <w:sz w:val="16"/>
                <w:szCs w:val="16"/>
                <w:color w:val="auto"/>
              </w:rPr>
              <w:t>BIS ratio (10)</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14.95%</w:t>
            </w: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13.52%</w:t>
            </w: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14.80%</w:t>
            </w:r>
          </w:p>
        </w:tc>
        <w:tc>
          <w:tcPr>
            <w:tcW w:w="100" w:type="dxa"/>
            <w:vAlign w:val="bottom"/>
          </w:tcPr>
          <w:p>
            <w:pPr>
              <w:spacing w:after="0"/>
              <w:rPr>
                <w:sz w:val="17"/>
                <w:szCs w:val="17"/>
                <w:color w:val="auto"/>
              </w:rPr>
            </w:pPr>
          </w:p>
        </w:tc>
        <w:tc>
          <w:tcPr>
            <w:tcW w:w="1440" w:type="dxa"/>
            <w:vAlign w:val="bottom"/>
            <w:gridSpan w:val="4"/>
          </w:tcPr>
          <w:p>
            <w:pPr>
              <w:jc w:val="right"/>
              <w:ind w:right="540"/>
              <w:spacing w:after="0"/>
              <w:rPr>
                <w:sz w:val="20"/>
                <w:szCs w:val="20"/>
                <w:color w:val="auto"/>
              </w:rPr>
            </w:pPr>
            <w:r>
              <w:rPr>
                <w:rFonts w:ascii="Arial" w:cs="Arial" w:eastAsia="Arial" w:hAnsi="Arial"/>
                <w:sz w:val="16"/>
                <w:szCs w:val="16"/>
                <w:color w:val="auto"/>
              </w:rPr>
              <w:t>128 bps</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-15 bps</w:t>
            </w:r>
          </w:p>
        </w:tc>
      </w:tr>
      <w:tr>
        <w:trPr>
          <w:trHeight w:val="211"/>
        </w:trPr>
        <w:tc>
          <w:tcPr>
            <w:tcW w:w="52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Risk-weighted assets / Regulatory capital</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9" w:lineRule="exact"/>
        <w:rPr>
          <w:sz w:val="20"/>
          <w:szCs w:val="20"/>
          <w:color w:val="auto"/>
        </w:rPr>
      </w:pPr>
    </w:p>
    <w:p>
      <w:pPr>
        <w:ind w:left="260" w:hanging="253"/>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Up to 1.25% of total risk-weighted assets.</w:t>
      </w:r>
    </w:p>
    <w:p>
      <w:pPr>
        <w:spacing w:after="0" w:line="19" w:lineRule="exact"/>
        <w:rPr>
          <w:rFonts w:ascii="Arial" w:cs="Arial" w:eastAsia="Arial" w:hAnsi="Arial"/>
          <w:sz w:val="18"/>
          <w:szCs w:val="18"/>
          <w:color w:val="auto"/>
        </w:rPr>
      </w:pPr>
    </w:p>
    <w:p>
      <w:pPr>
        <w:jc w:val="both"/>
        <w:ind w:right="20" w:firstLine="7"/>
        <w:spacing w:after="0" w:line="278" w:lineRule="auto"/>
        <w:tabs>
          <w:tab w:leader="none" w:pos="2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Regulatory Tier 1 Capital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1" w:lineRule="exact"/>
        <w:rPr>
          <w:rFonts w:ascii="Arial" w:cs="Arial" w:eastAsia="Arial" w:hAnsi="Arial"/>
          <w:sz w:val="16"/>
          <w:szCs w:val="16"/>
          <w:color w:val="auto"/>
        </w:rPr>
      </w:pPr>
    </w:p>
    <w:p>
      <w:pPr>
        <w:ind w:firstLine="7"/>
        <w:spacing w:after="0" w:line="247" w:lineRule="auto"/>
        <w:tabs>
          <w:tab w:leader="none" w:pos="259"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Regulatory Tier 2 Capital = Subordinated debt + Loan loss reserves + Unrestricted Reserves + (0.5 x Unrealized profit and net income in subsidiaries) - (0.5 x Investment in subsidiaries).</w:t>
      </w:r>
    </w:p>
    <w:p>
      <w:pPr>
        <w:ind w:firstLine="7"/>
        <w:spacing w:after="0" w:line="247" w:lineRule="auto"/>
        <w:tabs>
          <w:tab w:leader="none" w:pos="253" w:val="left"/>
        </w:tabs>
        <w:numPr>
          <w:ilvl w:val="0"/>
          <w:numId w:val="73"/>
        </w:numPr>
        <w:rPr>
          <w:rFonts w:ascii="Arial" w:cs="Arial" w:eastAsia="Arial" w:hAnsi="Arial"/>
          <w:sz w:val="18"/>
          <w:szCs w:val="18"/>
          <w:color w:val="auto"/>
        </w:rPr>
      </w:pPr>
      <w:r>
        <w:rPr>
          <w:rFonts w:ascii="Arial" w:cs="Arial" w:eastAsia="Arial" w:hAnsi="Arial"/>
          <w:sz w:val="18"/>
          <w:szCs w:val="18"/>
          <w:color w:val="auto"/>
        </w:rPr>
        <w:t>Since July 2012, Total Risk-weighted assets = Credit risk-weighted assets * 1.00 + Capital requirement to cover market risk * 10 + Capital requirement to cover operational risk * 10 * 1.00 (since July 2014)</w:t>
      </w:r>
    </w:p>
    <w:p>
      <w:pPr>
        <w:ind w:left="260" w:hanging="253"/>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It includes capital requirement to cover price and rate risk.</w:t>
      </w:r>
    </w:p>
    <w:p>
      <w:pPr>
        <w:spacing w:after="0" w:line="6" w:lineRule="exact"/>
        <w:rPr>
          <w:rFonts w:ascii="Arial" w:cs="Arial" w:eastAsia="Arial" w:hAnsi="Arial"/>
          <w:sz w:val="18"/>
          <w:szCs w:val="18"/>
          <w:color w:val="auto"/>
        </w:rPr>
      </w:pPr>
    </w:p>
    <w:p>
      <w:pPr>
        <w:ind w:firstLine="7"/>
        <w:spacing w:after="0" w:line="247" w:lineRule="auto"/>
        <w:tabs>
          <w:tab w:leader="none" w:pos="265"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firstLine="7"/>
        <w:spacing w:after="0" w:line="262" w:lineRule="auto"/>
        <w:tabs>
          <w:tab w:leader="none" w:pos="254" w:val="left"/>
        </w:tabs>
        <w:numPr>
          <w:ilvl w:val="0"/>
          <w:numId w:val="73"/>
        </w:numPr>
        <w:rPr>
          <w:rFonts w:ascii="Arial" w:cs="Arial" w:eastAsia="Arial" w:hAnsi="Arial"/>
          <w:sz w:val="17"/>
          <w:szCs w:val="17"/>
          <w:color w:val="auto"/>
        </w:rPr>
      </w:pPr>
      <w:r>
        <w:rPr>
          <w:rFonts w:ascii="Arial" w:cs="Arial" w:eastAsia="Arial" w:hAnsi="Arial"/>
          <w:sz w:val="17"/>
          <w:szCs w:val="17"/>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ind w:left="260" w:hanging="253"/>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Regulatory Tier 1 Capital / Total Risk-weighted assets</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Common Equity Tier I / Adjusted Risk-Weighted Assets Risk-Weighted Assets</w:t>
      </w:r>
    </w:p>
    <w:p>
      <w:pPr>
        <w:spacing w:after="0" w:line="6" w:lineRule="exact"/>
        <w:rPr>
          <w:rFonts w:ascii="Arial" w:cs="Arial" w:eastAsia="Arial" w:hAnsi="Arial"/>
          <w:sz w:val="18"/>
          <w:szCs w:val="18"/>
          <w:color w:val="auto"/>
        </w:rPr>
      </w:pPr>
    </w:p>
    <w:p>
      <w:pPr>
        <w:ind w:left="340" w:hanging="333"/>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Total Regulatory Capital / Total Risk-weighted assets (legal minimum = 10% since July 2011)</w:t>
      </w:r>
    </w:p>
    <w:p>
      <w:pPr>
        <w:spacing w:after="0" w:line="200" w:lineRule="exact"/>
        <w:rPr>
          <w:sz w:val="20"/>
          <w:szCs w:val="20"/>
          <w:color w:val="auto"/>
        </w:rPr>
      </w:pPr>
    </w:p>
    <w:p>
      <w:pPr>
        <w:spacing w:after="0" w:line="220"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9" w:name="page50"/>
    <w:bookmarkEnd w:id="49"/>
    <w:p>
      <w:pPr>
        <w:jc w:val="both"/>
        <w:spacing w:after="0" w:line="270" w:lineRule="auto"/>
        <w:rPr>
          <w:sz w:val="20"/>
          <w:szCs w:val="20"/>
          <w:color w:val="auto"/>
        </w:rPr>
      </w:pPr>
      <w:r>
        <w:rPr>
          <w:rFonts w:ascii="Arial" w:cs="Arial" w:eastAsia="Arial" w:hAnsi="Arial"/>
          <w:sz w:val="18"/>
          <w:szCs w:val="18"/>
          <w:color w:val="auto"/>
        </w:rPr>
        <w:t>At the end of 2Q20, the BIS and Tier 1 ratios at BCP Stand-alone rose QoQ to situate at 14.80% and 10.54% respectively. This was attributable to the 9.4% and 2.0% increase in total regulatory and Tier 1 capital respectively.</w:t>
      </w:r>
    </w:p>
    <w:p>
      <w:pPr>
        <w:spacing w:after="0" w:line="17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total increase in regulatory capital was primarily driven by the 31.3% increase in reserves. Growth in reserves was in turn driven by an increase in facultative reserves due to the COVID-19 pandemic. Total RWAs remained relatively stable due to the economic reactivation programs implemented by the Government, which drove an increase in the loan portfolio without generating associated risk given that loans under these programs are government-backed.</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YoY evolution reported a reduction in both the BIS and Tier 1 ratios with regard to the levels in 2Q19, which was driven by an increase in RWAs (+11.0%). This growth was driven by growth in retail loans in the second half of 2019 and first quarter of 2020 and by the risk associated with these kinds of loans. The aforementioned was slightly offset by the increase in regulatory capital and in the Tier 1.</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YoY evolution of RWAs mainly reflects growth of +10.6% in Credit RWAs and operational risk RWAs. Additionally, it is important to note that additional capital requirements have fallen 46% due to the capital release instituted by the regulating entity, which was driven by the economic cycle. This readjustment is activated when real GDP is believed to be greater than potential GDP</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Equity Tier 1 Ratio – BCP Stand-alone</w:t>
      </w:r>
    </w:p>
    <w:p>
      <w:pPr>
        <w:spacing w:after="0" w:line="220" w:lineRule="exact"/>
        <w:rPr>
          <w:sz w:val="20"/>
          <w:szCs w:val="20"/>
          <w:color w:val="auto"/>
        </w:rPr>
      </w:pPr>
    </w:p>
    <w:p>
      <w:pPr>
        <w:ind w:left="2360"/>
        <w:spacing w:after="0"/>
        <w:tabs>
          <w:tab w:leader="none" w:pos="8020" w:val="left"/>
        </w:tabs>
        <w:rPr>
          <w:sz w:val="20"/>
          <w:szCs w:val="20"/>
          <w:color w:val="auto"/>
        </w:rPr>
      </w:pPr>
      <w:r>
        <w:rPr>
          <w:rFonts w:ascii="Arial" w:cs="Arial" w:eastAsia="Arial" w:hAnsi="Arial"/>
          <w:sz w:val="18"/>
          <w:szCs w:val="18"/>
          <w:b w:val="1"/>
          <w:bCs w:val="1"/>
          <w:color w:val="auto"/>
        </w:rPr>
        <w:t>March 2020</w:t>
      </w:r>
      <w:r>
        <w:rPr>
          <w:sz w:val="20"/>
          <w:szCs w:val="20"/>
          <w:color w:val="auto"/>
        </w:rPr>
        <w:tab/>
      </w:r>
      <w:r>
        <w:rPr>
          <w:rFonts w:ascii="Arial" w:cs="Arial" w:eastAsia="Arial" w:hAnsi="Arial"/>
          <w:sz w:val="16"/>
          <w:szCs w:val="16"/>
          <w:b w:val="1"/>
          <w:bCs w:val="1"/>
          <w:color w:val="auto"/>
        </w:rPr>
        <w:t>June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151130</wp:posOffset>
            </wp:positionV>
            <wp:extent cx="6252845" cy="11182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52845" cy="1118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(1) Includes investments in BCP Bolivia and other subsidiaries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Finally, the Tier 1 common equity (CET 1), which is considered the most rigorous indicator by which to measure capitalization levels, fell -67bps QoQ to situate at 11.22% at the end of 2Q20. This was driven by a -82.6% QoQ and -68.8% decline in results due to the crisis generated by the COVID-19 pandemic. In the YoY analysis, the CET1 Ratio fell -60pbs due to an increase in adjusted RWAs. This variation was attributable to growth in retail loan portfolio in the second half of 2019 and in the first quarter of 2020. The +4.0% increase in the Tier 1 common equity was insufficient to offset the aforementioned evolution.</w:t>
      </w:r>
    </w:p>
    <w:p>
      <w:pPr>
        <w:spacing w:after="0" w:line="200" w:lineRule="exact"/>
        <w:rPr>
          <w:sz w:val="20"/>
          <w:szCs w:val="20"/>
          <w:color w:val="auto"/>
        </w:rPr>
      </w:pPr>
    </w:p>
    <w:p>
      <w:pPr>
        <w:spacing w:after="0" w:line="203"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0"/>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8.3. Regulatory Capital at Mibanco based on Peru GAAP</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Regulatory Capital and Capital Adequacy Ratios - SBS</w:t>
            </w: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As of</w:t>
            </w:r>
          </w:p>
        </w:tc>
        <w:tc>
          <w:tcPr>
            <w:tcW w:w="10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92"/>
              </w:rPr>
              <w:t>% change</w:t>
            </w:r>
          </w:p>
        </w:tc>
        <w:tc>
          <w:tcPr>
            <w:tcW w:w="7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June-19</w:t>
            </w:r>
          </w:p>
        </w:tc>
        <w:tc>
          <w:tcPr>
            <w:tcW w:w="2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Mar-20</w:t>
            </w:r>
          </w:p>
        </w:tc>
        <w:tc>
          <w:tcPr>
            <w:tcW w:w="2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June-20</w:t>
            </w:r>
          </w:p>
        </w:tc>
        <w:tc>
          <w:tcPr>
            <w:tcW w:w="2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1,173,726</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1,331,484</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1,714,369</w:t>
            </w: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28.8%</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3"/>
        </w:trPr>
        <w:tc>
          <w:tcPr>
            <w:tcW w:w="4980" w:type="dxa"/>
            <w:vAlign w:val="bottom"/>
            <w:gridSpan w:val="2"/>
          </w:tcPr>
          <w:p>
            <w:pPr>
              <w:spacing w:after="0"/>
              <w:rPr>
                <w:sz w:val="20"/>
                <w:szCs w:val="20"/>
                <w:color w:val="auto"/>
              </w:rPr>
            </w:pPr>
            <w:r>
              <w:rPr>
                <w:rFonts w:ascii="Arial" w:cs="Arial" w:eastAsia="Arial" w:hAnsi="Arial"/>
                <w:sz w:val="18"/>
                <w:szCs w:val="18"/>
                <w:color w:val="auto"/>
              </w:rPr>
              <w:t>Legal and Other capital reserves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207,129</w:t>
            </w:r>
          </w:p>
        </w:tc>
        <w:tc>
          <w:tcPr>
            <w:tcW w:w="1000" w:type="dxa"/>
            <w:vAlign w:val="bottom"/>
          </w:tcPr>
          <w:p>
            <w:pPr>
              <w:jc w:val="right"/>
              <w:spacing w:after="0"/>
              <w:rPr>
                <w:sz w:val="20"/>
                <w:szCs w:val="20"/>
                <w:color w:val="auto"/>
              </w:rPr>
            </w:pPr>
            <w:r>
              <w:rPr>
                <w:rFonts w:ascii="Arial" w:cs="Arial" w:eastAsia="Arial" w:hAnsi="Arial"/>
                <w:sz w:val="18"/>
                <w:szCs w:val="18"/>
                <w:color w:val="auto"/>
              </w:rPr>
              <w:t>207,129</w:t>
            </w: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246,305</w:t>
            </w:r>
          </w:p>
        </w:tc>
        <w:tc>
          <w:tcPr>
            <w:tcW w:w="1280" w:type="dxa"/>
            <w:vAlign w:val="bottom"/>
            <w:gridSpan w:val="2"/>
          </w:tcPr>
          <w:p>
            <w:pPr>
              <w:jc w:val="right"/>
              <w:ind w:right="51"/>
              <w:spacing w:after="0"/>
              <w:rPr>
                <w:sz w:val="20"/>
                <w:szCs w:val="20"/>
                <w:color w:val="auto"/>
              </w:rPr>
            </w:pPr>
            <w:r>
              <w:rPr>
                <w:rFonts w:ascii="Arial" w:cs="Arial" w:eastAsia="Arial" w:hAnsi="Arial"/>
                <w:sz w:val="18"/>
                <w:szCs w:val="18"/>
                <w:color w:val="auto"/>
              </w:rPr>
              <w:t>18.9%</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3"/>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earnings with capitalization agreement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156,000</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4"/>
        </w:trPr>
        <w:tc>
          <w:tcPr>
            <w:tcW w:w="4980" w:type="dxa"/>
            <w:vAlign w:val="bottom"/>
            <w:gridSpan w:val="2"/>
          </w:tcPr>
          <w:p>
            <w:pPr>
              <w:spacing w:after="0" w:line="253" w:lineRule="exact"/>
              <w:rPr>
                <w:sz w:val="20"/>
                <w:szCs w:val="20"/>
                <w:color w:val="auto"/>
              </w:rPr>
            </w:pPr>
            <w:r>
              <w:rPr>
                <w:rFonts w:ascii="Arial" w:cs="Arial" w:eastAsia="Arial" w:hAnsi="Arial"/>
                <w:sz w:val="18"/>
                <w:szCs w:val="18"/>
                <w:color w:val="auto"/>
              </w:rPr>
              <w:t xml:space="preserve">Loan loss reserves </w:t>
            </w:r>
            <w:r>
              <w:rPr>
                <w:rFonts w:ascii="Arial" w:cs="Arial" w:eastAsia="Arial" w:hAnsi="Arial"/>
                <w:sz w:val="29"/>
                <w:szCs w:val="29"/>
                <w:color w:val="auto"/>
                <w:vertAlign w:val="superscript"/>
              </w:rPr>
              <w:t>(1)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130,046</w:t>
            </w:r>
          </w:p>
        </w:tc>
        <w:tc>
          <w:tcPr>
            <w:tcW w:w="1000" w:type="dxa"/>
            <w:vAlign w:val="bottom"/>
          </w:tcPr>
          <w:p>
            <w:pPr>
              <w:jc w:val="right"/>
              <w:spacing w:after="0"/>
              <w:rPr>
                <w:sz w:val="20"/>
                <w:szCs w:val="20"/>
                <w:color w:val="auto"/>
              </w:rPr>
            </w:pPr>
            <w:r>
              <w:rPr>
                <w:rFonts w:ascii="Arial" w:cs="Arial" w:eastAsia="Arial" w:hAnsi="Arial"/>
                <w:sz w:val="18"/>
                <w:szCs w:val="18"/>
                <w:color w:val="auto"/>
              </w:rPr>
              <w:t>141,004</w:t>
            </w:r>
          </w:p>
        </w:tc>
        <w:tc>
          <w:tcPr>
            <w:tcW w:w="260" w:type="dxa"/>
            <w:vAlign w:val="bottom"/>
          </w:tcPr>
          <w:p>
            <w:pPr>
              <w:spacing w:after="0"/>
              <w:rPr>
                <w:sz w:val="22"/>
                <w:szCs w:val="2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144,980</w:t>
            </w:r>
          </w:p>
        </w:tc>
        <w:tc>
          <w:tcPr>
            <w:tcW w:w="1280" w:type="dxa"/>
            <w:vAlign w:val="bottom"/>
            <w:gridSpan w:val="2"/>
          </w:tcPr>
          <w:p>
            <w:pPr>
              <w:jc w:val="right"/>
              <w:ind w:right="51"/>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3"/>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3"/>
        </w:trPr>
        <w:tc>
          <w:tcPr>
            <w:tcW w:w="498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242,009</w:t>
            </w:r>
          </w:p>
        </w:tc>
        <w:tc>
          <w:tcPr>
            <w:tcW w:w="1000" w:type="dxa"/>
            <w:vAlign w:val="bottom"/>
          </w:tcPr>
          <w:p>
            <w:pPr>
              <w:jc w:val="right"/>
              <w:spacing w:after="0"/>
              <w:rPr>
                <w:sz w:val="20"/>
                <w:szCs w:val="20"/>
                <w:color w:val="auto"/>
              </w:rPr>
            </w:pPr>
            <w:r>
              <w:rPr>
                <w:rFonts w:ascii="Arial" w:cs="Arial" w:eastAsia="Arial" w:hAnsi="Arial"/>
                <w:sz w:val="18"/>
                <w:szCs w:val="18"/>
                <w:color w:val="auto"/>
              </w:rPr>
              <w:t>130,000</w:t>
            </w: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130,000</w:t>
            </w:r>
          </w:p>
        </w:tc>
        <w:tc>
          <w:tcPr>
            <w:tcW w:w="1280" w:type="dxa"/>
            <w:vAlign w:val="bottom"/>
            <w:gridSpan w:val="2"/>
          </w:tcPr>
          <w:p>
            <w:pPr>
              <w:jc w:val="right"/>
              <w:ind w:right="51"/>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199"/>
        </w:trPr>
        <w:tc>
          <w:tcPr>
            <w:tcW w:w="498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w w:val="95"/>
              </w:rPr>
              <w:t>Investment in subsidiaries and others, net of unrealized profit and</w:t>
            </w: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80" w:type="dxa"/>
            <w:vAlign w:val="bottom"/>
            <w:gridSpan w:val="2"/>
          </w:tcPr>
          <w:p>
            <w:pPr>
              <w:ind w:left="320"/>
              <w:spacing w:after="0"/>
              <w:rPr>
                <w:sz w:val="20"/>
                <w:szCs w:val="20"/>
                <w:color w:val="auto"/>
              </w:rPr>
            </w:pPr>
            <w:r>
              <w:rPr>
                <w:rFonts w:ascii="Arial" w:cs="Arial" w:eastAsia="Arial" w:hAnsi="Arial"/>
                <w:sz w:val="18"/>
                <w:szCs w:val="18"/>
                <w:color w:val="auto"/>
              </w:rPr>
              <w:t>Investment in subsidiaries and others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Unrealized profit and net income in subsidiaries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(139,180)</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(139,180)</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(139,180)</w:t>
            </w:r>
          </w:p>
        </w:tc>
        <w:tc>
          <w:tcPr>
            <w:tcW w:w="1280" w:type="dxa"/>
            <w:vAlign w:val="bottom"/>
            <w:gridSpan w:val="2"/>
          </w:tcPr>
          <w:p>
            <w:pPr>
              <w:jc w:val="right"/>
              <w:ind w:right="51"/>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53"/>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Regulatory Capital - SBS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1,613,730</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1,826,436</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2,096,473</w:t>
            </w:r>
          </w:p>
        </w:tc>
        <w:tc>
          <w:tcPr>
            <w:tcW w:w="2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14.8%</w:t>
            </w:r>
          </w:p>
        </w:tc>
        <w:tc>
          <w:tcPr>
            <w:tcW w:w="2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29.9%</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gridSpan w:val="2"/>
            <w:vMerge w:val="restart"/>
          </w:tcPr>
          <w:p>
            <w:pPr>
              <w:spacing w:after="0" w:line="247" w:lineRule="exact"/>
              <w:rPr>
                <w:sz w:val="20"/>
                <w:szCs w:val="20"/>
                <w:color w:val="auto"/>
              </w:rPr>
            </w:pPr>
            <w:r>
              <w:rPr>
                <w:rFonts w:ascii="Arial" w:cs="Arial" w:eastAsia="Arial" w:hAnsi="Arial"/>
                <w:sz w:val="17"/>
                <w:szCs w:val="17"/>
                <w:color w:val="auto"/>
              </w:rPr>
              <w:t xml:space="preserve">Regulatori Tier 1 Capital </w:t>
            </w:r>
            <w:r>
              <w:rPr>
                <w:rFonts w:ascii="Arial" w:cs="Arial" w:eastAsia="Arial" w:hAnsi="Arial"/>
                <w:sz w:val="28"/>
                <w:szCs w:val="28"/>
                <w:color w:val="auto"/>
                <w:vertAlign w:val="superscript"/>
              </w:rPr>
              <w:t>(2)</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80" w:type="dxa"/>
            <w:vAlign w:val="bottom"/>
            <w:gridSpan w:val="2"/>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1,238,938</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1,552,693</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1,818,754</w:t>
            </w:r>
          </w:p>
        </w:tc>
        <w:tc>
          <w:tcPr>
            <w:tcW w:w="260" w:type="dxa"/>
            <w:vAlign w:val="bottom"/>
          </w:tcPr>
          <w:p>
            <w:pPr>
              <w:spacing w:after="0"/>
              <w:rPr>
                <w:sz w:val="18"/>
                <w:szCs w:val="18"/>
                <w:color w:val="auto"/>
              </w:rPr>
            </w:pPr>
          </w:p>
        </w:tc>
        <w:tc>
          <w:tcPr>
            <w:tcW w:w="1280" w:type="dxa"/>
            <w:vAlign w:val="bottom"/>
            <w:gridSpan w:val="2"/>
          </w:tcPr>
          <w:p>
            <w:pPr>
              <w:jc w:val="right"/>
              <w:ind w:right="51"/>
              <w:spacing w:after="0"/>
              <w:rPr>
                <w:sz w:val="20"/>
                <w:szCs w:val="20"/>
                <w:color w:val="auto"/>
              </w:rPr>
            </w:pPr>
            <w:r>
              <w:rPr>
                <w:rFonts w:ascii="Arial" w:cs="Arial" w:eastAsia="Arial" w:hAnsi="Arial"/>
                <w:sz w:val="18"/>
                <w:szCs w:val="18"/>
                <w:color w:val="auto"/>
              </w:rPr>
              <w:t>17.1%</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00"/>
        </w:trPr>
        <w:tc>
          <w:tcPr>
            <w:tcW w:w="4980" w:type="dxa"/>
            <w:vAlign w:val="bottom"/>
            <w:gridSpan w:val="2"/>
            <w:shd w:val="clear" w:color="auto" w:fill="CCEEFF"/>
          </w:tcPr>
          <w:p>
            <w:pPr>
              <w:spacing w:after="0" w:line="200" w:lineRule="exact"/>
              <w:rPr>
                <w:sz w:val="20"/>
                <w:szCs w:val="20"/>
                <w:color w:val="auto"/>
              </w:rPr>
            </w:pPr>
            <w:r>
              <w:rPr>
                <w:rFonts w:ascii="Arial" w:cs="Arial" w:eastAsia="Arial" w:hAnsi="Arial"/>
                <w:sz w:val="15"/>
                <w:szCs w:val="15"/>
                <w:color w:val="auto"/>
              </w:rPr>
              <w:t xml:space="preserve">Regulatory Tier 2 Capital </w:t>
            </w:r>
            <w:r>
              <w:rPr>
                <w:rFonts w:ascii="Arial" w:cs="Arial" w:eastAsia="Arial" w:hAnsi="Arial"/>
                <w:sz w:val="23"/>
                <w:szCs w:val="23"/>
                <w:color w:val="auto"/>
                <w:vertAlign w:val="superscript"/>
              </w:rPr>
              <w:t>(3)</w:t>
            </w:r>
          </w:p>
        </w:tc>
        <w:tc>
          <w:tcPr>
            <w:tcW w:w="12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374,791</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273,743</w:t>
            </w:r>
          </w:p>
        </w:tc>
        <w:tc>
          <w:tcPr>
            <w:tcW w:w="26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277,719</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720"/>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80"/>
        </w:trPr>
        <w:tc>
          <w:tcPr>
            <w:tcW w:w="4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00" w:type="dxa"/>
            <w:vAlign w:val="bottom"/>
            <w:gridSpan w:val="2"/>
            <w:shd w:val="clear" w:color="auto" w:fill="CCEEFF"/>
          </w:tcPr>
          <w:p>
            <w:pPr>
              <w:jc w:val="right"/>
              <w:ind w:right="91"/>
              <w:spacing w:after="0" w:line="80" w:lineRule="exact"/>
              <w:rPr>
                <w:sz w:val="20"/>
                <w:szCs w:val="20"/>
                <w:color w:val="auto"/>
              </w:rPr>
            </w:pPr>
            <w:r>
              <w:rPr>
                <w:rFonts w:ascii="Arial" w:cs="Arial" w:eastAsia="Arial" w:hAnsi="Arial"/>
                <w:sz w:val="9"/>
                <w:szCs w:val="9"/>
                <w:color w:val="auto"/>
              </w:rPr>
              <w:t>-25.9</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gridSpan w:val="2"/>
            <w:vMerge w:val="restart"/>
          </w:tcPr>
          <w:p>
            <w:pPr>
              <w:spacing w:after="0" w:line="260" w:lineRule="exact"/>
              <w:rPr>
                <w:sz w:val="20"/>
                <w:szCs w:val="20"/>
                <w:color w:val="auto"/>
              </w:rPr>
            </w:pPr>
            <w:r>
              <w:rPr>
                <w:rFonts w:ascii="Arial" w:cs="Arial" w:eastAsia="Arial" w:hAnsi="Arial"/>
                <w:sz w:val="18"/>
                <w:szCs w:val="18"/>
                <w:b w:val="1"/>
                <w:bCs w:val="1"/>
                <w:color w:val="auto"/>
              </w:rPr>
              <w:t xml:space="preserve">Total risk-weighted assets - SBS </w:t>
            </w:r>
            <w:r>
              <w:rPr>
                <w:rFonts w:ascii="Arial" w:cs="Arial" w:eastAsia="Arial" w:hAnsi="Arial"/>
                <w:sz w:val="29"/>
                <w:szCs w:val="29"/>
                <w:b w:val="1"/>
                <w:bCs w:val="1"/>
                <w:color w:val="auto"/>
                <w:vertAlign w:val="superscript"/>
              </w:rPr>
              <w:t>(4)</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980" w:type="dxa"/>
            <w:vAlign w:val="bottom"/>
            <w:gridSpan w:val="2"/>
            <w:vMerge w:val="continue"/>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10,859,990</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13,030,959</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13,154,838</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21.1</w:t>
            </w:r>
          </w:p>
        </w:tc>
        <w:tc>
          <w:tcPr>
            <w:tcW w:w="18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4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Credit risk-weighted assets</w:t>
            </w: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80" w:type="dxa"/>
            <w:vAlign w:val="bottom"/>
            <w:gridSpan w:val="2"/>
            <w:vMerge w:val="continue"/>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10,108,444</w:t>
            </w:r>
          </w:p>
        </w:tc>
        <w:tc>
          <w:tcPr>
            <w:tcW w:w="280" w:type="dxa"/>
            <w:vAlign w:val="bottom"/>
            <w:vMerge w:val="continue"/>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10,929,378</w:t>
            </w:r>
          </w:p>
        </w:tc>
        <w:tc>
          <w:tcPr>
            <w:tcW w:w="260" w:type="dxa"/>
            <w:vAlign w:val="bottom"/>
            <w:vMerge w:val="continue"/>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11,052,499</w:t>
            </w:r>
          </w:p>
        </w:tc>
        <w:tc>
          <w:tcPr>
            <w:tcW w:w="260" w:type="dxa"/>
            <w:vAlign w:val="bottom"/>
            <w:vMerge w:val="continue"/>
            <w:shd w:val="clear" w:color="auto" w:fill="CCEEFF"/>
          </w:tcPr>
          <w:p>
            <w:pPr>
              <w:spacing w:after="0"/>
              <w:rPr>
                <w:sz w:val="17"/>
                <w:szCs w:val="17"/>
                <w:color w:val="auto"/>
              </w:rPr>
            </w:pPr>
          </w:p>
        </w:tc>
        <w:tc>
          <w:tcPr>
            <w:tcW w:w="128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4"/>
        </w:trPr>
        <w:tc>
          <w:tcPr>
            <w:tcW w:w="4980" w:type="dxa"/>
            <w:vAlign w:val="bottom"/>
            <w:gridSpan w:val="2"/>
          </w:tcPr>
          <w:p>
            <w:pPr>
              <w:spacing w:after="0" w:line="253" w:lineRule="exact"/>
              <w:rPr>
                <w:sz w:val="20"/>
                <w:szCs w:val="20"/>
                <w:color w:val="auto"/>
              </w:rPr>
            </w:pPr>
            <w:r>
              <w:rPr>
                <w:rFonts w:ascii="Arial" w:cs="Arial" w:eastAsia="Arial" w:hAnsi="Arial"/>
                <w:sz w:val="18"/>
                <w:szCs w:val="18"/>
                <w:color w:val="auto"/>
              </w:rPr>
              <w:t xml:space="preserve">Market risk-weighted assets </w:t>
            </w:r>
            <w:r>
              <w:rPr>
                <w:rFonts w:ascii="Arial" w:cs="Arial" w:eastAsia="Arial" w:hAnsi="Arial"/>
                <w:sz w:val="29"/>
                <w:szCs w:val="29"/>
                <w:color w:val="auto"/>
                <w:vertAlign w:val="superscript"/>
              </w:rPr>
              <w:t>(5)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95,837</w:t>
            </w:r>
          </w:p>
        </w:tc>
        <w:tc>
          <w:tcPr>
            <w:tcW w:w="1000" w:type="dxa"/>
            <w:vAlign w:val="bottom"/>
          </w:tcPr>
          <w:p>
            <w:pPr>
              <w:jc w:val="right"/>
              <w:spacing w:after="0"/>
              <w:rPr>
                <w:sz w:val="20"/>
                <w:szCs w:val="20"/>
                <w:color w:val="auto"/>
              </w:rPr>
            </w:pPr>
            <w:r>
              <w:rPr>
                <w:rFonts w:ascii="Arial" w:cs="Arial" w:eastAsia="Arial" w:hAnsi="Arial"/>
                <w:sz w:val="18"/>
                <w:szCs w:val="18"/>
                <w:color w:val="auto"/>
              </w:rPr>
              <w:t>152,782</w:t>
            </w:r>
          </w:p>
        </w:tc>
        <w:tc>
          <w:tcPr>
            <w:tcW w:w="260" w:type="dxa"/>
            <w:vAlign w:val="bottom"/>
          </w:tcPr>
          <w:p>
            <w:pPr>
              <w:spacing w:after="0"/>
              <w:rPr>
                <w:sz w:val="22"/>
                <w:szCs w:val="2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160,484</w:t>
            </w:r>
          </w:p>
        </w:tc>
        <w:tc>
          <w:tcPr>
            <w:tcW w:w="1280" w:type="dxa"/>
            <w:vAlign w:val="bottom"/>
            <w:gridSpan w:val="2"/>
          </w:tcPr>
          <w:p>
            <w:pPr>
              <w:jc w:val="right"/>
              <w:ind w:right="51"/>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3"/>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Operational risk-weighted assets</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655,709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1,948,798</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1,941,855</w:t>
            </w:r>
          </w:p>
        </w:tc>
        <w:tc>
          <w:tcPr>
            <w:tcW w:w="128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Total capital requirement</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line="20" w:lineRule="exact"/>
              <w:rPr>
                <w:sz w:val="1"/>
                <w:szCs w:val="1"/>
                <w:color w:val="auto"/>
              </w:rPr>
            </w:pPr>
          </w:p>
        </w:tc>
      </w:tr>
      <w:tr>
        <w:trPr>
          <w:trHeight w:val="207"/>
        </w:trPr>
        <w:tc>
          <w:tcPr>
            <w:tcW w:w="4980" w:type="dxa"/>
            <w:vAlign w:val="bottom"/>
            <w:tcBorders>
              <w:bottom w:val="single" w:sz="8" w:color="CCEEFF"/>
            </w:tcBorders>
            <w:gridSpan w:val="2"/>
            <w:vMerge w:val="continue"/>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1,474,500</w:t>
            </w:r>
          </w:p>
        </w:tc>
        <w:tc>
          <w:tcPr>
            <w:tcW w:w="2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1,448,821</w:t>
            </w:r>
          </w:p>
        </w:tc>
        <w:tc>
          <w:tcPr>
            <w:tcW w:w="2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1,462,850</w:t>
            </w:r>
          </w:p>
        </w:tc>
        <w:tc>
          <w:tcPr>
            <w:tcW w:w="2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w:t>
            </w:r>
          </w:p>
        </w:tc>
        <w:tc>
          <w:tcPr>
            <w:tcW w:w="18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risk capital requirement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1,010,844</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1,092,938</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1,105,250</w:t>
            </w: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3"/>
        </w:trPr>
        <w:tc>
          <w:tcPr>
            <w:tcW w:w="4980" w:type="dxa"/>
            <w:vAlign w:val="bottom"/>
            <w:gridSpan w:val="2"/>
          </w:tcPr>
          <w:p>
            <w:pPr>
              <w:spacing w:after="0"/>
              <w:rPr>
                <w:sz w:val="20"/>
                <w:szCs w:val="20"/>
                <w:color w:val="auto"/>
              </w:rPr>
            </w:pPr>
            <w:r>
              <w:rPr>
                <w:rFonts w:ascii="Arial" w:cs="Arial" w:eastAsia="Arial" w:hAnsi="Arial"/>
                <w:sz w:val="18"/>
                <w:szCs w:val="18"/>
                <w:color w:val="auto"/>
              </w:rPr>
              <w:t>Market risk-weighted assets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9,584</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15,278</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16,048</w:t>
            </w:r>
          </w:p>
        </w:tc>
        <w:tc>
          <w:tcPr>
            <w:tcW w:w="1280" w:type="dxa"/>
            <w:vAlign w:val="bottom"/>
            <w:gridSpan w:val="2"/>
          </w:tcPr>
          <w:p>
            <w:pPr>
              <w:jc w:val="right"/>
              <w:ind w:right="51"/>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3"/>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Operational risk capital requirement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65,571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194,880</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194,185</w:t>
            </w:r>
          </w:p>
        </w:tc>
        <w:tc>
          <w:tcPr>
            <w:tcW w:w="128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53"/>
        </w:trPr>
        <w:tc>
          <w:tcPr>
            <w:tcW w:w="4980" w:type="dxa"/>
            <w:vAlign w:val="bottom"/>
            <w:gridSpan w:val="2"/>
          </w:tcPr>
          <w:p>
            <w:pPr>
              <w:spacing w:after="0"/>
              <w:rPr>
                <w:sz w:val="20"/>
                <w:szCs w:val="20"/>
                <w:color w:val="auto"/>
              </w:rPr>
            </w:pPr>
            <w:r>
              <w:rPr>
                <w:rFonts w:ascii="Arial" w:cs="Arial" w:eastAsia="Arial" w:hAnsi="Arial"/>
                <w:sz w:val="18"/>
                <w:szCs w:val="18"/>
                <w:color w:val="auto"/>
              </w:rPr>
              <w:t>Additional capital requirements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388,501</w:t>
            </w:r>
          </w:p>
        </w:tc>
        <w:tc>
          <w:tcPr>
            <w:tcW w:w="1000" w:type="dxa"/>
            <w:vAlign w:val="bottom"/>
          </w:tcPr>
          <w:p>
            <w:pPr>
              <w:jc w:val="right"/>
              <w:spacing w:after="0"/>
              <w:rPr>
                <w:sz w:val="20"/>
                <w:szCs w:val="20"/>
                <w:color w:val="auto"/>
              </w:rPr>
            </w:pPr>
            <w:r>
              <w:rPr>
                <w:rFonts w:ascii="Arial" w:cs="Arial" w:eastAsia="Arial" w:hAnsi="Arial"/>
                <w:sz w:val="18"/>
                <w:szCs w:val="18"/>
                <w:color w:val="auto"/>
              </w:rPr>
              <w:t>145,725</w:t>
            </w:r>
          </w:p>
        </w:tc>
        <w:tc>
          <w:tcPr>
            <w:tcW w:w="260" w:type="dxa"/>
            <w:vAlign w:val="bottom"/>
          </w:tcPr>
          <w:p>
            <w:pPr>
              <w:spacing w:after="0"/>
              <w:rPr>
                <w:sz w:val="22"/>
                <w:szCs w:val="2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147,366</w:t>
            </w:r>
          </w:p>
        </w:tc>
        <w:tc>
          <w:tcPr>
            <w:tcW w:w="1280" w:type="dxa"/>
            <w:vAlign w:val="bottom"/>
            <w:gridSpan w:val="2"/>
          </w:tcPr>
          <w:p>
            <w:pPr>
              <w:jc w:val="right"/>
              <w:ind w:right="51"/>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0"/>
        </w:trPr>
        <w:tc>
          <w:tcPr>
            <w:tcW w:w="4980" w:type="dxa"/>
            <w:vAlign w:val="bottom"/>
            <w:tcBorders>
              <w:top w:val="single" w:sz="8" w:color="CCEEFF"/>
            </w:tcBorders>
            <w:gridSpan w:val="2"/>
            <w:shd w:val="clear" w:color="auto" w:fill="CCEEFF"/>
          </w:tcPr>
          <w:p>
            <w:pPr>
              <w:spacing w:after="0" w:line="220" w:lineRule="exact"/>
              <w:rPr>
                <w:sz w:val="20"/>
                <w:szCs w:val="20"/>
                <w:color w:val="auto"/>
              </w:rPr>
            </w:pPr>
            <w:r>
              <w:rPr>
                <w:rFonts w:ascii="Arial" w:cs="Arial" w:eastAsia="Arial" w:hAnsi="Arial"/>
                <w:sz w:val="16"/>
                <w:szCs w:val="16"/>
                <w:b w:val="1"/>
                <w:bCs w:val="1"/>
                <w:color w:val="auto"/>
              </w:rPr>
              <w:t xml:space="preserve">Common Equity Tier 1 - Basel </w:t>
            </w:r>
            <w:r>
              <w:rPr>
                <w:rFonts w:ascii="Arial" w:cs="Arial" w:eastAsia="Arial" w:hAnsi="Arial"/>
                <w:sz w:val="25"/>
                <w:szCs w:val="25"/>
                <w:b w:val="1"/>
                <w:bCs w:val="1"/>
                <w:color w:val="auto"/>
                <w:vertAlign w:val="superscript"/>
              </w:rPr>
              <w:t>(6)</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1,703,865</w:t>
            </w:r>
          </w:p>
        </w:tc>
        <w:tc>
          <w:tcPr>
            <w:tcW w:w="2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1,809,165</w:t>
            </w:r>
          </w:p>
        </w:tc>
        <w:tc>
          <w:tcPr>
            <w:tcW w:w="26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1,819,014</w:t>
            </w:r>
          </w:p>
        </w:tc>
        <w:tc>
          <w:tcPr>
            <w:tcW w:w="26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7"/>
        </w:trPr>
        <w:tc>
          <w:tcPr>
            <w:tcW w:w="4980" w:type="dxa"/>
            <w:vAlign w:val="bottom"/>
            <w:gridSpan w:val="2"/>
          </w:tcPr>
          <w:p>
            <w:pPr>
              <w:spacing w:after="0"/>
              <w:rPr>
                <w:sz w:val="20"/>
                <w:szCs w:val="20"/>
                <w:color w:val="auto"/>
              </w:rPr>
            </w:pPr>
            <w:r>
              <w:rPr>
                <w:rFonts w:ascii="Arial" w:cs="Arial" w:eastAsia="Arial" w:hAnsi="Arial"/>
                <w:sz w:val="18"/>
                <w:szCs w:val="18"/>
                <w:color w:val="auto"/>
              </w:rPr>
              <w:t>Capital and reserves</w:t>
            </w:r>
          </w:p>
        </w:tc>
        <w:tc>
          <w:tcPr>
            <w:tcW w:w="1000" w:type="dxa"/>
            <w:vAlign w:val="bottom"/>
          </w:tcPr>
          <w:p>
            <w:pPr>
              <w:jc w:val="right"/>
              <w:spacing w:after="0"/>
              <w:rPr>
                <w:sz w:val="20"/>
                <w:szCs w:val="20"/>
                <w:color w:val="auto"/>
              </w:rPr>
            </w:pPr>
            <w:r>
              <w:rPr>
                <w:rFonts w:ascii="Arial" w:cs="Arial" w:eastAsia="Arial" w:hAnsi="Arial"/>
                <w:sz w:val="18"/>
                <w:szCs w:val="18"/>
                <w:color w:val="auto"/>
              </w:rPr>
              <w:t>1,380,855</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1,538,613</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1,960,674</w:t>
            </w:r>
          </w:p>
        </w:tc>
        <w:tc>
          <w:tcPr>
            <w:tcW w:w="260" w:type="dxa"/>
            <w:vAlign w:val="bottom"/>
          </w:tcPr>
          <w:p>
            <w:pPr>
              <w:spacing w:after="0"/>
              <w:rPr>
                <w:sz w:val="17"/>
                <w:szCs w:val="17"/>
                <w:color w:val="auto"/>
              </w:rPr>
            </w:pPr>
          </w:p>
        </w:tc>
        <w:tc>
          <w:tcPr>
            <w:tcW w:w="1280" w:type="dxa"/>
            <w:vAlign w:val="bottom"/>
            <w:gridSpan w:val="2"/>
          </w:tcPr>
          <w:p>
            <w:pPr>
              <w:jc w:val="right"/>
              <w:ind w:right="51"/>
              <w:spacing w:after="0"/>
              <w:rPr>
                <w:sz w:val="20"/>
                <w:szCs w:val="20"/>
                <w:color w:val="auto"/>
              </w:rPr>
            </w:pPr>
            <w:r>
              <w:rPr>
                <w:rFonts w:ascii="Arial" w:cs="Arial" w:eastAsia="Arial" w:hAnsi="Arial"/>
                <w:sz w:val="18"/>
                <w:szCs w:val="18"/>
                <w:color w:val="auto"/>
              </w:rPr>
              <w:t>27.4%</w:t>
            </w:r>
          </w:p>
        </w:tc>
        <w:tc>
          <w:tcPr>
            <w:tcW w:w="2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3"/>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520,041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485,218</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70,284</w:t>
            </w:r>
          </w:p>
        </w:tc>
        <w:tc>
          <w:tcPr>
            <w:tcW w:w="128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-85.5%</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3"/>
        </w:trPr>
        <w:tc>
          <w:tcPr>
            <w:tcW w:w="4980" w:type="dxa"/>
            <w:vAlign w:val="bottom"/>
            <w:gridSpan w:val="2"/>
          </w:tcPr>
          <w:p>
            <w:pPr>
              <w:spacing w:after="0"/>
              <w:rPr>
                <w:sz w:val="20"/>
                <w:szCs w:val="20"/>
                <w:color w:val="auto"/>
              </w:rPr>
            </w:pPr>
            <w:r>
              <w:rPr>
                <w:rFonts w:ascii="Arial" w:cs="Arial" w:eastAsia="Arial" w:hAnsi="Arial"/>
                <w:sz w:val="18"/>
                <w:szCs w:val="18"/>
                <w:color w:val="auto"/>
              </w:rPr>
              <w:t>Unrealized gains (losses)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2,091</w:t>
            </w:r>
          </w:p>
        </w:tc>
        <w:tc>
          <w:tcPr>
            <w:tcW w:w="1000" w:type="dxa"/>
            <w:vAlign w:val="bottom"/>
          </w:tcPr>
          <w:p>
            <w:pPr>
              <w:jc w:val="right"/>
              <w:spacing w:after="0"/>
              <w:rPr>
                <w:sz w:val="20"/>
                <w:szCs w:val="20"/>
                <w:color w:val="auto"/>
              </w:rPr>
            </w:pPr>
            <w:r>
              <w:rPr>
                <w:rFonts w:ascii="Arial" w:cs="Arial" w:eastAsia="Arial" w:hAnsi="Arial"/>
                <w:sz w:val="18"/>
                <w:szCs w:val="18"/>
                <w:color w:val="auto"/>
              </w:rPr>
              <w:t>5,549</w:t>
            </w: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11,181</w:t>
            </w:r>
          </w:p>
        </w:tc>
        <w:tc>
          <w:tcPr>
            <w:tcW w:w="1280" w:type="dxa"/>
            <w:vAlign w:val="bottom"/>
            <w:gridSpan w:val="2"/>
          </w:tcPr>
          <w:p>
            <w:pPr>
              <w:jc w:val="right"/>
              <w:ind w:right="51"/>
              <w:spacing w:after="0"/>
              <w:rPr>
                <w:sz w:val="20"/>
                <w:szCs w:val="20"/>
                <w:color w:val="auto"/>
              </w:rPr>
            </w:pPr>
            <w:r>
              <w:rPr>
                <w:rFonts w:ascii="Arial" w:cs="Arial" w:eastAsia="Arial" w:hAnsi="Arial"/>
                <w:sz w:val="18"/>
                <w:szCs w:val="18"/>
                <w:color w:val="auto"/>
              </w:rPr>
              <w:t>-301.5%</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434.6%</w:t>
            </w:r>
          </w:p>
        </w:tc>
        <w:tc>
          <w:tcPr>
            <w:tcW w:w="0" w:type="dxa"/>
            <w:vAlign w:val="bottom"/>
          </w:tcPr>
          <w:p>
            <w:pPr>
              <w:spacing w:after="0"/>
              <w:rPr>
                <w:sz w:val="1"/>
                <w:szCs w:val="1"/>
                <w:color w:val="auto"/>
              </w:rPr>
            </w:pPr>
          </w:p>
        </w:tc>
      </w:tr>
      <w:tr>
        <w:trPr>
          <w:trHeight w:val="213"/>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and intangibles</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(198,922)</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(219,993)</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(222,904)</w:t>
            </w:r>
          </w:p>
        </w:tc>
        <w:tc>
          <w:tcPr>
            <w:tcW w:w="128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3"/>
        </w:trPr>
        <w:tc>
          <w:tcPr>
            <w:tcW w:w="4980" w:type="dxa"/>
            <w:vAlign w:val="bottom"/>
            <w:gridSpan w:val="2"/>
          </w:tcPr>
          <w:p>
            <w:pPr>
              <w:spacing w:after="0"/>
              <w:rPr>
                <w:sz w:val="20"/>
                <w:szCs w:val="20"/>
                <w:color w:val="auto"/>
              </w:rPr>
            </w:pPr>
            <w:r>
              <w:rPr>
                <w:rFonts w:ascii="Arial" w:cs="Arial" w:eastAsia="Arial" w:hAnsi="Arial"/>
                <w:sz w:val="18"/>
                <w:szCs w:val="18"/>
                <w:color w:val="auto"/>
              </w:rPr>
              <w:t>Investments in subsidiaries</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(223)</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(221)</w:t>
            </w:r>
          </w:p>
        </w:tc>
        <w:tc>
          <w:tcPr>
            <w:tcW w:w="1280" w:type="dxa"/>
            <w:vAlign w:val="bottom"/>
            <w:gridSpan w:val="2"/>
          </w:tcPr>
          <w:p>
            <w:pPr>
              <w:jc w:val="right"/>
              <w:ind w:right="51"/>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gridSpan w:val="2"/>
            <w:vMerge w:val="restart"/>
            <w:shd w:val="clear" w:color="auto" w:fill="CCEEFF"/>
          </w:tcPr>
          <w:p>
            <w:pPr>
              <w:spacing w:after="0" w:line="240" w:lineRule="exact"/>
              <w:rPr>
                <w:sz w:val="20"/>
                <w:szCs w:val="20"/>
                <w:color w:val="auto"/>
              </w:rPr>
            </w:pPr>
            <w:r>
              <w:rPr>
                <w:rFonts w:ascii="Arial" w:cs="Arial" w:eastAsia="Arial" w:hAnsi="Arial"/>
                <w:sz w:val="17"/>
                <w:szCs w:val="17"/>
                <w:b w:val="1"/>
                <w:bCs w:val="1"/>
                <w:color w:val="auto"/>
              </w:rPr>
              <w:t xml:space="preserve">Adjusted Risk-Weighted Assets - Basel </w:t>
            </w:r>
            <w:r>
              <w:rPr>
                <w:rFonts w:ascii="Arial" w:cs="Arial" w:eastAsia="Arial" w:hAnsi="Arial"/>
                <w:sz w:val="27"/>
                <w:szCs w:val="27"/>
                <w:b w:val="1"/>
                <w:bCs w:val="1"/>
                <w:color w:val="auto"/>
                <w:vertAlign w:val="superscript"/>
              </w:rPr>
              <w:t>(7)</w:t>
            </w: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line="20" w:lineRule="exact"/>
              <w:rPr>
                <w:sz w:val="1"/>
                <w:szCs w:val="1"/>
                <w:color w:val="auto"/>
              </w:rPr>
            </w:pPr>
          </w:p>
        </w:tc>
      </w:tr>
      <w:tr>
        <w:trPr>
          <w:trHeight w:val="220"/>
        </w:trPr>
        <w:tc>
          <w:tcPr>
            <w:tcW w:w="4980" w:type="dxa"/>
            <w:vAlign w:val="bottom"/>
            <w:gridSpan w:val="2"/>
            <w:vMerge w:val="continue"/>
            <w:shd w:val="clear" w:color="auto" w:fill="CCEEFF"/>
          </w:tcPr>
          <w:p>
            <w:pPr>
              <w:spacing w:after="0"/>
              <w:rPr>
                <w:sz w:val="19"/>
                <w:szCs w:val="19"/>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10,624,842</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12,447,266</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11,888,430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28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Total risk-weighted assets</w:t>
            </w: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80" w:type="dxa"/>
            <w:vAlign w:val="bottom"/>
            <w:gridSpan w:val="2"/>
            <w:vMerge w:val="continue"/>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10,859,990</w:t>
            </w:r>
          </w:p>
        </w:tc>
        <w:tc>
          <w:tcPr>
            <w:tcW w:w="280" w:type="dxa"/>
            <w:vAlign w:val="bottom"/>
            <w:vMerge w:val="continue"/>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13,030,959</w:t>
            </w:r>
          </w:p>
        </w:tc>
        <w:tc>
          <w:tcPr>
            <w:tcW w:w="260" w:type="dxa"/>
            <w:vAlign w:val="bottom"/>
            <w:vMerge w:val="continue"/>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13,154,838</w:t>
            </w:r>
          </w:p>
        </w:tc>
        <w:tc>
          <w:tcPr>
            <w:tcW w:w="260" w:type="dxa"/>
            <w:vAlign w:val="bottom"/>
            <w:vMerge w:val="continue"/>
          </w:tcPr>
          <w:p>
            <w:pPr>
              <w:spacing w:after="0"/>
              <w:rPr>
                <w:sz w:val="17"/>
                <w:szCs w:val="17"/>
                <w:color w:val="auto"/>
              </w:rPr>
            </w:pPr>
          </w:p>
        </w:tc>
        <w:tc>
          <w:tcPr>
            <w:tcW w:w="1280" w:type="dxa"/>
            <w:vAlign w:val="bottom"/>
            <w:gridSpan w:val="2"/>
          </w:tcPr>
          <w:p>
            <w:pPr>
              <w:jc w:val="right"/>
              <w:ind w:right="51"/>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3"/>
        </w:trPr>
        <w:tc>
          <w:tcPr>
            <w:tcW w:w="4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RWA Intangible assets, excluding goodwill.</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235,148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583,693</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642,000</w:t>
            </w:r>
          </w:p>
        </w:tc>
        <w:tc>
          <w:tcPr>
            <w:tcW w:w="128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199"/>
        </w:trPr>
        <w:tc>
          <w:tcPr>
            <w:tcW w:w="4980" w:type="dxa"/>
            <w:vAlign w:val="bottom"/>
            <w:gridSpan w:val="2"/>
          </w:tcPr>
          <w:p>
            <w:pPr>
              <w:ind w:left="160"/>
              <w:spacing w:after="0" w:line="199" w:lineRule="exact"/>
              <w:rPr>
                <w:sz w:val="20"/>
                <w:szCs w:val="20"/>
                <w:color w:val="auto"/>
              </w:rPr>
            </w:pPr>
            <w:r>
              <w:rPr>
                <w:rFonts w:ascii="Arial" w:cs="Arial" w:eastAsia="Arial" w:hAnsi="Arial"/>
                <w:sz w:val="18"/>
                <w:szCs w:val="18"/>
                <w:color w:val="auto"/>
                <w:w w:val="93"/>
              </w:rPr>
              <w:t>(+) RWA Deferred tax assets generated as a result of temporary</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980" w:type="dxa"/>
            <w:vAlign w:val="bottom"/>
            <w:gridSpan w:val="2"/>
          </w:tcPr>
          <w:p>
            <w:pPr>
              <w:ind w:left="320"/>
              <w:spacing w:after="0"/>
              <w:rPr>
                <w:sz w:val="20"/>
                <w:szCs w:val="20"/>
                <w:color w:val="auto"/>
              </w:rPr>
            </w:pPr>
            <w:r>
              <w:rPr>
                <w:rFonts w:ascii="Arial" w:cs="Arial" w:eastAsia="Arial" w:hAnsi="Arial"/>
                <w:sz w:val="18"/>
                <w:szCs w:val="18"/>
                <w:color w:val="auto"/>
              </w:rPr>
              <w:t>differences in income tax, in excess of 10% of CET1</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980" w:type="dxa"/>
            <w:vAlign w:val="bottom"/>
            <w:gridSpan w:val="2"/>
            <w:shd w:val="clear" w:color="auto" w:fill="CCEEFF"/>
          </w:tcPr>
          <w:p>
            <w:pPr>
              <w:ind w:left="160"/>
              <w:spacing w:after="0" w:line="200" w:lineRule="exact"/>
              <w:rPr>
                <w:sz w:val="20"/>
                <w:szCs w:val="20"/>
                <w:color w:val="auto"/>
              </w:rPr>
            </w:pPr>
            <w:r>
              <w:rPr>
                <w:rFonts w:ascii="Arial" w:cs="Arial" w:eastAsia="Arial" w:hAnsi="Arial"/>
                <w:sz w:val="18"/>
                <w:szCs w:val="18"/>
                <w:color w:val="auto"/>
                <w:w w:val="94"/>
              </w:rPr>
              <w:t>(-) RWA adjustment for state coverage, originated by temporary</w:t>
            </w: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difference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624,408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80" w:type="dxa"/>
            <w:vAlign w:val="bottom"/>
            <w:gridSpan w:val="2"/>
          </w:tcPr>
          <w:p>
            <w:pPr>
              <w:ind w:left="160"/>
              <w:spacing w:after="0"/>
              <w:rPr>
                <w:sz w:val="20"/>
                <w:szCs w:val="20"/>
                <w:color w:val="auto"/>
              </w:rPr>
            </w:pPr>
            <w:r>
              <w:rPr>
                <w:rFonts w:ascii="Arial" w:cs="Arial" w:eastAsia="Arial" w:hAnsi="Arial"/>
                <w:sz w:val="18"/>
                <w:szCs w:val="18"/>
                <w:color w:val="auto"/>
                <w:w w:val="92"/>
              </w:rPr>
              <w:t>(+) RWA Deferred tax assets generated as a result of past losses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ratios</w:t>
            </w: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980" w:type="dxa"/>
            <w:vAlign w:val="bottom"/>
            <w:gridSpan w:val="2"/>
          </w:tcPr>
          <w:p>
            <w:pPr>
              <w:spacing w:after="0" w:line="253" w:lineRule="exact"/>
              <w:rPr>
                <w:sz w:val="20"/>
                <w:szCs w:val="20"/>
                <w:color w:val="auto"/>
              </w:rPr>
            </w:pPr>
            <w:r>
              <w:rPr>
                <w:rFonts w:ascii="Arial" w:cs="Arial" w:eastAsia="Arial" w:hAnsi="Arial"/>
                <w:sz w:val="18"/>
                <w:szCs w:val="18"/>
                <w:color w:val="auto"/>
              </w:rPr>
              <w:t xml:space="preserve">Regulatory Tier 1 ratio </w:t>
            </w:r>
            <w:r>
              <w:rPr>
                <w:rFonts w:ascii="Arial" w:cs="Arial" w:eastAsia="Arial" w:hAnsi="Arial"/>
                <w:sz w:val="29"/>
                <w:szCs w:val="29"/>
                <w:color w:val="auto"/>
                <w:vertAlign w:val="superscript"/>
              </w:rPr>
              <w:t>(8)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11.41%</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11.92%</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13.83%</w:t>
            </w:r>
          </w:p>
        </w:tc>
        <w:tc>
          <w:tcPr>
            <w:tcW w:w="1000" w:type="dxa"/>
            <w:vAlign w:val="bottom"/>
          </w:tcPr>
          <w:p>
            <w:pPr>
              <w:jc w:val="right"/>
              <w:spacing w:after="0"/>
              <w:rPr>
                <w:sz w:val="20"/>
                <w:szCs w:val="20"/>
                <w:color w:val="auto"/>
              </w:rPr>
            </w:pPr>
            <w:r>
              <w:rPr>
                <w:rFonts w:ascii="Arial" w:cs="Arial" w:eastAsia="Arial" w:hAnsi="Arial"/>
                <w:sz w:val="18"/>
                <w:szCs w:val="18"/>
                <w:color w:val="auto"/>
              </w:rPr>
              <w:t>191 bps</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gridSpan w:val="2"/>
          </w:tcPr>
          <w:p>
            <w:pPr>
              <w:jc w:val="right"/>
              <w:ind w:right="91"/>
              <w:spacing w:after="0"/>
              <w:rPr>
                <w:sz w:val="20"/>
                <w:szCs w:val="20"/>
                <w:color w:val="auto"/>
              </w:rPr>
            </w:pPr>
            <w:r>
              <w:rPr>
                <w:rFonts w:ascii="Arial" w:cs="Arial" w:eastAsia="Arial" w:hAnsi="Arial"/>
                <w:sz w:val="18"/>
                <w:szCs w:val="18"/>
                <w:color w:val="auto"/>
              </w:rPr>
              <w:t>242 bps</w:t>
            </w:r>
          </w:p>
        </w:tc>
        <w:tc>
          <w:tcPr>
            <w:tcW w:w="0" w:type="dxa"/>
            <w:vAlign w:val="bottom"/>
          </w:tcPr>
          <w:p>
            <w:pPr>
              <w:spacing w:after="0"/>
              <w:rPr>
                <w:sz w:val="1"/>
                <w:szCs w:val="1"/>
                <w:color w:val="auto"/>
              </w:rPr>
            </w:pPr>
          </w:p>
        </w:tc>
      </w:tr>
      <w:tr>
        <w:trPr>
          <w:trHeight w:val="254"/>
        </w:trPr>
        <w:tc>
          <w:tcPr>
            <w:tcW w:w="498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16.04%</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14.53%</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bps</w:t>
            </w:r>
          </w:p>
        </w:tc>
        <w:tc>
          <w:tcPr>
            <w:tcW w:w="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-74 bps</w:t>
            </w:r>
          </w:p>
        </w:tc>
        <w:tc>
          <w:tcPr>
            <w:tcW w:w="0" w:type="dxa"/>
            <w:vAlign w:val="bottom"/>
          </w:tcPr>
          <w:p>
            <w:pPr>
              <w:spacing w:after="0"/>
              <w:rPr>
                <w:sz w:val="1"/>
                <w:szCs w:val="1"/>
                <w:color w:val="auto"/>
              </w:rPr>
            </w:pPr>
          </w:p>
        </w:tc>
      </w:tr>
      <w:tr>
        <w:trPr>
          <w:trHeight w:val="254"/>
        </w:trPr>
        <w:tc>
          <w:tcPr>
            <w:tcW w:w="4980" w:type="dxa"/>
            <w:vAlign w:val="bottom"/>
            <w:gridSpan w:val="2"/>
          </w:tcPr>
          <w:p>
            <w:pPr>
              <w:spacing w:after="0" w:line="253"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(10)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14.86%</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14.02%</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15.94%</w:t>
            </w:r>
          </w:p>
        </w:tc>
        <w:tc>
          <w:tcPr>
            <w:tcW w:w="1000" w:type="dxa"/>
            <w:vAlign w:val="bottom"/>
          </w:tcPr>
          <w:p>
            <w:pPr>
              <w:jc w:val="right"/>
              <w:spacing w:after="0"/>
              <w:rPr>
                <w:sz w:val="20"/>
                <w:szCs w:val="20"/>
                <w:color w:val="auto"/>
              </w:rPr>
            </w:pPr>
            <w:r>
              <w:rPr>
                <w:rFonts w:ascii="Arial" w:cs="Arial" w:eastAsia="Arial" w:hAnsi="Arial"/>
                <w:sz w:val="18"/>
                <w:szCs w:val="18"/>
                <w:color w:val="auto"/>
              </w:rPr>
              <w:t>192 bps</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gridSpan w:val="2"/>
          </w:tcPr>
          <w:p>
            <w:pPr>
              <w:jc w:val="right"/>
              <w:ind w:right="91"/>
              <w:spacing w:after="0"/>
              <w:rPr>
                <w:sz w:val="20"/>
                <w:szCs w:val="20"/>
                <w:color w:val="auto"/>
              </w:rPr>
            </w:pPr>
            <w:r>
              <w:rPr>
                <w:rFonts w:ascii="Arial" w:cs="Arial" w:eastAsia="Arial" w:hAnsi="Arial"/>
                <w:sz w:val="18"/>
                <w:szCs w:val="18"/>
                <w:color w:val="auto"/>
              </w:rPr>
              <w:t>108 bps</w:t>
            </w:r>
          </w:p>
        </w:tc>
        <w:tc>
          <w:tcPr>
            <w:tcW w:w="0" w:type="dxa"/>
            <w:vAlign w:val="bottom"/>
          </w:tcPr>
          <w:p>
            <w:pPr>
              <w:spacing w:after="0"/>
              <w:rPr>
                <w:sz w:val="1"/>
                <w:szCs w:val="1"/>
                <w:color w:val="auto"/>
              </w:rPr>
            </w:pPr>
          </w:p>
        </w:tc>
      </w:tr>
      <w:tr>
        <w:trPr>
          <w:trHeight w:val="227"/>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Risk-weighted assets / Regulatory capital</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6.73</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7.13</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6.27</w:t>
            </w:r>
          </w:p>
        </w:tc>
        <w:tc>
          <w:tcPr>
            <w:tcW w:w="128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-12.1%</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260" w:hanging="253"/>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Up to 1.25% of total risk-weighted assets.</w:t>
      </w:r>
    </w:p>
    <w:p>
      <w:pPr>
        <w:spacing w:after="0" w:line="19" w:lineRule="exact"/>
        <w:rPr>
          <w:rFonts w:ascii="Arial" w:cs="Arial" w:eastAsia="Arial" w:hAnsi="Arial"/>
          <w:sz w:val="18"/>
          <w:szCs w:val="18"/>
          <w:color w:val="auto"/>
        </w:rPr>
      </w:pPr>
    </w:p>
    <w:p>
      <w:pPr>
        <w:jc w:val="both"/>
        <w:ind w:right="20" w:firstLine="7"/>
        <w:spacing w:after="0" w:line="278" w:lineRule="auto"/>
        <w:tabs>
          <w:tab w:leader="none" w:pos="2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Regulatory Tier 1 Capital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1" w:lineRule="exact"/>
        <w:rPr>
          <w:rFonts w:ascii="Arial" w:cs="Arial" w:eastAsia="Arial" w:hAnsi="Arial"/>
          <w:sz w:val="16"/>
          <w:szCs w:val="16"/>
          <w:color w:val="auto"/>
        </w:rPr>
      </w:pPr>
    </w:p>
    <w:p>
      <w:pPr>
        <w:ind w:firstLine="7"/>
        <w:spacing w:after="0" w:line="247" w:lineRule="auto"/>
        <w:tabs>
          <w:tab w:leader="none" w:pos="259"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Regulatory Tier 2 Capital = Subordinated debt + Loan loss reserves + Unrestricted Reserves + (0.5 x Unrealized profit and net income in subsidiaries) - (0.5 x Investment in subsidiaries).</w:t>
      </w:r>
    </w:p>
    <w:p>
      <w:pPr>
        <w:ind w:firstLine="7"/>
        <w:spacing w:after="0" w:line="247" w:lineRule="auto"/>
        <w:tabs>
          <w:tab w:leader="none" w:pos="253" w:val="left"/>
        </w:tabs>
        <w:numPr>
          <w:ilvl w:val="0"/>
          <w:numId w:val="74"/>
        </w:numPr>
        <w:rPr>
          <w:rFonts w:ascii="Arial" w:cs="Arial" w:eastAsia="Arial" w:hAnsi="Arial"/>
          <w:sz w:val="18"/>
          <w:szCs w:val="18"/>
          <w:color w:val="auto"/>
        </w:rPr>
      </w:pPr>
      <w:r>
        <w:rPr>
          <w:rFonts w:ascii="Arial" w:cs="Arial" w:eastAsia="Arial" w:hAnsi="Arial"/>
          <w:sz w:val="18"/>
          <w:szCs w:val="18"/>
          <w:color w:val="auto"/>
        </w:rPr>
        <w:t>Since July 2012, Total Risk-weighted assets = Credit risk-weighted assets * 1.00 + Capital requirement to cover market risk * 10 + Capital requirement to cover operational risk * 10 * 1.00 (since July 2014)</w:t>
      </w:r>
    </w:p>
    <w:p>
      <w:pPr>
        <w:ind w:left="260" w:hanging="253"/>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It includes capital requirement to cover price and rate risk.</w:t>
      </w:r>
    </w:p>
    <w:p>
      <w:pPr>
        <w:spacing w:after="0" w:line="6" w:lineRule="exact"/>
        <w:rPr>
          <w:rFonts w:ascii="Arial" w:cs="Arial" w:eastAsia="Arial" w:hAnsi="Arial"/>
          <w:sz w:val="18"/>
          <w:szCs w:val="18"/>
          <w:color w:val="auto"/>
        </w:rPr>
      </w:pPr>
    </w:p>
    <w:p>
      <w:pPr>
        <w:ind w:firstLine="7"/>
        <w:spacing w:after="0" w:line="247" w:lineRule="auto"/>
        <w:tabs>
          <w:tab w:leader="none" w:pos="265"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firstLine="7"/>
        <w:spacing w:after="0" w:line="262" w:lineRule="auto"/>
        <w:tabs>
          <w:tab w:leader="none" w:pos="254" w:val="left"/>
        </w:tabs>
        <w:numPr>
          <w:ilvl w:val="0"/>
          <w:numId w:val="74"/>
        </w:numPr>
        <w:rPr>
          <w:rFonts w:ascii="Arial" w:cs="Arial" w:eastAsia="Arial" w:hAnsi="Arial"/>
          <w:sz w:val="17"/>
          <w:szCs w:val="17"/>
          <w:color w:val="auto"/>
        </w:rPr>
      </w:pPr>
      <w:r>
        <w:rPr>
          <w:rFonts w:ascii="Arial" w:cs="Arial" w:eastAsia="Arial" w:hAnsi="Arial"/>
          <w:sz w:val="17"/>
          <w:szCs w:val="17"/>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ind w:left="260" w:hanging="253"/>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Regulatory Tier 1 Capital / Total Risk-weighted assets</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Common Equity Tier I / Adjusted Risk-Weighted Assets Risk-Weighted Assets</w:t>
      </w:r>
    </w:p>
    <w:p>
      <w:pPr>
        <w:spacing w:after="0" w:line="6" w:lineRule="exact"/>
        <w:rPr>
          <w:rFonts w:ascii="Arial" w:cs="Arial" w:eastAsia="Arial" w:hAnsi="Arial"/>
          <w:sz w:val="18"/>
          <w:szCs w:val="18"/>
          <w:color w:val="auto"/>
        </w:rPr>
      </w:pPr>
    </w:p>
    <w:p>
      <w:pPr>
        <w:ind w:left="340" w:hanging="333"/>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Total Regulatory Capital / Total Risk-weighted assets (legal minimum = 10% since July 2011)</w:t>
      </w:r>
    </w:p>
    <w:p>
      <w:pPr>
        <w:spacing w:after="0" w:line="200" w:lineRule="exact"/>
        <w:rPr>
          <w:sz w:val="20"/>
          <w:szCs w:val="20"/>
          <w:color w:val="auto"/>
        </w:rPr>
      </w:pPr>
    </w:p>
    <w:p>
      <w:pPr>
        <w:spacing w:after="0" w:line="220"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517" w:gutter="0" w:footer="0" w:header="0"/>
        </w:sectPr>
      </w:pPr>
    </w:p>
    <w:bookmarkStart w:id="51" w:name="page52"/>
    <w:bookmarkEnd w:id="51"/>
    <w:p>
      <w:pPr>
        <w:jc w:val="both"/>
        <w:spacing w:after="0" w:line="270" w:lineRule="auto"/>
        <w:rPr>
          <w:sz w:val="20"/>
          <w:szCs w:val="20"/>
          <w:color w:val="auto"/>
        </w:rPr>
      </w:pPr>
      <w:r>
        <w:rPr>
          <w:rFonts w:ascii="Arial" w:cs="Arial" w:eastAsia="Arial" w:hAnsi="Arial"/>
          <w:sz w:val="18"/>
          <w:szCs w:val="18"/>
          <w:color w:val="auto"/>
        </w:rPr>
        <w:t>At the end of 2Q20, the BIS and Tier 1 ratios at Mibanco registered growth of +1.91pp and 1.92pp, situating at 14.80% and 10.54% respectively. This was attributable to expansion of +14.8% and +17.1% in total regulatory capital and in Tier 1 respectively.</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Growth in total regulatory capital was mainly associated with a 28.8% increase in capital after an additional S/379 million in earnings were capitalized (in addition to the S/156 million previously agreed upon) and was also driven, although to a lesser extent, by 18.9% growth in reserves after the forecast for GDP was revised downward due to the COVID-19 crisis. RWAs increased slightly by +1.0%; this was attributable to a decrease in loan risk, which was driven by loans under the Reactiva and FAE-Mype reactivation programs, which have government-backed coverage.</w:t>
      </w:r>
    </w:p>
    <w:p>
      <w:pPr>
        <w:spacing w:after="0" w:line="175"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YoY evolution shows growth in both the BIS Ratio and in the Tier 1 Ratio with regard to the levels reported in 2Q19. This was driven by larger increases in total regulatory capital (+29.9%) and in Tier 1 (+46.8%) respectively than in RWAs, which were up +21.1%.</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YoY evolution of total RWAs mainly reflects growth of +9.3% in Credit RWAs and, to a lesser extent, expansion in market risk and operational risk RWAs.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Finally, the Tier 1 common equity Ratio (CET 1), which is considered the most rigorous ratio with which to measure capitalization, reported an increase of +77bps QoQ, situated at 15.30% at the end of 2Q20 due to a -4.5% reduction in adjusted RWAs. In the YoY analysis, the CET fell -74 bps due to an increase of 11.9% in adjusted RWAs. The 6.8% increase in CET 1 was insufficient to offset the aforementioned.</w:t>
      </w:r>
    </w:p>
    <w:p>
      <w:pPr>
        <w:spacing w:after="0" w:line="400"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2" w:name="page53"/>
    <w:bookmarkEnd w:id="52"/>
    <w:p>
      <w:pPr>
        <w:ind w:left="460" w:hanging="453"/>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channels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The distribution channels at BCP Stand-alone, Mibanco and BCP Bolivia reported a total of 10,903 points of contact at the end of 2Q20. This represented an increase of 97 points QoQ that was driven by growth in the number of Agentes at BCP Stand-alone and BCP Bolivia. In YoY terms, points of contact were up +231.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Consolidated Points of Contact</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1"/>
        </w:trPr>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8"/>
              </w:rPr>
              <w:t>As of</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6"/>
          </w:tcPr>
          <w:p>
            <w:pPr>
              <w:ind w:left="480"/>
              <w:spacing w:after="0"/>
              <w:rPr>
                <w:sz w:val="20"/>
                <w:szCs w:val="20"/>
                <w:color w:val="auto"/>
              </w:rPr>
            </w:pPr>
            <w:r>
              <w:rPr>
                <w:rFonts w:ascii="Arial" w:cs="Arial" w:eastAsia="Arial" w:hAnsi="Arial"/>
                <w:sz w:val="18"/>
                <w:szCs w:val="18"/>
                <w:b w:val="1"/>
                <w:bCs w:val="1"/>
                <w:color w:val="auto"/>
              </w:rPr>
              <w:t>change (units)</w:t>
            </w:r>
          </w:p>
        </w:tc>
      </w:tr>
      <w:tr>
        <w:trPr>
          <w:trHeight w:val="221"/>
        </w:trPr>
        <w:tc>
          <w:tcPr>
            <w:tcW w:w="5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Jun 19</w:t>
            </w:r>
          </w:p>
        </w:tc>
        <w:tc>
          <w:tcPr>
            <w:tcW w:w="1240" w:type="dxa"/>
            <w:vAlign w:val="bottom"/>
            <w:tcBorders>
              <w:top w:val="single" w:sz="8" w:color="auto"/>
            </w:tcBorders>
            <w:gridSpan w:val="3"/>
          </w:tcPr>
          <w:p>
            <w:pPr>
              <w:jc w:val="center"/>
              <w:ind w:right="480"/>
              <w:spacing w:after="0"/>
              <w:rPr>
                <w:sz w:val="20"/>
                <w:szCs w:val="20"/>
                <w:color w:val="auto"/>
              </w:rPr>
            </w:pPr>
            <w:r>
              <w:rPr>
                <w:rFonts w:ascii="Arial" w:cs="Arial" w:eastAsia="Arial" w:hAnsi="Arial"/>
                <w:sz w:val="18"/>
                <w:szCs w:val="18"/>
                <w:b w:val="1"/>
                <w:bCs w:val="1"/>
                <w:color w:val="auto"/>
                <w:w w:val="98"/>
              </w:rPr>
              <w:t>Mar 20</w:t>
            </w:r>
          </w:p>
        </w:tc>
        <w:tc>
          <w:tcPr>
            <w:tcW w:w="8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Jun 20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TaT</w:t>
            </w:r>
          </w:p>
        </w:tc>
        <w:tc>
          <w:tcPr>
            <w:tcW w:w="900" w:type="dxa"/>
            <w:vAlign w:val="bottom"/>
            <w:tcBorders>
              <w:top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AaA</w:t>
            </w:r>
          </w:p>
        </w:tc>
        <w:tc>
          <w:tcPr>
            <w:tcW w:w="100" w:type="dxa"/>
            <w:vAlign w:val="bottom"/>
            <w:gridSpan w:val="2"/>
          </w:tcPr>
          <w:p>
            <w:pPr>
              <w:spacing w:after="0"/>
              <w:rPr>
                <w:sz w:val="19"/>
                <w:szCs w:val="19"/>
                <w:color w:val="auto"/>
              </w:rPr>
            </w:pPr>
          </w:p>
        </w:tc>
      </w:tr>
      <w:tr>
        <w:trPr>
          <w:trHeight w:val="207"/>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BCP Stand-alone</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3"/>
        </w:trPr>
        <w:tc>
          <w:tcPr>
            <w:tcW w:w="5300" w:type="dxa"/>
            <w:vAlign w:val="bottom"/>
            <w:gridSpan w:val="2"/>
          </w:tcPr>
          <w:p>
            <w:pPr>
              <w:spacing w:after="0"/>
              <w:rPr>
                <w:sz w:val="20"/>
                <w:szCs w:val="20"/>
                <w:color w:val="auto"/>
              </w:rPr>
            </w:pPr>
            <w:r>
              <w:rPr>
                <w:rFonts w:ascii="Arial" w:cs="Arial" w:eastAsia="Arial" w:hAnsi="Arial"/>
                <w:sz w:val="18"/>
                <w:szCs w:val="18"/>
                <w:color w:val="auto"/>
              </w:rPr>
              <w:t>Branches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3"/>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ATMs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r>
      <w:tr>
        <w:trPr>
          <w:trHeight w:val="227"/>
        </w:trPr>
        <w:tc>
          <w:tcPr>
            <w:tcW w:w="5300" w:type="dxa"/>
            <w:vAlign w:val="bottom"/>
            <w:gridSpan w:val="2"/>
          </w:tcPr>
          <w:p>
            <w:pPr>
              <w:spacing w:after="0"/>
              <w:rPr>
                <w:sz w:val="20"/>
                <w:szCs w:val="20"/>
                <w:color w:val="auto"/>
              </w:rPr>
            </w:pPr>
            <w:r>
              <w:rPr>
                <w:rFonts w:ascii="Arial" w:cs="Arial" w:eastAsia="Arial" w:hAnsi="Arial"/>
                <w:sz w:val="18"/>
                <w:szCs w:val="18"/>
                <w:color w:val="auto"/>
              </w:rPr>
              <w:t>Agentes BCP</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6,940</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6,869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6,939</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r>
      <w:tr>
        <w:trPr>
          <w:trHeight w:val="207"/>
        </w:trPr>
        <w:tc>
          <w:tcPr>
            <w:tcW w:w="5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BCP Stand-alone</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9,604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9,564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9,633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7"/>
        </w:trPr>
        <w:tc>
          <w:tcPr>
            <w:tcW w:w="5300" w:type="dxa"/>
            <w:vAlign w:val="bottom"/>
            <w:gridSpan w:val="2"/>
          </w:tcPr>
          <w:p>
            <w:pPr>
              <w:spacing w:after="0" w:line="246" w:lineRule="exact"/>
              <w:rPr>
                <w:sz w:val="20"/>
                <w:szCs w:val="20"/>
                <w:color w:val="auto"/>
              </w:rPr>
            </w:pPr>
            <w:r>
              <w:rPr>
                <w:rFonts w:ascii="Arial" w:cs="Arial" w:eastAsia="Arial" w:hAnsi="Arial"/>
                <w:sz w:val="17"/>
                <w:szCs w:val="17"/>
                <w:b w:val="1"/>
                <w:bCs w:val="1"/>
                <w:color w:val="auto"/>
              </w:rPr>
              <w:t xml:space="preserve">Total Mibanco's Network </w:t>
            </w:r>
            <w:r>
              <w:rPr>
                <w:rFonts w:ascii="Arial" w:cs="Arial" w:eastAsia="Arial" w:hAnsi="Arial"/>
                <w:sz w:val="28"/>
                <w:szCs w:val="28"/>
                <w:b w:val="1"/>
                <w:bCs w:val="1"/>
                <w:color w:val="auto"/>
                <w:vertAlign w:val="superscript"/>
              </w:rPr>
              <w:t>(1)</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324</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325</w:t>
            </w: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324</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r>
      <w:tr>
        <w:trPr>
          <w:trHeight w:val="207"/>
        </w:trPr>
        <w:tc>
          <w:tcPr>
            <w:tcW w:w="5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BCP Bolivia</w:t>
            </w: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3"/>
        </w:trPr>
        <w:tc>
          <w:tcPr>
            <w:tcW w:w="5300" w:type="dxa"/>
            <w:vAlign w:val="bottom"/>
            <w:gridSpan w:val="2"/>
          </w:tcPr>
          <w:p>
            <w:pPr>
              <w:spacing w:after="0"/>
              <w:rPr>
                <w:sz w:val="20"/>
                <w:szCs w:val="20"/>
                <w:color w:val="auto"/>
              </w:rPr>
            </w:pPr>
            <w:r>
              <w:rPr>
                <w:rFonts w:ascii="Arial" w:cs="Arial" w:eastAsia="Arial" w:hAnsi="Arial"/>
                <w:sz w:val="18"/>
                <w:szCs w:val="18"/>
                <w:color w:val="auto"/>
              </w:rPr>
              <w:t>Branches</w:t>
            </w: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r>
      <w:tr>
        <w:trPr>
          <w:trHeight w:val="213"/>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ATMs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r>
      <w:tr>
        <w:trPr>
          <w:trHeight w:val="227"/>
        </w:trPr>
        <w:tc>
          <w:tcPr>
            <w:tcW w:w="5300" w:type="dxa"/>
            <w:vAlign w:val="bottom"/>
            <w:gridSpan w:val="2"/>
          </w:tcPr>
          <w:p>
            <w:pPr>
              <w:spacing w:after="0"/>
              <w:rPr>
                <w:sz w:val="20"/>
                <w:szCs w:val="20"/>
                <w:color w:val="auto"/>
              </w:rPr>
            </w:pPr>
            <w:r>
              <w:rPr>
                <w:rFonts w:ascii="Arial" w:cs="Arial" w:eastAsia="Arial" w:hAnsi="Arial"/>
                <w:sz w:val="18"/>
                <w:szCs w:val="18"/>
                <w:color w:val="auto"/>
              </w:rPr>
              <w:t>Agentes BCP Bolivia</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9"/>
                <w:szCs w:val="19"/>
                <w:color w:val="auto"/>
              </w:rPr>
            </w:pPr>
          </w:p>
        </w:tc>
      </w:tr>
      <w:tr>
        <w:trPr>
          <w:trHeight w:val="207"/>
        </w:trPr>
        <w:tc>
          <w:tcPr>
            <w:tcW w:w="5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Bolivia's Network</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7"/>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Total points of contact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10,672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10,806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10,903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bl>
    <w:p>
      <w:pPr>
        <w:spacing w:after="0" w:line="199" w:lineRule="exact"/>
        <w:rPr>
          <w:sz w:val="20"/>
          <w:szCs w:val="20"/>
          <w:color w:val="auto"/>
        </w:rPr>
      </w:pPr>
    </w:p>
    <w:p>
      <w:pPr>
        <w:ind w:left="260" w:hanging="253"/>
        <w:spacing w:after="0"/>
        <w:tabs>
          <w:tab w:leader="none" w:pos="2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Mibanco does not have Agents or ATMs because it uses the BCP network. Mibanco branches include Banco de la Nacion branches, which in Jun 19, Mar</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 and Jun 20 were 35.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9.1. Universal Banking</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w w:val="99"/>
              </w:rPr>
              <w:t>9.1.1. Points of contact by geographic area – BCP Stand-alone</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8"/>
              </w:rPr>
              <w:t>As of</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5"/>
          </w:tcPr>
          <w:p>
            <w:pPr>
              <w:ind w:left="480"/>
              <w:spacing w:after="0"/>
              <w:rPr>
                <w:sz w:val="20"/>
                <w:szCs w:val="20"/>
                <w:color w:val="auto"/>
              </w:rPr>
            </w:pPr>
            <w:r>
              <w:rPr>
                <w:rFonts w:ascii="Arial" w:cs="Arial" w:eastAsia="Arial" w:hAnsi="Arial"/>
                <w:sz w:val="18"/>
                <w:szCs w:val="18"/>
                <w:b w:val="1"/>
                <w:bCs w:val="1"/>
                <w:color w:val="auto"/>
              </w:rPr>
              <w:t>change (units)</w:t>
            </w:r>
          </w:p>
        </w:tc>
        <w:tc>
          <w:tcPr>
            <w:tcW w:w="0" w:type="dxa"/>
            <w:vAlign w:val="bottom"/>
          </w:tcPr>
          <w:p>
            <w:pPr>
              <w:spacing w:after="0"/>
              <w:rPr>
                <w:sz w:val="1"/>
                <w:szCs w:val="1"/>
                <w:color w:val="auto"/>
              </w:rPr>
            </w:pPr>
          </w:p>
        </w:tc>
      </w:tr>
      <w:tr>
        <w:trPr>
          <w:trHeight w:val="221"/>
        </w:trPr>
        <w:tc>
          <w:tcPr>
            <w:tcW w:w="5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Jun 19</w:t>
            </w:r>
          </w:p>
        </w:tc>
        <w:tc>
          <w:tcPr>
            <w:tcW w:w="1240" w:type="dxa"/>
            <w:vAlign w:val="bottom"/>
            <w:tcBorders>
              <w:top w:val="single" w:sz="8" w:color="auto"/>
            </w:tcBorders>
            <w:gridSpan w:val="3"/>
          </w:tcPr>
          <w:p>
            <w:pPr>
              <w:jc w:val="center"/>
              <w:ind w:right="480"/>
              <w:spacing w:after="0"/>
              <w:rPr>
                <w:sz w:val="20"/>
                <w:szCs w:val="20"/>
                <w:color w:val="auto"/>
              </w:rPr>
            </w:pPr>
            <w:r>
              <w:rPr>
                <w:rFonts w:ascii="Arial" w:cs="Arial" w:eastAsia="Arial" w:hAnsi="Arial"/>
                <w:sz w:val="18"/>
                <w:szCs w:val="18"/>
                <w:b w:val="1"/>
                <w:bCs w:val="1"/>
                <w:color w:val="auto"/>
                <w:w w:val="98"/>
              </w:rPr>
              <w:t>Mar 20</w:t>
            </w:r>
          </w:p>
        </w:tc>
        <w:tc>
          <w:tcPr>
            <w:tcW w:w="8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Jun 20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QoQ</w:t>
            </w:r>
          </w:p>
        </w:tc>
        <w:tc>
          <w:tcPr>
            <w:tcW w:w="920" w:type="dxa"/>
            <w:vAlign w:val="bottom"/>
            <w:tcBorders>
              <w:top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YoY</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Lima</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300" w:type="dxa"/>
            <w:vAlign w:val="bottom"/>
            <w:gridSpan w:val="2"/>
          </w:tcPr>
          <w:p>
            <w:pPr>
              <w:spacing w:after="0"/>
              <w:rPr>
                <w:sz w:val="20"/>
                <w:szCs w:val="20"/>
                <w:color w:val="auto"/>
              </w:rPr>
            </w:pPr>
            <w:r>
              <w:rPr>
                <w:rFonts w:ascii="Arial" w:cs="Arial" w:eastAsia="Arial" w:hAnsi="Arial"/>
                <w:sz w:val="18"/>
                <w:szCs w:val="18"/>
                <w:color w:val="auto"/>
              </w:rPr>
              <w:t>Provinces</w:t>
            </w:r>
          </w:p>
        </w:tc>
        <w:tc>
          <w:tcPr>
            <w:tcW w:w="920" w:type="dxa"/>
            <w:vAlign w:val="bottom"/>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shd w:val="clear" w:color="auto" w:fill="CCEEFF"/>
          </w:tcPr>
          <w:p>
            <w:pPr>
              <w:spacing w:after="0" w:line="267" w:lineRule="exact"/>
              <w:rPr>
                <w:sz w:val="20"/>
                <w:szCs w:val="20"/>
                <w:color w:val="auto"/>
              </w:rPr>
            </w:pPr>
            <w:r>
              <w:rPr>
                <w:rFonts w:ascii="Arial" w:cs="Arial" w:eastAsia="Arial" w:hAnsi="Arial"/>
                <w:sz w:val="18"/>
                <w:szCs w:val="18"/>
                <w:b w:val="1"/>
                <w:bCs w:val="1"/>
                <w:color w:val="auto"/>
              </w:rPr>
              <w:t xml:space="preserve">Total Branches </w:t>
            </w:r>
            <w:r>
              <w:rPr>
                <w:rFonts w:ascii="Arial" w:cs="Arial" w:eastAsia="Arial" w:hAnsi="Arial"/>
                <w:sz w:val="29"/>
                <w:szCs w:val="29"/>
                <w:b w:val="1"/>
                <w:bCs w:val="1"/>
                <w:color w:val="auto"/>
                <w:vertAlign w:val="superscript"/>
              </w:rPr>
              <w:t>(1)</w:t>
            </w: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300" w:type="dxa"/>
            <w:vAlign w:val="bottom"/>
            <w:gridSpan w:val="2"/>
            <w:vMerge w:val="continue"/>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404</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403</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300" w:type="dxa"/>
            <w:vAlign w:val="bottom"/>
            <w:gridSpan w:val="2"/>
          </w:tcPr>
          <w:p>
            <w:pPr>
              <w:spacing w:after="0"/>
              <w:rPr>
                <w:sz w:val="20"/>
                <w:szCs w:val="20"/>
                <w:color w:val="auto"/>
              </w:rPr>
            </w:pPr>
            <w:r>
              <w:rPr>
                <w:rFonts w:ascii="Arial" w:cs="Arial" w:eastAsia="Arial" w:hAnsi="Arial"/>
                <w:sz w:val="18"/>
                <w:szCs w:val="18"/>
                <w:color w:val="auto"/>
              </w:rPr>
              <w:t>Lima</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Provinces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755</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ATM's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2,261</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2,291</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2,291</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Lima</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300" w:type="dxa"/>
            <w:vAlign w:val="bottom"/>
            <w:gridSpan w:val="2"/>
          </w:tcPr>
          <w:p>
            <w:pPr>
              <w:spacing w:after="0"/>
              <w:rPr>
                <w:sz w:val="20"/>
                <w:szCs w:val="20"/>
                <w:color w:val="auto"/>
              </w:rPr>
            </w:pPr>
            <w:r>
              <w:rPr>
                <w:rFonts w:ascii="Arial" w:cs="Arial" w:eastAsia="Arial" w:hAnsi="Arial"/>
                <w:sz w:val="18"/>
                <w:szCs w:val="18"/>
                <w:color w:val="auto"/>
              </w:rPr>
              <w:t>Provinces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3,465</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3,494</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Agentes BCP</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6,940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6,869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6,939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Total points of contact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9,604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9,564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9,633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(1) Figures differ from previously reported, consider the amounts presented in this report.</w:t>
      </w:r>
    </w:p>
    <w:p>
      <w:pPr>
        <w:spacing w:after="0" w:line="22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BCP Stand-alone registered a +69 increase in its points of contact QoQ, reaching a total of 9,633 points at the end of 2Q20. This growth was due primarily to an increase in the number of Agentes BCP, which rose by 70 points (+27 in Lima and+43 in the provinces). Assessments were conducted in the first quarter of 2019 to optimize the network by relocating agentes. When the lockdown was instituted in March to combat COVID-19, relocation activities stopped and resumed recently this quarter. For this reason, the increase in agentes is considerable in QoQ terms.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number of offices fell -1 QoQ while the number of ATMs registered no variation.</w:t>
      </w:r>
    </w:p>
    <w:p>
      <w:pPr>
        <w:spacing w:after="0" w:line="200" w:lineRule="exact"/>
        <w:rPr>
          <w:sz w:val="20"/>
          <w:szCs w:val="20"/>
          <w:color w:val="auto"/>
        </w:rPr>
      </w:pPr>
    </w:p>
    <w:p>
      <w:pPr>
        <w:spacing w:after="0" w:line="233"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3" w:name="page54"/>
    <w:bookmarkEnd w:id="53"/>
    <w:p>
      <w:pPr>
        <w:jc w:val="both"/>
        <w:spacing w:after="0" w:line="270" w:lineRule="auto"/>
        <w:rPr>
          <w:sz w:val="20"/>
          <w:szCs w:val="20"/>
          <w:color w:val="auto"/>
        </w:rPr>
      </w:pPr>
      <w:r>
        <w:rPr>
          <w:rFonts w:ascii="Arial" w:cs="Arial" w:eastAsia="Arial" w:hAnsi="Arial"/>
          <w:sz w:val="18"/>
          <w:szCs w:val="18"/>
          <w:color w:val="auto"/>
        </w:rPr>
        <w:t>In the YoY analysis, the total number of points of contact at BCP Stand-alone increased by +29 units, which was mainly attributable to growth in ATMs in Lima and in the provinces (+29 and +1 respectively). This was aligned with our strategy to expand through cost-efficient channels.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9.1.2. Transactions per channel – BCP Stand-alone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per channel – BCP Stand-alone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00" w:type="dxa"/>
            <w:vAlign w:val="bottom"/>
          </w:tcPr>
          <w:p>
            <w:pPr>
              <w:spacing w:after="0"/>
              <w:rPr>
                <w:sz w:val="14"/>
                <w:szCs w:val="14"/>
                <w:color w:val="auto"/>
              </w:rPr>
            </w:pPr>
          </w:p>
        </w:tc>
        <w:tc>
          <w:tcPr>
            <w:tcW w:w="248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99"/>
              </w:rPr>
              <w:t xml:space="preserve">N° of Transactions per channel </w:t>
            </w:r>
            <w:r>
              <w:rPr>
                <w:rFonts w:ascii="Arial" w:cs="Arial" w:eastAsia="Arial" w:hAnsi="Arial"/>
                <w:sz w:val="23"/>
                <w:szCs w:val="23"/>
                <w:b w:val="1"/>
                <w:bCs w:val="1"/>
                <w:color w:val="auto"/>
                <w:w w:val="99"/>
                <w:vertAlign w:val="superscript"/>
              </w:rPr>
              <w:t>(1)</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69"/>
              <w:spacing w:after="0"/>
              <w:rPr>
                <w:sz w:val="20"/>
                <w:szCs w:val="20"/>
                <w:color w:val="auto"/>
              </w:rPr>
            </w:pPr>
            <w:r>
              <w:rPr>
                <w:rFonts w:ascii="Arial" w:cs="Arial" w:eastAsia="Arial" w:hAnsi="Arial"/>
                <w:sz w:val="14"/>
                <w:szCs w:val="14"/>
                <w:b w:val="1"/>
                <w:bCs w:val="1"/>
                <w:color w:val="auto"/>
                <w:w w:val="92"/>
              </w:rPr>
              <w:t>Monthly average in each quarter</w:t>
            </w: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4"/>
              </w:rPr>
              <w:t>% change</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040" w:type="dxa"/>
            <w:vAlign w:val="bottom"/>
            <w:gridSpan w:val="2"/>
          </w:tcPr>
          <w:p>
            <w:pPr>
              <w:ind w:left="260"/>
              <w:spacing w:after="0"/>
              <w:rPr>
                <w:sz w:val="20"/>
                <w:szCs w:val="20"/>
                <w:color w:val="auto"/>
              </w:rPr>
            </w:pPr>
            <w:r>
              <w:rPr>
                <w:rFonts w:ascii="Arial" w:cs="Arial" w:eastAsia="Arial" w:hAnsi="Arial"/>
                <w:sz w:val="14"/>
                <w:szCs w:val="14"/>
                <w:b w:val="1"/>
                <w:bCs w:val="1"/>
                <w:color w:val="auto"/>
              </w:rPr>
              <w:t>2Q19</w:t>
            </w:r>
          </w:p>
        </w:tc>
        <w:tc>
          <w:tcPr>
            <w:tcW w:w="760" w:type="dxa"/>
            <w:vAlign w:val="bottom"/>
          </w:tcPr>
          <w:p>
            <w:pPr>
              <w:jc w:val="right"/>
              <w:ind w:right="24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260"/>
              <w:spacing w:after="0"/>
              <w:rPr>
                <w:sz w:val="20"/>
                <w:szCs w:val="20"/>
                <w:color w:val="auto"/>
              </w:rPr>
            </w:pPr>
            <w:r>
              <w:rPr>
                <w:rFonts w:ascii="Arial" w:cs="Arial" w:eastAsia="Arial" w:hAnsi="Arial"/>
                <w:sz w:val="14"/>
                <w:szCs w:val="14"/>
                <w:b w:val="1"/>
                <w:bCs w:val="1"/>
                <w:color w:val="auto"/>
              </w:rPr>
              <w:t>1Q19</w:t>
            </w:r>
          </w:p>
        </w:tc>
        <w:tc>
          <w:tcPr>
            <w:tcW w:w="760" w:type="dxa"/>
            <w:vAlign w:val="bottom"/>
          </w:tcPr>
          <w:p>
            <w:pPr>
              <w:jc w:val="right"/>
              <w:ind w:right="24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040" w:type="dxa"/>
            <w:vAlign w:val="bottom"/>
            <w:gridSpan w:val="2"/>
          </w:tcPr>
          <w:p>
            <w:pPr>
              <w:ind w:left="260"/>
              <w:spacing w:after="0"/>
              <w:rPr>
                <w:sz w:val="20"/>
                <w:szCs w:val="20"/>
                <w:color w:val="auto"/>
              </w:rPr>
            </w:pPr>
            <w:r>
              <w:rPr>
                <w:rFonts w:ascii="Arial" w:cs="Arial" w:eastAsia="Arial" w:hAnsi="Arial"/>
                <w:sz w:val="14"/>
                <w:szCs w:val="14"/>
                <w:b w:val="1"/>
                <w:bCs w:val="1"/>
                <w:color w:val="auto"/>
              </w:rPr>
              <w:t>2Q20</w:t>
            </w:r>
          </w:p>
        </w:tc>
        <w:tc>
          <w:tcPr>
            <w:tcW w:w="760" w:type="dxa"/>
            <w:vAlign w:val="bottom"/>
          </w:tcPr>
          <w:p>
            <w:pPr>
              <w:jc w:val="right"/>
              <w:ind w:right="22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220" w:type="dxa"/>
            <w:vAlign w:val="bottom"/>
            <w:gridSpan w:val="3"/>
          </w:tcPr>
          <w:p>
            <w:pPr>
              <w:ind w:left="240"/>
              <w:spacing w:after="0"/>
              <w:rPr>
                <w:sz w:val="20"/>
                <w:szCs w:val="20"/>
                <w:color w:val="auto"/>
              </w:rPr>
            </w:pPr>
            <w:r>
              <w:rPr>
                <w:rFonts w:ascii="Arial" w:cs="Arial" w:eastAsia="Arial" w:hAnsi="Arial"/>
                <w:sz w:val="14"/>
                <w:szCs w:val="14"/>
                <w:b w:val="1"/>
                <w:bCs w:val="1"/>
                <w:color w:val="auto"/>
              </w:rPr>
              <w:t>QoQ</w:t>
            </w:r>
          </w:p>
        </w:tc>
        <w:tc>
          <w:tcPr>
            <w:tcW w:w="700" w:type="dxa"/>
            <w:vAlign w:val="bottom"/>
            <w:gridSpan w:val="2"/>
          </w:tcPr>
          <w:p>
            <w:pPr>
              <w:jc w:val="right"/>
              <w:ind w:right="329"/>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20"/>
        </w:trPr>
        <w:tc>
          <w:tcPr>
            <w:tcW w:w="700" w:type="dxa"/>
            <w:vAlign w:val="bottom"/>
            <w:vMerge w:val="restart"/>
            <w:shd w:val="clear" w:color="auto" w:fill="CCEEFF"/>
          </w:tcPr>
          <w:p>
            <w:pPr>
              <w:jc w:val="center"/>
              <w:spacing w:after="0" w:line="137" w:lineRule="exact"/>
              <w:rPr>
                <w:sz w:val="20"/>
                <w:szCs w:val="20"/>
                <w:color w:val="auto"/>
              </w:rPr>
            </w:pPr>
            <w:r>
              <w:rPr>
                <w:rFonts w:ascii="Arial" w:cs="Arial" w:eastAsia="Arial" w:hAnsi="Arial"/>
                <w:sz w:val="14"/>
                <w:szCs w:val="14"/>
                <w:b w:val="1"/>
                <w:bCs w:val="1"/>
                <w:color w:val="auto"/>
                <w:w w:val="94"/>
              </w:rPr>
              <w:t>Traditional</w:t>
            </w:r>
          </w:p>
        </w:tc>
        <w:tc>
          <w:tcPr>
            <w:tcW w:w="180" w:type="dxa"/>
            <w:vAlign w:val="bottom"/>
            <w:shd w:val="clear" w:color="auto" w:fill="CCEEFF"/>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00" w:type="dxa"/>
            <w:vAlign w:val="bottom"/>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0" w:type="dxa"/>
            <w:vAlign w:val="bottom"/>
            <w:shd w:val="clear" w:color="auto" w:fill="CCEEFF"/>
          </w:tcPr>
          <w:p>
            <w:pPr>
              <w:ind w:left="60"/>
              <w:spacing w:after="0" w:line="118" w:lineRule="exact"/>
              <w:rPr>
                <w:sz w:val="20"/>
                <w:szCs w:val="20"/>
                <w:color w:val="auto"/>
              </w:rPr>
            </w:pPr>
            <w:r>
              <w:rPr>
                <w:rFonts w:ascii="Arial" w:cs="Arial" w:eastAsia="Arial" w:hAnsi="Arial"/>
                <w:sz w:val="13"/>
                <w:szCs w:val="13"/>
                <w:color w:val="auto"/>
              </w:rPr>
              <w:t>Teller</w:t>
            </w:r>
          </w:p>
        </w:tc>
        <w:tc>
          <w:tcPr>
            <w:tcW w:w="100" w:type="dxa"/>
            <w:vAlign w:val="bottom"/>
            <w:vMerge w:val="continue"/>
            <w:shd w:val="clear" w:color="auto" w:fill="CCEEFF"/>
          </w:tcPr>
          <w:p>
            <w:pPr>
              <w:spacing w:after="0"/>
              <w:rPr>
                <w:sz w:val="10"/>
                <w:szCs w:val="10"/>
                <w:color w:val="auto"/>
              </w:rPr>
            </w:pPr>
          </w:p>
        </w:tc>
        <w:tc>
          <w:tcPr>
            <w:tcW w:w="820" w:type="dxa"/>
            <w:vAlign w:val="bottom"/>
            <w:shd w:val="clear" w:color="auto" w:fill="CCEEFF"/>
          </w:tcPr>
          <w:p>
            <w:pPr>
              <w:ind w:left="260"/>
              <w:spacing w:after="0" w:line="118" w:lineRule="exact"/>
              <w:rPr>
                <w:sz w:val="20"/>
                <w:szCs w:val="20"/>
                <w:color w:val="auto"/>
              </w:rPr>
            </w:pPr>
            <w:r>
              <w:rPr>
                <w:rFonts w:ascii="Arial" w:cs="Arial" w:eastAsia="Arial" w:hAnsi="Arial"/>
                <w:sz w:val="13"/>
                <w:szCs w:val="13"/>
                <w:color w:val="auto"/>
                <w:w w:val="93"/>
              </w:rPr>
              <w:t>7,742,591</w:t>
            </w:r>
          </w:p>
        </w:tc>
        <w:tc>
          <w:tcPr>
            <w:tcW w:w="220" w:type="dxa"/>
            <w:vAlign w:val="bottom"/>
            <w:vMerge w:val="continue"/>
            <w:shd w:val="clear" w:color="auto" w:fill="CCEEFF"/>
          </w:tcPr>
          <w:p>
            <w:pPr>
              <w:spacing w:after="0"/>
              <w:rPr>
                <w:sz w:val="10"/>
                <w:szCs w:val="10"/>
                <w:color w:val="auto"/>
              </w:rPr>
            </w:pPr>
          </w:p>
        </w:tc>
        <w:tc>
          <w:tcPr>
            <w:tcW w:w="900" w:type="dxa"/>
            <w:vAlign w:val="bottom"/>
            <w:gridSpan w:val="2"/>
            <w:shd w:val="clear" w:color="auto" w:fill="CCEEFF"/>
          </w:tcPr>
          <w:p>
            <w:pPr>
              <w:jc w:val="right"/>
              <w:spacing w:after="0" w:line="118" w:lineRule="exact"/>
              <w:rPr>
                <w:sz w:val="20"/>
                <w:szCs w:val="20"/>
                <w:color w:val="auto"/>
              </w:rPr>
            </w:pPr>
            <w:r>
              <w:rPr>
                <w:rFonts w:ascii="Arial" w:cs="Arial" w:eastAsia="Arial" w:hAnsi="Arial"/>
                <w:sz w:val="13"/>
                <w:szCs w:val="13"/>
                <w:color w:val="auto"/>
              </w:rPr>
              <w:t>4.0%</w:t>
            </w:r>
          </w:p>
        </w:tc>
        <w:tc>
          <w:tcPr>
            <w:tcW w:w="100" w:type="dxa"/>
            <w:vAlign w:val="bottom"/>
            <w:vMerge w:val="continue"/>
            <w:shd w:val="clear" w:color="auto" w:fill="CCEEFF"/>
          </w:tcPr>
          <w:p>
            <w:pPr>
              <w:spacing w:after="0"/>
              <w:rPr>
                <w:sz w:val="10"/>
                <w:szCs w:val="10"/>
                <w:color w:val="auto"/>
              </w:rPr>
            </w:pPr>
          </w:p>
        </w:tc>
        <w:tc>
          <w:tcPr>
            <w:tcW w:w="840" w:type="dxa"/>
            <w:vAlign w:val="bottom"/>
            <w:shd w:val="clear" w:color="auto" w:fill="CCEEFF"/>
          </w:tcPr>
          <w:p>
            <w:pPr>
              <w:jc w:val="right"/>
              <w:spacing w:after="0" w:line="118" w:lineRule="exact"/>
              <w:rPr>
                <w:sz w:val="20"/>
                <w:szCs w:val="20"/>
                <w:color w:val="auto"/>
              </w:rPr>
            </w:pPr>
            <w:r>
              <w:rPr>
                <w:rFonts w:ascii="Arial" w:cs="Arial" w:eastAsia="Arial" w:hAnsi="Arial"/>
                <w:sz w:val="13"/>
                <w:szCs w:val="13"/>
                <w:color w:val="auto"/>
              </w:rPr>
              <w:t>6,699,584</w:t>
            </w:r>
          </w:p>
        </w:tc>
        <w:tc>
          <w:tcPr>
            <w:tcW w:w="200" w:type="dxa"/>
            <w:vAlign w:val="bottom"/>
            <w:vMerge w:val="continue"/>
            <w:shd w:val="clear" w:color="auto" w:fill="CCEEFF"/>
          </w:tcPr>
          <w:p>
            <w:pPr>
              <w:spacing w:after="0"/>
              <w:rPr>
                <w:sz w:val="10"/>
                <w:szCs w:val="10"/>
                <w:color w:val="auto"/>
              </w:rPr>
            </w:pPr>
          </w:p>
        </w:tc>
        <w:tc>
          <w:tcPr>
            <w:tcW w:w="1000" w:type="dxa"/>
            <w:vAlign w:val="bottom"/>
            <w:gridSpan w:val="2"/>
            <w:shd w:val="clear" w:color="auto" w:fill="CCEEFF"/>
          </w:tcPr>
          <w:p>
            <w:pPr>
              <w:jc w:val="right"/>
              <w:ind w:right="49"/>
              <w:spacing w:after="0" w:line="118" w:lineRule="exact"/>
              <w:rPr>
                <w:sz w:val="20"/>
                <w:szCs w:val="20"/>
                <w:color w:val="auto"/>
              </w:rPr>
            </w:pPr>
            <w:r>
              <w:rPr>
                <w:rFonts w:ascii="Arial" w:cs="Arial" w:eastAsia="Arial" w:hAnsi="Arial"/>
                <w:sz w:val="13"/>
                <w:szCs w:val="13"/>
                <w:color w:val="auto"/>
              </w:rPr>
              <w:t>2.9%</w:t>
            </w:r>
          </w:p>
        </w:tc>
        <w:tc>
          <w:tcPr>
            <w:tcW w:w="840" w:type="dxa"/>
            <w:vAlign w:val="bottom"/>
            <w:shd w:val="clear" w:color="auto" w:fill="CCEEFF"/>
          </w:tcPr>
          <w:p>
            <w:pPr>
              <w:jc w:val="right"/>
              <w:spacing w:after="0" w:line="118" w:lineRule="exact"/>
              <w:rPr>
                <w:sz w:val="20"/>
                <w:szCs w:val="20"/>
                <w:color w:val="auto"/>
              </w:rPr>
            </w:pPr>
            <w:r>
              <w:rPr>
                <w:rFonts w:ascii="Arial" w:cs="Arial" w:eastAsia="Arial" w:hAnsi="Arial"/>
                <w:sz w:val="13"/>
                <w:szCs w:val="13"/>
                <w:color w:val="auto"/>
              </w:rPr>
              <w:t>3,038,449</w:t>
            </w:r>
          </w:p>
        </w:tc>
        <w:tc>
          <w:tcPr>
            <w:tcW w:w="200" w:type="dxa"/>
            <w:vAlign w:val="bottom"/>
            <w:vMerge w:val="continue"/>
            <w:shd w:val="clear" w:color="auto" w:fill="CCEEFF"/>
          </w:tcPr>
          <w:p>
            <w:pPr>
              <w:spacing w:after="0"/>
              <w:rPr>
                <w:sz w:val="10"/>
                <w:szCs w:val="10"/>
                <w:color w:val="auto"/>
              </w:rPr>
            </w:pPr>
          </w:p>
        </w:tc>
        <w:tc>
          <w:tcPr>
            <w:tcW w:w="1020" w:type="dxa"/>
            <w:vAlign w:val="bottom"/>
            <w:gridSpan w:val="2"/>
            <w:shd w:val="clear" w:color="auto" w:fill="CCEEFF"/>
          </w:tcPr>
          <w:p>
            <w:pPr>
              <w:jc w:val="right"/>
              <w:ind w:right="69"/>
              <w:spacing w:after="0" w:line="118" w:lineRule="exact"/>
              <w:rPr>
                <w:sz w:val="20"/>
                <w:szCs w:val="20"/>
                <w:color w:val="auto"/>
              </w:rPr>
            </w:pPr>
            <w:r>
              <w:rPr>
                <w:rFonts w:ascii="Arial" w:cs="Arial" w:eastAsia="Arial" w:hAnsi="Arial"/>
                <w:sz w:val="13"/>
                <w:szCs w:val="13"/>
                <w:color w:val="auto"/>
              </w:rPr>
              <w:t>1.3%</w:t>
            </w:r>
          </w:p>
        </w:tc>
        <w:tc>
          <w:tcPr>
            <w:tcW w:w="1020" w:type="dxa"/>
            <w:vAlign w:val="bottom"/>
            <w:gridSpan w:val="2"/>
            <w:shd w:val="clear" w:color="auto" w:fill="CCEEFF"/>
          </w:tcPr>
          <w:p>
            <w:pPr>
              <w:jc w:val="right"/>
              <w:ind w:right="69"/>
              <w:spacing w:after="0" w:line="118" w:lineRule="exact"/>
              <w:rPr>
                <w:sz w:val="20"/>
                <w:szCs w:val="20"/>
                <w:color w:val="auto"/>
              </w:rPr>
            </w:pPr>
            <w:r>
              <w:rPr>
                <w:rFonts w:ascii="Arial" w:cs="Arial" w:eastAsia="Arial" w:hAnsi="Arial"/>
                <w:sz w:val="13"/>
                <w:szCs w:val="13"/>
                <w:color w:val="auto"/>
              </w:rPr>
              <w:t>-54.6%</w:t>
            </w:r>
          </w:p>
        </w:tc>
        <w:tc>
          <w:tcPr>
            <w:tcW w:w="2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spacing w:after="0" w:line="118" w:lineRule="exact"/>
              <w:rPr>
                <w:sz w:val="20"/>
                <w:szCs w:val="20"/>
                <w:color w:val="auto"/>
              </w:rPr>
            </w:pPr>
            <w:r>
              <w:rPr>
                <w:rFonts w:ascii="Arial" w:cs="Arial" w:eastAsia="Arial" w:hAnsi="Arial"/>
                <w:sz w:val="13"/>
                <w:szCs w:val="13"/>
                <w:color w:val="auto"/>
              </w:rPr>
              <w:t>-60.8%</w:t>
            </w:r>
          </w:p>
        </w:tc>
        <w:tc>
          <w:tcPr>
            <w:tcW w:w="0" w:type="dxa"/>
            <w:vAlign w:val="bottom"/>
          </w:tcPr>
          <w:p>
            <w:pPr>
              <w:spacing w:after="0"/>
              <w:rPr>
                <w:sz w:val="1"/>
                <w:szCs w:val="1"/>
                <w:color w:val="auto"/>
              </w:rPr>
            </w:pPr>
          </w:p>
        </w:tc>
      </w:tr>
      <w:tr>
        <w:trPr>
          <w:trHeight w:val="169"/>
        </w:trPr>
        <w:tc>
          <w:tcPr>
            <w:tcW w:w="7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8"/>
              </w:rPr>
              <w:t>channels</w:t>
            </w:r>
          </w:p>
        </w:tc>
        <w:tc>
          <w:tcPr>
            <w:tcW w:w="18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Telephone banking</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4,689,830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4,354,138</w:t>
            </w:r>
          </w:p>
        </w:tc>
        <w:tc>
          <w:tcPr>
            <w:tcW w:w="100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1.9%</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4,783,305</w:t>
            </w:r>
          </w:p>
        </w:tc>
        <w:tc>
          <w:tcPr>
            <w:tcW w:w="102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2.1%</w:t>
            </w:r>
          </w:p>
        </w:tc>
        <w:tc>
          <w:tcPr>
            <w:tcW w:w="102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9.9%</w:t>
            </w: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24"/>
        </w:trPr>
        <w:tc>
          <w:tcPr>
            <w:tcW w:w="7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7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efficient</w:t>
            </w:r>
          </w:p>
        </w:tc>
        <w:tc>
          <w:tcPr>
            <w:tcW w:w="180" w:type="dxa"/>
            <w:vAlign w:val="bottom"/>
          </w:tcPr>
          <w:p>
            <w:pPr>
              <w:spacing w:after="0"/>
              <w:rPr>
                <w:sz w:val="12"/>
                <w:szCs w:val="12"/>
                <w:color w:val="auto"/>
              </w:rPr>
            </w:pPr>
          </w:p>
        </w:tc>
        <w:tc>
          <w:tcPr>
            <w:tcW w:w="2300" w:type="dxa"/>
            <w:vAlign w:val="bottom"/>
            <w:gridSpan w:val="2"/>
          </w:tcPr>
          <w:p>
            <w:pPr>
              <w:ind w:left="60"/>
              <w:spacing w:after="0" w:line="147" w:lineRule="exact"/>
              <w:rPr>
                <w:sz w:val="20"/>
                <w:szCs w:val="20"/>
                <w:color w:val="auto"/>
              </w:rPr>
            </w:pPr>
            <w:r>
              <w:rPr>
                <w:rFonts w:ascii="Arial" w:cs="Arial" w:eastAsia="Arial" w:hAnsi="Arial"/>
                <w:sz w:val="14"/>
                <w:szCs w:val="14"/>
                <w:color w:val="auto"/>
              </w:rPr>
              <w:t>Agentes BCP</w:t>
            </w:r>
          </w:p>
        </w:tc>
        <w:tc>
          <w:tcPr>
            <w:tcW w:w="104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27,012,231</w:t>
            </w:r>
          </w:p>
        </w:tc>
        <w:tc>
          <w:tcPr>
            <w:tcW w:w="9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14.1%</w:t>
            </w:r>
          </w:p>
        </w:tc>
        <w:tc>
          <w:tcPr>
            <w:tcW w:w="1140" w:type="dxa"/>
            <w:vAlign w:val="bottom"/>
            <w:gridSpan w:val="3"/>
          </w:tcPr>
          <w:p>
            <w:pPr>
              <w:jc w:val="right"/>
              <w:ind w:right="200"/>
              <w:spacing w:after="0" w:line="147" w:lineRule="exact"/>
              <w:rPr>
                <w:sz w:val="20"/>
                <w:szCs w:val="20"/>
                <w:color w:val="auto"/>
              </w:rPr>
            </w:pPr>
            <w:r>
              <w:rPr>
                <w:rFonts w:ascii="Arial" w:cs="Arial" w:eastAsia="Arial" w:hAnsi="Arial"/>
                <w:sz w:val="14"/>
                <w:szCs w:val="14"/>
                <w:color w:val="auto"/>
              </w:rPr>
              <w:t>28,285,371</w:t>
            </w:r>
          </w:p>
        </w:tc>
        <w:tc>
          <w:tcPr>
            <w:tcW w:w="1000" w:type="dxa"/>
            <w:vAlign w:val="bottom"/>
            <w:gridSpan w:val="2"/>
          </w:tcPr>
          <w:p>
            <w:pPr>
              <w:jc w:val="right"/>
              <w:ind w:right="49"/>
              <w:spacing w:after="0" w:line="147" w:lineRule="exact"/>
              <w:rPr>
                <w:sz w:val="20"/>
                <w:szCs w:val="20"/>
                <w:color w:val="auto"/>
              </w:rPr>
            </w:pPr>
            <w:r>
              <w:rPr>
                <w:rFonts w:ascii="Arial" w:cs="Arial" w:eastAsia="Arial" w:hAnsi="Arial"/>
                <w:sz w:val="14"/>
                <w:szCs w:val="14"/>
                <w:color w:val="auto"/>
              </w:rPr>
              <w:t>12.2%</w:t>
            </w:r>
          </w:p>
        </w:tc>
        <w:tc>
          <w:tcPr>
            <w:tcW w:w="104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21,618,091</w:t>
            </w:r>
          </w:p>
        </w:tc>
        <w:tc>
          <w:tcPr>
            <w:tcW w:w="102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9.4%</w:t>
            </w:r>
          </w:p>
        </w:tc>
        <w:tc>
          <w:tcPr>
            <w:tcW w:w="102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-23.6%</w:t>
            </w:r>
          </w:p>
        </w:tc>
        <w:tc>
          <w:tcPr>
            <w:tcW w:w="200" w:type="dxa"/>
            <w:vAlign w:val="bottom"/>
          </w:tcPr>
          <w:p>
            <w:pPr>
              <w:spacing w:after="0"/>
              <w:rPr>
                <w:sz w:val="12"/>
                <w:szCs w:val="12"/>
                <w:color w:val="auto"/>
              </w:rPr>
            </w:pPr>
          </w:p>
        </w:tc>
        <w:tc>
          <w:tcPr>
            <w:tcW w:w="7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69"/>
        </w:trPr>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channels</w:t>
            </w:r>
          </w:p>
        </w:tc>
        <w:tc>
          <w:tcPr>
            <w:tcW w:w="180" w:type="dxa"/>
            <w:vAlign w:val="bottom"/>
          </w:tcPr>
          <w:p>
            <w:pPr>
              <w:spacing w:after="0"/>
              <w:rPr>
                <w:sz w:val="14"/>
                <w:szCs w:val="14"/>
                <w:color w:val="auto"/>
              </w:rPr>
            </w:pPr>
          </w:p>
        </w:tc>
        <w:tc>
          <w:tcPr>
            <w:tcW w:w="2300" w:type="dxa"/>
            <w:vAlign w:val="bottom"/>
            <w:gridSpan w:val="2"/>
          </w:tcPr>
          <w:p>
            <w:pPr>
              <w:ind w:left="60"/>
              <w:spacing w:after="0"/>
              <w:rPr>
                <w:sz w:val="20"/>
                <w:szCs w:val="20"/>
                <w:color w:val="auto"/>
              </w:rPr>
            </w:pPr>
            <w:r>
              <w:rPr>
                <w:rFonts w:ascii="Arial" w:cs="Arial" w:eastAsia="Arial" w:hAnsi="Arial"/>
                <w:sz w:val="14"/>
                <w:szCs w:val="14"/>
                <w:color w:val="auto"/>
              </w:rPr>
              <w:t>ATMs</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24,685,223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12.9%</w:t>
            </w:r>
          </w:p>
        </w:tc>
        <w:tc>
          <w:tcPr>
            <w:tcW w:w="1140" w:type="dxa"/>
            <w:vAlign w:val="bottom"/>
            <w:gridSpan w:val="3"/>
          </w:tcPr>
          <w:p>
            <w:pPr>
              <w:jc w:val="right"/>
              <w:ind w:right="200"/>
              <w:spacing w:after="0"/>
              <w:rPr>
                <w:sz w:val="20"/>
                <w:szCs w:val="20"/>
                <w:color w:val="auto"/>
              </w:rPr>
            </w:pPr>
            <w:r>
              <w:rPr>
                <w:rFonts w:ascii="Arial" w:cs="Arial" w:eastAsia="Arial" w:hAnsi="Arial"/>
                <w:sz w:val="14"/>
                <w:szCs w:val="14"/>
                <w:color w:val="auto"/>
              </w:rPr>
              <w:t>21,110,659</w:t>
            </w:r>
          </w:p>
        </w:tc>
        <w:tc>
          <w:tcPr>
            <w:tcW w:w="1000" w:type="dxa"/>
            <w:vAlign w:val="bottom"/>
            <w:gridSpan w:val="2"/>
          </w:tcPr>
          <w:p>
            <w:pPr>
              <w:jc w:val="right"/>
              <w:ind w:right="49"/>
              <w:spacing w:after="0"/>
              <w:rPr>
                <w:sz w:val="20"/>
                <w:szCs w:val="20"/>
                <w:color w:val="auto"/>
              </w:rPr>
            </w:pPr>
            <w:r>
              <w:rPr>
                <w:rFonts w:ascii="Arial" w:cs="Arial" w:eastAsia="Arial" w:hAnsi="Arial"/>
                <w:sz w:val="14"/>
                <w:szCs w:val="14"/>
                <w:color w:val="auto"/>
              </w:rPr>
              <w:t>9.1%</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9,944,206</w:t>
            </w:r>
          </w:p>
        </w:tc>
        <w:tc>
          <w:tcPr>
            <w:tcW w:w="1020" w:type="dxa"/>
            <w:vAlign w:val="bottom"/>
            <w:gridSpan w:val="2"/>
          </w:tcPr>
          <w:p>
            <w:pPr>
              <w:jc w:val="right"/>
              <w:ind w:right="69"/>
              <w:spacing w:after="0"/>
              <w:rPr>
                <w:sz w:val="20"/>
                <w:szCs w:val="20"/>
                <w:color w:val="auto"/>
              </w:rPr>
            </w:pPr>
            <w:r>
              <w:rPr>
                <w:rFonts w:ascii="Arial" w:cs="Arial" w:eastAsia="Arial" w:hAnsi="Arial"/>
                <w:sz w:val="14"/>
                <w:szCs w:val="14"/>
                <w:color w:val="auto"/>
              </w:rPr>
              <w:t>4.3%</w:t>
            </w:r>
          </w:p>
        </w:tc>
        <w:tc>
          <w:tcPr>
            <w:tcW w:w="1020" w:type="dxa"/>
            <w:vAlign w:val="bottom"/>
            <w:gridSpan w:val="2"/>
          </w:tcPr>
          <w:p>
            <w:pPr>
              <w:jc w:val="right"/>
              <w:ind w:right="69"/>
              <w:spacing w:after="0"/>
              <w:rPr>
                <w:sz w:val="20"/>
                <w:szCs w:val="20"/>
                <w:color w:val="auto"/>
              </w:rPr>
            </w:pPr>
            <w:r>
              <w:rPr>
                <w:rFonts w:ascii="Arial" w:cs="Arial" w:eastAsia="Arial" w:hAnsi="Arial"/>
                <w:sz w:val="14"/>
                <w:szCs w:val="14"/>
                <w:color w:val="auto"/>
              </w:rPr>
              <w:t>-52.9%</w:t>
            </w:r>
          </w:p>
        </w:tc>
        <w:tc>
          <w:tcPr>
            <w:tcW w:w="2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-59.7%</w:t>
            </w:r>
          </w:p>
        </w:tc>
        <w:tc>
          <w:tcPr>
            <w:tcW w:w="0" w:type="dxa"/>
            <w:vAlign w:val="bottom"/>
          </w:tcPr>
          <w:p>
            <w:pPr>
              <w:spacing w:after="0"/>
              <w:rPr>
                <w:sz w:val="1"/>
                <w:szCs w:val="1"/>
                <w:color w:val="auto"/>
              </w:rPr>
            </w:pPr>
          </w:p>
        </w:tc>
      </w:tr>
      <w:tr>
        <w:trPr>
          <w:trHeight w:val="128"/>
        </w:trPr>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8"/>
              </w:rPr>
              <w:t>Digital</w:t>
            </w:r>
          </w:p>
        </w:tc>
        <w:tc>
          <w:tcPr>
            <w:tcW w:w="180" w:type="dxa"/>
            <w:vAlign w:val="bottom"/>
            <w:shd w:val="clear" w:color="auto" w:fill="CCEEFF"/>
          </w:tcPr>
          <w:p>
            <w:pPr>
              <w:spacing w:after="0"/>
              <w:rPr>
                <w:sz w:val="11"/>
                <w:szCs w:val="11"/>
                <w:color w:val="auto"/>
              </w:rPr>
            </w:pPr>
          </w:p>
        </w:tc>
        <w:tc>
          <w:tcPr>
            <w:tcW w:w="2300" w:type="dxa"/>
            <w:vAlign w:val="bottom"/>
            <w:gridSpan w:val="2"/>
            <w:shd w:val="clear" w:color="auto" w:fill="CCEEFF"/>
          </w:tcPr>
          <w:p>
            <w:pPr>
              <w:ind w:left="60"/>
              <w:spacing w:after="0" w:line="129" w:lineRule="exact"/>
              <w:rPr>
                <w:sz w:val="20"/>
                <w:szCs w:val="20"/>
                <w:color w:val="auto"/>
              </w:rPr>
            </w:pPr>
            <w:r>
              <w:rPr>
                <w:rFonts w:ascii="Arial" w:cs="Arial" w:eastAsia="Arial" w:hAnsi="Arial"/>
                <w:sz w:val="14"/>
                <w:szCs w:val="14"/>
                <w:color w:val="auto"/>
              </w:rPr>
              <w:t>Mobile banking</w:t>
            </w:r>
          </w:p>
        </w:tc>
        <w:tc>
          <w:tcPr>
            <w:tcW w:w="104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4"/>
                <w:szCs w:val="14"/>
                <w:color w:val="auto"/>
              </w:rPr>
              <w:t>81,062,483</w:t>
            </w:r>
          </w:p>
        </w:tc>
        <w:tc>
          <w:tcPr>
            <w:tcW w:w="9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42.2%</w:t>
            </w:r>
          </w:p>
        </w:tc>
        <w:tc>
          <w:tcPr>
            <w:tcW w:w="1140" w:type="dxa"/>
            <w:vAlign w:val="bottom"/>
            <w:gridSpan w:val="3"/>
            <w:shd w:val="clear" w:color="auto" w:fill="CCEEFF"/>
          </w:tcPr>
          <w:p>
            <w:pPr>
              <w:jc w:val="right"/>
              <w:ind w:right="200"/>
              <w:spacing w:after="0" w:line="129" w:lineRule="exact"/>
              <w:rPr>
                <w:sz w:val="20"/>
                <w:szCs w:val="20"/>
                <w:color w:val="auto"/>
              </w:rPr>
            </w:pPr>
            <w:r>
              <w:rPr>
                <w:rFonts w:ascii="Arial" w:cs="Arial" w:eastAsia="Arial" w:hAnsi="Arial"/>
                <w:sz w:val="14"/>
                <w:szCs w:val="14"/>
                <w:color w:val="auto"/>
              </w:rPr>
              <w:t>114,479,895</w:t>
            </w:r>
          </w:p>
        </w:tc>
        <w:tc>
          <w:tcPr>
            <w:tcW w:w="1000" w:type="dxa"/>
            <w:vAlign w:val="bottom"/>
            <w:gridSpan w:val="2"/>
            <w:shd w:val="clear" w:color="auto" w:fill="CCEEFF"/>
          </w:tcPr>
          <w:p>
            <w:pPr>
              <w:jc w:val="right"/>
              <w:ind w:right="49"/>
              <w:spacing w:after="0" w:line="129" w:lineRule="exact"/>
              <w:rPr>
                <w:sz w:val="20"/>
                <w:szCs w:val="20"/>
                <w:color w:val="auto"/>
              </w:rPr>
            </w:pPr>
            <w:r>
              <w:rPr>
                <w:rFonts w:ascii="Arial" w:cs="Arial" w:eastAsia="Arial" w:hAnsi="Arial"/>
                <w:sz w:val="14"/>
                <w:szCs w:val="14"/>
                <w:color w:val="auto"/>
              </w:rPr>
              <w:t>49.4%</w:t>
            </w:r>
          </w:p>
        </w:tc>
        <w:tc>
          <w:tcPr>
            <w:tcW w:w="104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4"/>
                <w:szCs w:val="14"/>
                <w:color w:val="auto"/>
              </w:rPr>
              <w:t>138,411,476</w:t>
            </w:r>
          </w:p>
        </w:tc>
        <w:tc>
          <w:tcPr>
            <w:tcW w:w="1020" w:type="dxa"/>
            <w:vAlign w:val="bottom"/>
            <w:gridSpan w:val="2"/>
            <w:shd w:val="clear" w:color="auto" w:fill="CCEEFF"/>
          </w:tcPr>
          <w:p>
            <w:pPr>
              <w:jc w:val="right"/>
              <w:ind w:right="69"/>
              <w:spacing w:after="0" w:line="129" w:lineRule="exact"/>
              <w:rPr>
                <w:sz w:val="20"/>
                <w:szCs w:val="20"/>
                <w:color w:val="auto"/>
              </w:rPr>
            </w:pPr>
            <w:r>
              <w:rPr>
                <w:rFonts w:ascii="Arial" w:cs="Arial" w:eastAsia="Arial" w:hAnsi="Arial"/>
                <w:sz w:val="14"/>
                <w:szCs w:val="14"/>
                <w:color w:val="auto"/>
              </w:rPr>
              <w:t>59.9%</w:t>
            </w:r>
          </w:p>
        </w:tc>
        <w:tc>
          <w:tcPr>
            <w:tcW w:w="1020" w:type="dxa"/>
            <w:vAlign w:val="bottom"/>
            <w:gridSpan w:val="2"/>
            <w:shd w:val="clear" w:color="auto" w:fill="CCEEFF"/>
          </w:tcPr>
          <w:p>
            <w:pPr>
              <w:jc w:val="right"/>
              <w:ind w:right="69"/>
              <w:spacing w:after="0" w:line="129" w:lineRule="exact"/>
              <w:rPr>
                <w:sz w:val="20"/>
                <w:szCs w:val="20"/>
                <w:color w:val="auto"/>
              </w:rPr>
            </w:pPr>
            <w:r>
              <w:rPr>
                <w:rFonts w:ascii="Arial" w:cs="Arial" w:eastAsia="Arial" w:hAnsi="Arial"/>
                <w:sz w:val="14"/>
                <w:szCs w:val="14"/>
                <w:color w:val="auto"/>
              </w:rPr>
              <w:t>20.9%</w:t>
            </w:r>
          </w:p>
        </w:tc>
        <w:tc>
          <w:tcPr>
            <w:tcW w:w="2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143"/>
        </w:trPr>
        <w:tc>
          <w:tcPr>
            <w:tcW w:w="70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ind w:left="60"/>
              <w:spacing w:after="0" w:line="143" w:lineRule="exact"/>
              <w:rPr>
                <w:sz w:val="20"/>
                <w:szCs w:val="20"/>
                <w:color w:val="auto"/>
              </w:rPr>
            </w:pPr>
            <w:r>
              <w:rPr>
                <w:rFonts w:ascii="Arial" w:cs="Arial" w:eastAsia="Arial" w:hAnsi="Arial"/>
                <w:sz w:val="14"/>
                <w:szCs w:val="14"/>
                <w:color w:val="auto"/>
              </w:rPr>
              <w:t>Internet banking Via BCP</w:t>
            </w:r>
          </w:p>
        </w:tc>
        <w:tc>
          <w:tcPr>
            <w:tcW w:w="10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16,150,532</w:t>
            </w:r>
          </w:p>
        </w:tc>
        <w:tc>
          <w:tcPr>
            <w:tcW w:w="9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8.4%</w:t>
            </w:r>
          </w:p>
        </w:tc>
        <w:tc>
          <w:tcPr>
            <w:tcW w:w="1140" w:type="dxa"/>
            <w:vAlign w:val="bottom"/>
            <w:gridSpan w:val="3"/>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22,722,489</w:t>
            </w:r>
          </w:p>
        </w:tc>
        <w:tc>
          <w:tcPr>
            <w:tcW w:w="1000" w:type="dxa"/>
            <w:vAlign w:val="bottom"/>
            <w:gridSpan w:val="2"/>
            <w:shd w:val="clear" w:color="auto" w:fill="CCEEFF"/>
          </w:tcPr>
          <w:p>
            <w:pPr>
              <w:jc w:val="right"/>
              <w:ind w:right="49"/>
              <w:spacing w:after="0" w:line="143" w:lineRule="exact"/>
              <w:rPr>
                <w:sz w:val="20"/>
                <w:szCs w:val="20"/>
                <w:color w:val="auto"/>
              </w:rPr>
            </w:pPr>
            <w:r>
              <w:rPr>
                <w:rFonts w:ascii="Arial" w:cs="Arial" w:eastAsia="Arial" w:hAnsi="Arial"/>
                <w:sz w:val="14"/>
                <w:szCs w:val="14"/>
                <w:color w:val="auto"/>
              </w:rPr>
              <w:t>9.8%</w:t>
            </w:r>
          </w:p>
        </w:tc>
        <w:tc>
          <w:tcPr>
            <w:tcW w:w="10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29,623,195</w:t>
            </w:r>
          </w:p>
        </w:tc>
        <w:tc>
          <w:tcPr>
            <w:tcW w:w="1020" w:type="dxa"/>
            <w:vAlign w:val="bottom"/>
            <w:gridSpan w:val="2"/>
            <w:shd w:val="clear" w:color="auto" w:fill="CCEEFF"/>
          </w:tcPr>
          <w:p>
            <w:pPr>
              <w:jc w:val="right"/>
              <w:ind w:right="69"/>
              <w:spacing w:after="0" w:line="143" w:lineRule="exact"/>
              <w:rPr>
                <w:sz w:val="20"/>
                <w:szCs w:val="20"/>
                <w:color w:val="auto"/>
              </w:rPr>
            </w:pPr>
            <w:r>
              <w:rPr>
                <w:rFonts w:ascii="Arial" w:cs="Arial" w:eastAsia="Arial" w:hAnsi="Arial"/>
                <w:sz w:val="14"/>
                <w:szCs w:val="14"/>
                <w:color w:val="auto"/>
              </w:rPr>
              <w:t>12.8%</w:t>
            </w:r>
          </w:p>
        </w:tc>
        <w:tc>
          <w:tcPr>
            <w:tcW w:w="1020" w:type="dxa"/>
            <w:vAlign w:val="bottom"/>
            <w:gridSpan w:val="2"/>
            <w:shd w:val="clear" w:color="auto" w:fill="CCEEFF"/>
          </w:tcPr>
          <w:p>
            <w:pPr>
              <w:jc w:val="right"/>
              <w:ind w:right="69"/>
              <w:spacing w:after="0" w:line="143" w:lineRule="exact"/>
              <w:rPr>
                <w:sz w:val="20"/>
                <w:szCs w:val="20"/>
                <w:color w:val="auto"/>
              </w:rPr>
            </w:pPr>
            <w:r>
              <w:rPr>
                <w:rFonts w:ascii="Arial" w:cs="Arial" w:eastAsia="Arial" w:hAnsi="Arial"/>
                <w:sz w:val="14"/>
                <w:szCs w:val="14"/>
                <w:color w:val="auto"/>
              </w:rPr>
              <w:t>30.4%</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83.4%</w:t>
            </w:r>
          </w:p>
        </w:tc>
        <w:tc>
          <w:tcPr>
            <w:tcW w:w="0" w:type="dxa"/>
            <w:vAlign w:val="bottom"/>
          </w:tcPr>
          <w:p>
            <w:pPr>
              <w:spacing w:after="0"/>
              <w:rPr>
                <w:sz w:val="1"/>
                <w:szCs w:val="1"/>
                <w:color w:val="auto"/>
              </w:rPr>
            </w:pPr>
          </w:p>
        </w:tc>
      </w:tr>
      <w:tr>
        <w:trPr>
          <w:trHeight w:val="169"/>
        </w:trPr>
        <w:tc>
          <w:tcPr>
            <w:tcW w:w="7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8"/>
              </w:rPr>
              <w:t>channels</w:t>
            </w:r>
          </w:p>
        </w:tc>
        <w:tc>
          <w:tcPr>
            <w:tcW w:w="18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Balance inquiries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1,226,680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991,474</w:t>
            </w:r>
          </w:p>
        </w:tc>
        <w:tc>
          <w:tcPr>
            <w:tcW w:w="100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0.4%</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510,564</w:t>
            </w:r>
          </w:p>
        </w:tc>
        <w:tc>
          <w:tcPr>
            <w:tcW w:w="102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0.2%</w:t>
            </w:r>
          </w:p>
        </w:tc>
        <w:tc>
          <w:tcPr>
            <w:tcW w:w="102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-48.5%</w:t>
            </w: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28"/>
        </w:trPr>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Others</w:t>
            </w:r>
          </w:p>
        </w:tc>
        <w:tc>
          <w:tcPr>
            <w:tcW w:w="180" w:type="dxa"/>
            <w:vAlign w:val="bottom"/>
          </w:tcPr>
          <w:p>
            <w:pPr>
              <w:spacing w:after="0"/>
              <w:rPr>
                <w:sz w:val="11"/>
                <w:szCs w:val="11"/>
                <w:color w:val="auto"/>
              </w:rPr>
            </w:pPr>
          </w:p>
        </w:tc>
        <w:tc>
          <w:tcPr>
            <w:tcW w:w="2300" w:type="dxa"/>
            <w:vAlign w:val="bottom"/>
            <w:gridSpan w:val="2"/>
          </w:tcPr>
          <w:p>
            <w:pPr>
              <w:ind w:left="60"/>
              <w:spacing w:after="0" w:line="129" w:lineRule="exact"/>
              <w:rPr>
                <w:sz w:val="20"/>
                <w:szCs w:val="20"/>
                <w:color w:val="auto"/>
              </w:rPr>
            </w:pPr>
            <w:r>
              <w:rPr>
                <w:rFonts w:ascii="Arial" w:cs="Arial" w:eastAsia="Arial" w:hAnsi="Arial"/>
                <w:sz w:val="14"/>
                <w:szCs w:val="14"/>
                <w:color w:val="auto"/>
              </w:rPr>
              <w:t>Telecrédito</w:t>
            </w:r>
          </w:p>
        </w:tc>
        <w:tc>
          <w:tcPr>
            <w:tcW w:w="104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rPr>
              <w:t>11,785,008</w:t>
            </w:r>
          </w:p>
        </w:tc>
        <w:tc>
          <w:tcPr>
            <w:tcW w:w="90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6.1%</w:t>
            </w:r>
          </w:p>
        </w:tc>
        <w:tc>
          <w:tcPr>
            <w:tcW w:w="1140" w:type="dxa"/>
            <w:vAlign w:val="bottom"/>
            <w:gridSpan w:val="3"/>
          </w:tcPr>
          <w:p>
            <w:pPr>
              <w:jc w:val="right"/>
              <w:ind w:right="200"/>
              <w:spacing w:after="0" w:line="129" w:lineRule="exact"/>
              <w:rPr>
                <w:sz w:val="20"/>
                <w:szCs w:val="20"/>
                <w:color w:val="auto"/>
              </w:rPr>
            </w:pPr>
            <w:r>
              <w:rPr>
                <w:rFonts w:ascii="Arial" w:cs="Arial" w:eastAsia="Arial" w:hAnsi="Arial"/>
                <w:sz w:val="14"/>
                <w:szCs w:val="14"/>
                <w:color w:val="auto"/>
              </w:rPr>
              <w:t>13,571,633</w:t>
            </w:r>
          </w:p>
        </w:tc>
        <w:tc>
          <w:tcPr>
            <w:tcW w:w="1000" w:type="dxa"/>
            <w:vAlign w:val="bottom"/>
            <w:gridSpan w:val="2"/>
          </w:tcPr>
          <w:p>
            <w:pPr>
              <w:jc w:val="right"/>
              <w:ind w:right="49"/>
              <w:spacing w:after="0" w:line="129" w:lineRule="exact"/>
              <w:rPr>
                <w:sz w:val="20"/>
                <w:szCs w:val="20"/>
                <w:color w:val="auto"/>
              </w:rPr>
            </w:pPr>
            <w:r>
              <w:rPr>
                <w:rFonts w:ascii="Arial" w:cs="Arial" w:eastAsia="Arial" w:hAnsi="Arial"/>
                <w:sz w:val="14"/>
                <w:szCs w:val="14"/>
                <w:color w:val="auto"/>
              </w:rPr>
              <w:t>5.9%</w:t>
            </w:r>
          </w:p>
        </w:tc>
        <w:tc>
          <w:tcPr>
            <w:tcW w:w="1040" w:type="dxa"/>
            <w:vAlign w:val="bottom"/>
            <w:gridSpan w:val="2"/>
          </w:tcPr>
          <w:p>
            <w:pPr>
              <w:jc w:val="right"/>
              <w:ind w:right="200"/>
              <w:spacing w:after="0" w:line="129" w:lineRule="exact"/>
              <w:rPr>
                <w:sz w:val="20"/>
                <w:szCs w:val="20"/>
                <w:color w:val="auto"/>
              </w:rPr>
            </w:pPr>
            <w:r>
              <w:rPr>
                <w:rFonts w:ascii="Arial" w:cs="Arial" w:eastAsia="Arial" w:hAnsi="Arial"/>
                <w:sz w:val="14"/>
                <w:szCs w:val="14"/>
                <w:color w:val="auto"/>
              </w:rPr>
              <w:t>9,198,079</w:t>
            </w:r>
          </w:p>
        </w:tc>
        <w:tc>
          <w:tcPr>
            <w:tcW w:w="1020" w:type="dxa"/>
            <w:vAlign w:val="bottom"/>
            <w:gridSpan w:val="2"/>
          </w:tcPr>
          <w:p>
            <w:pPr>
              <w:jc w:val="right"/>
              <w:ind w:right="69"/>
              <w:spacing w:after="0" w:line="129" w:lineRule="exact"/>
              <w:rPr>
                <w:sz w:val="20"/>
                <w:szCs w:val="20"/>
                <w:color w:val="auto"/>
              </w:rPr>
            </w:pPr>
            <w:r>
              <w:rPr>
                <w:rFonts w:ascii="Arial" w:cs="Arial" w:eastAsia="Arial" w:hAnsi="Arial"/>
                <w:sz w:val="14"/>
                <w:szCs w:val="14"/>
                <w:color w:val="auto"/>
              </w:rPr>
              <w:t>4.0%</w:t>
            </w:r>
          </w:p>
        </w:tc>
        <w:tc>
          <w:tcPr>
            <w:tcW w:w="1020" w:type="dxa"/>
            <w:vAlign w:val="bottom"/>
            <w:gridSpan w:val="2"/>
          </w:tcPr>
          <w:p>
            <w:pPr>
              <w:jc w:val="right"/>
              <w:ind w:right="69"/>
              <w:spacing w:after="0" w:line="129" w:lineRule="exact"/>
              <w:rPr>
                <w:sz w:val="20"/>
                <w:szCs w:val="20"/>
                <w:color w:val="auto"/>
              </w:rPr>
            </w:pPr>
            <w:r>
              <w:rPr>
                <w:rFonts w:ascii="Arial" w:cs="Arial" w:eastAsia="Arial" w:hAnsi="Arial"/>
                <w:sz w:val="14"/>
                <w:szCs w:val="14"/>
                <w:color w:val="auto"/>
              </w:rPr>
              <w:t>-32.2%</w:t>
            </w:r>
          </w:p>
        </w:tc>
        <w:tc>
          <w:tcPr>
            <w:tcW w:w="200" w:type="dxa"/>
            <w:vAlign w:val="bottom"/>
          </w:tcPr>
          <w:p>
            <w:pPr>
              <w:spacing w:after="0"/>
              <w:rPr>
                <w:sz w:val="11"/>
                <w:szCs w:val="11"/>
                <w:color w:val="auto"/>
              </w:rPr>
            </w:pPr>
          </w:p>
        </w:tc>
        <w:tc>
          <w:tcPr>
            <w:tcW w:w="70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47"/>
        </w:trPr>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300" w:type="dxa"/>
            <w:vAlign w:val="bottom"/>
            <w:gridSpan w:val="2"/>
          </w:tcPr>
          <w:p>
            <w:pPr>
              <w:ind w:left="60"/>
              <w:spacing w:after="0" w:line="147" w:lineRule="exact"/>
              <w:rPr>
                <w:sz w:val="20"/>
                <w:szCs w:val="20"/>
                <w:color w:val="auto"/>
              </w:rPr>
            </w:pPr>
            <w:r>
              <w:rPr>
                <w:rFonts w:ascii="Arial" w:cs="Arial" w:eastAsia="Arial" w:hAnsi="Arial"/>
                <w:sz w:val="14"/>
                <w:szCs w:val="14"/>
                <w:color w:val="auto"/>
              </w:rPr>
              <w:t>Direct debit</w:t>
            </w:r>
          </w:p>
        </w:tc>
        <w:tc>
          <w:tcPr>
            <w:tcW w:w="104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718,412</w:t>
            </w:r>
          </w:p>
        </w:tc>
        <w:tc>
          <w:tcPr>
            <w:tcW w:w="9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0.4%</w:t>
            </w:r>
          </w:p>
        </w:tc>
        <w:tc>
          <w:tcPr>
            <w:tcW w:w="1140" w:type="dxa"/>
            <w:vAlign w:val="bottom"/>
            <w:gridSpan w:val="3"/>
          </w:tcPr>
          <w:p>
            <w:pPr>
              <w:jc w:val="right"/>
              <w:ind w:right="200"/>
              <w:spacing w:after="0" w:line="147" w:lineRule="exact"/>
              <w:rPr>
                <w:sz w:val="20"/>
                <w:szCs w:val="20"/>
                <w:color w:val="auto"/>
              </w:rPr>
            </w:pPr>
            <w:r>
              <w:rPr>
                <w:rFonts w:ascii="Arial" w:cs="Arial" w:eastAsia="Arial" w:hAnsi="Arial"/>
                <w:sz w:val="14"/>
                <w:szCs w:val="14"/>
                <w:color w:val="auto"/>
              </w:rPr>
              <w:t>1,028,329</w:t>
            </w:r>
          </w:p>
        </w:tc>
        <w:tc>
          <w:tcPr>
            <w:tcW w:w="1000" w:type="dxa"/>
            <w:vAlign w:val="bottom"/>
            <w:gridSpan w:val="2"/>
          </w:tcPr>
          <w:p>
            <w:pPr>
              <w:jc w:val="right"/>
              <w:ind w:right="49"/>
              <w:spacing w:after="0" w:line="147" w:lineRule="exact"/>
              <w:rPr>
                <w:sz w:val="20"/>
                <w:szCs w:val="20"/>
                <w:color w:val="auto"/>
              </w:rPr>
            </w:pPr>
            <w:r>
              <w:rPr>
                <w:rFonts w:ascii="Arial" w:cs="Arial" w:eastAsia="Arial" w:hAnsi="Arial"/>
                <w:sz w:val="14"/>
                <w:szCs w:val="14"/>
                <w:color w:val="auto"/>
              </w:rPr>
              <w:t>0.4%</w:t>
            </w:r>
          </w:p>
        </w:tc>
        <w:tc>
          <w:tcPr>
            <w:tcW w:w="104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989,707</w:t>
            </w:r>
          </w:p>
        </w:tc>
        <w:tc>
          <w:tcPr>
            <w:tcW w:w="102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0.4%</w:t>
            </w:r>
          </w:p>
        </w:tc>
        <w:tc>
          <w:tcPr>
            <w:tcW w:w="102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-3.8%</w:t>
            </w:r>
          </w:p>
        </w:tc>
        <w:tc>
          <w:tcPr>
            <w:tcW w:w="200" w:type="dxa"/>
            <w:vAlign w:val="bottom"/>
          </w:tcPr>
          <w:p>
            <w:pPr>
              <w:spacing w:after="0"/>
              <w:rPr>
                <w:sz w:val="12"/>
                <w:szCs w:val="12"/>
                <w:color w:val="auto"/>
              </w:rPr>
            </w:pPr>
          </w:p>
        </w:tc>
        <w:tc>
          <w:tcPr>
            <w:tcW w:w="7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47"/>
        </w:trPr>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00" w:type="dxa"/>
            <w:vAlign w:val="bottom"/>
            <w:gridSpan w:val="2"/>
          </w:tcPr>
          <w:p>
            <w:pPr>
              <w:ind w:left="60"/>
              <w:spacing w:after="0" w:line="147" w:lineRule="exact"/>
              <w:rPr>
                <w:sz w:val="20"/>
                <w:szCs w:val="20"/>
                <w:color w:val="auto"/>
              </w:rPr>
            </w:pPr>
            <w:r>
              <w:rPr>
                <w:rFonts w:ascii="Arial" w:cs="Arial" w:eastAsia="Arial" w:hAnsi="Arial"/>
                <w:sz w:val="14"/>
                <w:szCs w:val="14"/>
                <w:color w:val="auto"/>
              </w:rPr>
              <w:t>Points of sale P.O.S.</w:t>
            </w:r>
          </w:p>
        </w:tc>
        <w:tc>
          <w:tcPr>
            <w:tcW w:w="104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16,788,165</w:t>
            </w:r>
          </w:p>
        </w:tc>
        <w:tc>
          <w:tcPr>
            <w:tcW w:w="9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8.7%</w:t>
            </w:r>
          </w:p>
        </w:tc>
        <w:tc>
          <w:tcPr>
            <w:tcW w:w="1140" w:type="dxa"/>
            <w:vAlign w:val="bottom"/>
            <w:gridSpan w:val="3"/>
          </w:tcPr>
          <w:p>
            <w:pPr>
              <w:jc w:val="right"/>
              <w:ind w:right="200"/>
              <w:spacing w:after="0" w:line="147" w:lineRule="exact"/>
              <w:rPr>
                <w:sz w:val="20"/>
                <w:szCs w:val="20"/>
                <w:color w:val="auto"/>
              </w:rPr>
            </w:pPr>
            <w:r>
              <w:rPr>
                <w:rFonts w:ascii="Arial" w:cs="Arial" w:eastAsia="Arial" w:hAnsi="Arial"/>
                <w:sz w:val="14"/>
                <w:szCs w:val="14"/>
                <w:color w:val="auto"/>
              </w:rPr>
              <w:t>18,389,832</w:t>
            </w:r>
          </w:p>
        </w:tc>
        <w:tc>
          <w:tcPr>
            <w:tcW w:w="1000" w:type="dxa"/>
            <w:vAlign w:val="bottom"/>
            <w:gridSpan w:val="2"/>
          </w:tcPr>
          <w:p>
            <w:pPr>
              <w:jc w:val="right"/>
              <w:ind w:right="49"/>
              <w:spacing w:after="0" w:line="147" w:lineRule="exact"/>
              <w:rPr>
                <w:sz w:val="20"/>
                <w:szCs w:val="20"/>
                <w:color w:val="auto"/>
              </w:rPr>
            </w:pPr>
            <w:r>
              <w:rPr>
                <w:rFonts w:ascii="Arial" w:cs="Arial" w:eastAsia="Arial" w:hAnsi="Arial"/>
                <w:sz w:val="14"/>
                <w:szCs w:val="14"/>
                <w:color w:val="auto"/>
              </w:rPr>
              <w:t>7.9%</w:t>
            </w:r>
          </w:p>
        </w:tc>
        <w:tc>
          <w:tcPr>
            <w:tcW w:w="104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12,882,526</w:t>
            </w:r>
          </w:p>
        </w:tc>
        <w:tc>
          <w:tcPr>
            <w:tcW w:w="102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5.6%</w:t>
            </w:r>
          </w:p>
        </w:tc>
        <w:tc>
          <w:tcPr>
            <w:tcW w:w="1020" w:type="dxa"/>
            <w:vAlign w:val="bottom"/>
            <w:gridSpan w:val="2"/>
          </w:tcPr>
          <w:p>
            <w:pPr>
              <w:jc w:val="right"/>
              <w:ind w:right="69"/>
              <w:spacing w:after="0" w:line="147" w:lineRule="exact"/>
              <w:rPr>
                <w:sz w:val="20"/>
                <w:szCs w:val="20"/>
                <w:color w:val="auto"/>
              </w:rPr>
            </w:pPr>
            <w:r>
              <w:rPr>
                <w:rFonts w:ascii="Arial" w:cs="Arial" w:eastAsia="Arial" w:hAnsi="Arial"/>
                <w:sz w:val="14"/>
                <w:szCs w:val="14"/>
                <w:color w:val="auto"/>
              </w:rPr>
              <w:t>-29.9%</w:t>
            </w:r>
          </w:p>
        </w:tc>
        <w:tc>
          <w:tcPr>
            <w:tcW w:w="200" w:type="dxa"/>
            <w:vAlign w:val="bottom"/>
          </w:tcPr>
          <w:p>
            <w:pPr>
              <w:spacing w:after="0"/>
              <w:rPr>
                <w:sz w:val="12"/>
                <w:szCs w:val="12"/>
                <w:color w:val="auto"/>
              </w:rPr>
            </w:pPr>
          </w:p>
        </w:tc>
        <w:tc>
          <w:tcPr>
            <w:tcW w:w="7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2"/>
          </w:tcPr>
          <w:p>
            <w:pPr>
              <w:ind w:left="60"/>
              <w:spacing w:after="0"/>
              <w:rPr>
                <w:sz w:val="20"/>
                <w:szCs w:val="20"/>
                <w:color w:val="auto"/>
              </w:rPr>
            </w:pPr>
            <w:r>
              <w:rPr>
                <w:rFonts w:ascii="Arial" w:cs="Arial" w:eastAsia="Arial" w:hAnsi="Arial"/>
                <w:sz w:val="14"/>
                <w:szCs w:val="14"/>
                <w:color w:val="auto"/>
              </w:rPr>
              <w:t>Other ATMs network</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223,279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1140" w:type="dxa"/>
            <w:vAlign w:val="bottom"/>
            <w:gridSpan w:val="3"/>
          </w:tcPr>
          <w:p>
            <w:pPr>
              <w:jc w:val="right"/>
              <w:ind w:right="200"/>
              <w:spacing w:after="0"/>
              <w:rPr>
                <w:sz w:val="20"/>
                <w:szCs w:val="20"/>
                <w:color w:val="auto"/>
              </w:rPr>
            </w:pPr>
            <w:r>
              <w:rPr>
                <w:rFonts w:ascii="Arial" w:cs="Arial" w:eastAsia="Arial" w:hAnsi="Arial"/>
                <w:sz w:val="14"/>
                <w:szCs w:val="14"/>
                <w:color w:val="auto"/>
              </w:rPr>
              <w:t>256,084</w:t>
            </w:r>
          </w:p>
        </w:tc>
        <w:tc>
          <w:tcPr>
            <w:tcW w:w="1000" w:type="dxa"/>
            <w:vAlign w:val="bottom"/>
            <w:gridSpan w:val="2"/>
          </w:tcPr>
          <w:p>
            <w:pPr>
              <w:jc w:val="right"/>
              <w:ind w:right="49"/>
              <w:spacing w:after="0"/>
              <w:rPr>
                <w:sz w:val="20"/>
                <w:szCs w:val="20"/>
                <w:color w:val="auto"/>
              </w:rPr>
            </w:pPr>
            <w:r>
              <w:rPr>
                <w:rFonts w:ascii="Arial" w:cs="Arial" w:eastAsia="Arial" w:hAnsi="Arial"/>
                <w:sz w:val="14"/>
                <w:szCs w:val="14"/>
                <w:color w:val="auto"/>
              </w:rPr>
              <w:t>0.1%</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155,221</w:t>
            </w:r>
          </w:p>
        </w:tc>
        <w:tc>
          <w:tcPr>
            <w:tcW w:w="1020" w:type="dxa"/>
            <w:vAlign w:val="bottom"/>
            <w:gridSpan w:val="2"/>
          </w:tcPr>
          <w:p>
            <w:pPr>
              <w:jc w:val="right"/>
              <w:ind w:right="69"/>
              <w:spacing w:after="0"/>
              <w:rPr>
                <w:sz w:val="20"/>
                <w:szCs w:val="20"/>
                <w:color w:val="auto"/>
              </w:rPr>
            </w:pPr>
            <w:r>
              <w:rPr>
                <w:rFonts w:ascii="Arial" w:cs="Arial" w:eastAsia="Arial" w:hAnsi="Arial"/>
                <w:sz w:val="14"/>
                <w:szCs w:val="14"/>
                <w:color w:val="auto"/>
              </w:rPr>
              <w:t>0.1%</w:t>
            </w:r>
          </w:p>
        </w:tc>
        <w:tc>
          <w:tcPr>
            <w:tcW w:w="1020" w:type="dxa"/>
            <w:vAlign w:val="bottom"/>
            <w:gridSpan w:val="2"/>
          </w:tcPr>
          <w:p>
            <w:pPr>
              <w:jc w:val="right"/>
              <w:ind w:right="69"/>
              <w:spacing w:after="0"/>
              <w:rPr>
                <w:sz w:val="20"/>
                <w:szCs w:val="20"/>
                <w:color w:val="auto"/>
              </w:rPr>
            </w:pPr>
            <w:r>
              <w:rPr>
                <w:rFonts w:ascii="Arial" w:cs="Arial" w:eastAsia="Arial" w:hAnsi="Arial"/>
                <w:sz w:val="14"/>
                <w:szCs w:val="14"/>
                <w:color w:val="auto"/>
              </w:rPr>
              <w:t>-39.4%</w:t>
            </w:r>
          </w:p>
        </w:tc>
        <w:tc>
          <w:tcPr>
            <w:tcW w:w="2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30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Total transactions</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w:t>
            </w: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6"/>
              </w:rPr>
              <w:t>%</w:t>
            </w: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96"/>
              </w:rPr>
              <w:t>%</w:t>
            </w: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96"/>
              </w:rPr>
              <w:t>%</w:t>
            </w: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line="20" w:lineRule="exact"/>
              <w:rPr>
                <w:sz w:val="1"/>
                <w:szCs w:val="1"/>
                <w:color w:val="auto"/>
              </w:rPr>
            </w:pPr>
          </w:p>
        </w:tc>
      </w:tr>
      <w:tr>
        <w:trPr>
          <w:trHeight w:val="180"/>
        </w:trPr>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300" w:type="dxa"/>
            <w:vAlign w:val="bottom"/>
            <w:gridSpan w:val="2"/>
            <w:vMerge w:val="continue"/>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192,084,435</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100.0</w:t>
            </w:r>
          </w:p>
        </w:tc>
        <w:tc>
          <w:tcPr>
            <w:tcW w:w="140" w:type="dxa"/>
            <w:vAlign w:val="bottom"/>
            <w:vMerge w:val="continue"/>
            <w:shd w:val="clear" w:color="auto" w:fill="CCEEFF"/>
          </w:tcPr>
          <w:p>
            <w:pPr>
              <w:spacing w:after="0"/>
              <w:rPr>
                <w:sz w:val="15"/>
                <w:szCs w:val="15"/>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231,889,489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100.0</w:t>
            </w:r>
          </w:p>
        </w:tc>
        <w:tc>
          <w:tcPr>
            <w:tcW w:w="240" w:type="dxa"/>
            <w:vAlign w:val="bottom"/>
            <w:vMerge w:val="continue"/>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231,154,819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100.0</w:t>
            </w:r>
          </w:p>
        </w:tc>
        <w:tc>
          <w:tcPr>
            <w:tcW w:w="260" w:type="dxa"/>
            <w:vAlign w:val="bottom"/>
            <w:vMerge w:val="continue"/>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-0.3</w:t>
            </w:r>
          </w:p>
        </w:tc>
        <w:tc>
          <w:tcPr>
            <w:tcW w:w="26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20.3</w:t>
            </w:r>
          </w:p>
        </w:tc>
        <w:tc>
          <w:tcPr>
            <w:tcW w:w="1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(1) Figures include monetary and non-monetary transactions.</w:t>
      </w:r>
    </w:p>
    <w:p>
      <w:pPr>
        <w:spacing w:after="0" w:line="22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the context of COVID-19, where strict measures were instituted in March to limit the population’s movements and economic activities, the average number of transactions fell -0.3% QoQ. The majority of this decline was seen in April after the Peruvian government declared a State of Emergency and a strict nation-wide lockdown, which limited activities in numerous economic sectors. The national lockdown ended on June 30th and focalized lockdowns were implemented in the provinces. In YoY terms, in contrast, the transactions level increased +20.3% with regard to the same quarter last year.</w:t>
      </w:r>
    </w:p>
    <w:p>
      <w:pPr>
        <w:spacing w:after="0" w:line="16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the QoQ analysis, the drop in transactions was evident in the majority of channels with the exception of Mobile Banking (+20.9%), Internet Banking Vía BCP (30.4%) and Telephone Banking (+9.9%), which experienced explosive growth after the vast majority of transactions migrated from in-person channels to channels that require no physical interaction. It is important to note that in 2Q20, the largest decrease in volume was registered for Tellers (-54.6%), ATMs (-52.9%) and Balance Inquiries (-48.5%) given that fewer people went to branches due to fears of contracting COVID-19.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YoY analysis reveals the following:</w:t>
      </w:r>
    </w:p>
    <w:p>
      <w:pPr>
        <w:spacing w:after="0" w:line="220" w:lineRule="exact"/>
        <w:rPr>
          <w:sz w:val="20"/>
          <w:szCs w:val="20"/>
          <w:color w:val="auto"/>
        </w:rPr>
      </w:pPr>
    </w:p>
    <w:p>
      <w:pPr>
        <w:jc w:val="both"/>
        <w:ind w:left="880" w:hanging="500"/>
        <w:spacing w:after="0" w:line="274" w:lineRule="auto"/>
        <w:tabs>
          <w:tab w:leader="none" w:pos="8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Transactions via digital channels and those that are not in-person registered more activity due to the pandemic: Mobile Banking (+70.7% YoY), Internet Banking Vía BCP (+83.4% YoY), Direct Debit (+37.8% YoY) and Telephone Banking (+2.0%) given that digital channels offer functions that are comparable to those offered by in-person venues. This also reflects on-going efforts to develop other digital platforms in the branches, which allow clients to make inquiries, open savings accounts and collect debit cards.</w:t>
      </w:r>
    </w:p>
    <w:p>
      <w:pPr>
        <w:spacing w:after="0" w:line="174" w:lineRule="exact"/>
        <w:rPr>
          <w:rFonts w:ascii="Arial" w:cs="Arial" w:eastAsia="Arial" w:hAnsi="Arial"/>
          <w:sz w:val="17"/>
          <w:szCs w:val="17"/>
          <w:color w:val="auto"/>
        </w:rPr>
      </w:pPr>
    </w:p>
    <w:p>
      <w:pPr>
        <w:jc w:val="both"/>
        <w:ind w:left="880" w:hanging="500"/>
        <w:spacing w:after="0" w:line="306" w:lineRule="auto"/>
        <w:tabs>
          <w:tab w:leader="none" w:pos="8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Transactions through in-person channels (traditional and cost-efficient) fell due to the pandemic: ATMs (-59.7%), Agentes BCP (-20.0%), Tellers (-60.8%), Points of Sale POS (-23.3%), Telecrédito (-22.0%), Balance Inquiries (-58.4%) and Other ATMs Network (-30.5%) due to restrictions on movement during the quarantine; limits on the number of people allowed at the same time in establishments; and shorter business hours.</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growth in banking transactions in the region will continue to be seen primarily in digital channels. Demand for these kinds of transactions will be bolstered by social distancing and public health measures to combat COVID-19. Consequently, increases in transactions volumes will take place mainly through Mobile Banking and Internet Banking, which is aligned with our objective to possess an efficient and profitable network for client services. Lastly, it is important to note that the interbank payment application Yape hit the 3-million user mark in 2Q20 and has become a useful tool for individual and business-based payments that offers efficient, no-cost transactions.</w:t>
      </w:r>
    </w:p>
    <w:p>
      <w:pPr>
        <w:spacing w:after="0" w:line="200" w:lineRule="exact"/>
        <w:rPr>
          <w:sz w:val="20"/>
          <w:szCs w:val="20"/>
          <w:color w:val="auto"/>
        </w:rPr>
      </w:pPr>
    </w:p>
    <w:p>
      <w:pPr>
        <w:spacing w:after="0" w:line="203"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0"/>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9.1.3. Points of Contact – BCP Bolivia</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1"/>
        </w:trPr>
        <w:tc>
          <w:tcPr>
            <w:tcW w:w="3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5"/>
          </w:tcPr>
          <w:p>
            <w:pPr>
              <w:ind w:left="660"/>
              <w:spacing w:after="0"/>
              <w:rPr>
                <w:sz w:val="20"/>
                <w:szCs w:val="20"/>
                <w:color w:val="auto"/>
              </w:rPr>
            </w:pPr>
            <w:r>
              <w:rPr>
                <w:rFonts w:ascii="Arial" w:cs="Arial" w:eastAsia="Arial" w:hAnsi="Arial"/>
                <w:sz w:val="18"/>
                <w:szCs w:val="18"/>
                <w:b w:val="1"/>
                <w:bCs w:val="1"/>
                <w:color w:val="auto"/>
              </w:rPr>
              <w:t>change (units)</w:t>
            </w:r>
          </w:p>
        </w:tc>
      </w:tr>
      <w:tr>
        <w:trPr>
          <w:trHeight w:val="221"/>
        </w:trPr>
        <w:tc>
          <w:tcPr>
            <w:tcW w:w="3640" w:type="dxa"/>
            <w:vAlign w:val="bottom"/>
          </w:tcPr>
          <w:p>
            <w:pPr>
              <w:spacing w:after="0"/>
              <w:rPr>
                <w:sz w:val="19"/>
                <w:szCs w:val="19"/>
                <w:color w:val="auto"/>
              </w:rPr>
            </w:pPr>
          </w:p>
        </w:tc>
        <w:tc>
          <w:tcPr>
            <w:tcW w:w="840" w:type="dxa"/>
            <w:vAlign w:val="bottom"/>
            <w:tcBorders>
              <w:top w:val="single" w:sz="8" w:color="auto"/>
            </w:tcBorders>
          </w:tcPr>
          <w:p>
            <w:pPr>
              <w:ind w:left="320"/>
              <w:spacing w:after="0"/>
              <w:rPr>
                <w:sz w:val="20"/>
                <w:szCs w:val="20"/>
                <w:color w:val="auto"/>
              </w:rPr>
            </w:pPr>
            <w:r>
              <w:rPr>
                <w:rFonts w:ascii="Arial" w:cs="Arial" w:eastAsia="Arial" w:hAnsi="Arial"/>
                <w:sz w:val="18"/>
                <w:szCs w:val="18"/>
                <w:b w:val="1"/>
                <w:bCs w:val="1"/>
                <w:color w:val="auto"/>
                <w:w w:val="87"/>
              </w:rPr>
              <w:t>Jun 19</w:t>
            </w:r>
          </w:p>
        </w:tc>
        <w:tc>
          <w:tcPr>
            <w:tcW w:w="3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Mar 20</w:t>
            </w:r>
          </w:p>
        </w:tc>
        <w:tc>
          <w:tcPr>
            <w:tcW w:w="1120" w:type="dxa"/>
            <w:vAlign w:val="bottom"/>
            <w:tcBorders>
              <w:top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Jun 20</w:t>
            </w:r>
          </w:p>
        </w:tc>
        <w:tc>
          <w:tcPr>
            <w:tcW w:w="200" w:type="dxa"/>
            <w:vAlign w:val="bottom"/>
          </w:tcPr>
          <w:p>
            <w:pPr>
              <w:spacing w:after="0"/>
              <w:rPr>
                <w:sz w:val="19"/>
                <w:szCs w:val="19"/>
                <w:color w:val="auto"/>
              </w:rPr>
            </w:pPr>
          </w:p>
        </w:tc>
        <w:tc>
          <w:tcPr>
            <w:tcW w:w="1280" w:type="dxa"/>
            <w:vAlign w:val="bottom"/>
            <w:tcBorders>
              <w:top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QoQ</w:t>
            </w:r>
          </w:p>
        </w:tc>
        <w:tc>
          <w:tcPr>
            <w:tcW w:w="110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YoY</w:t>
            </w:r>
          </w:p>
        </w:tc>
        <w:tc>
          <w:tcPr>
            <w:tcW w:w="80" w:type="dxa"/>
            <w:vAlign w:val="bottom"/>
            <w:gridSpan w:val="2"/>
          </w:tcPr>
          <w:p>
            <w:pPr>
              <w:spacing w:after="0"/>
              <w:rPr>
                <w:sz w:val="19"/>
                <w:szCs w:val="19"/>
                <w:color w:val="auto"/>
              </w:rPr>
            </w:pPr>
          </w:p>
        </w:tc>
      </w:tr>
      <w:tr>
        <w:trPr>
          <w:trHeight w:val="207"/>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Branches</w:t>
            </w:r>
          </w:p>
        </w:tc>
        <w:tc>
          <w:tcPr>
            <w:tcW w:w="8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3"/>
        </w:trPr>
        <w:tc>
          <w:tcPr>
            <w:tcW w:w="4480" w:type="dxa"/>
            <w:vAlign w:val="bottom"/>
            <w:gridSpan w:val="2"/>
          </w:tcPr>
          <w:p>
            <w:pPr>
              <w:spacing w:after="0"/>
              <w:rPr>
                <w:sz w:val="20"/>
                <w:szCs w:val="20"/>
                <w:color w:val="auto"/>
              </w:rPr>
            </w:pPr>
            <w:r>
              <w:rPr>
                <w:rFonts w:ascii="Arial" w:cs="Arial" w:eastAsia="Arial" w:hAnsi="Arial"/>
                <w:sz w:val="18"/>
                <w:szCs w:val="18"/>
                <w:color w:val="auto"/>
              </w:rPr>
              <w:t>ATMs</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307</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308</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r>
      <w:tr>
        <w:trPr>
          <w:trHeight w:val="227"/>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Agentes BCP Bolivia</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388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19"/>
                <w:szCs w:val="19"/>
                <w:color w:val="auto"/>
              </w:rPr>
            </w:pPr>
          </w:p>
        </w:tc>
      </w:tr>
      <w:tr>
        <w:trPr>
          <w:trHeight w:val="220"/>
        </w:trPr>
        <w:tc>
          <w:tcPr>
            <w:tcW w:w="3640" w:type="dxa"/>
            <w:vAlign w:val="bottom"/>
          </w:tcPr>
          <w:p>
            <w:pPr>
              <w:spacing w:after="0"/>
              <w:rPr>
                <w:sz w:val="20"/>
                <w:szCs w:val="20"/>
                <w:color w:val="auto"/>
              </w:rPr>
            </w:pPr>
            <w:r>
              <w:rPr>
                <w:rFonts w:ascii="Arial" w:cs="Arial" w:eastAsia="Arial" w:hAnsi="Arial"/>
                <w:sz w:val="18"/>
                <w:szCs w:val="18"/>
                <w:b w:val="1"/>
                <w:bCs w:val="1"/>
                <w:color w:val="auto"/>
              </w:rPr>
              <w:t>Total Bolivia's Network</w:t>
            </w:r>
          </w:p>
        </w:tc>
        <w:tc>
          <w:tcPr>
            <w:tcW w:w="8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744</w:t>
            </w:r>
          </w:p>
        </w:tc>
        <w:tc>
          <w:tcPr>
            <w:tcW w:w="2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917</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946</w:t>
            </w:r>
          </w:p>
        </w:tc>
        <w:tc>
          <w:tcPr>
            <w:tcW w:w="2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1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bl>
    <w:p>
      <w:pPr>
        <w:spacing w:after="0" w:line="19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At BCP Bolivia, points of contact increased QoQ (+29) due to growth in Agentes BCP (+28) and ATMs (+1), which was in line with our strategy to expand through cost-efficient channels.</w:t>
      </w:r>
    </w:p>
    <w:p>
      <w:pPr>
        <w:spacing w:after="0" w:line="17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In the YoY evolution, the total number of points of contact at BCP Bolivia grew +202. This was driven primarily by an increase in Agentes BCP (+195) and, to a lesser extent, to growth in ATMs (+8). In contrast, the number of branches fell (-1). Growth in the number of Agentes and ATMs was attributable, once again, to the strategy to bet on cost-efficient channels to reach more clients and, to a lesser extent, to offset branch closings.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b w:val="1"/>
                <w:bCs w:val="1"/>
                <w:color w:val="auto"/>
              </w:rPr>
              <w:t>9.2. Microfinance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3640" w:type="dxa"/>
            <w:vAlign w:val="bottom"/>
          </w:tcPr>
          <w:p>
            <w:pPr>
              <w:spacing w:after="0"/>
              <w:rPr>
                <w:sz w:val="20"/>
                <w:szCs w:val="20"/>
                <w:color w:val="auto"/>
              </w:rPr>
            </w:pPr>
            <w:r>
              <w:rPr>
                <w:rFonts w:ascii="Arial" w:cs="Arial" w:eastAsia="Arial" w:hAnsi="Arial"/>
                <w:sz w:val="18"/>
                <w:szCs w:val="18"/>
                <w:b w:val="1"/>
                <w:bCs w:val="1"/>
                <w:color w:val="auto"/>
              </w:rPr>
              <w:t>9.2.1. Points of Contact – Mibanco</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8"/>
        </w:trPr>
        <w:tc>
          <w:tcPr>
            <w:tcW w:w="3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of</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4"/>
          </w:tcPr>
          <w:p>
            <w:pPr>
              <w:ind w:left="660"/>
              <w:spacing w:after="0"/>
              <w:rPr>
                <w:sz w:val="20"/>
                <w:szCs w:val="20"/>
                <w:color w:val="auto"/>
              </w:rPr>
            </w:pPr>
            <w:r>
              <w:rPr>
                <w:rFonts w:ascii="Arial" w:cs="Arial" w:eastAsia="Arial" w:hAnsi="Arial"/>
                <w:sz w:val="18"/>
                <w:szCs w:val="18"/>
                <w:b w:val="1"/>
                <w:bCs w:val="1"/>
                <w:color w:val="auto"/>
              </w:rPr>
              <w:t>change (units)</w:t>
            </w:r>
          </w:p>
        </w:tc>
      </w:tr>
      <w:tr>
        <w:trPr>
          <w:trHeight w:val="221"/>
        </w:trPr>
        <w:tc>
          <w:tcPr>
            <w:tcW w:w="364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Jun 19</w:t>
            </w:r>
          </w:p>
        </w:tc>
        <w:tc>
          <w:tcPr>
            <w:tcW w:w="20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 20</w:t>
            </w:r>
          </w:p>
        </w:tc>
        <w:tc>
          <w:tcPr>
            <w:tcW w:w="22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Jun 20</w:t>
            </w:r>
          </w:p>
        </w:tc>
        <w:tc>
          <w:tcPr>
            <w:tcW w:w="20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QoQ</w:t>
            </w:r>
          </w:p>
        </w:tc>
        <w:tc>
          <w:tcPr>
            <w:tcW w:w="18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YoY</w:t>
            </w:r>
          </w:p>
        </w:tc>
        <w:tc>
          <w:tcPr>
            <w:tcW w:w="80" w:type="dxa"/>
            <w:vAlign w:val="bottom"/>
            <w:tcBorders>
              <w:bottom w:val="single" w:sz="8" w:color="CCEEFF"/>
            </w:tcBorders>
          </w:tcPr>
          <w:p>
            <w:pPr>
              <w:spacing w:after="0"/>
              <w:rPr>
                <w:sz w:val="19"/>
                <w:szCs w:val="19"/>
                <w:color w:val="auto"/>
              </w:rPr>
            </w:pPr>
          </w:p>
        </w:tc>
      </w:tr>
      <w:tr>
        <w:trPr>
          <w:trHeight w:val="234"/>
        </w:trPr>
        <w:tc>
          <w:tcPr>
            <w:tcW w:w="3640" w:type="dxa"/>
            <w:vAlign w:val="bottom"/>
            <w:shd w:val="clear" w:color="auto" w:fill="CCEEFF"/>
          </w:tcPr>
          <w:p>
            <w:pPr>
              <w:spacing w:after="0" w:line="233" w:lineRule="exact"/>
              <w:rPr>
                <w:sz w:val="20"/>
                <w:szCs w:val="20"/>
                <w:color w:val="auto"/>
              </w:rPr>
            </w:pPr>
            <w:r>
              <w:rPr>
                <w:rFonts w:ascii="Arial" w:cs="Arial" w:eastAsia="Arial" w:hAnsi="Arial"/>
                <w:sz w:val="17"/>
                <w:szCs w:val="17"/>
                <w:b w:val="1"/>
                <w:bCs w:val="1"/>
                <w:color w:val="auto"/>
              </w:rPr>
              <w:t xml:space="preserve">Total Mibanco's Network </w:t>
            </w:r>
            <w:r>
              <w:rPr>
                <w:rFonts w:ascii="Arial" w:cs="Arial" w:eastAsia="Arial" w:hAnsi="Arial"/>
                <w:sz w:val="27"/>
                <w:szCs w:val="27"/>
                <w:b w:val="1"/>
                <w:bCs w:val="1"/>
                <w:color w:val="auto"/>
                <w:vertAlign w:val="superscript"/>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324</w:t>
            </w:r>
          </w:p>
        </w:tc>
        <w:tc>
          <w:tcPr>
            <w:tcW w:w="2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325</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324</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0"/>
                <w:szCs w:val="20"/>
                <w:color w:val="auto"/>
              </w:rPr>
            </w:pPr>
          </w:p>
        </w:tc>
      </w:tr>
      <w:tr>
        <w:trPr>
          <w:trHeight w:val="20"/>
        </w:trPr>
        <w:tc>
          <w:tcPr>
            <w:tcW w:w="36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ind w:left="260" w:hanging="253"/>
        <w:spacing w:after="0"/>
        <w:tabs>
          <w:tab w:leader="none" w:pos="2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Mibanco does not have Agents or ATMs because it uses the BCP network. Mibanco branches include Banco de la Nacion branches, which in Jun 19, Mar</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 and Jun 20 were 35.</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Mibanco reported a decrease in branches QoQ (-1), due to an office closing. In the YoY analysis, the points of contact registered no variation. It is important to note that Mibanco has an agreement with the Banco de la Nacion to use the latter’s branches throughout the country to reduce operating costs. At the end of 2Q20, these branches represented 11% (35 branches) of the 325 branches run by Mibanco.</w:t>
      </w:r>
    </w:p>
    <w:p>
      <w:pPr>
        <w:spacing w:after="0" w:line="400"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3100" w:type="dxa"/>
            <w:vAlign w:val="bottom"/>
            <w:gridSpan w:val="2"/>
          </w:tcPr>
          <w:p>
            <w:pPr>
              <w:ind w:left="160"/>
              <w:spacing w:after="0"/>
              <w:rPr>
                <w:sz w:val="20"/>
                <w:szCs w:val="20"/>
                <w:color w:val="auto"/>
              </w:rPr>
            </w:pPr>
            <w:r>
              <w:rPr>
                <w:rFonts w:ascii="Arial" w:cs="Arial" w:eastAsia="Arial" w:hAnsi="Arial"/>
                <w:sz w:val="18"/>
                <w:szCs w:val="18"/>
                <w:b w:val="1"/>
                <w:bCs w:val="1"/>
                <w:color w:val="auto"/>
              </w:rPr>
              <w:t>Economic Perspectives</w:t>
            </w: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10.1. Peru Economic Forecasts</w:t>
            </w: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380" w:type="dxa"/>
            <w:vAlign w:val="bottom"/>
          </w:tcPr>
          <w:p>
            <w:pPr>
              <w:spacing w:after="0"/>
              <w:rPr>
                <w:sz w:val="24"/>
                <w:szCs w:val="24"/>
                <w:color w:val="auto"/>
              </w:rPr>
            </w:pPr>
          </w:p>
        </w:tc>
        <w:tc>
          <w:tcPr>
            <w:tcW w:w="3100" w:type="dxa"/>
            <w:vAlign w:val="bottom"/>
            <w:gridSpan w:val="2"/>
          </w:tcPr>
          <w:p>
            <w:pPr>
              <w:ind w:left="1080"/>
              <w:spacing w:after="0"/>
              <w:rPr>
                <w:sz w:val="20"/>
                <w:szCs w:val="20"/>
                <w:color w:val="auto"/>
              </w:rPr>
            </w:pPr>
            <w:r>
              <w:rPr>
                <w:rFonts w:ascii="Arial" w:cs="Arial" w:eastAsia="Arial" w:hAnsi="Arial"/>
                <w:sz w:val="18"/>
                <w:szCs w:val="18"/>
                <w:b w:val="1"/>
                <w:bCs w:val="1"/>
                <w:color w:val="auto"/>
              </w:rPr>
              <w:t>Peru</w:t>
            </w:r>
          </w:p>
        </w:tc>
        <w:tc>
          <w:tcPr>
            <w:tcW w:w="1220" w:type="dxa"/>
            <w:vAlign w:val="bottom"/>
          </w:tcPr>
          <w:p>
            <w:pPr>
              <w:jc w:val="right"/>
              <w:ind w:right="331"/>
              <w:spacing w:after="0"/>
              <w:rPr>
                <w:sz w:val="20"/>
                <w:szCs w:val="20"/>
                <w:color w:val="auto"/>
              </w:rPr>
            </w:pPr>
            <w:r>
              <w:rPr>
                <w:rFonts w:ascii="Arial" w:cs="Arial" w:eastAsia="Arial" w:hAnsi="Arial"/>
                <w:sz w:val="18"/>
                <w:szCs w:val="18"/>
                <w:b w:val="1"/>
                <w:bCs w:val="1"/>
                <w:color w:val="auto"/>
              </w:rPr>
              <w:t>2016</w:t>
            </w:r>
          </w:p>
        </w:tc>
        <w:tc>
          <w:tcPr>
            <w:tcW w:w="380" w:type="dxa"/>
            <w:vAlign w:val="bottom"/>
          </w:tcPr>
          <w:p>
            <w:pPr>
              <w:spacing w:after="0"/>
              <w:rPr>
                <w:sz w:val="24"/>
                <w:szCs w:val="24"/>
                <w:color w:val="auto"/>
              </w:rPr>
            </w:pPr>
          </w:p>
        </w:tc>
        <w:tc>
          <w:tcPr>
            <w:tcW w:w="1220" w:type="dxa"/>
            <w:vAlign w:val="bottom"/>
          </w:tcPr>
          <w:p>
            <w:pPr>
              <w:jc w:val="right"/>
              <w:ind w:right="351"/>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4"/>
                <w:szCs w:val="24"/>
                <w:color w:val="auto"/>
              </w:rPr>
            </w:pPr>
          </w:p>
        </w:tc>
        <w:tc>
          <w:tcPr>
            <w:tcW w:w="1220" w:type="dxa"/>
            <w:vAlign w:val="bottom"/>
          </w:tcPr>
          <w:p>
            <w:pPr>
              <w:jc w:val="right"/>
              <w:ind w:right="351"/>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4"/>
                <w:szCs w:val="24"/>
                <w:color w:val="auto"/>
              </w:rPr>
            </w:pPr>
          </w:p>
        </w:tc>
        <w:tc>
          <w:tcPr>
            <w:tcW w:w="1220" w:type="dxa"/>
            <w:vAlign w:val="bottom"/>
          </w:tcPr>
          <w:p>
            <w:pPr>
              <w:jc w:val="right"/>
              <w:ind w:right="251"/>
              <w:spacing w:after="0"/>
              <w:rPr>
                <w:sz w:val="20"/>
                <w:szCs w:val="20"/>
                <w:color w:val="auto"/>
              </w:rPr>
            </w:pPr>
            <w:r>
              <w:rPr>
                <w:rFonts w:ascii="Arial" w:cs="Arial" w:eastAsia="Arial" w:hAnsi="Arial"/>
                <w:sz w:val="18"/>
                <w:szCs w:val="18"/>
                <w:b w:val="1"/>
                <w:bCs w:val="1"/>
                <w:color w:val="auto"/>
              </w:rPr>
              <w:t xml:space="preserve">2019 </w:t>
            </w:r>
            <w:r>
              <w:rPr>
                <w:rFonts w:ascii="Arial" w:cs="Arial" w:eastAsia="Arial" w:hAnsi="Arial"/>
                <w:sz w:val="29"/>
                <w:szCs w:val="29"/>
                <w:b w:val="1"/>
                <w:bCs w:val="1"/>
                <w:color w:val="auto"/>
                <w:vertAlign w:val="superscript"/>
              </w:rPr>
              <w:t>(3)</w:t>
            </w:r>
          </w:p>
        </w:tc>
        <w:tc>
          <w:tcPr>
            <w:tcW w:w="380" w:type="dxa"/>
            <w:vAlign w:val="bottom"/>
          </w:tcPr>
          <w:p>
            <w:pPr>
              <w:spacing w:after="0"/>
              <w:rPr>
                <w:sz w:val="24"/>
                <w:szCs w:val="24"/>
                <w:color w:val="auto"/>
              </w:rPr>
            </w:pPr>
          </w:p>
        </w:tc>
        <w:tc>
          <w:tcPr>
            <w:tcW w:w="1220" w:type="dxa"/>
            <w:vAlign w:val="bottom"/>
          </w:tcPr>
          <w:p>
            <w:pPr>
              <w:jc w:val="right"/>
              <w:ind w:right="231"/>
              <w:spacing w:after="0"/>
              <w:rPr>
                <w:sz w:val="20"/>
                <w:szCs w:val="20"/>
                <w:color w:val="auto"/>
              </w:rPr>
            </w:pPr>
            <w:r>
              <w:rPr>
                <w:rFonts w:ascii="Arial" w:cs="Arial" w:eastAsia="Arial" w:hAnsi="Arial"/>
                <w:sz w:val="18"/>
                <w:szCs w:val="18"/>
                <w:b w:val="1"/>
                <w:bCs w:val="1"/>
                <w:color w:val="auto"/>
              </w:rPr>
              <w:t xml:space="preserve">2020 </w:t>
            </w:r>
            <w:r>
              <w:rPr>
                <w:rFonts w:ascii="Arial" w:cs="Arial" w:eastAsia="Arial" w:hAnsi="Arial"/>
                <w:sz w:val="29"/>
                <w:szCs w:val="29"/>
                <w:b w:val="1"/>
                <w:bCs w:val="1"/>
                <w:color w:val="auto"/>
                <w:vertAlign w:val="superscript"/>
              </w:rPr>
              <w:t>(3)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GDP (US$ Millions)</w:t>
            </w: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194,660</w:t>
            </w:r>
          </w:p>
        </w:tc>
        <w:tc>
          <w:tcPr>
            <w:tcW w:w="3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214,352</w:t>
            </w:r>
          </w:p>
        </w:tc>
        <w:tc>
          <w:tcPr>
            <w:tcW w:w="3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225,308</w:t>
            </w:r>
          </w:p>
        </w:tc>
        <w:tc>
          <w:tcPr>
            <w:tcW w:w="3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230,809</w:t>
            </w:r>
          </w:p>
        </w:tc>
        <w:tc>
          <w:tcPr>
            <w:tcW w:w="3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196,994</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80" w:type="dxa"/>
            <w:vAlign w:val="bottom"/>
            <w:gridSpan w:val="3"/>
          </w:tcPr>
          <w:p>
            <w:pPr>
              <w:spacing w:after="0"/>
              <w:rPr>
                <w:sz w:val="20"/>
                <w:szCs w:val="20"/>
                <w:color w:val="auto"/>
              </w:rPr>
            </w:pPr>
            <w:r>
              <w:rPr>
                <w:rFonts w:ascii="Arial" w:cs="Arial" w:eastAsia="Arial" w:hAnsi="Arial"/>
                <w:sz w:val="18"/>
                <w:szCs w:val="18"/>
                <w:color w:val="auto"/>
              </w:rPr>
              <w:t>Real GDP (% change)</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4.0</w:t>
            </w: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4.0</w:t>
            </w: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-11 - -15</w:t>
            </w:r>
          </w:p>
        </w:tc>
        <w:tc>
          <w:tcPr>
            <w:tcW w:w="0" w:type="dxa"/>
            <w:vAlign w:val="bottom"/>
          </w:tcPr>
          <w:p>
            <w:pPr>
              <w:spacing w:after="0"/>
              <w:rPr>
                <w:sz w:val="1"/>
                <w:szCs w:val="1"/>
                <w:color w:val="auto"/>
              </w:rPr>
            </w:pPr>
          </w:p>
        </w:tc>
      </w:tr>
      <w:tr>
        <w:trPr>
          <w:trHeight w:val="213"/>
        </w:trPr>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GDP per capita (US$)</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6,180</w:t>
            </w: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6,741</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6,997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6,038</w:t>
            </w:r>
          </w:p>
        </w:tc>
        <w:tc>
          <w:tcPr>
            <w:tcW w:w="0" w:type="dxa"/>
            <w:vAlign w:val="bottom"/>
          </w:tcPr>
          <w:p>
            <w:pPr>
              <w:spacing w:after="0"/>
              <w:rPr>
                <w:sz w:val="1"/>
                <w:szCs w:val="1"/>
                <w:color w:val="auto"/>
              </w:rPr>
            </w:pPr>
          </w:p>
        </w:tc>
      </w:tr>
      <w:tr>
        <w:trPr>
          <w:trHeight w:val="213"/>
        </w:trPr>
        <w:tc>
          <w:tcPr>
            <w:tcW w:w="3480" w:type="dxa"/>
            <w:vAlign w:val="bottom"/>
            <w:gridSpan w:val="3"/>
          </w:tcPr>
          <w:p>
            <w:pPr>
              <w:spacing w:after="0"/>
              <w:rPr>
                <w:sz w:val="20"/>
                <w:szCs w:val="20"/>
                <w:color w:val="auto"/>
              </w:rPr>
            </w:pPr>
            <w:r>
              <w:rPr>
                <w:rFonts w:ascii="Arial" w:cs="Arial" w:eastAsia="Arial" w:hAnsi="Arial"/>
                <w:sz w:val="18"/>
                <w:szCs w:val="18"/>
                <w:color w:val="auto"/>
              </w:rPr>
              <w:t>Domestic demand (% change)</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4.3</w:t>
            </w: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-12 - -16</w:t>
            </w:r>
          </w:p>
        </w:tc>
        <w:tc>
          <w:tcPr>
            <w:tcW w:w="0" w:type="dxa"/>
            <w:vAlign w:val="bottom"/>
          </w:tcPr>
          <w:p>
            <w:pPr>
              <w:spacing w:after="0"/>
              <w:rPr>
                <w:sz w:val="1"/>
                <w:szCs w:val="1"/>
                <w:color w:val="auto"/>
              </w:rPr>
            </w:pPr>
          </w:p>
        </w:tc>
      </w:tr>
      <w:tr>
        <w:trPr>
          <w:trHeight w:val="213"/>
        </w:trPr>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fixed investment (as % GDP)</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22.0</w:t>
            </w: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20.6</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21.7</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21.4</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3"/>
        </w:trPr>
        <w:tc>
          <w:tcPr>
            <w:tcW w:w="3480" w:type="dxa"/>
            <w:vAlign w:val="bottom"/>
            <w:gridSpan w:val="3"/>
          </w:tcPr>
          <w:p>
            <w:pPr>
              <w:spacing w:after="0"/>
              <w:rPr>
                <w:sz w:val="20"/>
                <w:szCs w:val="20"/>
                <w:color w:val="auto"/>
              </w:rPr>
            </w:pPr>
            <w:r>
              <w:rPr>
                <w:rFonts w:ascii="Arial" w:cs="Arial" w:eastAsia="Arial" w:hAnsi="Arial"/>
                <w:sz w:val="18"/>
                <w:szCs w:val="18"/>
                <w:color w:val="auto"/>
              </w:rPr>
              <w:t>Public Debt (as % GDP)</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23.9</w:t>
            </w: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24.9</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25.7</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26.8</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54"/>
        </w:trPr>
        <w:tc>
          <w:tcPr>
            <w:tcW w:w="3480" w:type="dxa"/>
            <w:vAlign w:val="bottom"/>
            <w:gridSpan w:val="3"/>
            <w:shd w:val="clear" w:color="auto" w:fill="CCEEFF"/>
          </w:tcPr>
          <w:p>
            <w:pPr>
              <w:spacing w:after="0" w:line="253" w:lineRule="exact"/>
              <w:rPr>
                <w:sz w:val="20"/>
                <w:szCs w:val="20"/>
                <w:color w:val="auto"/>
              </w:rPr>
            </w:pPr>
            <w:r>
              <w:rPr>
                <w:rFonts w:ascii="Arial" w:cs="Arial" w:eastAsia="Arial" w:hAnsi="Arial"/>
                <w:sz w:val="18"/>
                <w:szCs w:val="18"/>
                <w:color w:val="auto"/>
              </w:rPr>
              <w:t xml:space="preserve">System loan growth (% change) </w:t>
            </w:r>
            <w:r>
              <w:rPr>
                <w:rFonts w:ascii="Arial" w:cs="Arial" w:eastAsia="Arial" w:hAnsi="Arial"/>
                <w:sz w:val="29"/>
                <w:szCs w:val="29"/>
                <w:color w:val="auto"/>
                <w:vertAlign w:val="superscript"/>
              </w:rPr>
              <w:t>(1)</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w:t>
            </w: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80" w:type="dxa"/>
            <w:vAlign w:val="bottom"/>
            <w:gridSpan w:val="3"/>
            <w:vMerge w:val="restart"/>
          </w:tcPr>
          <w:p>
            <w:pPr>
              <w:spacing w:after="0" w:line="253" w:lineRule="exact"/>
              <w:rPr>
                <w:sz w:val="20"/>
                <w:szCs w:val="20"/>
                <w:color w:val="auto"/>
              </w:rPr>
            </w:pPr>
            <w:r>
              <w:rPr>
                <w:rFonts w:ascii="Arial" w:cs="Arial" w:eastAsia="Arial" w:hAnsi="Arial"/>
                <w:sz w:val="18"/>
                <w:szCs w:val="18"/>
                <w:color w:val="auto"/>
              </w:rPr>
              <w:t xml:space="preserve">Inflation </w:t>
            </w:r>
            <w:r>
              <w:rPr>
                <w:rFonts w:ascii="Arial" w:cs="Arial" w:eastAsia="Arial" w:hAnsi="Arial"/>
                <w:sz w:val="29"/>
                <w:szCs w:val="29"/>
                <w:color w:val="auto"/>
                <w:vertAlign w:val="superscript"/>
              </w:rPr>
              <w:t>(2)</w:t>
            </w:r>
          </w:p>
        </w:tc>
        <w:tc>
          <w:tcPr>
            <w:tcW w:w="1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480" w:type="dxa"/>
            <w:vAlign w:val="bottom"/>
            <w:gridSpan w:val="3"/>
            <w:vMerge w:val="continue"/>
          </w:tcPr>
          <w:p>
            <w:pPr>
              <w:spacing w:after="0"/>
              <w:rPr>
                <w:sz w:val="20"/>
                <w:szCs w:val="20"/>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3.2</w:t>
            </w: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2.2</w:t>
            </w: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4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Reference Rate</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3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36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3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480" w:type="dxa"/>
            <w:vAlign w:val="bottom"/>
            <w:gridSpan w:val="3"/>
          </w:tcPr>
          <w:p>
            <w:pPr>
              <w:spacing w:after="0"/>
              <w:rPr>
                <w:sz w:val="20"/>
                <w:szCs w:val="20"/>
                <w:color w:val="auto"/>
              </w:rPr>
            </w:pPr>
            <w:r>
              <w:rPr>
                <w:rFonts w:ascii="Arial" w:cs="Arial" w:eastAsia="Arial" w:hAnsi="Arial"/>
                <w:sz w:val="18"/>
                <w:szCs w:val="18"/>
                <w:color w:val="auto"/>
              </w:rPr>
              <w:t>Exchange rate, end of period</w:t>
            </w:r>
          </w:p>
        </w:tc>
        <w:tc>
          <w:tcPr>
            <w:tcW w:w="1220" w:type="dxa"/>
            <w:vAlign w:val="bottom"/>
          </w:tcPr>
          <w:p>
            <w:pPr>
              <w:jc w:val="right"/>
              <w:spacing w:after="0"/>
              <w:rPr>
                <w:sz w:val="20"/>
                <w:szCs w:val="20"/>
                <w:color w:val="auto"/>
              </w:rPr>
            </w:pPr>
            <w:r>
              <w:rPr>
                <w:rFonts w:ascii="Arial" w:cs="Arial" w:eastAsia="Arial" w:hAnsi="Arial"/>
                <w:sz w:val="18"/>
                <w:szCs w:val="18"/>
                <w:color w:val="auto"/>
              </w:rPr>
              <w:t>3.36</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3.24</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3.37</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3.31</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3.40-3.45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Exchange rate, (% change)</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0"/>
        </w:trPr>
        <w:tc>
          <w:tcPr>
            <w:tcW w:w="34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Fiscal balance (% GDP)</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8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6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8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8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balance (US$ Millions)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6,614</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gridSpan w:val="3"/>
          </w:tcPr>
          <w:p>
            <w:pPr>
              <w:spacing w:after="0"/>
              <w:rPr>
                <w:sz w:val="20"/>
                <w:szCs w:val="20"/>
                <w:color w:val="auto"/>
              </w:rPr>
            </w:pPr>
            <w:r>
              <w:rPr>
                <w:rFonts w:ascii="Arial" w:cs="Arial" w:eastAsia="Arial" w:hAnsi="Arial"/>
                <w:sz w:val="18"/>
                <w:szCs w:val="18"/>
                <w:color w:val="auto"/>
              </w:rPr>
              <w:t>(As % GDP)</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3"/>
        </w:trPr>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Exports</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37,082</w:t>
            </w: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45,422</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49,066</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47,688</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37,000</w:t>
            </w:r>
          </w:p>
        </w:tc>
        <w:tc>
          <w:tcPr>
            <w:tcW w:w="0" w:type="dxa"/>
            <w:vAlign w:val="bottom"/>
          </w:tcPr>
          <w:p>
            <w:pPr>
              <w:spacing w:after="0"/>
              <w:rPr>
                <w:sz w:val="1"/>
                <w:szCs w:val="1"/>
                <w:color w:val="auto"/>
              </w:rPr>
            </w:pPr>
          </w:p>
        </w:tc>
      </w:tr>
      <w:tr>
        <w:trPr>
          <w:trHeight w:val="213"/>
        </w:trPr>
        <w:tc>
          <w:tcPr>
            <w:tcW w:w="3480" w:type="dxa"/>
            <w:vAlign w:val="bottom"/>
            <w:gridSpan w:val="3"/>
          </w:tcPr>
          <w:p>
            <w:pPr>
              <w:spacing w:after="0"/>
              <w:rPr>
                <w:sz w:val="20"/>
                <w:szCs w:val="20"/>
                <w:color w:val="auto"/>
              </w:rPr>
            </w:pPr>
            <w:r>
              <w:rPr>
                <w:rFonts w:ascii="Arial" w:cs="Arial" w:eastAsia="Arial" w:hAnsi="Arial"/>
                <w:sz w:val="18"/>
                <w:szCs w:val="18"/>
                <w:color w:val="auto"/>
              </w:rPr>
              <w:t>Imports</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35,128</w:t>
            </w: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38,722</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41,870</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41,074</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30,500</w:t>
            </w:r>
          </w:p>
        </w:tc>
        <w:tc>
          <w:tcPr>
            <w:tcW w:w="0" w:type="dxa"/>
            <w:vAlign w:val="bottom"/>
          </w:tcPr>
          <w:p>
            <w:pPr>
              <w:spacing w:after="0"/>
              <w:rPr>
                <w:sz w:val="1"/>
                <w:szCs w:val="1"/>
                <w:color w:val="auto"/>
              </w:rPr>
            </w:pPr>
          </w:p>
        </w:tc>
      </w:tr>
      <w:tr>
        <w:trPr>
          <w:trHeight w:val="213"/>
        </w:trPr>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account balance (US$ Millions)</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-5,064</w:t>
            </w: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-2,779</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-3,821</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-3,530</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13"/>
        </w:trPr>
        <w:tc>
          <w:tcPr>
            <w:tcW w:w="3480" w:type="dxa"/>
            <w:vAlign w:val="bottom"/>
            <w:gridSpan w:val="3"/>
          </w:tcPr>
          <w:p>
            <w:pPr>
              <w:spacing w:after="0"/>
              <w:rPr>
                <w:sz w:val="20"/>
                <w:szCs w:val="20"/>
                <w:color w:val="auto"/>
              </w:rPr>
            </w:pPr>
            <w:r>
              <w:rPr>
                <w:rFonts w:ascii="Arial" w:cs="Arial" w:eastAsia="Arial" w:hAnsi="Arial"/>
                <w:sz w:val="18"/>
                <w:szCs w:val="18"/>
                <w:color w:val="auto"/>
              </w:rPr>
              <w:t>(As % GDP)</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3"/>
        </w:trPr>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international reserves (US$ Millions)</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61,686</w:t>
            </w: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63,621</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60,121</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68,316</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71,200</w:t>
            </w:r>
          </w:p>
        </w:tc>
        <w:tc>
          <w:tcPr>
            <w:tcW w:w="0" w:type="dxa"/>
            <w:vAlign w:val="bottom"/>
          </w:tcPr>
          <w:p>
            <w:pPr>
              <w:spacing w:after="0"/>
              <w:rPr>
                <w:sz w:val="1"/>
                <w:szCs w:val="1"/>
                <w:color w:val="auto"/>
              </w:rPr>
            </w:pPr>
          </w:p>
        </w:tc>
      </w:tr>
      <w:tr>
        <w:trPr>
          <w:trHeight w:val="213"/>
        </w:trPr>
        <w:tc>
          <w:tcPr>
            <w:tcW w:w="3480" w:type="dxa"/>
            <w:vAlign w:val="bottom"/>
            <w:gridSpan w:val="3"/>
          </w:tcPr>
          <w:p>
            <w:pPr>
              <w:spacing w:after="0"/>
              <w:rPr>
                <w:sz w:val="20"/>
                <w:szCs w:val="20"/>
                <w:color w:val="auto"/>
              </w:rPr>
            </w:pPr>
            <w:r>
              <w:rPr>
                <w:rFonts w:ascii="Arial" w:cs="Arial" w:eastAsia="Arial" w:hAnsi="Arial"/>
                <w:sz w:val="18"/>
                <w:szCs w:val="18"/>
                <w:color w:val="auto"/>
              </w:rPr>
              <w:t>(As % GDP)</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31.7%</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29.7%</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26.7%</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29.6%</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3"/>
        </w:trPr>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months of imports)</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INEI, BCRP, and SBS.</w:t>
      </w:r>
    </w:p>
    <w:p>
      <w:pPr>
        <w:spacing w:after="0" w:line="19" w:lineRule="exact"/>
        <w:rPr>
          <w:sz w:val="20"/>
          <w:szCs w:val="20"/>
          <w:color w:val="auto"/>
        </w:rPr>
      </w:pPr>
    </w:p>
    <w:p>
      <w:pPr>
        <w:ind w:left="260" w:hanging="253"/>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Financial System, Current Exchange Rate</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Inflation target: 1% - 3%</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Estimates by BCP Economic Research as of July,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Main Economic Variables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Economic Activity – GDP </w:t>
      </w:r>
      <w:r>
        <w:rPr>
          <w:rFonts w:ascii="Arial" w:cs="Arial" w:eastAsia="Arial" w:hAnsi="Arial"/>
          <w:sz w:val="18"/>
          <w:szCs w:val="18"/>
          <w:color w:val="auto"/>
        </w:rPr>
        <w:t>(% change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1588770</wp:posOffset>
            </wp:positionH>
            <wp:positionV relativeFrom="paragraph">
              <wp:posOffset>151130</wp:posOffset>
            </wp:positionV>
            <wp:extent cx="3931285" cy="1567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931285" cy="156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780"/>
        <w:spacing w:after="0"/>
        <w:rPr>
          <w:sz w:val="20"/>
          <w:szCs w:val="20"/>
          <w:color w:val="auto"/>
        </w:rPr>
      </w:pPr>
      <w:r>
        <w:rPr>
          <w:rFonts w:ascii="Arial" w:cs="Arial" w:eastAsia="Arial" w:hAnsi="Arial"/>
          <w:sz w:val="18"/>
          <w:szCs w:val="18"/>
          <w:i w:val="1"/>
          <w:iCs w:val="1"/>
          <w:color w:val="auto"/>
        </w:rPr>
        <w:t>Fuente: INEI</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the COVID-19 pandemic developed, the economy went into nation-wide lockdown for 107 days (from March 16th to June 30th). The lockdown severely affected national production levels. In April, national production declined 40.5% YoY and in May, it fell 32.8% YoY. These contractions were observed in both the primary sectors (Apr/May-20: -28% YoY) and non-primary sectors (Apr/May-20: -39% YoY). Similarly, according to preliminary indicators, economic activity decreased between 20% - 25% YoY in June. Based on these results, our estimates indicate that GDP declined 33% YoY in the second quarter of 2020.</w:t>
      </w:r>
    </w:p>
    <w:p>
      <w:pPr>
        <w:spacing w:after="0" w:line="200" w:lineRule="exact"/>
        <w:rPr>
          <w:sz w:val="20"/>
          <w:szCs w:val="20"/>
          <w:color w:val="auto"/>
        </w:rPr>
      </w:pPr>
    </w:p>
    <w:p>
      <w:pPr>
        <w:spacing w:after="0" w:line="203"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6" w:name="page57"/>
    <w:bookmarkEnd w:id="56"/>
    <w:p>
      <w:pPr>
        <w:jc w:val="both"/>
        <w:spacing w:after="0" w:line="292" w:lineRule="auto"/>
        <w:rPr>
          <w:sz w:val="20"/>
          <w:szCs w:val="20"/>
          <w:color w:val="auto"/>
        </w:rPr>
      </w:pPr>
      <w:r>
        <w:rPr>
          <w:rFonts w:ascii="Arial" w:cs="Arial" w:eastAsia="Arial" w:hAnsi="Arial"/>
          <w:sz w:val="16"/>
          <w:szCs w:val="16"/>
          <w:color w:val="auto"/>
        </w:rPr>
        <w:t>Despite the harsh blow to national economic activity, certain signs of recovery have begun to appear. For example, electricity demand has only registered a decline of 6% YoY in July, after having suffered double digit declines in the three previous months (April: -30%, May: -25%, June: -12%). Similarly, our aggregated weekly indicator suggests that consumption has recovered 77% of the level registered pre-pandemic (in the last week of July). Based on aggregated transactions through BCP’s credit and debit cards, as well as non-monetary variables (such as Metropolitano tickets, poultry sales, transactions via telecommunications, and delivery apps), we have constructed an aggregated index to track the evolution of household consumption in real time.</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opinion, GDP figures will not post a contraction similar to the one registered during the second quarter of 2020. Despite uncertainty surrounding COVID-19’s evolution in Peru, we believe it is highly unlikely that a nation-wide lockdown like the one imposed between March 16th and June 30st will be instituted going forward. If a new lockdown were necessary, we expect it to be focalized. As such, the worst appears to be behind us in terms of effects on GDP.</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Inflation and Monetary Policy rate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1614170</wp:posOffset>
            </wp:positionH>
            <wp:positionV relativeFrom="paragraph">
              <wp:posOffset>15875</wp:posOffset>
            </wp:positionV>
            <wp:extent cx="3923030" cy="16014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923030" cy="160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780"/>
        <w:spacing w:after="0"/>
        <w:rPr>
          <w:sz w:val="20"/>
          <w:szCs w:val="20"/>
          <w:color w:val="auto"/>
        </w:rPr>
      </w:pPr>
      <w:r>
        <w:rPr>
          <w:rFonts w:ascii="Arial" w:cs="Arial" w:eastAsia="Arial" w:hAnsi="Arial"/>
          <w:sz w:val="18"/>
          <w:szCs w:val="18"/>
          <w:i w:val="1"/>
          <w:iCs w:val="1"/>
          <w:color w:val="auto"/>
        </w:rPr>
        <w:t>Source: INEI, BCRP</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The headline inflation rate closed the second quarter of 2020 at 1.6% YoY (1Q20: 1.8%), a 9-quarter minimum that fell slightly below the midpoint of the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target range (1%-3%). In parallel, core inflation (excluding food and energy) accelerated to 1.9% YoY (1Q20: 1.7%).</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reference rate has been maintained at 0.25% since April, when it was cut 100bps during the monthly monetary policy meeting. In the last monetary policy meeting, held in July, the Central Bank stressed for the third consecutive month that “the Board considers it appropriate to maintain a strong monetary stimulus for a prolonged period as the negative effects of the pandemic continue to pressure inflation and its determinants. The Central Bank remains vigilant and is prepared to increase monetary stimulus through several mechanisms”. The government has launched the second phase of the “Reactiva Peru” program (each phase is made up of PEN 30 billion), a loan program for working capital, where liquidity is provided by the Central Bank and loans have government-backed guarantees. Through this program, as well as other Central Bank operations, the Central Bank has provided unprecedented levels of liquidity.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Result and Current Account Balance (% of GDP,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1774825</wp:posOffset>
            </wp:positionH>
            <wp:positionV relativeFrom="paragraph">
              <wp:posOffset>15875</wp:posOffset>
            </wp:positionV>
            <wp:extent cx="3601085" cy="1796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601085" cy="1796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Source: BCRP</w:t>
      </w:r>
    </w:p>
    <w:p>
      <w:pPr>
        <w:spacing w:after="0" w:line="1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*BCP estimates</w:t>
      </w:r>
    </w:p>
    <w:p>
      <w:pPr>
        <w:spacing w:after="0" w:line="200" w:lineRule="exact"/>
        <w:rPr>
          <w:sz w:val="20"/>
          <w:szCs w:val="20"/>
          <w:color w:val="auto"/>
        </w:rPr>
      </w:pPr>
    </w:p>
    <w:p>
      <w:pPr>
        <w:spacing w:after="0" w:line="220"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7" w:name="page58"/>
    <w:bookmarkEnd w:id="57"/>
    <w:p>
      <w:pPr>
        <w:jc w:val="both"/>
        <w:spacing w:after="0" w:line="274" w:lineRule="auto"/>
        <w:rPr>
          <w:sz w:val="20"/>
          <w:szCs w:val="20"/>
          <w:color w:val="auto"/>
        </w:rPr>
      </w:pPr>
      <w:r>
        <w:rPr>
          <w:rFonts w:ascii="Arial" w:cs="Arial" w:eastAsia="Arial" w:hAnsi="Arial"/>
          <w:sz w:val="17"/>
          <w:szCs w:val="17"/>
          <w:color w:val="auto"/>
        </w:rPr>
        <w:t>In the second quarter of 2020, fiscal revenues fell 37% YoY in real terms (1Q20: -5.5%), the worst decline registered since the data is available. The sharp drop can be explained by a drop in income from the value added tax (37% YoY) and property tax (22% YoY). These declines are attributable to a decrease in economic activity and to measures to postpone tax payments amid the national emergency. In 2Q20, non-financial government spending dropped by 10% YoY in real terms (1Q20: +12%). Even though current expenses grew 6% YoY, public spending fell 74% YoY in real terms.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January to May 2020, the trade balance posted a surplus of USD 230 million, 87% below the number recorded for the same period in 2019. Exports fell 26% YoY during the same period (4.8% YoY drop in price and 22.9% YoY decline in volume). Traditional exports such as copper declined 28% YoY whereas non-traditional exports fell 19% YoY. It is important to note that in 2Q20, the price of copper rose to USD/lb. 2.95. Imports also fell, registering a decline of 19.5% YoY where the most affected sectors were raw materials (-20.5% YoY) and capital goods (-20.2% YoY). Terms of trade grew 0.8% YoY in the same period.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rate (S/ per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520"/>
        <w:spacing w:after="0"/>
        <w:rPr>
          <w:sz w:val="20"/>
          <w:szCs w:val="20"/>
          <w:color w:val="auto"/>
        </w:rPr>
      </w:pPr>
      <w:r>
        <w:rPr>
          <w:rFonts w:ascii="Arial" w:cs="Arial" w:eastAsia="Arial" w:hAnsi="Arial"/>
          <w:sz w:val="18"/>
          <w:szCs w:val="18"/>
          <w:i w:val="1"/>
          <w:iCs w:val="1"/>
          <w:color w:val="auto"/>
        </w:rPr>
        <w:t>Source: SBS</w:t>
      </w:r>
    </w:p>
    <w:p>
      <w:pPr>
        <w:spacing w:after="0" w:line="22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exchange rate closed 2Q20 at USDPEN 3.538. Consequently, the Peruvian Sol depreciated 2.9% compared to 1Q20’s closing rate (USDPEN 3.437). After having reached USDPEN 3.57 on March 18th (below the historic maximum: USDPEN 3.65 in September 2002) in a context marked by escalating risk aversion in global financial markets, the Peruvian Sol appreciated in April. In May, USDPEN ranged between 3.40-3.45 in a financial landscape where monetary stimulus measures favored emerging markets. In June, two factors drove the depreciation of the Peruvian Sol and the increase of USDPEN to 3.50:</w:t>
      </w:r>
    </w:p>
    <w:p>
      <w:pPr>
        <w:spacing w:after="0" w:line="2" w:lineRule="exact"/>
        <w:rPr>
          <w:sz w:val="20"/>
          <w:szCs w:val="20"/>
          <w:color w:val="auto"/>
        </w:rPr>
      </w:pPr>
    </w:p>
    <w:p>
      <w:pPr>
        <w:ind w:firstLine="7"/>
        <w:spacing w:after="0" w:line="284" w:lineRule="auto"/>
        <w:tabs>
          <w:tab w:leader="none" w:pos="252"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increase in global risk aversion due to the threat of a second wave of COVID-19 infections, and (2) a local increase in demand for USD as the banking system’s position in USD remained light. As a result, the Peruvian Sol depreciated despite the ascent in the price of copper.</w:t>
      </w:r>
    </w:p>
    <w:p>
      <w:pPr>
        <w:spacing w:after="0" w:line="1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2Q20, the Central Bank intervened in the exchange rate market to mitigate PEN’s volatility. Initially, the institution bought USD 32 million in April (at levels between USDPEN 3.35 and 3.37). In May, the institution sold USD 7 million in May (at USDPEN 3.44). Additionally, in 2Q20 (mainly in May and June), the Central Bank issued USD 683 million in BCRP Re-adjustable Deposit Certificates and USD 1,629 million in FX Swaps (sales) to mitigate the depreciation of the Peruvian Sol. At the end of 2Q20, net international reserves stood at USD 71.4 billion, which represented an increase of USD 3.4 million with regard to the level in 1Q20. The FX position at the end of 2Q20 was situated at USD 46.1 billion, which reflected an increase of USD 2.5 billion compared to 1Q20.</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Finally, at 2Q20’s closing, the region’s currencies showed mixed results with respect to 1Q20. The Colombian Peso (+7.6%), Chilean Peso (+3.8%) and Mexican Peso (+2.9%) appreciated while the Brazilian Real depreciated (-5.0%).</w:t>
      </w:r>
    </w:p>
    <w:p>
      <w:pPr>
        <w:spacing w:after="0" w:line="388"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00" w:lineRule="exact"/>
        <w:rPr>
          <w:sz w:val="20"/>
          <w:szCs w:val="20"/>
          <w:color w:val="auto"/>
        </w:rPr>
      </w:pPr>
    </w:p>
    <w:p>
      <w:pPr>
        <w:spacing w:after="0" w:line="2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 Forward-looking statements are neither historical facts nor assurances of future performance. Instead, they are based only on the Company’s current beliefs, expectations and assumptions regarding the future of our business, future plans and strategies, projections, anticipated events and trends, the economy and other future conditions.</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Forward-looking statements can be identified by words such as: "anticipate”, "intend", "plan", "goal”, "seek”, "believe”, "project", "estimate”, "expect", "strategy”, "future”, "likely”, "may”, "should”, "will" and similar references to future periods. Examples of forward-looking statements include, among others, statements or estimates we make regarding guidance relating to Return on Average Equity, Sustainable Return on Average Equity, Cost of Risk, Loan growth, Efficiency ratio, BCP Stand-alone Common Equity Tier 1 Capital ratio and Net Interest Margin, current or future volatility in the credit markets and future market conditions, expected macroeconomic conditions, our belief that we have sufficient liquidity to fund our business operations during the next year, expectations of the effect on our financial condition of claims, litigation, environmental costs, contingent liabilities and governmental and regulatory investigations and proceedings, strategy for customer retention, growth, product development, market position, financial results and reserves and strategy for risk management.</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 Our actual results and financial condition may differ materially from those indicated in the forward-looking statements. Therefore, you should not rely on any of these forward-looking statements.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forward-looking statement made in this material is based only on information currently available to the Company and speaks only as of the date on which it is made. 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200" w:lineRule="exact"/>
        <w:rPr>
          <w:sz w:val="20"/>
          <w:szCs w:val="20"/>
          <w:color w:val="auto"/>
        </w:rPr>
      </w:pPr>
    </w:p>
    <w:p>
      <w:pPr>
        <w:spacing w:after="0" w:line="201"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9" w:name="page60"/>
    <w:bookmarkEnd w:id="59"/>
    <w:p>
      <w:pPr>
        <w:ind w:left="520" w:hanging="513"/>
        <w:spacing w:after="0"/>
        <w:tabs>
          <w:tab w:leader="none" w:pos="52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Appendix</w:t>
      </w:r>
    </w:p>
    <w:p>
      <w:pPr>
        <w:spacing w:after="0" w:line="219" w:lineRule="exact"/>
        <w:rPr>
          <w:rFonts w:ascii="Arial" w:cs="Arial" w:eastAsia="Arial" w:hAnsi="Arial"/>
          <w:sz w:val="18"/>
          <w:szCs w:val="18"/>
          <w:b w:val="1"/>
          <w:bCs w:val="1"/>
          <w:color w:val="auto"/>
        </w:rPr>
      </w:pPr>
    </w:p>
    <w:p>
      <w:pPr>
        <w:ind w:left="400" w:hanging="393"/>
        <w:spacing w:after="0"/>
        <w:tabs>
          <w:tab w:leader="none" w:pos="400"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Credicorp</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6"/>
                <w:szCs w:val="16"/>
                <w:b w:val="1"/>
                <w:bCs w:val="1"/>
                <w:color w:val="auto"/>
              </w:rPr>
              <w:t>As of</w:t>
            </w: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b w:val="1"/>
                <w:bCs w:val="1"/>
                <w:color w:val="auto"/>
                <w:w w:val="99"/>
              </w:rPr>
              <w:t>% change</w:t>
            </w:r>
          </w:p>
        </w:tc>
        <w:tc>
          <w:tcPr>
            <w:tcW w:w="7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7"/>
        </w:trPr>
        <w:tc>
          <w:tcPr>
            <w:tcW w:w="51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Jun 2019</w:t>
            </w:r>
          </w:p>
        </w:tc>
        <w:tc>
          <w:tcPr>
            <w:tcW w:w="12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Mar 2020</w:t>
            </w:r>
          </w:p>
        </w:tc>
        <w:tc>
          <w:tcPr>
            <w:tcW w:w="1000" w:type="dxa"/>
            <w:vAlign w:val="bottom"/>
          </w:tcPr>
          <w:p>
            <w:pPr>
              <w:jc w:val="right"/>
              <w:ind w:right="120"/>
              <w:spacing w:after="0"/>
              <w:rPr>
                <w:sz w:val="20"/>
                <w:szCs w:val="20"/>
                <w:color w:val="auto"/>
              </w:rPr>
            </w:pPr>
            <w:r>
              <w:rPr>
                <w:rFonts w:ascii="Arial" w:cs="Arial" w:eastAsia="Arial" w:hAnsi="Arial"/>
                <w:sz w:val="16"/>
                <w:szCs w:val="16"/>
                <w:b w:val="1"/>
                <w:bCs w:val="1"/>
                <w:color w:val="auto"/>
              </w:rPr>
              <w:t>Jun 2020</w:t>
            </w:r>
          </w:p>
        </w:tc>
        <w:tc>
          <w:tcPr>
            <w:tcW w:w="220" w:type="dxa"/>
            <w:vAlign w:val="bottom"/>
          </w:tcPr>
          <w:p>
            <w:pPr>
              <w:spacing w:after="0"/>
              <w:rPr>
                <w:sz w:val="18"/>
                <w:szCs w:val="18"/>
                <w:color w:val="auto"/>
              </w:rPr>
            </w:pPr>
          </w:p>
        </w:tc>
        <w:tc>
          <w:tcPr>
            <w:tcW w:w="1540" w:type="dxa"/>
            <w:vAlign w:val="bottom"/>
            <w:gridSpan w:val="3"/>
          </w:tcPr>
          <w:p>
            <w:pPr>
              <w:ind w:left="320"/>
              <w:spacing w:after="0"/>
              <w:rPr>
                <w:sz w:val="20"/>
                <w:szCs w:val="20"/>
                <w:color w:val="auto"/>
              </w:rPr>
            </w:pPr>
            <w:r>
              <w:rPr>
                <w:rFonts w:ascii="Arial" w:cs="Arial" w:eastAsia="Arial" w:hAnsi="Arial"/>
                <w:sz w:val="16"/>
                <w:szCs w:val="16"/>
                <w:b w:val="1"/>
                <w:bCs w:val="1"/>
                <w:color w:val="auto"/>
              </w:rPr>
              <w:t>QoQ</w:t>
            </w:r>
          </w:p>
        </w:tc>
        <w:tc>
          <w:tcPr>
            <w:tcW w:w="720" w:type="dxa"/>
            <w:vAlign w:val="bottom"/>
          </w:tcPr>
          <w:p>
            <w:pPr>
              <w:ind w:left="80"/>
              <w:spacing w:after="0"/>
              <w:rPr>
                <w:sz w:val="20"/>
                <w:szCs w:val="20"/>
                <w:color w:val="auto"/>
              </w:rPr>
            </w:pPr>
            <w:r>
              <w:rPr>
                <w:rFonts w:ascii="Arial" w:cs="Arial" w:eastAsia="Arial" w:hAnsi="Arial"/>
                <w:sz w:val="16"/>
                <w:szCs w:val="16"/>
                <w:b w:val="1"/>
                <w:bCs w:val="1"/>
                <w:color w:val="auto"/>
              </w:rPr>
              <w:t>YoY</w:t>
            </w:r>
          </w:p>
        </w:tc>
        <w:tc>
          <w:tcPr>
            <w:tcW w:w="160" w:type="dxa"/>
            <w:vAlign w:val="bottom"/>
          </w:tcPr>
          <w:p>
            <w:pPr>
              <w:spacing w:after="0"/>
              <w:rPr>
                <w:sz w:val="18"/>
                <w:szCs w:val="18"/>
                <w:color w:val="auto"/>
              </w:rPr>
            </w:pPr>
          </w:p>
        </w:tc>
      </w:tr>
      <w:tr>
        <w:trPr>
          <w:trHeight w:val="196"/>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40"/>
        </w:trPr>
        <w:tc>
          <w:tcPr>
            <w:tcW w:w="5180" w:type="dxa"/>
            <w:vAlign w:val="bottom"/>
          </w:tcPr>
          <w:p>
            <w:pPr>
              <w:spacing w:after="0" w:line="240" w:lineRule="exact"/>
              <w:rPr>
                <w:sz w:val="20"/>
                <w:szCs w:val="20"/>
                <w:color w:val="auto"/>
              </w:rPr>
            </w:pPr>
            <w:r>
              <w:rPr>
                <w:rFonts w:ascii="Arial" w:cs="Arial" w:eastAsia="Arial" w:hAnsi="Arial"/>
                <w:sz w:val="16"/>
                <w:szCs w:val="16"/>
                <w:b w:val="1"/>
                <w:bCs w:val="1"/>
                <w:color w:val="auto"/>
              </w:rPr>
              <w:t xml:space="preserve">Cash and due from banks </w:t>
            </w:r>
            <w:r>
              <w:rPr>
                <w:rFonts w:ascii="Arial" w:cs="Arial" w:eastAsia="Arial" w:hAnsi="Arial"/>
                <w:sz w:val="26"/>
                <w:szCs w:val="26"/>
                <w:b w:val="1"/>
                <w:bCs w:val="1"/>
                <w:color w:val="auto"/>
                <w:vertAlign w:val="superscript"/>
              </w:rPr>
              <w:t>(1)</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0"/>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Non-interest bearing</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6,350,168</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6,787,357</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6,685,864</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r>
      <w:tr>
        <w:trPr>
          <w:trHeight w:val="200"/>
        </w:trPr>
        <w:tc>
          <w:tcPr>
            <w:tcW w:w="5180" w:type="dxa"/>
            <w:vAlign w:val="bottom"/>
          </w:tcPr>
          <w:p>
            <w:pPr>
              <w:ind w:left="120"/>
              <w:spacing w:after="0"/>
              <w:rPr>
                <w:sz w:val="20"/>
                <w:szCs w:val="20"/>
                <w:color w:val="auto"/>
              </w:rPr>
            </w:pPr>
            <w:r>
              <w:rPr>
                <w:rFonts w:ascii="Arial" w:cs="Arial" w:eastAsia="Arial" w:hAnsi="Arial"/>
                <w:sz w:val="16"/>
                <w:szCs w:val="16"/>
                <w:color w:val="auto"/>
              </w:rPr>
              <w:t>Interest bearing</w:t>
            </w:r>
          </w:p>
        </w:tc>
        <w:tc>
          <w:tcPr>
            <w:tcW w:w="1000" w:type="dxa"/>
            <w:vAlign w:val="bottom"/>
          </w:tcPr>
          <w:p>
            <w:pPr>
              <w:jc w:val="right"/>
              <w:spacing w:after="0"/>
              <w:rPr>
                <w:sz w:val="20"/>
                <w:szCs w:val="20"/>
                <w:color w:val="auto"/>
              </w:rPr>
            </w:pPr>
            <w:r>
              <w:rPr>
                <w:rFonts w:ascii="Arial" w:cs="Arial" w:eastAsia="Arial" w:hAnsi="Arial"/>
                <w:sz w:val="16"/>
                <w:szCs w:val="16"/>
                <w:color w:val="auto"/>
              </w:rPr>
              <w:t>17,488,649</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19,538,429</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29,430,518</w:t>
            </w:r>
          </w:p>
        </w:tc>
        <w:tc>
          <w:tcPr>
            <w:tcW w:w="2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50.6%</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68.3%</w:t>
            </w:r>
          </w:p>
        </w:tc>
      </w:tr>
      <w:tr>
        <w:trPr>
          <w:trHeight w:val="200"/>
        </w:trPr>
        <w:tc>
          <w:tcPr>
            <w:tcW w:w="5180" w:type="dxa"/>
            <w:vAlign w:val="bottom"/>
            <w:shd w:val="clear" w:color="auto" w:fill="CCEEFF"/>
          </w:tcPr>
          <w:p>
            <w:pPr>
              <w:jc w:val="center"/>
              <w:ind w:right="40"/>
              <w:spacing w:after="0"/>
              <w:rPr>
                <w:sz w:val="20"/>
                <w:szCs w:val="20"/>
                <w:color w:val="auto"/>
              </w:rPr>
            </w:pPr>
            <w:r>
              <w:rPr>
                <w:rFonts w:ascii="Arial" w:cs="Arial" w:eastAsia="Arial" w:hAnsi="Arial"/>
                <w:sz w:val="16"/>
                <w:szCs w:val="16"/>
                <w:b w:val="1"/>
                <w:bCs w:val="1"/>
                <w:color w:val="auto"/>
                <w:w w:val="89"/>
              </w:rPr>
              <w:t>Total cash and due from banks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23,838,817</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26,325,786</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36,116,382</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37.2%</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51.5%</w:t>
            </w:r>
          </w:p>
        </w:tc>
      </w:tr>
      <w:tr>
        <w:trPr>
          <w:trHeight w:val="240"/>
        </w:trPr>
        <w:tc>
          <w:tcPr>
            <w:tcW w:w="5180" w:type="dxa"/>
            <w:vAlign w:val="bottom"/>
          </w:tcPr>
          <w:p>
            <w:pPr>
              <w:spacing w:after="0" w:line="240" w:lineRule="exact"/>
              <w:rPr>
                <w:sz w:val="20"/>
                <w:szCs w:val="20"/>
                <w:color w:val="auto"/>
              </w:rPr>
            </w:pPr>
            <w:r>
              <w:rPr>
                <w:rFonts w:ascii="Arial" w:cs="Arial" w:eastAsia="Arial" w:hAnsi="Arial"/>
                <w:sz w:val="16"/>
                <w:szCs w:val="16"/>
                <w:color w:val="auto"/>
                <w:w w:val="94"/>
              </w:rPr>
              <w:t xml:space="preserve">Cash collateral, reverse repurchase agreements and securities borrowing </w:t>
            </w:r>
            <w:r>
              <w:rPr>
                <w:rFonts w:ascii="Arial" w:cs="Arial" w:eastAsia="Arial" w:hAnsi="Arial"/>
                <w:sz w:val="26"/>
                <w:szCs w:val="26"/>
                <w:color w:val="auto"/>
                <w:w w:val="94"/>
                <w:vertAlign w:val="superscript"/>
              </w:rPr>
              <w:t>(1)</w:t>
            </w:r>
          </w:p>
        </w:tc>
        <w:tc>
          <w:tcPr>
            <w:tcW w:w="1000" w:type="dxa"/>
            <w:vAlign w:val="bottom"/>
          </w:tcPr>
          <w:p>
            <w:pPr>
              <w:jc w:val="right"/>
              <w:spacing w:after="0"/>
              <w:rPr>
                <w:sz w:val="20"/>
                <w:szCs w:val="20"/>
                <w:color w:val="auto"/>
              </w:rPr>
            </w:pPr>
            <w:r>
              <w:rPr>
                <w:rFonts w:ascii="Arial" w:cs="Arial" w:eastAsia="Arial" w:hAnsi="Arial"/>
                <w:sz w:val="16"/>
                <w:szCs w:val="16"/>
                <w:color w:val="auto"/>
              </w:rPr>
              <w:t>4,445,749</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4,424,345</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2,920,789</w:t>
            </w:r>
          </w:p>
        </w:tc>
        <w:tc>
          <w:tcPr>
            <w:tcW w:w="2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-34.0%</w:t>
            </w:r>
          </w:p>
        </w:tc>
        <w:tc>
          <w:tcPr>
            <w:tcW w:w="2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-34.3%</w:t>
            </w: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Fair value through profit or loss investments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4,024,490</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4,185,638</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5,118,994</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22.3%</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27.2%</w:t>
            </w:r>
          </w:p>
        </w:tc>
      </w:tr>
      <w:tr>
        <w:trPr>
          <w:trHeight w:val="200"/>
        </w:trPr>
        <w:tc>
          <w:tcPr>
            <w:tcW w:w="5180" w:type="dxa"/>
            <w:vAlign w:val="bottom"/>
          </w:tcPr>
          <w:p>
            <w:pPr>
              <w:spacing w:after="0"/>
              <w:rPr>
                <w:sz w:val="20"/>
                <w:szCs w:val="20"/>
                <w:color w:val="auto"/>
              </w:rPr>
            </w:pPr>
            <w:r>
              <w:rPr>
                <w:rFonts w:ascii="Arial" w:cs="Arial" w:eastAsia="Arial" w:hAnsi="Arial"/>
                <w:sz w:val="16"/>
                <w:szCs w:val="16"/>
                <w:color w:val="auto"/>
              </w:rPr>
              <w:t>Fair value through other comprehensive income investments</w:t>
            </w:r>
          </w:p>
        </w:tc>
        <w:tc>
          <w:tcPr>
            <w:tcW w:w="1000" w:type="dxa"/>
            <w:vAlign w:val="bottom"/>
          </w:tcPr>
          <w:p>
            <w:pPr>
              <w:jc w:val="right"/>
              <w:spacing w:after="0"/>
              <w:rPr>
                <w:sz w:val="20"/>
                <w:szCs w:val="20"/>
                <w:color w:val="auto"/>
              </w:rPr>
            </w:pPr>
            <w:r>
              <w:rPr>
                <w:rFonts w:ascii="Arial" w:cs="Arial" w:eastAsia="Arial" w:hAnsi="Arial"/>
                <w:sz w:val="16"/>
                <w:szCs w:val="16"/>
                <w:color w:val="auto"/>
              </w:rPr>
              <w:t>26,800,577</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28,388,372</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32,213,665</w:t>
            </w:r>
          </w:p>
        </w:tc>
        <w:tc>
          <w:tcPr>
            <w:tcW w:w="2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13.5%</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20.2%</w:t>
            </w: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Amortized cost investments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3,589,360</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4,242,643</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4,304,385</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19.9%</w:t>
            </w:r>
          </w:p>
        </w:tc>
      </w:tr>
      <w:tr>
        <w:trPr>
          <w:trHeight w:val="200"/>
        </w:trPr>
        <w:tc>
          <w:tcPr>
            <w:tcW w:w="5180" w:type="dxa"/>
            <w:vAlign w:val="bottom"/>
          </w:tcPr>
          <w:p>
            <w:pPr>
              <w:spacing w:after="0"/>
              <w:rPr>
                <w:sz w:val="20"/>
                <w:szCs w:val="20"/>
                <w:color w:val="auto"/>
              </w:rPr>
            </w:pPr>
            <w:r>
              <w:rPr>
                <w:rFonts w:ascii="Arial" w:cs="Arial" w:eastAsia="Arial" w:hAnsi="Arial"/>
                <w:sz w:val="16"/>
                <w:szCs w:val="16"/>
                <w:color w:val="auto"/>
              </w:rPr>
              <w:t>Loans</w:t>
            </w:r>
          </w:p>
        </w:tc>
        <w:tc>
          <w:tcPr>
            <w:tcW w:w="1000" w:type="dxa"/>
            <w:vAlign w:val="bottom"/>
          </w:tcPr>
          <w:p>
            <w:pPr>
              <w:jc w:val="right"/>
              <w:spacing w:after="0"/>
              <w:rPr>
                <w:sz w:val="20"/>
                <w:szCs w:val="20"/>
                <w:color w:val="auto"/>
              </w:rPr>
            </w:pPr>
            <w:r>
              <w:rPr>
                <w:rFonts w:ascii="Arial" w:cs="Arial" w:eastAsia="Arial" w:hAnsi="Arial"/>
                <w:sz w:val="16"/>
                <w:szCs w:val="16"/>
                <w:color w:val="auto"/>
              </w:rPr>
              <w:t>109,381,123</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120,708,515</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132,741,720</w:t>
            </w:r>
          </w:p>
        </w:tc>
        <w:tc>
          <w:tcPr>
            <w:tcW w:w="2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10.0%</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21.4%</w:t>
            </w:r>
          </w:p>
        </w:tc>
      </w:tr>
      <w:tr>
        <w:trPr>
          <w:trHeight w:val="200"/>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Current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106,095,844</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117,129,011</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128,898,890</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21.5%</w:t>
            </w:r>
          </w:p>
        </w:tc>
      </w:tr>
      <w:tr>
        <w:trPr>
          <w:trHeight w:val="200"/>
        </w:trPr>
        <w:tc>
          <w:tcPr>
            <w:tcW w:w="5180" w:type="dxa"/>
            <w:vAlign w:val="bottom"/>
          </w:tcPr>
          <w:p>
            <w:pPr>
              <w:ind w:left="120"/>
              <w:spacing w:after="0"/>
              <w:rPr>
                <w:sz w:val="20"/>
                <w:szCs w:val="20"/>
                <w:color w:val="auto"/>
              </w:rPr>
            </w:pPr>
            <w:r>
              <w:rPr>
                <w:rFonts w:ascii="Arial" w:cs="Arial" w:eastAsia="Arial" w:hAnsi="Arial"/>
                <w:sz w:val="16"/>
                <w:szCs w:val="16"/>
                <w:color w:val="auto"/>
              </w:rPr>
              <w:t>Internal overdue loans</w:t>
            </w:r>
          </w:p>
        </w:tc>
        <w:tc>
          <w:tcPr>
            <w:tcW w:w="1000" w:type="dxa"/>
            <w:vAlign w:val="bottom"/>
          </w:tcPr>
          <w:p>
            <w:pPr>
              <w:jc w:val="right"/>
              <w:spacing w:after="0"/>
              <w:rPr>
                <w:sz w:val="20"/>
                <w:szCs w:val="20"/>
                <w:color w:val="auto"/>
              </w:rPr>
            </w:pPr>
            <w:r>
              <w:rPr>
                <w:rFonts w:ascii="Arial" w:cs="Arial" w:eastAsia="Arial" w:hAnsi="Arial"/>
                <w:sz w:val="16"/>
                <w:szCs w:val="16"/>
                <w:color w:val="auto"/>
              </w:rPr>
              <w:t>3,285,279</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3,579,504</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3,842,830</w:t>
            </w:r>
          </w:p>
        </w:tc>
        <w:tc>
          <w:tcPr>
            <w:tcW w:w="2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7.4%</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17.0%</w:t>
            </w:r>
          </w:p>
        </w:tc>
      </w:tr>
      <w:tr>
        <w:trPr>
          <w:trHeight w:val="200"/>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Less - allowance for loan losses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(4,878,150)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(5,931,772)</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(8,412,544)</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41.8%</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72.5%</w:t>
            </w:r>
          </w:p>
        </w:tc>
      </w:tr>
      <w:tr>
        <w:trPr>
          <w:trHeight w:val="200"/>
        </w:trPr>
        <w:tc>
          <w:tcPr>
            <w:tcW w:w="5180" w:type="dxa"/>
            <w:vAlign w:val="bottom"/>
          </w:tcPr>
          <w:p>
            <w:pPr>
              <w:spacing w:after="0"/>
              <w:rPr>
                <w:sz w:val="20"/>
                <w:szCs w:val="20"/>
                <w:color w:val="auto"/>
              </w:rPr>
            </w:pPr>
            <w:r>
              <w:rPr>
                <w:rFonts w:ascii="Arial" w:cs="Arial" w:eastAsia="Arial" w:hAnsi="Arial"/>
                <w:sz w:val="16"/>
                <w:szCs w:val="16"/>
                <w:color w:val="auto"/>
              </w:rPr>
              <w:t>Loans, net</w:t>
            </w:r>
          </w:p>
        </w:tc>
        <w:tc>
          <w:tcPr>
            <w:tcW w:w="1000" w:type="dxa"/>
            <w:vAlign w:val="bottom"/>
          </w:tcPr>
          <w:p>
            <w:pPr>
              <w:jc w:val="right"/>
              <w:spacing w:after="0"/>
              <w:rPr>
                <w:sz w:val="20"/>
                <w:szCs w:val="20"/>
                <w:color w:val="auto"/>
              </w:rPr>
            </w:pPr>
            <w:r>
              <w:rPr>
                <w:rFonts w:ascii="Arial" w:cs="Arial" w:eastAsia="Arial" w:hAnsi="Arial"/>
                <w:sz w:val="16"/>
                <w:szCs w:val="16"/>
                <w:color w:val="auto"/>
              </w:rPr>
              <w:t>104,502,973</w:t>
            </w:r>
          </w:p>
        </w:tc>
        <w:tc>
          <w:tcPr>
            <w:tcW w:w="2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114,776,743</w:t>
            </w:r>
          </w:p>
        </w:tc>
        <w:tc>
          <w:tcPr>
            <w:tcW w:w="1000" w:type="dxa"/>
            <w:vAlign w:val="bottom"/>
          </w:tcPr>
          <w:p>
            <w:pPr>
              <w:jc w:val="right"/>
              <w:spacing w:after="0"/>
              <w:rPr>
                <w:sz w:val="20"/>
                <w:szCs w:val="20"/>
                <w:color w:val="auto"/>
              </w:rPr>
            </w:pPr>
            <w:r>
              <w:rPr>
                <w:rFonts w:ascii="Arial" w:cs="Arial" w:eastAsia="Arial" w:hAnsi="Arial"/>
                <w:sz w:val="16"/>
                <w:szCs w:val="16"/>
                <w:color w:val="auto"/>
              </w:rPr>
              <w:t>124,329,176</w:t>
            </w:r>
          </w:p>
        </w:tc>
        <w:tc>
          <w:tcPr>
            <w:tcW w:w="2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8.3%</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19.0%</w:t>
            </w:r>
          </w:p>
        </w:tc>
      </w:tr>
      <w:tr>
        <w:trPr>
          <w:trHeight w:val="240"/>
        </w:trPr>
        <w:tc>
          <w:tcPr>
            <w:tcW w:w="5180" w:type="dxa"/>
            <w:vAlign w:val="bottom"/>
            <w:shd w:val="clear" w:color="auto" w:fill="CCEEFF"/>
          </w:tcPr>
          <w:p>
            <w:pPr>
              <w:spacing w:after="0" w:line="240" w:lineRule="exact"/>
              <w:rPr>
                <w:sz w:val="20"/>
                <w:szCs w:val="20"/>
                <w:color w:val="auto"/>
              </w:rPr>
            </w:pPr>
            <w:r>
              <w:rPr>
                <w:rFonts w:ascii="Arial" w:cs="Arial" w:eastAsia="Arial" w:hAnsi="Arial"/>
                <w:sz w:val="16"/>
                <w:szCs w:val="16"/>
                <w:color w:val="auto"/>
              </w:rPr>
              <w:t xml:space="preserve">Financial assets designated at fair value through profit or loss </w:t>
            </w:r>
            <w:r>
              <w:rPr>
                <w:rFonts w:ascii="Arial" w:cs="Arial" w:eastAsia="Arial" w:hAnsi="Arial"/>
                <w:sz w:val="26"/>
                <w:szCs w:val="26"/>
                <w:color w:val="auto"/>
                <w:vertAlign w:val="superscript"/>
              </w:rPr>
              <w:t>(2)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588,074</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559,321</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662,634</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18.5%</w:t>
            </w: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12.7%</w:t>
            </w:r>
          </w:p>
        </w:tc>
      </w:tr>
      <w:tr>
        <w:trPr>
          <w:trHeight w:val="200"/>
        </w:trPr>
        <w:tc>
          <w:tcPr>
            <w:tcW w:w="5180" w:type="dxa"/>
            <w:vAlign w:val="bottom"/>
          </w:tcPr>
          <w:p>
            <w:pPr>
              <w:spacing w:after="0"/>
              <w:rPr>
                <w:sz w:val="20"/>
                <w:szCs w:val="20"/>
                <w:color w:val="auto"/>
              </w:rPr>
            </w:pPr>
            <w:r>
              <w:rPr>
                <w:rFonts w:ascii="Arial" w:cs="Arial" w:eastAsia="Arial" w:hAnsi="Arial"/>
                <w:sz w:val="16"/>
                <w:szCs w:val="16"/>
                <w:color w:val="auto"/>
              </w:rPr>
              <w:t>Accounts receivable from reinsurers and coinsurers</w:t>
            </w:r>
          </w:p>
        </w:tc>
        <w:tc>
          <w:tcPr>
            <w:tcW w:w="1000" w:type="dxa"/>
            <w:vAlign w:val="bottom"/>
          </w:tcPr>
          <w:p>
            <w:pPr>
              <w:jc w:val="right"/>
              <w:spacing w:after="0"/>
              <w:rPr>
                <w:sz w:val="20"/>
                <w:szCs w:val="20"/>
                <w:color w:val="auto"/>
              </w:rPr>
            </w:pPr>
            <w:r>
              <w:rPr>
                <w:rFonts w:ascii="Arial" w:cs="Arial" w:eastAsia="Arial" w:hAnsi="Arial"/>
                <w:sz w:val="16"/>
                <w:szCs w:val="16"/>
                <w:color w:val="auto"/>
              </w:rPr>
              <w:t>862,521</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787,672</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817,773</w:t>
            </w:r>
          </w:p>
        </w:tc>
        <w:tc>
          <w:tcPr>
            <w:tcW w:w="2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3.8%</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-5.2%</w:t>
            </w: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Premiums and other policyholder receivables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884,572</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822,669</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799,644</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-9.6%</w:t>
            </w:r>
          </w:p>
        </w:tc>
      </w:tr>
      <w:tr>
        <w:trPr>
          <w:trHeight w:val="240"/>
        </w:trPr>
        <w:tc>
          <w:tcPr>
            <w:tcW w:w="5180" w:type="dxa"/>
            <w:vAlign w:val="bottom"/>
          </w:tcPr>
          <w:p>
            <w:pPr>
              <w:spacing w:after="0" w:line="240" w:lineRule="exact"/>
              <w:rPr>
                <w:sz w:val="20"/>
                <w:szCs w:val="20"/>
                <w:color w:val="auto"/>
              </w:rPr>
            </w:pPr>
            <w:r>
              <w:rPr>
                <w:rFonts w:ascii="Arial" w:cs="Arial" w:eastAsia="Arial" w:hAnsi="Arial"/>
                <w:sz w:val="16"/>
                <w:szCs w:val="16"/>
                <w:color w:val="auto"/>
              </w:rPr>
              <w:t xml:space="preserve">Property, plant and equipment, net </w:t>
            </w:r>
            <w:r>
              <w:rPr>
                <w:rFonts w:ascii="Arial" w:cs="Arial" w:eastAsia="Arial" w:hAnsi="Arial"/>
                <w:sz w:val="26"/>
                <w:szCs w:val="26"/>
                <w:color w:val="auto"/>
                <w:vertAlign w:val="superscript"/>
              </w:rPr>
              <w:t>(3)</w:t>
            </w:r>
          </w:p>
        </w:tc>
        <w:tc>
          <w:tcPr>
            <w:tcW w:w="1000" w:type="dxa"/>
            <w:vAlign w:val="bottom"/>
          </w:tcPr>
          <w:p>
            <w:pPr>
              <w:jc w:val="right"/>
              <w:spacing w:after="0"/>
              <w:rPr>
                <w:sz w:val="20"/>
                <w:szCs w:val="20"/>
                <w:color w:val="auto"/>
              </w:rPr>
            </w:pPr>
            <w:r>
              <w:rPr>
                <w:rFonts w:ascii="Arial" w:cs="Arial" w:eastAsia="Arial" w:hAnsi="Arial"/>
                <w:sz w:val="16"/>
                <w:szCs w:val="16"/>
                <w:color w:val="auto"/>
              </w:rPr>
              <w:t>2,235,241</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2,203,086</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2,122,445</w:t>
            </w:r>
          </w:p>
        </w:tc>
        <w:tc>
          <w:tcPr>
            <w:tcW w:w="2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-3.7%</w:t>
            </w:r>
          </w:p>
        </w:tc>
        <w:tc>
          <w:tcPr>
            <w:tcW w:w="2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-5.0%</w:t>
            </w: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Due from customers on acceptances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534,637</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555,598</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331,591</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-40.3%</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-38.0%</w:t>
            </w:r>
          </w:p>
        </w:tc>
      </w:tr>
      <w:tr>
        <w:trPr>
          <w:trHeight w:val="240"/>
        </w:trPr>
        <w:tc>
          <w:tcPr>
            <w:tcW w:w="5180" w:type="dxa"/>
            <w:vAlign w:val="bottom"/>
          </w:tcPr>
          <w:p>
            <w:pPr>
              <w:spacing w:after="0" w:line="240" w:lineRule="exact"/>
              <w:rPr>
                <w:sz w:val="20"/>
                <w:szCs w:val="20"/>
                <w:color w:val="auto"/>
              </w:rPr>
            </w:pPr>
            <w:r>
              <w:rPr>
                <w:rFonts w:ascii="Arial" w:cs="Arial" w:eastAsia="Arial" w:hAnsi="Arial"/>
                <w:sz w:val="16"/>
                <w:szCs w:val="16"/>
                <w:color w:val="auto"/>
              </w:rPr>
              <w:t xml:space="preserve">Investments in associates </w:t>
            </w:r>
            <w:r>
              <w:rPr>
                <w:rFonts w:ascii="Arial" w:cs="Arial" w:eastAsia="Arial" w:hAnsi="Arial"/>
                <w:sz w:val="26"/>
                <w:szCs w:val="26"/>
                <w:color w:val="auto"/>
                <w:vertAlign w:val="superscript"/>
              </w:rPr>
              <w:t>(4)</w:t>
            </w:r>
          </w:p>
        </w:tc>
        <w:tc>
          <w:tcPr>
            <w:tcW w:w="1000" w:type="dxa"/>
            <w:vAlign w:val="bottom"/>
          </w:tcPr>
          <w:p>
            <w:pPr>
              <w:jc w:val="right"/>
              <w:spacing w:after="0"/>
              <w:rPr>
                <w:sz w:val="20"/>
                <w:szCs w:val="20"/>
                <w:color w:val="auto"/>
              </w:rPr>
            </w:pPr>
            <w:r>
              <w:rPr>
                <w:rFonts w:ascii="Arial" w:cs="Arial" w:eastAsia="Arial" w:hAnsi="Arial"/>
                <w:sz w:val="16"/>
                <w:szCs w:val="16"/>
                <w:color w:val="auto"/>
              </w:rPr>
              <w:t>576,333</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618,310</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626,992</w:t>
            </w:r>
          </w:p>
        </w:tc>
        <w:tc>
          <w:tcPr>
            <w:tcW w:w="2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1.4%</w:t>
            </w:r>
          </w:p>
        </w:tc>
        <w:tc>
          <w:tcPr>
            <w:tcW w:w="2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8.8%</w:t>
            </w: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and goodwill, net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2,061,611</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2,424,404</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2,474,740</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20.0%</w:t>
            </w:r>
          </w:p>
        </w:tc>
      </w:tr>
      <w:tr>
        <w:trPr>
          <w:trHeight w:val="240"/>
        </w:trPr>
        <w:tc>
          <w:tcPr>
            <w:tcW w:w="5180" w:type="dxa"/>
            <w:vAlign w:val="bottom"/>
          </w:tcPr>
          <w:p>
            <w:pPr>
              <w:spacing w:after="0" w:line="240" w:lineRule="exact"/>
              <w:rPr>
                <w:sz w:val="20"/>
                <w:szCs w:val="20"/>
                <w:color w:val="auto"/>
              </w:rPr>
            </w:pPr>
            <w:r>
              <w:rPr>
                <w:rFonts w:ascii="Arial" w:cs="Arial" w:eastAsia="Arial" w:hAnsi="Arial"/>
                <w:sz w:val="16"/>
                <w:szCs w:val="16"/>
                <w:color w:val="auto"/>
              </w:rPr>
              <w:t xml:space="preserve">Other assets </w:t>
            </w:r>
            <w:r>
              <w:rPr>
                <w:rFonts w:ascii="Arial" w:cs="Arial" w:eastAsia="Arial" w:hAnsi="Arial"/>
                <w:sz w:val="26"/>
                <w:szCs w:val="26"/>
                <w:color w:val="auto"/>
                <w:vertAlign w:val="superscript"/>
              </w:rPr>
              <w:t>(5)</w:t>
            </w:r>
          </w:p>
        </w:tc>
        <w:tc>
          <w:tcPr>
            <w:tcW w:w="1000" w:type="dxa"/>
            <w:vAlign w:val="bottom"/>
          </w:tcPr>
          <w:p>
            <w:pPr>
              <w:jc w:val="right"/>
              <w:spacing w:after="0"/>
              <w:rPr>
                <w:sz w:val="20"/>
                <w:szCs w:val="20"/>
                <w:color w:val="auto"/>
              </w:rPr>
            </w:pPr>
            <w:r>
              <w:rPr>
                <w:rFonts w:ascii="Arial" w:cs="Arial" w:eastAsia="Arial" w:hAnsi="Arial"/>
                <w:sz w:val="16"/>
                <w:szCs w:val="16"/>
                <w:color w:val="auto"/>
              </w:rPr>
              <w:t>5,539,096</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7,507,302</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8,673,717</w:t>
            </w:r>
          </w:p>
        </w:tc>
        <w:tc>
          <w:tcPr>
            <w:tcW w:w="2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15.5%</w:t>
            </w:r>
          </w:p>
        </w:tc>
        <w:tc>
          <w:tcPr>
            <w:tcW w:w="2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56.6%</w:t>
            </w:r>
          </w:p>
        </w:tc>
      </w:tr>
      <w:tr>
        <w:trPr>
          <w:trHeight w:val="200"/>
        </w:trPr>
        <w:tc>
          <w:tcPr>
            <w:tcW w:w="5180" w:type="dxa"/>
            <w:vAlign w:val="bottom"/>
            <w:shd w:val="clear" w:color="auto" w:fill="CCEEFF"/>
          </w:tcPr>
          <w:p>
            <w:pPr>
              <w:jc w:val="center"/>
              <w:ind w:right="40"/>
              <w:spacing w:after="0"/>
              <w:rPr>
                <w:sz w:val="20"/>
                <w:szCs w:val="20"/>
                <w:color w:val="auto"/>
              </w:rPr>
            </w:pPr>
            <w:r>
              <w:rPr>
                <w:rFonts w:ascii="Arial" w:cs="Arial" w:eastAsia="Arial" w:hAnsi="Arial"/>
                <w:sz w:val="16"/>
                <w:szCs w:val="16"/>
                <w:b w:val="1"/>
                <w:bCs w:val="1"/>
                <w:color w:val="auto"/>
                <w:w w:val="86"/>
              </w:rPr>
              <w:t>Total Assets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180,484,051</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197,821,889</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221,512,927</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12.0%</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22.7%</w:t>
            </w:r>
          </w:p>
        </w:tc>
      </w:tr>
      <w:tr>
        <w:trPr>
          <w:trHeight w:val="200"/>
        </w:trPr>
        <w:tc>
          <w:tcPr>
            <w:tcW w:w="5180" w:type="dxa"/>
            <w:vAlign w:val="bottom"/>
          </w:tcPr>
          <w:p>
            <w:pPr>
              <w:spacing w:after="0"/>
              <w:rPr>
                <w:sz w:val="20"/>
                <w:szCs w:val="20"/>
                <w:color w:val="auto"/>
              </w:rPr>
            </w:pPr>
            <w:r>
              <w:rPr>
                <w:rFonts w:ascii="Arial" w:cs="Arial" w:eastAsia="Arial" w:hAnsi="Arial"/>
                <w:sz w:val="16"/>
                <w:szCs w:val="16"/>
                <w:b w:val="1"/>
                <w:bCs w:val="1"/>
                <w:color w:val="auto"/>
              </w:rPr>
              <w:t>LIABILITIES AND EQUITY</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Deposits and obligations</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0"/>
        </w:trPr>
        <w:tc>
          <w:tcPr>
            <w:tcW w:w="5180" w:type="dxa"/>
            <w:vAlign w:val="bottom"/>
          </w:tcPr>
          <w:p>
            <w:pPr>
              <w:ind w:left="120"/>
              <w:spacing w:after="0"/>
              <w:rPr>
                <w:sz w:val="20"/>
                <w:szCs w:val="20"/>
                <w:color w:val="auto"/>
              </w:rPr>
            </w:pPr>
            <w:r>
              <w:rPr>
                <w:rFonts w:ascii="Arial" w:cs="Arial" w:eastAsia="Arial" w:hAnsi="Arial"/>
                <w:sz w:val="16"/>
                <w:szCs w:val="16"/>
                <w:color w:val="auto"/>
              </w:rPr>
              <w:t>Non-interest bearing</w:t>
            </w:r>
          </w:p>
        </w:tc>
        <w:tc>
          <w:tcPr>
            <w:tcW w:w="1000" w:type="dxa"/>
            <w:vAlign w:val="bottom"/>
          </w:tcPr>
          <w:p>
            <w:pPr>
              <w:jc w:val="right"/>
              <w:spacing w:after="0"/>
              <w:rPr>
                <w:sz w:val="20"/>
                <w:szCs w:val="20"/>
                <w:color w:val="auto"/>
              </w:rPr>
            </w:pPr>
            <w:r>
              <w:rPr>
                <w:rFonts w:ascii="Arial" w:cs="Arial" w:eastAsia="Arial" w:hAnsi="Arial"/>
                <w:sz w:val="16"/>
                <w:szCs w:val="16"/>
                <w:color w:val="auto"/>
              </w:rPr>
              <w:t>25,339,482</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32,231,854</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41,310,487</w:t>
            </w:r>
          </w:p>
        </w:tc>
        <w:tc>
          <w:tcPr>
            <w:tcW w:w="2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28.2%</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63.0%</w:t>
            </w:r>
          </w:p>
        </w:tc>
      </w:tr>
      <w:tr>
        <w:trPr>
          <w:trHeight w:val="200"/>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bearing</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77,817,562</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87,331,691</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88,353,845</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13.5%</w:t>
            </w:r>
          </w:p>
        </w:tc>
      </w:tr>
      <w:tr>
        <w:trPr>
          <w:trHeight w:val="200"/>
        </w:trPr>
        <w:tc>
          <w:tcPr>
            <w:tcW w:w="5180" w:type="dxa"/>
            <w:vAlign w:val="bottom"/>
          </w:tcPr>
          <w:p>
            <w:pPr>
              <w:ind w:left="120"/>
              <w:spacing w:after="0"/>
              <w:rPr>
                <w:sz w:val="20"/>
                <w:szCs w:val="20"/>
                <w:color w:val="auto"/>
              </w:rPr>
            </w:pPr>
            <w:r>
              <w:rPr>
                <w:rFonts w:ascii="Arial" w:cs="Arial" w:eastAsia="Arial" w:hAnsi="Arial"/>
                <w:sz w:val="16"/>
                <w:szCs w:val="16"/>
                <w:color w:val="auto"/>
              </w:rPr>
              <w:t>Total deposits and obligations</w:t>
            </w:r>
          </w:p>
        </w:tc>
        <w:tc>
          <w:tcPr>
            <w:tcW w:w="1000" w:type="dxa"/>
            <w:vAlign w:val="bottom"/>
          </w:tcPr>
          <w:p>
            <w:pPr>
              <w:jc w:val="right"/>
              <w:spacing w:after="0"/>
              <w:rPr>
                <w:sz w:val="20"/>
                <w:szCs w:val="20"/>
                <w:color w:val="auto"/>
              </w:rPr>
            </w:pPr>
            <w:r>
              <w:rPr>
                <w:rFonts w:ascii="Arial" w:cs="Arial" w:eastAsia="Arial" w:hAnsi="Arial"/>
                <w:sz w:val="16"/>
                <w:szCs w:val="16"/>
                <w:color w:val="auto"/>
              </w:rPr>
              <w:t>103,157,044</w:t>
            </w:r>
          </w:p>
        </w:tc>
        <w:tc>
          <w:tcPr>
            <w:tcW w:w="2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119,563,545</w:t>
            </w:r>
          </w:p>
        </w:tc>
        <w:tc>
          <w:tcPr>
            <w:tcW w:w="1000" w:type="dxa"/>
            <w:vAlign w:val="bottom"/>
          </w:tcPr>
          <w:p>
            <w:pPr>
              <w:jc w:val="right"/>
              <w:spacing w:after="0"/>
              <w:rPr>
                <w:sz w:val="20"/>
                <w:szCs w:val="20"/>
                <w:color w:val="auto"/>
              </w:rPr>
            </w:pPr>
            <w:r>
              <w:rPr>
                <w:rFonts w:ascii="Arial" w:cs="Arial" w:eastAsia="Arial" w:hAnsi="Arial"/>
                <w:sz w:val="16"/>
                <w:szCs w:val="16"/>
                <w:color w:val="auto"/>
              </w:rPr>
              <w:t>129,664,332</w:t>
            </w:r>
          </w:p>
        </w:tc>
        <w:tc>
          <w:tcPr>
            <w:tcW w:w="2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8.4%</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25.7%</w:t>
            </w: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Payables from repurchase agreements and securities lending</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10,448,517</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8,254,726</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22,437,742</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171.8%</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114.7%</w:t>
            </w:r>
          </w:p>
        </w:tc>
      </w:tr>
      <w:tr>
        <w:trPr>
          <w:trHeight w:val="200"/>
        </w:trPr>
        <w:tc>
          <w:tcPr>
            <w:tcW w:w="5180" w:type="dxa"/>
            <w:vAlign w:val="bottom"/>
          </w:tcPr>
          <w:p>
            <w:pPr>
              <w:ind w:left="120"/>
              <w:spacing w:after="0"/>
              <w:rPr>
                <w:sz w:val="20"/>
                <w:szCs w:val="20"/>
                <w:color w:val="auto"/>
              </w:rPr>
            </w:pPr>
            <w:r>
              <w:rPr>
                <w:rFonts w:ascii="Arial" w:cs="Arial" w:eastAsia="Arial" w:hAnsi="Arial"/>
                <w:sz w:val="16"/>
                <w:szCs w:val="16"/>
                <w:color w:val="auto"/>
              </w:rPr>
              <w:t>BCRP instruments</w:t>
            </w:r>
          </w:p>
        </w:tc>
        <w:tc>
          <w:tcPr>
            <w:tcW w:w="1000" w:type="dxa"/>
            <w:vAlign w:val="bottom"/>
          </w:tcPr>
          <w:p>
            <w:pPr>
              <w:jc w:val="right"/>
              <w:spacing w:after="0"/>
              <w:rPr>
                <w:sz w:val="20"/>
                <w:szCs w:val="20"/>
                <w:color w:val="auto"/>
              </w:rPr>
            </w:pPr>
            <w:r>
              <w:rPr>
                <w:rFonts w:ascii="Arial" w:cs="Arial" w:eastAsia="Arial" w:hAnsi="Arial"/>
                <w:sz w:val="16"/>
                <w:szCs w:val="16"/>
                <w:color w:val="auto"/>
              </w:rPr>
              <w:t>6,304,186</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5,346,373</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19,441,733</w:t>
            </w:r>
          </w:p>
        </w:tc>
        <w:tc>
          <w:tcPr>
            <w:tcW w:w="2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263.6%</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208.4%</w:t>
            </w:r>
          </w:p>
        </w:tc>
      </w:tr>
      <w:tr>
        <w:trPr>
          <w:trHeight w:val="200"/>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Repurchase agreements with third parties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2,455,665</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1,935,879</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2,091,798</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8.1%</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-14.8%</w:t>
            </w:r>
          </w:p>
        </w:tc>
      </w:tr>
      <w:tr>
        <w:trPr>
          <w:trHeight w:val="200"/>
        </w:trPr>
        <w:tc>
          <w:tcPr>
            <w:tcW w:w="5180" w:type="dxa"/>
            <w:vAlign w:val="bottom"/>
          </w:tcPr>
          <w:p>
            <w:pPr>
              <w:ind w:left="120"/>
              <w:spacing w:after="0"/>
              <w:rPr>
                <w:sz w:val="20"/>
                <w:szCs w:val="20"/>
                <w:color w:val="auto"/>
              </w:rPr>
            </w:pPr>
            <w:r>
              <w:rPr>
                <w:rFonts w:ascii="Arial" w:cs="Arial" w:eastAsia="Arial" w:hAnsi="Arial"/>
                <w:sz w:val="16"/>
                <w:szCs w:val="16"/>
                <w:color w:val="auto"/>
              </w:rPr>
              <w:t>Repurchase agreements with customers</w:t>
            </w:r>
          </w:p>
        </w:tc>
        <w:tc>
          <w:tcPr>
            <w:tcW w:w="1000" w:type="dxa"/>
            <w:vAlign w:val="bottom"/>
          </w:tcPr>
          <w:p>
            <w:pPr>
              <w:jc w:val="right"/>
              <w:spacing w:after="0"/>
              <w:rPr>
                <w:sz w:val="20"/>
                <w:szCs w:val="20"/>
                <w:color w:val="auto"/>
              </w:rPr>
            </w:pPr>
            <w:r>
              <w:rPr>
                <w:rFonts w:ascii="Arial" w:cs="Arial" w:eastAsia="Arial" w:hAnsi="Arial"/>
                <w:sz w:val="16"/>
                <w:szCs w:val="16"/>
                <w:color w:val="auto"/>
              </w:rPr>
              <w:t>1,688,666</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972,474</w:t>
            </w:r>
          </w:p>
        </w:tc>
        <w:tc>
          <w:tcPr>
            <w:tcW w:w="2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904,211</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-7.0%</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-46.5%</w:t>
            </w: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Due to banks and correspondents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9,222,278</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9,854,630</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8,374,009</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-15.0%</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r>
      <w:tr>
        <w:trPr>
          <w:trHeight w:val="200"/>
        </w:trPr>
        <w:tc>
          <w:tcPr>
            <w:tcW w:w="5180" w:type="dxa"/>
            <w:vAlign w:val="bottom"/>
          </w:tcPr>
          <w:p>
            <w:pPr>
              <w:spacing w:after="0"/>
              <w:rPr>
                <w:sz w:val="20"/>
                <w:szCs w:val="20"/>
                <w:color w:val="auto"/>
              </w:rPr>
            </w:pPr>
            <w:r>
              <w:rPr>
                <w:rFonts w:ascii="Arial" w:cs="Arial" w:eastAsia="Arial" w:hAnsi="Arial"/>
                <w:sz w:val="16"/>
                <w:szCs w:val="16"/>
                <w:color w:val="auto"/>
              </w:rPr>
              <w:t>Bonds and notes issued</w:t>
            </w:r>
          </w:p>
        </w:tc>
        <w:tc>
          <w:tcPr>
            <w:tcW w:w="1000" w:type="dxa"/>
            <w:vAlign w:val="bottom"/>
          </w:tcPr>
          <w:p>
            <w:pPr>
              <w:jc w:val="right"/>
              <w:spacing w:after="0"/>
              <w:rPr>
                <w:sz w:val="20"/>
                <w:szCs w:val="20"/>
                <w:color w:val="auto"/>
              </w:rPr>
            </w:pPr>
            <w:r>
              <w:rPr>
                <w:rFonts w:ascii="Arial" w:cs="Arial" w:eastAsia="Arial" w:hAnsi="Arial"/>
                <w:sz w:val="16"/>
                <w:szCs w:val="16"/>
                <w:color w:val="auto"/>
              </w:rPr>
              <w:t>15,058,760</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15,178,148</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17,250,531</w:t>
            </w:r>
          </w:p>
        </w:tc>
        <w:tc>
          <w:tcPr>
            <w:tcW w:w="2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13.7%</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14.6%</w:t>
            </w: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Banker’s acceptances outstanding</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534,637</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555,598</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331,591</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-40.3%</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-38.0%</w:t>
            </w:r>
          </w:p>
        </w:tc>
      </w:tr>
      <w:tr>
        <w:trPr>
          <w:trHeight w:val="200"/>
        </w:trPr>
        <w:tc>
          <w:tcPr>
            <w:tcW w:w="5180" w:type="dxa"/>
            <w:vAlign w:val="bottom"/>
          </w:tcPr>
          <w:p>
            <w:pPr>
              <w:spacing w:after="0"/>
              <w:rPr>
                <w:sz w:val="20"/>
                <w:szCs w:val="20"/>
                <w:color w:val="auto"/>
              </w:rPr>
            </w:pPr>
            <w:r>
              <w:rPr>
                <w:rFonts w:ascii="Arial" w:cs="Arial" w:eastAsia="Arial" w:hAnsi="Arial"/>
                <w:sz w:val="16"/>
                <w:szCs w:val="16"/>
                <w:color w:val="auto"/>
              </w:rPr>
              <w:t>Reserves for property and casualty claims</w:t>
            </w:r>
          </w:p>
        </w:tc>
        <w:tc>
          <w:tcPr>
            <w:tcW w:w="1000" w:type="dxa"/>
            <w:vAlign w:val="bottom"/>
          </w:tcPr>
          <w:p>
            <w:pPr>
              <w:jc w:val="right"/>
              <w:spacing w:after="0"/>
              <w:rPr>
                <w:sz w:val="20"/>
                <w:szCs w:val="20"/>
                <w:color w:val="auto"/>
              </w:rPr>
            </w:pPr>
            <w:r>
              <w:rPr>
                <w:rFonts w:ascii="Arial" w:cs="Arial" w:eastAsia="Arial" w:hAnsi="Arial"/>
                <w:sz w:val="16"/>
                <w:szCs w:val="16"/>
                <w:color w:val="auto"/>
              </w:rPr>
              <w:t>1,525,832</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1,637,791</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1,791,871</w:t>
            </w:r>
          </w:p>
        </w:tc>
        <w:tc>
          <w:tcPr>
            <w:tcW w:w="2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9.4%</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17.4%</w:t>
            </w: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Reserve for unearned premiums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7,412,792</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8,338,154</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8,839,019</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6.0%</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19.2%</w:t>
            </w:r>
          </w:p>
        </w:tc>
      </w:tr>
      <w:tr>
        <w:trPr>
          <w:trHeight w:val="200"/>
        </w:trPr>
        <w:tc>
          <w:tcPr>
            <w:tcW w:w="5180" w:type="dxa"/>
            <w:vAlign w:val="bottom"/>
          </w:tcPr>
          <w:p>
            <w:pPr>
              <w:spacing w:after="0"/>
              <w:rPr>
                <w:sz w:val="20"/>
                <w:szCs w:val="20"/>
                <w:color w:val="auto"/>
              </w:rPr>
            </w:pPr>
            <w:r>
              <w:rPr>
                <w:rFonts w:ascii="Arial" w:cs="Arial" w:eastAsia="Arial" w:hAnsi="Arial"/>
                <w:sz w:val="16"/>
                <w:szCs w:val="16"/>
                <w:color w:val="auto"/>
              </w:rPr>
              <w:t>Accounts payable to reinsurers</w:t>
            </w:r>
          </w:p>
        </w:tc>
        <w:tc>
          <w:tcPr>
            <w:tcW w:w="1000" w:type="dxa"/>
            <w:vAlign w:val="bottom"/>
          </w:tcPr>
          <w:p>
            <w:pPr>
              <w:jc w:val="right"/>
              <w:spacing w:after="0"/>
              <w:rPr>
                <w:sz w:val="20"/>
                <w:szCs w:val="20"/>
                <w:color w:val="auto"/>
              </w:rPr>
            </w:pPr>
            <w:r>
              <w:rPr>
                <w:rFonts w:ascii="Arial" w:cs="Arial" w:eastAsia="Arial" w:hAnsi="Arial"/>
                <w:sz w:val="16"/>
                <w:szCs w:val="16"/>
                <w:color w:val="auto"/>
              </w:rPr>
              <w:t>302,079</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198,473</w:t>
            </w:r>
          </w:p>
        </w:tc>
        <w:tc>
          <w:tcPr>
            <w:tcW w:w="2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221,118</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11.4%</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-26.8%</w:t>
            </w:r>
          </w:p>
        </w:tc>
      </w:tr>
      <w:tr>
        <w:trPr>
          <w:trHeight w:val="240"/>
        </w:trPr>
        <w:tc>
          <w:tcPr>
            <w:tcW w:w="5180" w:type="dxa"/>
            <w:vAlign w:val="bottom"/>
            <w:shd w:val="clear" w:color="auto" w:fill="CCEEFF"/>
          </w:tcPr>
          <w:p>
            <w:pPr>
              <w:spacing w:after="0" w:line="240" w:lineRule="exact"/>
              <w:rPr>
                <w:sz w:val="20"/>
                <w:szCs w:val="20"/>
                <w:color w:val="auto"/>
              </w:rPr>
            </w:pPr>
            <w:r>
              <w:rPr>
                <w:rFonts w:ascii="Arial" w:cs="Arial" w:eastAsia="Arial" w:hAnsi="Arial"/>
                <w:sz w:val="16"/>
                <w:szCs w:val="16"/>
                <w:color w:val="auto"/>
              </w:rPr>
              <w:t xml:space="preserve">Financial liabilities at fair value through profit or loss </w:t>
            </w:r>
            <w:r>
              <w:rPr>
                <w:rFonts w:ascii="Arial" w:cs="Arial" w:eastAsia="Arial" w:hAnsi="Arial"/>
                <w:sz w:val="26"/>
                <w:szCs w:val="26"/>
                <w:color w:val="auto"/>
                <w:vertAlign w:val="superscript"/>
              </w:rPr>
              <w:t>(6)</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548,367</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533,146</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480,952</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-9.8%</w:t>
            </w: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-12.3%</w:t>
            </w:r>
          </w:p>
        </w:tc>
      </w:tr>
      <w:tr>
        <w:trPr>
          <w:trHeight w:val="200"/>
        </w:trPr>
        <w:tc>
          <w:tcPr>
            <w:tcW w:w="5180" w:type="dxa"/>
            <w:vAlign w:val="bottom"/>
          </w:tcPr>
          <w:p>
            <w:pPr>
              <w:spacing w:after="0"/>
              <w:rPr>
                <w:sz w:val="20"/>
                <w:szCs w:val="20"/>
                <w:color w:val="auto"/>
              </w:rPr>
            </w:pPr>
            <w:r>
              <w:rPr>
                <w:rFonts w:ascii="Arial" w:cs="Arial" w:eastAsia="Arial" w:hAnsi="Arial"/>
                <w:sz w:val="16"/>
                <w:szCs w:val="16"/>
                <w:color w:val="auto"/>
              </w:rPr>
              <w:t>Other liabilities</w:t>
            </w:r>
          </w:p>
        </w:tc>
        <w:tc>
          <w:tcPr>
            <w:tcW w:w="1000" w:type="dxa"/>
            <w:vAlign w:val="bottom"/>
          </w:tcPr>
          <w:p>
            <w:pPr>
              <w:jc w:val="right"/>
              <w:spacing w:after="0"/>
              <w:rPr>
                <w:sz w:val="20"/>
                <w:szCs w:val="20"/>
                <w:color w:val="auto"/>
              </w:rPr>
            </w:pPr>
            <w:r>
              <w:rPr>
                <w:rFonts w:ascii="Arial" w:cs="Arial" w:eastAsia="Arial" w:hAnsi="Arial"/>
                <w:sz w:val="16"/>
                <w:szCs w:val="16"/>
                <w:color w:val="auto"/>
              </w:rPr>
              <w:t>6,607,565</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9,984,867</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8,245,706</w:t>
            </w:r>
          </w:p>
        </w:tc>
        <w:tc>
          <w:tcPr>
            <w:tcW w:w="2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-17.4%</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24.8%</w:t>
            </w:r>
          </w:p>
        </w:tc>
      </w:tr>
      <w:tr>
        <w:trPr>
          <w:trHeight w:val="200"/>
        </w:trPr>
        <w:tc>
          <w:tcPr>
            <w:tcW w:w="5180" w:type="dxa"/>
            <w:vAlign w:val="bottom"/>
            <w:shd w:val="clear" w:color="auto" w:fill="CCEEFF"/>
          </w:tcPr>
          <w:p>
            <w:pPr>
              <w:jc w:val="center"/>
              <w:ind w:right="20"/>
              <w:spacing w:after="0"/>
              <w:rPr>
                <w:sz w:val="20"/>
                <w:szCs w:val="20"/>
                <w:color w:val="auto"/>
              </w:rPr>
            </w:pPr>
            <w:r>
              <w:rPr>
                <w:rFonts w:ascii="Arial" w:cs="Arial" w:eastAsia="Arial" w:hAnsi="Arial"/>
                <w:sz w:val="16"/>
                <w:szCs w:val="16"/>
                <w:b w:val="1"/>
                <w:bCs w:val="1"/>
                <w:color w:val="auto"/>
                <w:w w:val="92"/>
              </w:rPr>
              <w:t>Total Liabilities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154,817,871</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174,099,078</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197,636,871</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13.5%</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27.7%</w:t>
            </w:r>
          </w:p>
        </w:tc>
      </w:tr>
      <w:tr>
        <w:trPr>
          <w:trHeight w:val="200"/>
        </w:trPr>
        <w:tc>
          <w:tcPr>
            <w:tcW w:w="5180" w:type="dxa"/>
            <w:vAlign w:val="bottom"/>
          </w:tcPr>
          <w:p>
            <w:pPr>
              <w:spacing w:after="0"/>
              <w:rPr>
                <w:sz w:val="20"/>
                <w:szCs w:val="20"/>
                <w:color w:val="auto"/>
              </w:rPr>
            </w:pPr>
            <w:r>
              <w:rPr>
                <w:rFonts w:ascii="Arial" w:cs="Arial" w:eastAsia="Arial" w:hAnsi="Arial"/>
                <w:sz w:val="16"/>
                <w:szCs w:val="16"/>
                <w:b w:val="1"/>
                <w:bCs w:val="1"/>
                <w:color w:val="auto"/>
              </w:rPr>
              <w:t>Net equity</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25,221,894</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23,205,639</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23,396,028</w:t>
            </w:r>
          </w:p>
        </w:tc>
        <w:tc>
          <w:tcPr>
            <w:tcW w:w="2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0.8%</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-7.2%</w:t>
            </w: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Capital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1,318,993</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1,318,993</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1,318,993</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w:t>
            </w:r>
          </w:p>
        </w:tc>
      </w:tr>
      <w:tr>
        <w:trPr>
          <w:trHeight w:val="200"/>
        </w:trPr>
        <w:tc>
          <w:tcPr>
            <w:tcW w:w="5180" w:type="dxa"/>
            <w:vAlign w:val="bottom"/>
          </w:tcPr>
          <w:p>
            <w:pPr>
              <w:spacing w:after="0"/>
              <w:rPr>
                <w:sz w:val="20"/>
                <w:szCs w:val="20"/>
                <w:color w:val="auto"/>
              </w:rPr>
            </w:pPr>
            <w:r>
              <w:rPr>
                <w:rFonts w:ascii="Arial" w:cs="Arial" w:eastAsia="Arial" w:hAnsi="Arial"/>
                <w:sz w:val="16"/>
                <w:szCs w:val="16"/>
                <w:color w:val="auto"/>
              </w:rPr>
              <w:t>Treasury stock</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(207,839)</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(209,309)</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(209,309)</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0.0%</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0.7%</w:t>
            </w: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Capital surplus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227,380</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165,188</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160,430</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-29.4%</w:t>
            </w:r>
          </w:p>
        </w:tc>
      </w:tr>
      <w:tr>
        <w:trPr>
          <w:trHeight w:val="200"/>
        </w:trPr>
        <w:tc>
          <w:tcPr>
            <w:tcW w:w="5180" w:type="dxa"/>
            <w:vAlign w:val="bottom"/>
          </w:tcPr>
          <w:p>
            <w:pPr>
              <w:spacing w:after="0"/>
              <w:rPr>
                <w:sz w:val="20"/>
                <w:szCs w:val="20"/>
                <w:color w:val="auto"/>
              </w:rPr>
            </w:pPr>
            <w:r>
              <w:rPr>
                <w:rFonts w:ascii="Arial" w:cs="Arial" w:eastAsia="Arial" w:hAnsi="Arial"/>
                <w:sz w:val="16"/>
                <w:szCs w:val="16"/>
                <w:color w:val="auto"/>
              </w:rPr>
              <w:t>Reserves</w:t>
            </w:r>
          </w:p>
        </w:tc>
        <w:tc>
          <w:tcPr>
            <w:tcW w:w="1000" w:type="dxa"/>
            <w:vAlign w:val="bottom"/>
          </w:tcPr>
          <w:p>
            <w:pPr>
              <w:jc w:val="right"/>
              <w:spacing w:after="0"/>
              <w:rPr>
                <w:sz w:val="20"/>
                <w:szCs w:val="20"/>
                <w:color w:val="auto"/>
              </w:rPr>
            </w:pPr>
            <w:r>
              <w:rPr>
                <w:rFonts w:ascii="Arial" w:cs="Arial" w:eastAsia="Arial" w:hAnsi="Arial"/>
                <w:sz w:val="16"/>
                <w:szCs w:val="16"/>
                <w:color w:val="auto"/>
              </w:rPr>
              <w:t>19,423,324</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21,360,272</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21,381,402</w:t>
            </w:r>
          </w:p>
        </w:tc>
        <w:tc>
          <w:tcPr>
            <w:tcW w:w="2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0.1%</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10.1%</w:t>
            </w: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gains and losses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1,541,235</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359,565</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1,151,939</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220.4%</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-25.3%</w:t>
            </w:r>
          </w:p>
        </w:tc>
      </w:tr>
      <w:tr>
        <w:trPr>
          <w:trHeight w:val="200"/>
        </w:trPr>
        <w:tc>
          <w:tcPr>
            <w:tcW w:w="5180" w:type="dxa"/>
            <w:vAlign w:val="bottom"/>
          </w:tcPr>
          <w:p>
            <w:pPr>
              <w:spacing w:after="0"/>
              <w:rPr>
                <w:sz w:val="20"/>
                <w:szCs w:val="20"/>
                <w:color w:val="auto"/>
              </w:rPr>
            </w:pPr>
            <w:r>
              <w:rPr>
                <w:rFonts w:ascii="Arial" w:cs="Arial" w:eastAsia="Arial" w:hAnsi="Arial"/>
                <w:sz w:val="16"/>
                <w:szCs w:val="16"/>
                <w:color w:val="auto"/>
              </w:rPr>
              <w:t>Retained earnings</w:t>
            </w:r>
          </w:p>
        </w:tc>
        <w:tc>
          <w:tcPr>
            <w:tcW w:w="1000" w:type="dxa"/>
            <w:vAlign w:val="bottom"/>
          </w:tcPr>
          <w:p>
            <w:pPr>
              <w:jc w:val="right"/>
              <w:spacing w:after="0"/>
              <w:rPr>
                <w:sz w:val="20"/>
                <w:szCs w:val="20"/>
                <w:color w:val="auto"/>
              </w:rPr>
            </w:pPr>
            <w:r>
              <w:rPr>
                <w:rFonts w:ascii="Arial" w:cs="Arial" w:eastAsia="Arial" w:hAnsi="Arial"/>
                <w:sz w:val="16"/>
                <w:szCs w:val="16"/>
                <w:color w:val="auto"/>
              </w:rPr>
              <w:t>2,918,801</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210,930</w:t>
            </w:r>
          </w:p>
        </w:tc>
        <w:tc>
          <w:tcPr>
            <w:tcW w:w="2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(407,427)</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-293.2%</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-114.0%</w:t>
            </w: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444,286</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517,172</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480,028</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-7.2%</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8.0%</w:t>
            </w:r>
          </w:p>
        </w:tc>
      </w:tr>
      <w:tr>
        <w:trPr>
          <w:trHeight w:val="200"/>
        </w:trPr>
        <w:tc>
          <w:tcPr>
            <w:tcW w:w="5180" w:type="dxa"/>
            <w:vAlign w:val="bottom"/>
          </w:tcPr>
          <w:p>
            <w:pPr>
              <w:jc w:val="center"/>
              <w:ind w:right="40"/>
              <w:spacing w:after="0"/>
              <w:rPr>
                <w:sz w:val="20"/>
                <w:szCs w:val="20"/>
                <w:color w:val="auto"/>
              </w:rPr>
            </w:pPr>
            <w:r>
              <w:rPr>
                <w:rFonts w:ascii="Arial" w:cs="Arial" w:eastAsia="Arial" w:hAnsi="Arial"/>
                <w:sz w:val="16"/>
                <w:szCs w:val="16"/>
                <w:b w:val="1"/>
                <w:bCs w:val="1"/>
                <w:color w:val="auto"/>
                <w:w w:val="93"/>
              </w:rPr>
              <w:t>Total Net Equity</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25,666,180</w:t>
            </w:r>
          </w:p>
        </w:tc>
        <w:tc>
          <w:tcPr>
            <w:tcW w:w="2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23,722,811</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23,876,056</w:t>
            </w:r>
          </w:p>
        </w:tc>
        <w:tc>
          <w:tcPr>
            <w:tcW w:w="2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0.6%</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-7.0%</w:t>
            </w: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 and equity</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180,484,051</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197,821,889</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221,512,927</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12.0%</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22.7%</w:t>
            </w:r>
          </w:p>
        </w:tc>
      </w:tr>
      <w:tr>
        <w:trPr>
          <w:trHeight w:val="200"/>
        </w:trPr>
        <w:tc>
          <w:tcPr>
            <w:tcW w:w="5180" w:type="dxa"/>
            <w:vAlign w:val="bottom"/>
          </w:tcPr>
          <w:p>
            <w:pPr>
              <w:spacing w:after="0"/>
              <w:rPr>
                <w:sz w:val="20"/>
                <w:szCs w:val="20"/>
                <w:color w:val="auto"/>
              </w:rPr>
            </w:pPr>
            <w:r>
              <w:rPr>
                <w:rFonts w:ascii="Arial" w:cs="Arial" w:eastAsia="Arial" w:hAnsi="Arial"/>
                <w:sz w:val="16"/>
                <w:szCs w:val="16"/>
                <w:b w:val="1"/>
                <w:bCs w:val="1"/>
                <w:color w:val="auto"/>
              </w:rPr>
              <w:t>Off-balance sheet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125,418,778</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131,725,399</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129,132,266</w:t>
            </w:r>
          </w:p>
        </w:tc>
        <w:tc>
          <w:tcPr>
            <w:tcW w:w="2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3.0%</w:t>
            </w: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Total performance bonds, stand-by and L/Cs.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19,666,170</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20,426,402</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19,271,152</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-5.7%</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r>
      <w:tr>
        <w:trPr>
          <w:trHeight w:val="200"/>
        </w:trPr>
        <w:tc>
          <w:tcPr>
            <w:tcW w:w="5180" w:type="dxa"/>
            <w:vAlign w:val="bottom"/>
          </w:tcPr>
          <w:p>
            <w:pPr>
              <w:spacing w:after="0"/>
              <w:rPr>
                <w:sz w:val="20"/>
                <w:szCs w:val="20"/>
                <w:color w:val="auto"/>
              </w:rPr>
            </w:pPr>
            <w:r>
              <w:rPr>
                <w:rFonts w:ascii="Arial" w:cs="Arial" w:eastAsia="Arial" w:hAnsi="Arial"/>
                <w:sz w:val="16"/>
                <w:szCs w:val="16"/>
                <w:color w:val="auto"/>
              </w:rPr>
              <w:t>Undrawn credit lines, advised but not committed</w:t>
            </w:r>
          </w:p>
        </w:tc>
        <w:tc>
          <w:tcPr>
            <w:tcW w:w="1000" w:type="dxa"/>
            <w:vAlign w:val="bottom"/>
          </w:tcPr>
          <w:p>
            <w:pPr>
              <w:jc w:val="right"/>
              <w:spacing w:after="0"/>
              <w:rPr>
                <w:sz w:val="20"/>
                <w:szCs w:val="20"/>
                <w:color w:val="auto"/>
              </w:rPr>
            </w:pPr>
            <w:r>
              <w:rPr>
                <w:rFonts w:ascii="Arial" w:cs="Arial" w:eastAsia="Arial" w:hAnsi="Arial"/>
                <w:sz w:val="16"/>
                <w:szCs w:val="16"/>
                <w:color w:val="auto"/>
              </w:rPr>
              <w:t>76,368,545</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79,703,253</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80,651,014</w:t>
            </w:r>
          </w:p>
        </w:tc>
        <w:tc>
          <w:tcPr>
            <w:tcW w:w="22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5.6%</w:t>
            </w: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Total derivatives (notional) and others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29,384,063</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31,595,744</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29,210,100</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-7.6%</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r>
    </w:tbl>
    <w:p>
      <w:pPr>
        <w:spacing w:after="0" w:line="119" w:lineRule="exact"/>
        <w:rPr>
          <w:sz w:val="20"/>
          <w:szCs w:val="20"/>
          <w:color w:val="auto"/>
        </w:rPr>
      </w:pPr>
    </w:p>
    <w:p>
      <w:pPr>
        <w:ind w:firstLine="7"/>
        <w:spacing w:after="0" w:line="286" w:lineRule="auto"/>
        <w:tabs>
          <w:tab w:leader="none" w:pos="258"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amounts differ from those previously reported in 2018 period, due to the reclassification to the item "Cash collateral, reverse repurchase agreements and securities borrowing" mainly for the cash collateral in dollars delivered to the BCRP, previously presented in the item "Cash and due from banks".</w:t>
      </w:r>
    </w:p>
    <w:p>
      <w:pPr>
        <w:spacing w:after="0" w:line="1" w:lineRule="exact"/>
        <w:rPr>
          <w:rFonts w:ascii="Arial" w:cs="Arial" w:eastAsia="Arial" w:hAnsi="Arial"/>
          <w:sz w:val="16"/>
          <w:szCs w:val="16"/>
          <w:color w:val="auto"/>
        </w:rPr>
      </w:pPr>
    </w:p>
    <w:p>
      <w:pPr>
        <w:ind w:right="20" w:firstLine="7"/>
        <w:spacing w:after="0" w:line="247" w:lineRule="auto"/>
        <w:tabs>
          <w:tab w:leader="none" w:pos="265"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2019 period, this item was opened in the statement of financial position; previously presented under the item "Investments at fair value through profit or loss".</w:t>
      </w:r>
    </w:p>
    <w:p>
      <w:pPr>
        <w:jc w:val="both"/>
        <w:ind w:firstLine="7"/>
        <w:spacing w:after="0" w:line="247" w:lineRule="auto"/>
        <w:tabs>
          <w:tab w:leader="none" w:pos="274"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amounts differ from those previously reported in 2018 period, due to the reclassification of the expenses on improvements in building for rent, previously presented in the item “Other assets”. Likewise, in the period 2019, the asset for the right to use the lease contracts was incorporated, in application of IFRS 16.</w:t>
      </w:r>
    </w:p>
    <w:p>
      <w:pPr>
        <w:spacing w:after="0" w:line="1" w:lineRule="exact"/>
        <w:rPr>
          <w:rFonts w:ascii="Arial" w:cs="Arial" w:eastAsia="Arial" w:hAnsi="Arial"/>
          <w:sz w:val="18"/>
          <w:szCs w:val="18"/>
          <w:color w:val="auto"/>
        </w:rPr>
      </w:pPr>
    </w:p>
    <w:p>
      <w:pPr>
        <w:ind w:left="260" w:hanging="253"/>
        <w:spacing w:after="0"/>
        <w:tabs>
          <w:tab w:leader="none" w:pos="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investments in associates, mainly Banmedica and Visanet, among others.</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mainly accounts receivables from brokerage and others.</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2019 period, this item was opened in the statement of financial position; previously presented in the item "Other liabilities".</w:t>
      </w:r>
    </w:p>
    <w:p>
      <w:pPr>
        <w:sectPr>
          <w:pgSz w:w="11900" w:h="16838" w:orient="portrait"/>
          <w:cols w:equalWidth="0" w:num="1">
            <w:col w:w="11240"/>
          </w:cols>
          <w:pgMar w:left="320" w:top="895" w:right="339" w:bottom="0" w:gutter="0" w:footer="0" w:header="0"/>
        </w:sectPr>
      </w:pPr>
    </w:p>
    <w:bookmarkStart w:id="60" w:name="page61"/>
    <w:bookmarkEnd w:id="60"/>
    <w:p>
      <w:pPr>
        <w:ind w:left="9900"/>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27940</wp:posOffset>
            </wp:positionV>
            <wp:extent cx="71342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080"/>
          </w:cols>
          <w:pgMar w:left="1440" w:top="552" w:right="37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color w:val="auto"/>
        </w:rPr>
        <w:t>CREDICORP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 OF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S/ thousands, IFRS)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Quarter</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ind w:left="500"/>
              <w:spacing w:after="0"/>
              <w:rPr>
                <w:sz w:val="20"/>
                <w:szCs w:val="20"/>
                <w:color w:val="auto"/>
              </w:rPr>
            </w:pPr>
            <w:r>
              <w:rPr>
                <w:rFonts w:ascii="Arial" w:cs="Arial" w:eastAsia="Arial" w:hAnsi="Arial"/>
                <w:sz w:val="14"/>
                <w:szCs w:val="14"/>
                <w:b w:val="1"/>
                <w:bCs w:val="1"/>
                <w:color w:val="auto"/>
                <w:w w:val="91"/>
              </w:rPr>
              <w:t>% change</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ind w:left="700"/>
              <w:spacing w:after="0"/>
              <w:rPr>
                <w:sz w:val="20"/>
                <w:szCs w:val="20"/>
                <w:color w:val="auto"/>
              </w:rPr>
            </w:pPr>
            <w:r>
              <w:rPr>
                <w:rFonts w:ascii="Arial" w:cs="Arial" w:eastAsia="Arial" w:hAnsi="Arial"/>
                <w:sz w:val="14"/>
                <w:szCs w:val="14"/>
                <w:b w:val="1"/>
                <w:bCs w:val="1"/>
                <w:color w:val="auto"/>
              </w:rPr>
              <w:t>YTD</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 change</w:t>
            </w:r>
          </w:p>
        </w:tc>
      </w:tr>
      <w:tr>
        <w:trPr>
          <w:trHeight w:val="153"/>
        </w:trPr>
        <w:tc>
          <w:tcPr>
            <w:tcW w:w="3740" w:type="dxa"/>
            <w:vAlign w:val="bottom"/>
          </w:tcPr>
          <w:p>
            <w:pPr>
              <w:spacing w:after="0"/>
              <w:rPr>
                <w:sz w:val="13"/>
                <w:szCs w:val="13"/>
                <w:color w:val="auto"/>
              </w:rPr>
            </w:pPr>
          </w:p>
        </w:tc>
        <w:tc>
          <w:tcPr>
            <w:tcW w:w="900" w:type="dxa"/>
            <w:vAlign w:val="bottom"/>
            <w:tcBorders>
              <w:top w:val="single" w:sz="8" w:color="auto"/>
            </w:tcBorders>
            <w:gridSpan w:val="2"/>
          </w:tcPr>
          <w:p>
            <w:pPr>
              <w:jc w:val="right"/>
              <w:ind w:right="380"/>
              <w:spacing w:after="0" w:line="153" w:lineRule="exact"/>
              <w:rPr>
                <w:sz w:val="20"/>
                <w:szCs w:val="20"/>
                <w:color w:val="auto"/>
              </w:rPr>
            </w:pPr>
            <w:r>
              <w:rPr>
                <w:rFonts w:ascii="Arial" w:cs="Arial" w:eastAsia="Arial" w:hAnsi="Arial"/>
                <w:sz w:val="14"/>
                <w:szCs w:val="14"/>
                <w:b w:val="1"/>
                <w:bCs w:val="1"/>
                <w:color w:val="auto"/>
              </w:rPr>
              <w:t>2Q19</w:t>
            </w:r>
          </w:p>
        </w:tc>
        <w:tc>
          <w:tcPr>
            <w:tcW w:w="900" w:type="dxa"/>
            <w:vAlign w:val="bottom"/>
            <w:tcBorders>
              <w:top w:val="single" w:sz="8" w:color="auto"/>
            </w:tcBorders>
            <w:gridSpan w:val="2"/>
          </w:tcPr>
          <w:p>
            <w:pPr>
              <w:jc w:val="right"/>
              <w:ind w:right="380"/>
              <w:spacing w:after="0" w:line="153" w:lineRule="exact"/>
              <w:rPr>
                <w:sz w:val="20"/>
                <w:szCs w:val="20"/>
                <w:color w:val="auto"/>
              </w:rPr>
            </w:pPr>
            <w:r>
              <w:rPr>
                <w:rFonts w:ascii="Arial" w:cs="Arial" w:eastAsia="Arial" w:hAnsi="Arial"/>
                <w:sz w:val="14"/>
                <w:szCs w:val="14"/>
                <w:b w:val="1"/>
                <w:bCs w:val="1"/>
                <w:color w:val="auto"/>
              </w:rPr>
              <w:t>1Q20</w:t>
            </w:r>
          </w:p>
        </w:tc>
        <w:tc>
          <w:tcPr>
            <w:tcW w:w="740" w:type="dxa"/>
            <w:vAlign w:val="bottom"/>
            <w:tcBorders>
              <w:top w:val="single" w:sz="8" w:color="auto"/>
            </w:tcBorders>
          </w:tcPr>
          <w:p>
            <w:pPr>
              <w:jc w:val="right"/>
              <w:ind w:right="129"/>
              <w:spacing w:after="0" w:line="153" w:lineRule="exact"/>
              <w:rPr>
                <w:sz w:val="20"/>
                <w:szCs w:val="20"/>
                <w:color w:val="auto"/>
              </w:rPr>
            </w:pPr>
            <w:r>
              <w:rPr>
                <w:rFonts w:ascii="Arial" w:cs="Arial" w:eastAsia="Arial" w:hAnsi="Arial"/>
                <w:sz w:val="14"/>
                <w:szCs w:val="14"/>
                <w:b w:val="1"/>
                <w:bCs w:val="1"/>
                <w:color w:val="auto"/>
              </w:rPr>
              <w:t>2Q20</w:t>
            </w:r>
          </w:p>
        </w:tc>
        <w:tc>
          <w:tcPr>
            <w:tcW w:w="180" w:type="dxa"/>
            <w:vAlign w:val="bottom"/>
          </w:tcPr>
          <w:p>
            <w:pPr>
              <w:spacing w:after="0"/>
              <w:rPr>
                <w:sz w:val="13"/>
                <w:szCs w:val="13"/>
                <w:color w:val="auto"/>
              </w:rPr>
            </w:pPr>
          </w:p>
        </w:tc>
        <w:tc>
          <w:tcPr>
            <w:tcW w:w="1120" w:type="dxa"/>
            <w:vAlign w:val="bottom"/>
            <w:tcBorders>
              <w:top w:val="single" w:sz="8" w:color="auto"/>
            </w:tcBorders>
            <w:gridSpan w:val="3"/>
          </w:tcPr>
          <w:p>
            <w:pPr>
              <w:ind w:left="200"/>
              <w:spacing w:after="0" w:line="153" w:lineRule="exact"/>
              <w:rPr>
                <w:sz w:val="20"/>
                <w:szCs w:val="20"/>
                <w:color w:val="auto"/>
              </w:rPr>
            </w:pPr>
            <w:r>
              <w:rPr>
                <w:rFonts w:ascii="Arial" w:cs="Arial" w:eastAsia="Arial" w:hAnsi="Arial"/>
                <w:sz w:val="14"/>
                <w:szCs w:val="14"/>
                <w:b w:val="1"/>
                <w:bCs w:val="1"/>
                <w:color w:val="auto"/>
              </w:rPr>
              <w:t>QoQ</w:t>
            </w:r>
          </w:p>
        </w:tc>
        <w:tc>
          <w:tcPr>
            <w:tcW w:w="500" w:type="dxa"/>
            <w:vAlign w:val="bottom"/>
            <w:tcBorders>
              <w:top w:val="single" w:sz="8" w:color="auto"/>
            </w:tcBorders>
          </w:tcPr>
          <w:p>
            <w:pPr>
              <w:jc w:val="right"/>
              <w:ind w:right="149"/>
              <w:spacing w:after="0" w:line="153" w:lineRule="exact"/>
              <w:rPr>
                <w:sz w:val="20"/>
                <w:szCs w:val="20"/>
                <w:color w:val="auto"/>
              </w:rPr>
            </w:pPr>
            <w:r>
              <w:rPr>
                <w:rFonts w:ascii="Arial" w:cs="Arial" w:eastAsia="Arial" w:hAnsi="Arial"/>
                <w:sz w:val="14"/>
                <w:szCs w:val="14"/>
                <w:b w:val="1"/>
                <w:bCs w:val="1"/>
                <w:color w:val="auto"/>
                <w:w w:val="95"/>
              </w:rPr>
              <w:t>YoY</w:t>
            </w:r>
          </w:p>
        </w:tc>
        <w:tc>
          <w:tcPr>
            <w:tcW w:w="240" w:type="dxa"/>
            <w:vAlign w:val="bottom"/>
          </w:tcPr>
          <w:p>
            <w:pPr>
              <w:spacing w:after="0"/>
              <w:rPr>
                <w:sz w:val="13"/>
                <w:szCs w:val="13"/>
                <w:color w:val="auto"/>
              </w:rPr>
            </w:pPr>
          </w:p>
        </w:tc>
        <w:tc>
          <w:tcPr>
            <w:tcW w:w="1040" w:type="dxa"/>
            <w:vAlign w:val="bottom"/>
            <w:tcBorders>
              <w:top w:val="single" w:sz="8" w:color="auto"/>
            </w:tcBorders>
            <w:gridSpan w:val="3"/>
          </w:tcPr>
          <w:p>
            <w:pPr>
              <w:ind w:left="180"/>
              <w:spacing w:after="0" w:line="153" w:lineRule="exact"/>
              <w:rPr>
                <w:sz w:val="20"/>
                <w:szCs w:val="20"/>
                <w:color w:val="auto"/>
              </w:rPr>
            </w:pPr>
            <w:r>
              <w:rPr>
                <w:rFonts w:ascii="Arial" w:cs="Arial" w:eastAsia="Arial" w:hAnsi="Arial"/>
                <w:sz w:val="14"/>
                <w:szCs w:val="14"/>
                <w:b w:val="1"/>
                <w:bCs w:val="1"/>
                <w:color w:val="auto"/>
              </w:rPr>
              <w:t>Jun 19</w:t>
            </w:r>
          </w:p>
        </w:tc>
        <w:tc>
          <w:tcPr>
            <w:tcW w:w="660" w:type="dxa"/>
            <w:vAlign w:val="bottom"/>
            <w:tcBorders>
              <w:top w:val="single" w:sz="8" w:color="auto"/>
            </w:tcBorders>
          </w:tcPr>
          <w:p>
            <w:pPr>
              <w:ind w:left="80"/>
              <w:spacing w:after="0" w:line="153" w:lineRule="exact"/>
              <w:rPr>
                <w:sz w:val="20"/>
                <w:szCs w:val="20"/>
                <w:color w:val="auto"/>
              </w:rPr>
            </w:pPr>
            <w:r>
              <w:rPr>
                <w:rFonts w:ascii="Arial" w:cs="Arial" w:eastAsia="Arial" w:hAnsi="Arial"/>
                <w:sz w:val="14"/>
                <w:szCs w:val="14"/>
                <w:b w:val="1"/>
                <w:bCs w:val="1"/>
                <w:color w:val="auto"/>
              </w:rPr>
              <w:t>Jun 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Jun 20/ Jun 19</w:t>
            </w:r>
          </w:p>
        </w:tc>
        <w:tc>
          <w:tcPr>
            <w:tcW w:w="140" w:type="dxa"/>
            <w:vAlign w:val="bottom"/>
          </w:tcPr>
          <w:p>
            <w:pPr>
              <w:spacing w:after="0"/>
              <w:rPr>
                <w:sz w:val="13"/>
                <w:szCs w:val="13"/>
                <w:color w:val="auto"/>
              </w:rPr>
            </w:pPr>
          </w:p>
        </w:tc>
      </w:tr>
      <w:tr>
        <w:trPr>
          <w:trHeight w:val="140"/>
        </w:trPr>
        <w:tc>
          <w:tcPr>
            <w:tcW w:w="374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Interest income and expense</w:t>
            </w: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r>
      <w:tr>
        <w:trPr>
          <w:trHeight w:val="147"/>
        </w:trPr>
        <w:tc>
          <w:tcPr>
            <w:tcW w:w="3740" w:type="dxa"/>
            <w:vAlign w:val="bottom"/>
          </w:tcPr>
          <w:p>
            <w:pPr>
              <w:ind w:left="120"/>
              <w:spacing w:after="0" w:line="147" w:lineRule="exact"/>
              <w:rPr>
                <w:sz w:val="20"/>
                <w:szCs w:val="20"/>
                <w:color w:val="auto"/>
              </w:rPr>
            </w:pPr>
            <w:r>
              <w:rPr>
                <w:rFonts w:ascii="Arial" w:cs="Arial" w:eastAsia="Arial" w:hAnsi="Arial"/>
                <w:sz w:val="14"/>
                <w:szCs w:val="14"/>
                <w:color w:val="auto"/>
              </w:rPr>
              <w:t>Interest and dividend income</w:t>
            </w:r>
          </w:p>
        </w:tc>
        <w:tc>
          <w:tcPr>
            <w:tcW w:w="9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3,083,623</w:t>
            </w:r>
          </w:p>
        </w:tc>
        <w:tc>
          <w:tcPr>
            <w:tcW w:w="90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3,163,609</w:t>
            </w:r>
          </w:p>
        </w:tc>
        <w:tc>
          <w:tcPr>
            <w:tcW w:w="92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2,727,369</w:t>
            </w:r>
          </w:p>
        </w:tc>
        <w:tc>
          <w:tcPr>
            <w:tcW w:w="92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-13.8%</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-11.6%</w:t>
            </w:r>
          </w:p>
        </w:tc>
        <w:tc>
          <w:tcPr>
            <w:tcW w:w="94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6,085,297</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5,890,978</w:t>
            </w:r>
          </w:p>
        </w:tc>
        <w:tc>
          <w:tcPr>
            <w:tcW w:w="1100" w:type="dxa"/>
            <w:vAlign w:val="bottom"/>
            <w:gridSpan w:val="3"/>
          </w:tcPr>
          <w:p>
            <w:pPr>
              <w:jc w:val="right"/>
              <w:ind w:right="20"/>
              <w:spacing w:after="0" w:line="147" w:lineRule="exact"/>
              <w:rPr>
                <w:sz w:val="20"/>
                <w:szCs w:val="20"/>
                <w:color w:val="auto"/>
              </w:rPr>
            </w:pPr>
            <w:r>
              <w:rPr>
                <w:rFonts w:ascii="Arial" w:cs="Arial" w:eastAsia="Arial" w:hAnsi="Arial"/>
                <w:sz w:val="14"/>
                <w:szCs w:val="14"/>
                <w:color w:val="auto"/>
              </w:rPr>
              <w:t>-3.2%</w:t>
            </w:r>
          </w:p>
        </w:tc>
      </w:tr>
      <w:tr>
        <w:trPr>
          <w:trHeight w:val="187"/>
        </w:trPr>
        <w:tc>
          <w:tcPr>
            <w:tcW w:w="3740" w:type="dxa"/>
            <w:vAlign w:val="bottom"/>
            <w:shd w:val="clear" w:color="auto" w:fill="CCEEFF"/>
          </w:tcPr>
          <w:p>
            <w:pPr>
              <w:ind w:left="120"/>
              <w:spacing w:after="0" w:line="187" w:lineRule="exact"/>
              <w:rPr>
                <w:sz w:val="20"/>
                <w:szCs w:val="20"/>
                <w:color w:val="auto"/>
              </w:rPr>
            </w:pPr>
            <w:r>
              <w:rPr>
                <w:rFonts w:ascii="Arial" w:cs="Arial" w:eastAsia="Arial" w:hAnsi="Arial"/>
                <w:sz w:val="13"/>
                <w:szCs w:val="13"/>
                <w:color w:val="auto"/>
              </w:rPr>
              <w:t xml:space="preserve">Interest expense </w:t>
            </w:r>
            <w:r>
              <w:rPr>
                <w:rFonts w:ascii="Arial" w:cs="Arial" w:eastAsia="Arial" w:hAnsi="Arial"/>
                <w:sz w:val="21"/>
                <w:szCs w:val="21"/>
                <w:color w:val="auto"/>
                <w:vertAlign w:val="superscript"/>
              </w:rPr>
              <w:t>(1)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(831,220)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(784,309)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(766,241)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w:t>
            </w: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(1,635,726)</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(1,550,550)</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-5.2%</w:t>
            </w:r>
          </w:p>
        </w:tc>
      </w:tr>
      <w:tr>
        <w:trPr>
          <w:trHeight w:val="147"/>
        </w:trPr>
        <w:tc>
          <w:tcPr>
            <w:tcW w:w="3740" w:type="dxa"/>
            <w:vAlign w:val="bottom"/>
          </w:tcPr>
          <w:p>
            <w:pPr>
              <w:ind w:left="120"/>
              <w:spacing w:after="0" w:line="147" w:lineRule="exact"/>
              <w:rPr>
                <w:sz w:val="20"/>
                <w:szCs w:val="20"/>
                <w:color w:val="auto"/>
              </w:rPr>
            </w:pPr>
            <w:r>
              <w:rPr>
                <w:rFonts w:ascii="Arial" w:cs="Arial" w:eastAsia="Arial" w:hAnsi="Arial"/>
                <w:sz w:val="14"/>
                <w:szCs w:val="14"/>
                <w:b w:val="1"/>
                <w:bCs w:val="1"/>
                <w:color w:val="auto"/>
              </w:rPr>
              <w:t>Net interest income</w:t>
            </w:r>
          </w:p>
        </w:tc>
        <w:tc>
          <w:tcPr>
            <w:tcW w:w="900" w:type="dxa"/>
            <w:vAlign w:val="bottom"/>
            <w:gridSpan w:val="2"/>
          </w:tcPr>
          <w:p>
            <w:pPr>
              <w:jc w:val="right"/>
              <w:ind w:right="180"/>
              <w:spacing w:after="0" w:line="147" w:lineRule="exact"/>
              <w:rPr>
                <w:sz w:val="20"/>
                <w:szCs w:val="20"/>
                <w:color w:val="auto"/>
              </w:rPr>
            </w:pPr>
            <w:r>
              <w:rPr>
                <w:rFonts w:ascii="Arial" w:cs="Arial" w:eastAsia="Arial" w:hAnsi="Arial"/>
                <w:sz w:val="14"/>
                <w:szCs w:val="14"/>
                <w:b w:val="1"/>
                <w:bCs w:val="1"/>
                <w:color w:val="auto"/>
              </w:rPr>
              <w:t>2,252,403</w:t>
            </w:r>
          </w:p>
        </w:tc>
        <w:tc>
          <w:tcPr>
            <w:tcW w:w="900" w:type="dxa"/>
            <w:vAlign w:val="bottom"/>
            <w:gridSpan w:val="2"/>
          </w:tcPr>
          <w:p>
            <w:pPr>
              <w:jc w:val="right"/>
              <w:ind w:right="160"/>
              <w:spacing w:after="0" w:line="147" w:lineRule="exact"/>
              <w:rPr>
                <w:sz w:val="20"/>
                <w:szCs w:val="20"/>
                <w:color w:val="auto"/>
              </w:rPr>
            </w:pPr>
            <w:r>
              <w:rPr>
                <w:rFonts w:ascii="Arial" w:cs="Arial" w:eastAsia="Arial" w:hAnsi="Arial"/>
                <w:sz w:val="14"/>
                <w:szCs w:val="14"/>
                <w:b w:val="1"/>
                <w:bCs w:val="1"/>
                <w:color w:val="auto"/>
              </w:rPr>
              <w:t>2,379,300</w:t>
            </w:r>
          </w:p>
        </w:tc>
        <w:tc>
          <w:tcPr>
            <w:tcW w:w="920" w:type="dxa"/>
            <w:vAlign w:val="bottom"/>
            <w:gridSpan w:val="2"/>
          </w:tcPr>
          <w:p>
            <w:pPr>
              <w:jc w:val="right"/>
              <w:ind w:right="180"/>
              <w:spacing w:after="0" w:line="147" w:lineRule="exact"/>
              <w:rPr>
                <w:sz w:val="20"/>
                <w:szCs w:val="20"/>
                <w:color w:val="auto"/>
              </w:rPr>
            </w:pPr>
            <w:r>
              <w:rPr>
                <w:rFonts w:ascii="Arial" w:cs="Arial" w:eastAsia="Arial" w:hAnsi="Arial"/>
                <w:sz w:val="14"/>
                <w:szCs w:val="14"/>
                <w:b w:val="1"/>
                <w:bCs w:val="1"/>
                <w:color w:val="auto"/>
              </w:rPr>
              <w:t>1,961,128</w:t>
            </w:r>
          </w:p>
        </w:tc>
        <w:tc>
          <w:tcPr>
            <w:tcW w:w="920" w:type="dxa"/>
            <w:vAlign w:val="bottom"/>
            <w:gridSpan w:val="2"/>
          </w:tcPr>
          <w:p>
            <w:pPr>
              <w:jc w:val="right"/>
              <w:ind w:right="100"/>
              <w:spacing w:after="0" w:line="147" w:lineRule="exact"/>
              <w:rPr>
                <w:sz w:val="20"/>
                <w:szCs w:val="20"/>
                <w:color w:val="auto"/>
              </w:rPr>
            </w:pPr>
            <w:r>
              <w:rPr>
                <w:rFonts w:ascii="Arial" w:cs="Arial" w:eastAsia="Arial" w:hAnsi="Arial"/>
                <w:sz w:val="14"/>
                <w:szCs w:val="14"/>
                <w:b w:val="1"/>
                <w:bCs w:val="1"/>
                <w:color w:val="auto"/>
              </w:rPr>
              <w:t>-17.6%</w:t>
            </w:r>
          </w:p>
        </w:tc>
        <w:tc>
          <w:tcPr>
            <w:tcW w:w="200" w:type="dxa"/>
            <w:vAlign w:val="bottom"/>
          </w:tcPr>
          <w:p>
            <w:pPr>
              <w:spacing w:after="0"/>
              <w:rPr>
                <w:sz w:val="12"/>
                <w:szCs w:val="12"/>
                <w:color w:val="auto"/>
              </w:rPr>
            </w:pPr>
          </w:p>
        </w:tc>
        <w:tc>
          <w:tcPr>
            <w:tcW w:w="740" w:type="dxa"/>
            <w:vAlign w:val="bottom"/>
            <w:gridSpan w:val="2"/>
          </w:tcPr>
          <w:p>
            <w:pPr>
              <w:jc w:val="right"/>
              <w:ind w:right="100"/>
              <w:spacing w:after="0" w:line="147" w:lineRule="exact"/>
              <w:rPr>
                <w:sz w:val="20"/>
                <w:szCs w:val="20"/>
                <w:color w:val="auto"/>
              </w:rPr>
            </w:pPr>
            <w:r>
              <w:rPr>
                <w:rFonts w:ascii="Arial" w:cs="Arial" w:eastAsia="Arial" w:hAnsi="Arial"/>
                <w:sz w:val="14"/>
                <w:szCs w:val="14"/>
                <w:b w:val="1"/>
                <w:bCs w:val="1"/>
                <w:color w:val="auto"/>
              </w:rPr>
              <w:t>-12.9%</w:t>
            </w:r>
          </w:p>
        </w:tc>
        <w:tc>
          <w:tcPr>
            <w:tcW w:w="940" w:type="dxa"/>
            <w:vAlign w:val="bottom"/>
            <w:gridSpan w:val="2"/>
          </w:tcPr>
          <w:p>
            <w:pPr>
              <w:jc w:val="right"/>
              <w:ind w:right="180"/>
              <w:spacing w:after="0" w:line="147" w:lineRule="exact"/>
              <w:rPr>
                <w:sz w:val="20"/>
                <w:szCs w:val="20"/>
                <w:color w:val="auto"/>
              </w:rPr>
            </w:pPr>
            <w:r>
              <w:rPr>
                <w:rFonts w:ascii="Arial" w:cs="Arial" w:eastAsia="Arial" w:hAnsi="Arial"/>
                <w:sz w:val="14"/>
                <w:szCs w:val="14"/>
                <w:b w:val="1"/>
                <w:bCs w:val="1"/>
                <w:color w:val="auto"/>
              </w:rPr>
              <w:t>4,449,571</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7" w:lineRule="exact"/>
              <w:rPr>
                <w:sz w:val="20"/>
                <w:szCs w:val="20"/>
                <w:color w:val="auto"/>
              </w:rPr>
            </w:pPr>
            <w:r>
              <w:rPr>
                <w:rFonts w:ascii="Arial" w:cs="Arial" w:eastAsia="Arial" w:hAnsi="Arial"/>
                <w:sz w:val="14"/>
                <w:szCs w:val="14"/>
                <w:b w:val="1"/>
                <w:bCs w:val="1"/>
                <w:color w:val="auto"/>
              </w:rPr>
              <w:t>4,340,428</w:t>
            </w:r>
          </w:p>
        </w:tc>
        <w:tc>
          <w:tcPr>
            <w:tcW w:w="1100" w:type="dxa"/>
            <w:vAlign w:val="bottom"/>
            <w:gridSpan w:val="3"/>
          </w:tcPr>
          <w:p>
            <w:pPr>
              <w:jc w:val="right"/>
              <w:spacing w:after="0" w:line="147" w:lineRule="exact"/>
              <w:rPr>
                <w:sz w:val="20"/>
                <w:szCs w:val="20"/>
                <w:color w:val="auto"/>
              </w:rPr>
            </w:pPr>
            <w:r>
              <w:rPr>
                <w:rFonts w:ascii="Arial" w:cs="Arial" w:eastAsia="Arial" w:hAnsi="Arial"/>
                <w:sz w:val="14"/>
                <w:szCs w:val="14"/>
                <w:b w:val="1"/>
                <w:bCs w:val="1"/>
                <w:color w:val="auto"/>
              </w:rPr>
              <w:t>-2.5%</w:t>
            </w:r>
          </w:p>
        </w:tc>
      </w:tr>
      <w:tr>
        <w:trPr>
          <w:trHeight w:val="147"/>
        </w:trPr>
        <w:tc>
          <w:tcPr>
            <w:tcW w:w="37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Gross provision for credit losses on loan portfolio</w:t>
            </w:r>
          </w:p>
        </w:tc>
        <w:tc>
          <w:tcPr>
            <w:tcW w:w="90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(510,045)</w:t>
            </w:r>
          </w:p>
        </w:tc>
        <w:tc>
          <w:tcPr>
            <w:tcW w:w="90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(1,388,711)</w:t>
            </w:r>
          </w:p>
        </w:tc>
        <w:tc>
          <w:tcPr>
            <w:tcW w:w="9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(2,557,658)</w:t>
            </w:r>
          </w:p>
        </w:tc>
        <w:tc>
          <w:tcPr>
            <w:tcW w:w="92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84.2%</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401.5%</w:t>
            </w:r>
          </w:p>
        </w:tc>
        <w:tc>
          <w:tcPr>
            <w:tcW w:w="94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(963,330)</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w w:val="97"/>
              </w:rPr>
              <w:t>(3,946,369)</w:t>
            </w:r>
          </w:p>
        </w:tc>
        <w:tc>
          <w:tcPr>
            <w:tcW w:w="1100" w:type="dxa"/>
            <w:vAlign w:val="bottom"/>
            <w:gridSpan w:val="3"/>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309.7%</w:t>
            </w:r>
          </w:p>
        </w:tc>
      </w:tr>
      <w:tr>
        <w:trPr>
          <w:trHeight w:val="147"/>
        </w:trPr>
        <w:tc>
          <w:tcPr>
            <w:tcW w:w="3740" w:type="dxa"/>
            <w:vAlign w:val="bottom"/>
          </w:tcPr>
          <w:p>
            <w:pPr>
              <w:spacing w:after="0" w:line="147" w:lineRule="exact"/>
              <w:rPr>
                <w:sz w:val="20"/>
                <w:szCs w:val="20"/>
                <w:color w:val="auto"/>
              </w:rPr>
            </w:pPr>
            <w:r>
              <w:rPr>
                <w:rFonts w:ascii="Arial" w:cs="Arial" w:eastAsia="Arial" w:hAnsi="Arial"/>
                <w:sz w:val="14"/>
                <w:szCs w:val="14"/>
                <w:color w:val="auto"/>
              </w:rPr>
              <w:t>Recoveries of written-off loans</w:t>
            </w:r>
          </w:p>
        </w:tc>
        <w:tc>
          <w:tcPr>
            <w:tcW w:w="9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61,751</w:t>
            </w:r>
          </w:p>
        </w:tc>
        <w:tc>
          <w:tcPr>
            <w:tcW w:w="90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47,230</w:t>
            </w:r>
          </w:p>
        </w:tc>
        <w:tc>
          <w:tcPr>
            <w:tcW w:w="92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17,201</w:t>
            </w:r>
          </w:p>
        </w:tc>
        <w:tc>
          <w:tcPr>
            <w:tcW w:w="92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-63.6%</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-72.1%</w:t>
            </w:r>
          </w:p>
        </w:tc>
        <w:tc>
          <w:tcPr>
            <w:tcW w:w="94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131,825</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64,431</w:t>
            </w:r>
          </w:p>
        </w:tc>
        <w:tc>
          <w:tcPr>
            <w:tcW w:w="1100" w:type="dxa"/>
            <w:vAlign w:val="bottom"/>
            <w:gridSpan w:val="3"/>
          </w:tcPr>
          <w:p>
            <w:pPr>
              <w:jc w:val="right"/>
              <w:ind w:right="20"/>
              <w:spacing w:after="0" w:line="147" w:lineRule="exact"/>
              <w:rPr>
                <w:sz w:val="20"/>
                <w:szCs w:val="20"/>
                <w:color w:val="auto"/>
              </w:rPr>
            </w:pPr>
            <w:r>
              <w:rPr>
                <w:rFonts w:ascii="Arial" w:cs="Arial" w:eastAsia="Arial" w:hAnsi="Arial"/>
                <w:sz w:val="14"/>
                <w:szCs w:val="14"/>
                <w:color w:val="auto"/>
              </w:rPr>
              <w:t>-51.1%</w:t>
            </w:r>
          </w:p>
        </w:tc>
      </w:tr>
      <w:tr>
        <w:trPr>
          <w:trHeight w:val="147"/>
        </w:trPr>
        <w:tc>
          <w:tcPr>
            <w:tcW w:w="374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w w:val="90"/>
              </w:rPr>
              <w:t>Provision for credit losses on loan portfolio, net of recoveries</w:t>
            </w:r>
          </w:p>
        </w:tc>
        <w:tc>
          <w:tcPr>
            <w:tcW w:w="90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b w:val="1"/>
                <w:bCs w:val="1"/>
                <w:color w:val="auto"/>
              </w:rPr>
              <w:t>(448,294)</w:t>
            </w:r>
          </w:p>
        </w:tc>
        <w:tc>
          <w:tcPr>
            <w:tcW w:w="90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b w:val="1"/>
                <w:bCs w:val="1"/>
                <w:color w:val="auto"/>
              </w:rPr>
              <w:t>(1,341,481)</w:t>
            </w:r>
          </w:p>
        </w:tc>
        <w:tc>
          <w:tcPr>
            <w:tcW w:w="9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b w:val="1"/>
                <w:bCs w:val="1"/>
                <w:color w:val="auto"/>
              </w:rPr>
              <w:t>(2,540,457)</w:t>
            </w:r>
          </w:p>
        </w:tc>
        <w:tc>
          <w:tcPr>
            <w:tcW w:w="92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b w:val="1"/>
                <w:bCs w:val="1"/>
                <w:color w:val="auto"/>
              </w:rPr>
              <w:t>89.4%</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b w:val="1"/>
                <w:bCs w:val="1"/>
                <w:color w:val="auto"/>
              </w:rPr>
              <w:t>466.7%</w:t>
            </w:r>
          </w:p>
        </w:tc>
        <w:tc>
          <w:tcPr>
            <w:tcW w:w="94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b w:val="1"/>
                <w:bCs w:val="1"/>
                <w:color w:val="auto"/>
              </w:rPr>
              <w:t>(831,505)</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b w:val="1"/>
                <w:bCs w:val="1"/>
                <w:color w:val="auto"/>
                <w:w w:val="97"/>
              </w:rPr>
              <w:t>(3,881,938)</w:t>
            </w:r>
          </w:p>
        </w:tc>
        <w:tc>
          <w:tcPr>
            <w:tcW w:w="1100" w:type="dxa"/>
            <w:vAlign w:val="bottom"/>
            <w:gridSpan w:val="3"/>
            <w:shd w:val="clear" w:color="auto" w:fill="CCEEFF"/>
          </w:tcPr>
          <w:p>
            <w:pPr>
              <w:jc w:val="right"/>
              <w:spacing w:after="0" w:line="147" w:lineRule="exact"/>
              <w:rPr>
                <w:sz w:val="20"/>
                <w:szCs w:val="20"/>
                <w:color w:val="auto"/>
              </w:rPr>
            </w:pPr>
            <w:r>
              <w:rPr>
                <w:rFonts w:ascii="Arial" w:cs="Arial" w:eastAsia="Arial" w:hAnsi="Arial"/>
                <w:sz w:val="14"/>
                <w:szCs w:val="14"/>
                <w:b w:val="1"/>
                <w:bCs w:val="1"/>
                <w:color w:val="auto"/>
              </w:rPr>
              <w:t>366.9%</w:t>
            </w:r>
          </w:p>
        </w:tc>
      </w:tr>
      <w:tr>
        <w:trPr>
          <w:trHeight w:val="147"/>
        </w:trPr>
        <w:tc>
          <w:tcPr>
            <w:tcW w:w="3740" w:type="dxa"/>
            <w:vAlign w:val="bottom"/>
          </w:tcPr>
          <w:p>
            <w:pPr>
              <w:spacing w:after="0"/>
              <w:rPr>
                <w:sz w:val="12"/>
                <w:szCs w:val="12"/>
                <w:color w:val="auto"/>
              </w:rPr>
            </w:pPr>
          </w:p>
        </w:tc>
        <w:tc>
          <w:tcPr>
            <w:tcW w:w="900" w:type="dxa"/>
            <w:vAlign w:val="bottom"/>
            <w:gridSpan w:val="2"/>
          </w:tcPr>
          <w:p>
            <w:pPr>
              <w:jc w:val="right"/>
              <w:ind w:right="180"/>
              <w:spacing w:after="0" w:line="147"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60"/>
              <w:spacing w:after="0" w:line="147"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180"/>
              <w:spacing w:after="0" w:line="147" w:lineRule="exact"/>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7"/>
        </w:trPr>
        <w:tc>
          <w:tcPr>
            <w:tcW w:w="374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Risk-adjusted net interest income</w:t>
            </w:r>
          </w:p>
        </w:tc>
        <w:tc>
          <w:tcPr>
            <w:tcW w:w="9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b w:val="1"/>
                <w:bCs w:val="1"/>
                <w:color w:val="auto"/>
              </w:rPr>
              <w:t>1,804,109</w:t>
            </w:r>
          </w:p>
        </w:tc>
        <w:tc>
          <w:tcPr>
            <w:tcW w:w="90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b w:val="1"/>
                <w:bCs w:val="1"/>
                <w:color w:val="auto"/>
              </w:rPr>
              <w:t>1,037,819</w:t>
            </w:r>
          </w:p>
        </w:tc>
        <w:tc>
          <w:tcPr>
            <w:tcW w:w="9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b w:val="1"/>
                <w:bCs w:val="1"/>
                <w:color w:val="auto"/>
              </w:rPr>
              <w:t>(579,329)</w:t>
            </w:r>
          </w:p>
        </w:tc>
        <w:tc>
          <w:tcPr>
            <w:tcW w:w="92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b w:val="1"/>
                <w:bCs w:val="1"/>
                <w:color w:val="auto"/>
              </w:rPr>
              <w:t>-155.8%</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b w:val="1"/>
                <w:bCs w:val="1"/>
                <w:color w:val="auto"/>
              </w:rPr>
              <w:t>-132.1%</w:t>
            </w:r>
          </w:p>
        </w:tc>
        <w:tc>
          <w:tcPr>
            <w:tcW w:w="94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b w:val="1"/>
                <w:bCs w:val="1"/>
                <w:color w:val="auto"/>
              </w:rPr>
              <w:t>3,618,066</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b w:val="1"/>
                <w:bCs w:val="1"/>
                <w:color w:val="auto"/>
              </w:rPr>
              <w:t>458,490</w:t>
            </w:r>
          </w:p>
        </w:tc>
        <w:tc>
          <w:tcPr>
            <w:tcW w:w="1100" w:type="dxa"/>
            <w:vAlign w:val="bottom"/>
            <w:gridSpan w:val="3"/>
            <w:shd w:val="clear" w:color="auto" w:fill="CCEEFF"/>
          </w:tcPr>
          <w:p>
            <w:pPr>
              <w:jc w:val="right"/>
              <w:spacing w:after="0" w:line="147" w:lineRule="exact"/>
              <w:rPr>
                <w:sz w:val="20"/>
                <w:szCs w:val="20"/>
                <w:color w:val="auto"/>
              </w:rPr>
            </w:pPr>
            <w:r>
              <w:rPr>
                <w:rFonts w:ascii="Arial" w:cs="Arial" w:eastAsia="Arial" w:hAnsi="Arial"/>
                <w:sz w:val="14"/>
                <w:szCs w:val="14"/>
                <w:b w:val="1"/>
                <w:bCs w:val="1"/>
                <w:color w:val="auto"/>
              </w:rPr>
              <w:t>-87.3%</w:t>
            </w:r>
          </w:p>
        </w:tc>
      </w:tr>
      <w:tr>
        <w:trPr>
          <w:trHeight w:val="147"/>
        </w:trPr>
        <w:tc>
          <w:tcPr>
            <w:tcW w:w="3740" w:type="dxa"/>
            <w:vAlign w:val="bottom"/>
          </w:tcPr>
          <w:p>
            <w:pPr>
              <w:spacing w:after="0" w:line="147" w:lineRule="exact"/>
              <w:rPr>
                <w:sz w:val="20"/>
                <w:szCs w:val="20"/>
                <w:color w:val="auto"/>
              </w:rPr>
            </w:pPr>
            <w:r>
              <w:rPr>
                <w:rFonts w:ascii="Arial" w:cs="Arial" w:eastAsia="Arial" w:hAnsi="Arial"/>
                <w:sz w:val="14"/>
                <w:szCs w:val="14"/>
                <w:b w:val="1"/>
                <w:bCs w:val="1"/>
                <w:color w:val="auto"/>
              </w:rPr>
              <w:t>Non-financial income</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7"/>
        </w:trPr>
        <w:tc>
          <w:tcPr>
            <w:tcW w:w="374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Fee income</w:t>
            </w:r>
          </w:p>
        </w:tc>
        <w:tc>
          <w:tcPr>
            <w:tcW w:w="9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787,250</w:t>
            </w:r>
          </w:p>
        </w:tc>
        <w:tc>
          <w:tcPr>
            <w:tcW w:w="90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760,329</w:t>
            </w:r>
          </w:p>
        </w:tc>
        <w:tc>
          <w:tcPr>
            <w:tcW w:w="92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503,488</w:t>
            </w:r>
          </w:p>
        </w:tc>
        <w:tc>
          <w:tcPr>
            <w:tcW w:w="92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-33.8%</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-36.0%</w:t>
            </w:r>
          </w:p>
        </w:tc>
        <w:tc>
          <w:tcPr>
            <w:tcW w:w="94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1,570,172</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1,263,817</w:t>
            </w:r>
          </w:p>
        </w:tc>
        <w:tc>
          <w:tcPr>
            <w:tcW w:w="1100" w:type="dxa"/>
            <w:vAlign w:val="bottom"/>
            <w:gridSpan w:val="3"/>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-19.5%</w:t>
            </w:r>
          </w:p>
        </w:tc>
      </w:tr>
      <w:tr>
        <w:trPr>
          <w:trHeight w:val="147"/>
        </w:trPr>
        <w:tc>
          <w:tcPr>
            <w:tcW w:w="3740" w:type="dxa"/>
            <w:vAlign w:val="bottom"/>
          </w:tcPr>
          <w:p>
            <w:pPr>
              <w:ind w:left="120"/>
              <w:spacing w:after="0" w:line="147" w:lineRule="exact"/>
              <w:rPr>
                <w:sz w:val="20"/>
                <w:szCs w:val="20"/>
                <w:color w:val="auto"/>
              </w:rPr>
            </w:pPr>
            <w:r>
              <w:rPr>
                <w:rFonts w:ascii="Arial" w:cs="Arial" w:eastAsia="Arial" w:hAnsi="Arial"/>
                <w:sz w:val="14"/>
                <w:szCs w:val="14"/>
                <w:color w:val="auto"/>
              </w:rPr>
              <w:t>Net gain on foreign exchange transactions</w:t>
            </w:r>
          </w:p>
        </w:tc>
        <w:tc>
          <w:tcPr>
            <w:tcW w:w="9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188,358</w:t>
            </w:r>
          </w:p>
        </w:tc>
        <w:tc>
          <w:tcPr>
            <w:tcW w:w="90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166,983</w:t>
            </w:r>
          </w:p>
        </w:tc>
        <w:tc>
          <w:tcPr>
            <w:tcW w:w="92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149,308</w:t>
            </w:r>
          </w:p>
        </w:tc>
        <w:tc>
          <w:tcPr>
            <w:tcW w:w="92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-10.6%</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-20.7%</w:t>
            </w:r>
          </w:p>
        </w:tc>
        <w:tc>
          <w:tcPr>
            <w:tcW w:w="94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366,781</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316,291</w:t>
            </w:r>
          </w:p>
        </w:tc>
        <w:tc>
          <w:tcPr>
            <w:tcW w:w="1100" w:type="dxa"/>
            <w:vAlign w:val="bottom"/>
            <w:gridSpan w:val="3"/>
          </w:tcPr>
          <w:p>
            <w:pPr>
              <w:jc w:val="right"/>
              <w:ind w:right="20"/>
              <w:spacing w:after="0" w:line="147" w:lineRule="exact"/>
              <w:rPr>
                <w:sz w:val="20"/>
                <w:szCs w:val="20"/>
                <w:color w:val="auto"/>
              </w:rPr>
            </w:pPr>
            <w:r>
              <w:rPr>
                <w:rFonts w:ascii="Arial" w:cs="Arial" w:eastAsia="Arial" w:hAnsi="Arial"/>
                <w:sz w:val="14"/>
                <w:szCs w:val="14"/>
                <w:color w:val="auto"/>
              </w:rPr>
              <w:t>-13.8%</w:t>
            </w:r>
          </w:p>
        </w:tc>
      </w:tr>
      <w:tr>
        <w:trPr>
          <w:trHeight w:val="187"/>
        </w:trPr>
        <w:tc>
          <w:tcPr>
            <w:tcW w:w="3740" w:type="dxa"/>
            <w:vAlign w:val="bottom"/>
            <w:shd w:val="clear" w:color="auto" w:fill="CCEEFF"/>
          </w:tcPr>
          <w:p>
            <w:pPr>
              <w:ind w:left="120"/>
              <w:spacing w:after="0" w:line="187" w:lineRule="exact"/>
              <w:rPr>
                <w:sz w:val="20"/>
                <w:szCs w:val="20"/>
                <w:color w:val="auto"/>
              </w:rPr>
            </w:pPr>
            <w:r>
              <w:rPr>
                <w:rFonts w:ascii="Arial" w:cs="Arial" w:eastAsia="Arial" w:hAnsi="Arial"/>
                <w:sz w:val="13"/>
                <w:szCs w:val="13"/>
                <w:color w:val="auto"/>
              </w:rPr>
              <w:t xml:space="preserve">Net gain on sales of securities </w:t>
            </w:r>
            <w:r>
              <w:rPr>
                <w:rFonts w:ascii="Arial" w:cs="Arial" w:eastAsia="Arial" w:hAnsi="Arial"/>
                <w:sz w:val="21"/>
                <w:szCs w:val="21"/>
                <w:color w:val="auto"/>
                <w:vertAlign w:val="superscript"/>
              </w:rPr>
              <w:t>(2)</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100,987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(120,633)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280,563</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-332.6%</w:t>
            </w: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177.8%</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214,532</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159,930</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-25.5%</w:t>
            </w:r>
          </w:p>
        </w:tc>
      </w:tr>
      <w:tr>
        <w:trPr>
          <w:trHeight w:val="187"/>
        </w:trPr>
        <w:tc>
          <w:tcPr>
            <w:tcW w:w="3740" w:type="dxa"/>
            <w:vAlign w:val="bottom"/>
          </w:tcPr>
          <w:p>
            <w:pPr>
              <w:ind w:left="120"/>
              <w:spacing w:after="0" w:line="187" w:lineRule="exact"/>
              <w:rPr>
                <w:sz w:val="20"/>
                <w:szCs w:val="20"/>
                <w:color w:val="auto"/>
              </w:rPr>
            </w:pPr>
            <w:r>
              <w:rPr>
                <w:rFonts w:ascii="Arial" w:cs="Arial" w:eastAsia="Arial" w:hAnsi="Arial"/>
                <w:sz w:val="13"/>
                <w:szCs w:val="13"/>
                <w:color w:val="auto"/>
              </w:rPr>
              <w:t xml:space="preserve">Net gain from associates </w:t>
            </w:r>
            <w:r>
              <w:rPr>
                <w:rFonts w:ascii="Arial" w:cs="Arial" w:eastAsia="Arial" w:hAnsi="Arial"/>
                <w:sz w:val="21"/>
                <w:szCs w:val="21"/>
                <w:color w:val="auto"/>
                <w:vertAlign w:val="superscript"/>
              </w:rPr>
              <w:t>(2)(3)</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20,478</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19,225</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14,906</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-22.5%</w:t>
            </w:r>
          </w:p>
        </w:tc>
        <w:tc>
          <w:tcPr>
            <w:tcW w:w="2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-27.2%</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35,264</w:t>
            </w:r>
          </w:p>
        </w:tc>
        <w:tc>
          <w:tcPr>
            <w:tcW w:w="10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34,131</w:t>
            </w:r>
          </w:p>
        </w:tc>
        <w:tc>
          <w:tcPr>
            <w:tcW w:w="1100" w:type="dxa"/>
            <w:vAlign w:val="bottom"/>
            <w:gridSpan w:val="3"/>
          </w:tcPr>
          <w:p>
            <w:pPr>
              <w:jc w:val="right"/>
              <w:ind w:right="20"/>
              <w:spacing w:after="0"/>
              <w:rPr>
                <w:sz w:val="20"/>
                <w:szCs w:val="20"/>
                <w:color w:val="auto"/>
              </w:rPr>
            </w:pPr>
            <w:r>
              <w:rPr>
                <w:rFonts w:ascii="Arial" w:cs="Arial" w:eastAsia="Arial" w:hAnsi="Arial"/>
                <w:sz w:val="14"/>
                <w:szCs w:val="14"/>
                <w:color w:val="auto"/>
              </w:rPr>
              <w:t>-3.2%</w:t>
            </w:r>
          </w:p>
        </w:tc>
      </w:tr>
      <w:tr>
        <w:trPr>
          <w:trHeight w:val="147"/>
        </w:trPr>
        <w:tc>
          <w:tcPr>
            <w:tcW w:w="374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Net gain on derivatives held for trading</w:t>
            </w:r>
          </w:p>
        </w:tc>
        <w:tc>
          <w:tcPr>
            <w:tcW w:w="90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(724)</w:t>
            </w:r>
          </w:p>
        </w:tc>
        <w:tc>
          <w:tcPr>
            <w:tcW w:w="90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35,430</w:t>
            </w:r>
          </w:p>
        </w:tc>
        <w:tc>
          <w:tcPr>
            <w:tcW w:w="92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8,358</w:t>
            </w:r>
          </w:p>
        </w:tc>
        <w:tc>
          <w:tcPr>
            <w:tcW w:w="92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76.4%</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-1254.4%</w:t>
            </w:r>
          </w:p>
        </w:tc>
        <w:tc>
          <w:tcPr>
            <w:tcW w:w="94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(3,158)</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43,788</w:t>
            </w:r>
          </w:p>
        </w:tc>
        <w:tc>
          <w:tcPr>
            <w:tcW w:w="1100" w:type="dxa"/>
            <w:vAlign w:val="bottom"/>
            <w:gridSpan w:val="3"/>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-1486.6%</w:t>
            </w:r>
          </w:p>
        </w:tc>
      </w:tr>
      <w:tr>
        <w:trPr>
          <w:trHeight w:val="147"/>
        </w:trPr>
        <w:tc>
          <w:tcPr>
            <w:tcW w:w="3740" w:type="dxa"/>
            <w:vAlign w:val="bottom"/>
          </w:tcPr>
          <w:p>
            <w:pPr>
              <w:ind w:left="120"/>
              <w:spacing w:after="0" w:line="147" w:lineRule="exact"/>
              <w:rPr>
                <w:sz w:val="20"/>
                <w:szCs w:val="20"/>
                <w:color w:val="auto"/>
              </w:rPr>
            </w:pPr>
            <w:r>
              <w:rPr>
                <w:rFonts w:ascii="Arial" w:cs="Arial" w:eastAsia="Arial" w:hAnsi="Arial"/>
                <w:sz w:val="14"/>
                <w:szCs w:val="14"/>
                <w:color w:val="auto"/>
              </w:rPr>
              <w:t>Net gain from exchange differences</w:t>
            </w:r>
          </w:p>
        </w:tc>
        <w:tc>
          <w:tcPr>
            <w:tcW w:w="9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63</w:t>
            </w:r>
          </w:p>
        </w:tc>
        <w:tc>
          <w:tcPr>
            <w:tcW w:w="9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(21,240)</w:t>
            </w:r>
          </w:p>
        </w:tc>
        <w:tc>
          <w:tcPr>
            <w:tcW w:w="92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23,531</w:t>
            </w:r>
          </w:p>
        </w:tc>
        <w:tc>
          <w:tcPr>
            <w:tcW w:w="92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-210.8%</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w w:val="95"/>
              </w:rPr>
              <w:t>37250.8%</w:t>
            </w:r>
          </w:p>
        </w:tc>
        <w:tc>
          <w:tcPr>
            <w:tcW w:w="94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13,553</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2,291</w:t>
            </w:r>
          </w:p>
        </w:tc>
        <w:tc>
          <w:tcPr>
            <w:tcW w:w="1100" w:type="dxa"/>
            <w:vAlign w:val="bottom"/>
            <w:gridSpan w:val="3"/>
          </w:tcPr>
          <w:p>
            <w:pPr>
              <w:jc w:val="right"/>
              <w:ind w:right="20"/>
              <w:spacing w:after="0" w:line="147" w:lineRule="exact"/>
              <w:rPr>
                <w:sz w:val="20"/>
                <w:szCs w:val="20"/>
                <w:color w:val="auto"/>
              </w:rPr>
            </w:pPr>
            <w:r>
              <w:rPr>
                <w:rFonts w:ascii="Arial" w:cs="Arial" w:eastAsia="Arial" w:hAnsi="Arial"/>
                <w:sz w:val="14"/>
                <w:szCs w:val="14"/>
                <w:color w:val="auto"/>
              </w:rPr>
              <w:t>-83.1%</w:t>
            </w:r>
          </w:p>
        </w:tc>
      </w:tr>
      <w:tr>
        <w:trPr>
          <w:trHeight w:val="147"/>
        </w:trPr>
        <w:tc>
          <w:tcPr>
            <w:tcW w:w="374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Other non-financial income</w:t>
            </w:r>
          </w:p>
        </w:tc>
        <w:tc>
          <w:tcPr>
            <w:tcW w:w="9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98,703</w:t>
            </w:r>
          </w:p>
        </w:tc>
        <w:tc>
          <w:tcPr>
            <w:tcW w:w="90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117,770</w:t>
            </w:r>
          </w:p>
        </w:tc>
        <w:tc>
          <w:tcPr>
            <w:tcW w:w="92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35,196</w:t>
            </w:r>
          </w:p>
        </w:tc>
        <w:tc>
          <w:tcPr>
            <w:tcW w:w="92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-70.1%</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-64.3%</w:t>
            </w:r>
          </w:p>
        </w:tc>
        <w:tc>
          <w:tcPr>
            <w:tcW w:w="94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174,308</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152,966</w:t>
            </w:r>
          </w:p>
        </w:tc>
        <w:tc>
          <w:tcPr>
            <w:tcW w:w="1100" w:type="dxa"/>
            <w:vAlign w:val="bottom"/>
            <w:gridSpan w:val="3"/>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-12.2%</w:t>
            </w:r>
          </w:p>
        </w:tc>
      </w:tr>
      <w:tr>
        <w:trPr>
          <w:trHeight w:val="147"/>
        </w:trPr>
        <w:tc>
          <w:tcPr>
            <w:tcW w:w="3740" w:type="dxa"/>
            <w:vAlign w:val="bottom"/>
          </w:tcPr>
          <w:p>
            <w:pPr>
              <w:ind w:left="120"/>
              <w:spacing w:after="0" w:line="147" w:lineRule="exact"/>
              <w:rPr>
                <w:sz w:val="20"/>
                <w:szCs w:val="20"/>
                <w:color w:val="auto"/>
              </w:rPr>
            </w:pPr>
            <w:r>
              <w:rPr>
                <w:rFonts w:ascii="Arial" w:cs="Arial" w:eastAsia="Arial" w:hAnsi="Arial"/>
                <w:sz w:val="14"/>
                <w:szCs w:val="14"/>
                <w:b w:val="1"/>
                <w:bCs w:val="1"/>
                <w:color w:val="auto"/>
              </w:rPr>
              <w:t>Total non-financial income</w:t>
            </w:r>
          </w:p>
        </w:tc>
        <w:tc>
          <w:tcPr>
            <w:tcW w:w="900" w:type="dxa"/>
            <w:vAlign w:val="bottom"/>
            <w:gridSpan w:val="2"/>
          </w:tcPr>
          <w:p>
            <w:pPr>
              <w:jc w:val="right"/>
              <w:ind w:right="180"/>
              <w:spacing w:after="0" w:line="147" w:lineRule="exact"/>
              <w:rPr>
                <w:sz w:val="20"/>
                <w:szCs w:val="20"/>
                <w:color w:val="auto"/>
              </w:rPr>
            </w:pPr>
            <w:r>
              <w:rPr>
                <w:rFonts w:ascii="Arial" w:cs="Arial" w:eastAsia="Arial" w:hAnsi="Arial"/>
                <w:sz w:val="14"/>
                <w:szCs w:val="14"/>
                <w:b w:val="1"/>
                <w:bCs w:val="1"/>
                <w:color w:val="auto"/>
              </w:rPr>
              <w:t>1,195,115</w:t>
            </w:r>
          </w:p>
        </w:tc>
        <w:tc>
          <w:tcPr>
            <w:tcW w:w="900" w:type="dxa"/>
            <w:vAlign w:val="bottom"/>
            <w:gridSpan w:val="2"/>
          </w:tcPr>
          <w:p>
            <w:pPr>
              <w:jc w:val="right"/>
              <w:ind w:right="160"/>
              <w:spacing w:after="0" w:line="147" w:lineRule="exact"/>
              <w:rPr>
                <w:sz w:val="20"/>
                <w:szCs w:val="20"/>
                <w:color w:val="auto"/>
              </w:rPr>
            </w:pPr>
            <w:r>
              <w:rPr>
                <w:rFonts w:ascii="Arial" w:cs="Arial" w:eastAsia="Arial" w:hAnsi="Arial"/>
                <w:sz w:val="14"/>
                <w:szCs w:val="14"/>
                <w:b w:val="1"/>
                <w:bCs w:val="1"/>
                <w:color w:val="auto"/>
              </w:rPr>
              <w:t>957,864</w:t>
            </w:r>
          </w:p>
        </w:tc>
        <w:tc>
          <w:tcPr>
            <w:tcW w:w="920" w:type="dxa"/>
            <w:vAlign w:val="bottom"/>
            <w:gridSpan w:val="2"/>
          </w:tcPr>
          <w:p>
            <w:pPr>
              <w:jc w:val="right"/>
              <w:ind w:right="180"/>
              <w:spacing w:after="0" w:line="147" w:lineRule="exact"/>
              <w:rPr>
                <w:sz w:val="20"/>
                <w:szCs w:val="20"/>
                <w:color w:val="auto"/>
              </w:rPr>
            </w:pPr>
            <w:r>
              <w:rPr>
                <w:rFonts w:ascii="Arial" w:cs="Arial" w:eastAsia="Arial" w:hAnsi="Arial"/>
                <w:sz w:val="14"/>
                <w:szCs w:val="14"/>
                <w:b w:val="1"/>
                <w:bCs w:val="1"/>
                <w:color w:val="auto"/>
              </w:rPr>
              <w:t>1,015,350</w:t>
            </w:r>
          </w:p>
        </w:tc>
        <w:tc>
          <w:tcPr>
            <w:tcW w:w="920" w:type="dxa"/>
            <w:vAlign w:val="bottom"/>
            <w:gridSpan w:val="2"/>
          </w:tcPr>
          <w:p>
            <w:pPr>
              <w:jc w:val="right"/>
              <w:ind w:right="100"/>
              <w:spacing w:after="0" w:line="147" w:lineRule="exact"/>
              <w:rPr>
                <w:sz w:val="20"/>
                <w:szCs w:val="20"/>
                <w:color w:val="auto"/>
              </w:rPr>
            </w:pPr>
            <w:r>
              <w:rPr>
                <w:rFonts w:ascii="Arial" w:cs="Arial" w:eastAsia="Arial" w:hAnsi="Arial"/>
                <w:sz w:val="14"/>
                <w:szCs w:val="14"/>
                <w:b w:val="1"/>
                <w:bCs w:val="1"/>
                <w:color w:val="auto"/>
              </w:rPr>
              <w:t>6.0%</w:t>
            </w:r>
          </w:p>
        </w:tc>
        <w:tc>
          <w:tcPr>
            <w:tcW w:w="200" w:type="dxa"/>
            <w:vAlign w:val="bottom"/>
          </w:tcPr>
          <w:p>
            <w:pPr>
              <w:spacing w:after="0"/>
              <w:rPr>
                <w:sz w:val="12"/>
                <w:szCs w:val="12"/>
                <w:color w:val="auto"/>
              </w:rPr>
            </w:pPr>
          </w:p>
        </w:tc>
        <w:tc>
          <w:tcPr>
            <w:tcW w:w="740" w:type="dxa"/>
            <w:vAlign w:val="bottom"/>
            <w:gridSpan w:val="2"/>
          </w:tcPr>
          <w:p>
            <w:pPr>
              <w:jc w:val="right"/>
              <w:ind w:right="100"/>
              <w:spacing w:after="0" w:line="147" w:lineRule="exact"/>
              <w:rPr>
                <w:sz w:val="20"/>
                <w:szCs w:val="20"/>
                <w:color w:val="auto"/>
              </w:rPr>
            </w:pPr>
            <w:r>
              <w:rPr>
                <w:rFonts w:ascii="Arial" w:cs="Arial" w:eastAsia="Arial" w:hAnsi="Arial"/>
                <w:sz w:val="14"/>
                <w:szCs w:val="14"/>
                <w:b w:val="1"/>
                <w:bCs w:val="1"/>
                <w:color w:val="auto"/>
              </w:rPr>
              <w:t>-15.0%</w:t>
            </w:r>
          </w:p>
        </w:tc>
        <w:tc>
          <w:tcPr>
            <w:tcW w:w="940" w:type="dxa"/>
            <w:vAlign w:val="bottom"/>
            <w:gridSpan w:val="2"/>
          </w:tcPr>
          <w:p>
            <w:pPr>
              <w:jc w:val="right"/>
              <w:ind w:right="180"/>
              <w:spacing w:after="0" w:line="147" w:lineRule="exact"/>
              <w:rPr>
                <w:sz w:val="20"/>
                <w:szCs w:val="20"/>
                <w:color w:val="auto"/>
              </w:rPr>
            </w:pPr>
            <w:r>
              <w:rPr>
                <w:rFonts w:ascii="Arial" w:cs="Arial" w:eastAsia="Arial" w:hAnsi="Arial"/>
                <w:sz w:val="14"/>
                <w:szCs w:val="14"/>
                <w:b w:val="1"/>
                <w:bCs w:val="1"/>
                <w:color w:val="auto"/>
              </w:rPr>
              <w:t>2,371,452</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7" w:lineRule="exact"/>
              <w:rPr>
                <w:sz w:val="20"/>
                <w:szCs w:val="20"/>
                <w:color w:val="auto"/>
              </w:rPr>
            </w:pPr>
            <w:r>
              <w:rPr>
                <w:rFonts w:ascii="Arial" w:cs="Arial" w:eastAsia="Arial" w:hAnsi="Arial"/>
                <w:sz w:val="14"/>
                <w:szCs w:val="14"/>
                <w:b w:val="1"/>
                <w:bCs w:val="1"/>
                <w:color w:val="auto"/>
              </w:rPr>
              <w:t>1,973,214</w:t>
            </w:r>
          </w:p>
        </w:tc>
        <w:tc>
          <w:tcPr>
            <w:tcW w:w="1100" w:type="dxa"/>
            <w:vAlign w:val="bottom"/>
            <w:gridSpan w:val="3"/>
          </w:tcPr>
          <w:p>
            <w:pPr>
              <w:jc w:val="right"/>
              <w:spacing w:after="0" w:line="147" w:lineRule="exact"/>
              <w:rPr>
                <w:sz w:val="20"/>
                <w:szCs w:val="20"/>
                <w:color w:val="auto"/>
              </w:rPr>
            </w:pPr>
            <w:r>
              <w:rPr>
                <w:rFonts w:ascii="Arial" w:cs="Arial" w:eastAsia="Arial" w:hAnsi="Arial"/>
                <w:sz w:val="14"/>
                <w:szCs w:val="14"/>
                <w:b w:val="1"/>
                <w:bCs w:val="1"/>
                <w:color w:val="auto"/>
              </w:rPr>
              <w:t>-16.8%</w:t>
            </w:r>
          </w:p>
        </w:tc>
      </w:tr>
      <w:tr>
        <w:trPr>
          <w:trHeight w:val="147"/>
        </w:trPr>
        <w:tc>
          <w:tcPr>
            <w:tcW w:w="374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Insurance underwriting result</w:t>
            </w: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7"/>
        </w:trPr>
        <w:tc>
          <w:tcPr>
            <w:tcW w:w="3740" w:type="dxa"/>
            <w:vAlign w:val="bottom"/>
          </w:tcPr>
          <w:p>
            <w:pPr>
              <w:ind w:left="120"/>
              <w:spacing w:after="0" w:line="147" w:lineRule="exact"/>
              <w:rPr>
                <w:sz w:val="20"/>
                <w:szCs w:val="20"/>
                <w:color w:val="auto"/>
              </w:rPr>
            </w:pPr>
            <w:r>
              <w:rPr>
                <w:rFonts w:ascii="Arial" w:cs="Arial" w:eastAsia="Arial" w:hAnsi="Arial"/>
                <w:sz w:val="14"/>
                <w:szCs w:val="14"/>
                <w:color w:val="auto"/>
              </w:rPr>
              <w:t>Net earned premiums</w:t>
            </w:r>
          </w:p>
        </w:tc>
        <w:tc>
          <w:tcPr>
            <w:tcW w:w="9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584,579</w:t>
            </w:r>
          </w:p>
        </w:tc>
        <w:tc>
          <w:tcPr>
            <w:tcW w:w="90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627,935</w:t>
            </w:r>
          </w:p>
        </w:tc>
        <w:tc>
          <w:tcPr>
            <w:tcW w:w="92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552,061</w:t>
            </w:r>
          </w:p>
        </w:tc>
        <w:tc>
          <w:tcPr>
            <w:tcW w:w="92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-12.1%</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-5.6%</w:t>
            </w:r>
          </w:p>
        </w:tc>
        <w:tc>
          <w:tcPr>
            <w:tcW w:w="94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1,168,788</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1,179,996</w:t>
            </w:r>
          </w:p>
        </w:tc>
        <w:tc>
          <w:tcPr>
            <w:tcW w:w="1100" w:type="dxa"/>
            <w:vAlign w:val="bottom"/>
            <w:gridSpan w:val="3"/>
          </w:tcPr>
          <w:p>
            <w:pPr>
              <w:jc w:val="right"/>
              <w:ind w:right="20"/>
              <w:spacing w:after="0" w:line="147" w:lineRule="exact"/>
              <w:rPr>
                <w:sz w:val="20"/>
                <w:szCs w:val="20"/>
                <w:color w:val="auto"/>
              </w:rPr>
            </w:pPr>
            <w:r>
              <w:rPr>
                <w:rFonts w:ascii="Arial" w:cs="Arial" w:eastAsia="Arial" w:hAnsi="Arial"/>
                <w:sz w:val="14"/>
                <w:szCs w:val="14"/>
                <w:color w:val="auto"/>
              </w:rPr>
              <w:t>1.0%</w:t>
            </w:r>
          </w:p>
        </w:tc>
      </w:tr>
      <w:tr>
        <w:trPr>
          <w:trHeight w:val="147"/>
        </w:trPr>
        <w:tc>
          <w:tcPr>
            <w:tcW w:w="374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Net claims</w:t>
            </w:r>
          </w:p>
        </w:tc>
        <w:tc>
          <w:tcPr>
            <w:tcW w:w="90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(374,688)</w:t>
            </w:r>
          </w:p>
        </w:tc>
        <w:tc>
          <w:tcPr>
            <w:tcW w:w="90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(373,502)</w:t>
            </w:r>
          </w:p>
        </w:tc>
        <w:tc>
          <w:tcPr>
            <w:tcW w:w="9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(328,783)</w:t>
            </w:r>
          </w:p>
        </w:tc>
        <w:tc>
          <w:tcPr>
            <w:tcW w:w="92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-12.0%</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-12.3%</w:t>
            </w:r>
          </w:p>
        </w:tc>
        <w:tc>
          <w:tcPr>
            <w:tcW w:w="94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(758,505)</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(702,285)</w:t>
            </w:r>
          </w:p>
        </w:tc>
        <w:tc>
          <w:tcPr>
            <w:tcW w:w="1100" w:type="dxa"/>
            <w:vAlign w:val="bottom"/>
            <w:gridSpan w:val="3"/>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-7.4%</w:t>
            </w:r>
          </w:p>
        </w:tc>
      </w:tr>
      <w:tr>
        <w:trPr>
          <w:trHeight w:val="187"/>
        </w:trPr>
        <w:tc>
          <w:tcPr>
            <w:tcW w:w="3740" w:type="dxa"/>
            <w:vAlign w:val="bottom"/>
          </w:tcPr>
          <w:p>
            <w:pPr>
              <w:ind w:left="120"/>
              <w:spacing w:after="0" w:line="187" w:lineRule="exact"/>
              <w:rPr>
                <w:sz w:val="20"/>
                <w:szCs w:val="20"/>
                <w:color w:val="auto"/>
              </w:rPr>
            </w:pPr>
            <w:r>
              <w:rPr>
                <w:rFonts w:ascii="Arial" w:cs="Arial" w:eastAsia="Arial" w:hAnsi="Arial"/>
                <w:sz w:val="13"/>
                <w:szCs w:val="13"/>
                <w:color w:val="auto"/>
              </w:rPr>
              <w:t xml:space="preserve">Acquisition cost </w:t>
            </w:r>
            <w:r>
              <w:rPr>
                <w:rFonts w:ascii="Arial" w:cs="Arial" w:eastAsia="Arial" w:hAnsi="Arial"/>
                <w:sz w:val="21"/>
                <w:szCs w:val="21"/>
                <w:color w:val="auto"/>
                <w:vertAlign w:val="superscript"/>
              </w:rPr>
              <w:t>(4)</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(91,666)</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(112,507)</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(87,598)</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-22.1%</w:t>
            </w:r>
          </w:p>
        </w:tc>
        <w:tc>
          <w:tcPr>
            <w:tcW w:w="2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-4.4%</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(182,947)</w:t>
            </w:r>
          </w:p>
        </w:tc>
        <w:tc>
          <w:tcPr>
            <w:tcW w:w="1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(200,105)</w:t>
            </w:r>
          </w:p>
        </w:tc>
        <w:tc>
          <w:tcPr>
            <w:tcW w:w="1100" w:type="dxa"/>
            <w:vAlign w:val="bottom"/>
            <w:gridSpan w:val="3"/>
          </w:tcPr>
          <w:p>
            <w:pPr>
              <w:jc w:val="right"/>
              <w:ind w:right="20"/>
              <w:spacing w:after="0"/>
              <w:rPr>
                <w:sz w:val="20"/>
                <w:szCs w:val="20"/>
                <w:color w:val="auto"/>
              </w:rPr>
            </w:pPr>
            <w:r>
              <w:rPr>
                <w:rFonts w:ascii="Arial" w:cs="Arial" w:eastAsia="Arial" w:hAnsi="Arial"/>
                <w:sz w:val="14"/>
                <w:szCs w:val="14"/>
                <w:color w:val="auto"/>
              </w:rPr>
              <w:t>9.4%</w:t>
            </w:r>
          </w:p>
        </w:tc>
      </w:tr>
      <w:tr>
        <w:trPr>
          <w:trHeight w:val="147"/>
        </w:trPr>
        <w:tc>
          <w:tcPr>
            <w:tcW w:w="374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b w:val="1"/>
                <w:bCs w:val="1"/>
                <w:color w:val="auto"/>
              </w:rPr>
              <w:t>Total insurance underwriting result</w:t>
            </w:r>
          </w:p>
        </w:tc>
        <w:tc>
          <w:tcPr>
            <w:tcW w:w="9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b w:val="1"/>
                <w:bCs w:val="1"/>
                <w:color w:val="auto"/>
              </w:rPr>
              <w:t>118,225</w:t>
            </w:r>
          </w:p>
        </w:tc>
        <w:tc>
          <w:tcPr>
            <w:tcW w:w="90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b w:val="1"/>
                <w:bCs w:val="1"/>
                <w:color w:val="auto"/>
              </w:rPr>
              <w:t>141,926</w:t>
            </w:r>
          </w:p>
        </w:tc>
        <w:tc>
          <w:tcPr>
            <w:tcW w:w="92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b w:val="1"/>
                <w:bCs w:val="1"/>
                <w:color w:val="auto"/>
              </w:rPr>
              <w:t>135,680</w:t>
            </w:r>
          </w:p>
        </w:tc>
        <w:tc>
          <w:tcPr>
            <w:tcW w:w="92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b w:val="1"/>
                <w:bCs w:val="1"/>
                <w:color w:val="auto"/>
              </w:rPr>
              <w:t>-4.4%</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b w:val="1"/>
                <w:bCs w:val="1"/>
                <w:color w:val="auto"/>
              </w:rPr>
              <w:t>14.8%</w:t>
            </w:r>
          </w:p>
        </w:tc>
        <w:tc>
          <w:tcPr>
            <w:tcW w:w="94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b w:val="1"/>
                <w:bCs w:val="1"/>
                <w:color w:val="auto"/>
              </w:rPr>
              <w:t>227,336</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b w:val="1"/>
                <w:bCs w:val="1"/>
                <w:color w:val="auto"/>
              </w:rPr>
              <w:t>277,606</w:t>
            </w:r>
          </w:p>
        </w:tc>
        <w:tc>
          <w:tcPr>
            <w:tcW w:w="1100" w:type="dxa"/>
            <w:vAlign w:val="bottom"/>
            <w:gridSpan w:val="3"/>
            <w:shd w:val="clear" w:color="auto" w:fill="CCEEFF"/>
          </w:tcPr>
          <w:p>
            <w:pPr>
              <w:jc w:val="right"/>
              <w:spacing w:after="0" w:line="147" w:lineRule="exact"/>
              <w:rPr>
                <w:sz w:val="20"/>
                <w:szCs w:val="20"/>
                <w:color w:val="auto"/>
              </w:rPr>
            </w:pPr>
            <w:r>
              <w:rPr>
                <w:rFonts w:ascii="Arial" w:cs="Arial" w:eastAsia="Arial" w:hAnsi="Arial"/>
                <w:sz w:val="14"/>
                <w:szCs w:val="14"/>
                <w:b w:val="1"/>
                <w:bCs w:val="1"/>
                <w:color w:val="auto"/>
              </w:rPr>
              <w:t>22.1%</w:t>
            </w:r>
          </w:p>
        </w:tc>
      </w:tr>
      <w:tr>
        <w:trPr>
          <w:trHeight w:val="147"/>
        </w:trPr>
        <w:tc>
          <w:tcPr>
            <w:tcW w:w="3740" w:type="dxa"/>
            <w:vAlign w:val="bottom"/>
          </w:tcPr>
          <w:p>
            <w:pPr>
              <w:spacing w:after="0" w:line="147" w:lineRule="exact"/>
              <w:rPr>
                <w:sz w:val="20"/>
                <w:szCs w:val="20"/>
                <w:color w:val="auto"/>
              </w:rPr>
            </w:pPr>
            <w:r>
              <w:rPr>
                <w:rFonts w:ascii="Arial" w:cs="Arial" w:eastAsia="Arial" w:hAnsi="Arial"/>
                <w:sz w:val="14"/>
                <w:szCs w:val="14"/>
                <w:b w:val="1"/>
                <w:bCs w:val="1"/>
                <w:color w:val="auto"/>
              </w:rPr>
              <w:t>Total expenses</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7"/>
        </w:trPr>
        <w:tc>
          <w:tcPr>
            <w:tcW w:w="374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Salaries and employee benefits</w:t>
            </w:r>
          </w:p>
        </w:tc>
        <w:tc>
          <w:tcPr>
            <w:tcW w:w="90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(845,835)</w:t>
            </w:r>
          </w:p>
        </w:tc>
        <w:tc>
          <w:tcPr>
            <w:tcW w:w="90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(891,183)</w:t>
            </w:r>
          </w:p>
        </w:tc>
        <w:tc>
          <w:tcPr>
            <w:tcW w:w="9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(825,997)</w:t>
            </w:r>
          </w:p>
        </w:tc>
        <w:tc>
          <w:tcPr>
            <w:tcW w:w="92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-7.3%</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-2.3%</w:t>
            </w:r>
          </w:p>
        </w:tc>
        <w:tc>
          <w:tcPr>
            <w:tcW w:w="94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(1,680,152)</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w w:val="97"/>
              </w:rPr>
              <w:t>(1,717,180)</w:t>
            </w:r>
          </w:p>
        </w:tc>
        <w:tc>
          <w:tcPr>
            <w:tcW w:w="1100" w:type="dxa"/>
            <w:vAlign w:val="bottom"/>
            <w:gridSpan w:val="3"/>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2.2%</w:t>
            </w:r>
          </w:p>
        </w:tc>
      </w:tr>
      <w:tr>
        <w:trPr>
          <w:trHeight w:val="147"/>
        </w:trPr>
        <w:tc>
          <w:tcPr>
            <w:tcW w:w="3740" w:type="dxa"/>
            <w:vAlign w:val="bottom"/>
          </w:tcPr>
          <w:p>
            <w:pPr>
              <w:ind w:left="120"/>
              <w:spacing w:after="0" w:line="147" w:lineRule="exact"/>
              <w:rPr>
                <w:sz w:val="20"/>
                <w:szCs w:val="20"/>
                <w:color w:val="auto"/>
              </w:rPr>
            </w:pPr>
            <w:r>
              <w:rPr>
                <w:rFonts w:ascii="Arial" w:cs="Arial" w:eastAsia="Arial" w:hAnsi="Arial"/>
                <w:sz w:val="14"/>
                <w:szCs w:val="14"/>
                <w:color w:val="auto"/>
              </w:rPr>
              <w:t>Administrative, general and tax expenses</w:t>
            </w:r>
          </w:p>
        </w:tc>
        <w:tc>
          <w:tcPr>
            <w:tcW w:w="9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(552,653)</w:t>
            </w:r>
          </w:p>
        </w:tc>
        <w:tc>
          <w:tcPr>
            <w:tcW w:w="9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(539,644)</w:t>
            </w:r>
          </w:p>
        </w:tc>
        <w:tc>
          <w:tcPr>
            <w:tcW w:w="92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(508,078)</w:t>
            </w:r>
          </w:p>
        </w:tc>
        <w:tc>
          <w:tcPr>
            <w:tcW w:w="92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-5.8%</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-8.1%</w:t>
            </w:r>
          </w:p>
        </w:tc>
        <w:tc>
          <w:tcPr>
            <w:tcW w:w="94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(1,090,810)</w:t>
            </w: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w w:val="97"/>
              </w:rPr>
              <w:t>(1,047,722)</w:t>
            </w:r>
          </w:p>
        </w:tc>
        <w:tc>
          <w:tcPr>
            <w:tcW w:w="1100" w:type="dxa"/>
            <w:vAlign w:val="bottom"/>
            <w:gridSpan w:val="3"/>
          </w:tcPr>
          <w:p>
            <w:pPr>
              <w:jc w:val="right"/>
              <w:ind w:right="20"/>
              <w:spacing w:after="0" w:line="147" w:lineRule="exact"/>
              <w:rPr>
                <w:sz w:val="20"/>
                <w:szCs w:val="20"/>
                <w:color w:val="auto"/>
              </w:rPr>
            </w:pPr>
            <w:r>
              <w:rPr>
                <w:rFonts w:ascii="Arial" w:cs="Arial" w:eastAsia="Arial" w:hAnsi="Arial"/>
                <w:sz w:val="14"/>
                <w:szCs w:val="14"/>
                <w:color w:val="auto"/>
              </w:rPr>
              <w:t>-4.0%</w:t>
            </w:r>
          </w:p>
        </w:tc>
      </w:tr>
      <w:tr>
        <w:trPr>
          <w:trHeight w:val="187"/>
        </w:trPr>
        <w:tc>
          <w:tcPr>
            <w:tcW w:w="3740" w:type="dxa"/>
            <w:vAlign w:val="bottom"/>
            <w:shd w:val="clear" w:color="auto" w:fill="CCEEFF"/>
          </w:tcPr>
          <w:p>
            <w:pPr>
              <w:ind w:left="120"/>
              <w:spacing w:after="0" w:line="187"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21"/>
                <w:szCs w:val="21"/>
                <w:color w:val="auto"/>
                <w:vertAlign w:val="superscript"/>
              </w:rPr>
              <w:t>(5)</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(158,663)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(171,748)</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(171,439)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-0.2%</w:t>
            </w: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(289,988)</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(343,187)</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18.3%</w:t>
            </w:r>
          </w:p>
        </w:tc>
      </w:tr>
      <w:tr>
        <w:trPr>
          <w:trHeight w:val="147"/>
        </w:trPr>
        <w:tc>
          <w:tcPr>
            <w:tcW w:w="3740" w:type="dxa"/>
            <w:vAlign w:val="bottom"/>
          </w:tcPr>
          <w:p>
            <w:pPr>
              <w:ind w:left="120"/>
              <w:spacing w:after="0" w:line="147" w:lineRule="exact"/>
              <w:rPr>
                <w:sz w:val="20"/>
                <w:szCs w:val="20"/>
                <w:color w:val="auto"/>
              </w:rPr>
            </w:pPr>
            <w:r>
              <w:rPr>
                <w:rFonts w:ascii="Arial" w:cs="Arial" w:eastAsia="Arial" w:hAnsi="Arial"/>
                <w:sz w:val="14"/>
                <w:szCs w:val="14"/>
                <w:color w:val="auto"/>
              </w:rPr>
              <w:t>Impairment loss on goodwill</w:t>
            </w:r>
          </w:p>
        </w:tc>
        <w:tc>
          <w:tcPr>
            <w:tcW w:w="9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87"/>
        </w:trPr>
        <w:tc>
          <w:tcPr>
            <w:tcW w:w="3740" w:type="dxa"/>
            <w:vAlign w:val="bottom"/>
            <w:shd w:val="clear" w:color="auto" w:fill="CCEEFF"/>
          </w:tcPr>
          <w:p>
            <w:pPr>
              <w:ind w:left="120"/>
              <w:spacing w:after="0" w:line="187" w:lineRule="exact"/>
              <w:rPr>
                <w:sz w:val="20"/>
                <w:szCs w:val="20"/>
                <w:color w:val="auto"/>
              </w:rPr>
            </w:pPr>
            <w:r>
              <w:rPr>
                <w:rFonts w:ascii="Arial" w:cs="Arial" w:eastAsia="Arial" w:hAnsi="Arial"/>
                <w:sz w:val="13"/>
                <w:szCs w:val="13"/>
                <w:color w:val="auto"/>
              </w:rPr>
              <w:t xml:space="preserve">Association in participation </w:t>
            </w:r>
            <w:r>
              <w:rPr>
                <w:rFonts w:ascii="Arial" w:cs="Arial" w:eastAsia="Arial" w:hAnsi="Arial"/>
                <w:sz w:val="21"/>
                <w:szCs w:val="21"/>
                <w:color w:val="auto"/>
                <w:vertAlign w:val="superscript"/>
              </w:rPr>
              <w:t>(6)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(4,746)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(6,430)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(17,944)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179.1%</w:t>
            </w: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278.1%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(7,482)</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(24,374)</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225.8%</w:t>
            </w:r>
          </w:p>
        </w:tc>
      </w:tr>
      <w:tr>
        <w:trPr>
          <w:trHeight w:val="147"/>
        </w:trPr>
        <w:tc>
          <w:tcPr>
            <w:tcW w:w="3740" w:type="dxa"/>
            <w:vAlign w:val="bottom"/>
          </w:tcPr>
          <w:p>
            <w:pPr>
              <w:ind w:left="120"/>
              <w:spacing w:after="0" w:line="147" w:lineRule="exact"/>
              <w:rPr>
                <w:sz w:val="20"/>
                <w:szCs w:val="20"/>
                <w:color w:val="auto"/>
              </w:rPr>
            </w:pPr>
            <w:r>
              <w:rPr>
                <w:rFonts w:ascii="Arial" w:cs="Arial" w:eastAsia="Arial" w:hAnsi="Arial"/>
                <w:sz w:val="14"/>
                <w:szCs w:val="14"/>
                <w:color w:val="auto"/>
              </w:rPr>
              <w:t>Other expenses</w:t>
            </w:r>
          </w:p>
        </w:tc>
        <w:tc>
          <w:tcPr>
            <w:tcW w:w="9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(20,555)</w:t>
            </w:r>
          </w:p>
        </w:tc>
        <w:tc>
          <w:tcPr>
            <w:tcW w:w="9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(169,630)</w:t>
            </w:r>
          </w:p>
        </w:tc>
        <w:tc>
          <w:tcPr>
            <w:tcW w:w="92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(104,454)</w:t>
            </w:r>
          </w:p>
        </w:tc>
        <w:tc>
          <w:tcPr>
            <w:tcW w:w="92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-38.4%</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408.2%</w:t>
            </w:r>
          </w:p>
        </w:tc>
        <w:tc>
          <w:tcPr>
            <w:tcW w:w="94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(67,996)</w:t>
            </w: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(274,084)</w:t>
            </w:r>
          </w:p>
        </w:tc>
        <w:tc>
          <w:tcPr>
            <w:tcW w:w="1100" w:type="dxa"/>
            <w:vAlign w:val="bottom"/>
            <w:gridSpan w:val="3"/>
          </w:tcPr>
          <w:p>
            <w:pPr>
              <w:jc w:val="right"/>
              <w:ind w:right="20"/>
              <w:spacing w:after="0" w:line="147" w:lineRule="exact"/>
              <w:rPr>
                <w:sz w:val="20"/>
                <w:szCs w:val="20"/>
                <w:color w:val="auto"/>
              </w:rPr>
            </w:pPr>
            <w:r>
              <w:rPr>
                <w:rFonts w:ascii="Arial" w:cs="Arial" w:eastAsia="Arial" w:hAnsi="Arial"/>
                <w:sz w:val="14"/>
                <w:szCs w:val="14"/>
                <w:color w:val="auto"/>
              </w:rPr>
              <w:t>303.1%</w:t>
            </w:r>
          </w:p>
        </w:tc>
      </w:tr>
      <w:tr>
        <w:trPr>
          <w:trHeight w:val="147"/>
        </w:trPr>
        <w:tc>
          <w:tcPr>
            <w:tcW w:w="374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b w:val="1"/>
                <w:bCs w:val="1"/>
                <w:color w:val="auto"/>
              </w:rPr>
              <w:t>Total expenses</w:t>
            </w:r>
          </w:p>
        </w:tc>
        <w:tc>
          <w:tcPr>
            <w:tcW w:w="90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b w:val="1"/>
                <w:bCs w:val="1"/>
                <w:color w:val="auto"/>
              </w:rPr>
              <w:t>(1,582,452)</w:t>
            </w:r>
          </w:p>
        </w:tc>
        <w:tc>
          <w:tcPr>
            <w:tcW w:w="90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b w:val="1"/>
                <w:bCs w:val="1"/>
                <w:color w:val="auto"/>
              </w:rPr>
              <w:t>(1,778,635)</w:t>
            </w:r>
          </w:p>
        </w:tc>
        <w:tc>
          <w:tcPr>
            <w:tcW w:w="9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b w:val="1"/>
                <w:bCs w:val="1"/>
                <w:color w:val="auto"/>
              </w:rPr>
              <w:t>(1,627,912)</w:t>
            </w:r>
          </w:p>
        </w:tc>
        <w:tc>
          <w:tcPr>
            <w:tcW w:w="92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b w:val="1"/>
                <w:bCs w:val="1"/>
                <w:color w:val="auto"/>
              </w:rPr>
              <w:t>-8.5%</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b w:val="1"/>
                <w:bCs w:val="1"/>
                <w:color w:val="auto"/>
              </w:rPr>
              <w:t>2.9%</w:t>
            </w:r>
          </w:p>
        </w:tc>
        <w:tc>
          <w:tcPr>
            <w:tcW w:w="94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b w:val="1"/>
                <w:bCs w:val="1"/>
                <w:color w:val="auto"/>
              </w:rPr>
              <w:t>(3,136,428)</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b w:val="1"/>
                <w:bCs w:val="1"/>
                <w:color w:val="auto"/>
                <w:w w:val="97"/>
              </w:rPr>
              <w:t>(3,406,547)</w:t>
            </w:r>
          </w:p>
        </w:tc>
        <w:tc>
          <w:tcPr>
            <w:tcW w:w="1100" w:type="dxa"/>
            <w:vAlign w:val="bottom"/>
            <w:gridSpan w:val="3"/>
            <w:shd w:val="clear" w:color="auto" w:fill="CCEEFF"/>
          </w:tcPr>
          <w:p>
            <w:pPr>
              <w:jc w:val="right"/>
              <w:spacing w:after="0" w:line="147" w:lineRule="exact"/>
              <w:rPr>
                <w:sz w:val="20"/>
                <w:szCs w:val="20"/>
                <w:color w:val="auto"/>
              </w:rPr>
            </w:pPr>
            <w:r>
              <w:rPr>
                <w:rFonts w:ascii="Arial" w:cs="Arial" w:eastAsia="Arial" w:hAnsi="Arial"/>
                <w:sz w:val="14"/>
                <w:szCs w:val="14"/>
                <w:b w:val="1"/>
                <w:bCs w:val="1"/>
                <w:color w:val="auto"/>
              </w:rPr>
              <w:t>8.6%</w:t>
            </w:r>
          </w:p>
        </w:tc>
      </w:tr>
      <w:tr>
        <w:trPr>
          <w:trHeight w:val="147"/>
        </w:trPr>
        <w:tc>
          <w:tcPr>
            <w:tcW w:w="3740" w:type="dxa"/>
            <w:vAlign w:val="bottom"/>
          </w:tcPr>
          <w:p>
            <w:pPr>
              <w:spacing w:after="0" w:line="147" w:lineRule="exact"/>
              <w:rPr>
                <w:sz w:val="20"/>
                <w:szCs w:val="20"/>
                <w:color w:val="auto"/>
              </w:rPr>
            </w:pPr>
            <w:r>
              <w:rPr>
                <w:rFonts w:ascii="Arial" w:cs="Arial" w:eastAsia="Arial" w:hAnsi="Arial"/>
                <w:sz w:val="14"/>
                <w:szCs w:val="14"/>
                <w:b w:val="1"/>
                <w:bCs w:val="1"/>
                <w:color w:val="auto"/>
              </w:rPr>
              <w:t>Profit before income tax</w:t>
            </w:r>
          </w:p>
        </w:tc>
        <w:tc>
          <w:tcPr>
            <w:tcW w:w="900" w:type="dxa"/>
            <w:vAlign w:val="bottom"/>
            <w:gridSpan w:val="2"/>
          </w:tcPr>
          <w:p>
            <w:pPr>
              <w:jc w:val="right"/>
              <w:ind w:right="180"/>
              <w:spacing w:after="0" w:line="147" w:lineRule="exact"/>
              <w:rPr>
                <w:sz w:val="20"/>
                <w:szCs w:val="20"/>
                <w:color w:val="auto"/>
              </w:rPr>
            </w:pPr>
            <w:r>
              <w:rPr>
                <w:rFonts w:ascii="Arial" w:cs="Arial" w:eastAsia="Arial" w:hAnsi="Arial"/>
                <w:sz w:val="14"/>
                <w:szCs w:val="14"/>
                <w:b w:val="1"/>
                <w:bCs w:val="1"/>
                <w:color w:val="auto"/>
              </w:rPr>
              <w:t>1,534,997</w:t>
            </w:r>
          </w:p>
        </w:tc>
        <w:tc>
          <w:tcPr>
            <w:tcW w:w="900" w:type="dxa"/>
            <w:vAlign w:val="bottom"/>
            <w:gridSpan w:val="2"/>
          </w:tcPr>
          <w:p>
            <w:pPr>
              <w:jc w:val="right"/>
              <w:ind w:right="160"/>
              <w:spacing w:after="0" w:line="147" w:lineRule="exact"/>
              <w:rPr>
                <w:sz w:val="20"/>
                <w:szCs w:val="20"/>
                <w:color w:val="auto"/>
              </w:rPr>
            </w:pPr>
            <w:r>
              <w:rPr>
                <w:rFonts w:ascii="Arial" w:cs="Arial" w:eastAsia="Arial" w:hAnsi="Arial"/>
                <w:sz w:val="14"/>
                <w:szCs w:val="14"/>
                <w:b w:val="1"/>
                <w:bCs w:val="1"/>
                <w:color w:val="auto"/>
              </w:rPr>
              <w:t>358,974</w:t>
            </w:r>
          </w:p>
        </w:tc>
        <w:tc>
          <w:tcPr>
            <w:tcW w:w="920" w:type="dxa"/>
            <w:vAlign w:val="bottom"/>
            <w:gridSpan w:val="2"/>
          </w:tcPr>
          <w:p>
            <w:pPr>
              <w:jc w:val="right"/>
              <w:ind w:right="140"/>
              <w:spacing w:after="0" w:line="147" w:lineRule="exact"/>
              <w:rPr>
                <w:sz w:val="20"/>
                <w:szCs w:val="20"/>
                <w:color w:val="auto"/>
              </w:rPr>
            </w:pPr>
            <w:r>
              <w:rPr>
                <w:rFonts w:ascii="Arial" w:cs="Arial" w:eastAsia="Arial" w:hAnsi="Arial"/>
                <w:sz w:val="14"/>
                <w:szCs w:val="14"/>
                <w:b w:val="1"/>
                <w:bCs w:val="1"/>
                <w:color w:val="auto"/>
              </w:rPr>
              <w:t>(1,056,211)</w:t>
            </w:r>
          </w:p>
        </w:tc>
        <w:tc>
          <w:tcPr>
            <w:tcW w:w="920" w:type="dxa"/>
            <w:vAlign w:val="bottom"/>
            <w:gridSpan w:val="2"/>
          </w:tcPr>
          <w:p>
            <w:pPr>
              <w:jc w:val="right"/>
              <w:ind w:right="100"/>
              <w:spacing w:after="0" w:line="147" w:lineRule="exact"/>
              <w:rPr>
                <w:sz w:val="20"/>
                <w:szCs w:val="20"/>
                <w:color w:val="auto"/>
              </w:rPr>
            </w:pPr>
            <w:r>
              <w:rPr>
                <w:rFonts w:ascii="Arial" w:cs="Arial" w:eastAsia="Arial" w:hAnsi="Arial"/>
                <w:sz w:val="14"/>
                <w:szCs w:val="14"/>
                <w:b w:val="1"/>
                <w:bCs w:val="1"/>
                <w:color w:val="auto"/>
              </w:rPr>
              <w:t>-394.2%</w:t>
            </w:r>
          </w:p>
        </w:tc>
        <w:tc>
          <w:tcPr>
            <w:tcW w:w="200" w:type="dxa"/>
            <w:vAlign w:val="bottom"/>
          </w:tcPr>
          <w:p>
            <w:pPr>
              <w:spacing w:after="0"/>
              <w:rPr>
                <w:sz w:val="12"/>
                <w:szCs w:val="12"/>
                <w:color w:val="auto"/>
              </w:rPr>
            </w:pPr>
          </w:p>
        </w:tc>
        <w:tc>
          <w:tcPr>
            <w:tcW w:w="740" w:type="dxa"/>
            <w:vAlign w:val="bottom"/>
            <w:gridSpan w:val="2"/>
          </w:tcPr>
          <w:p>
            <w:pPr>
              <w:jc w:val="right"/>
              <w:ind w:right="100"/>
              <w:spacing w:after="0" w:line="147" w:lineRule="exact"/>
              <w:rPr>
                <w:sz w:val="20"/>
                <w:szCs w:val="20"/>
                <w:color w:val="auto"/>
              </w:rPr>
            </w:pPr>
            <w:r>
              <w:rPr>
                <w:rFonts w:ascii="Arial" w:cs="Arial" w:eastAsia="Arial" w:hAnsi="Arial"/>
                <w:sz w:val="14"/>
                <w:szCs w:val="14"/>
                <w:b w:val="1"/>
                <w:bCs w:val="1"/>
                <w:color w:val="auto"/>
              </w:rPr>
              <w:t>-168.8%</w:t>
            </w:r>
          </w:p>
        </w:tc>
        <w:tc>
          <w:tcPr>
            <w:tcW w:w="940" w:type="dxa"/>
            <w:vAlign w:val="bottom"/>
            <w:gridSpan w:val="2"/>
          </w:tcPr>
          <w:p>
            <w:pPr>
              <w:jc w:val="right"/>
              <w:ind w:right="180"/>
              <w:spacing w:after="0" w:line="147" w:lineRule="exact"/>
              <w:rPr>
                <w:sz w:val="20"/>
                <w:szCs w:val="20"/>
                <w:color w:val="auto"/>
              </w:rPr>
            </w:pPr>
            <w:r>
              <w:rPr>
                <w:rFonts w:ascii="Arial" w:cs="Arial" w:eastAsia="Arial" w:hAnsi="Arial"/>
                <w:sz w:val="14"/>
                <w:szCs w:val="14"/>
                <w:b w:val="1"/>
                <w:bCs w:val="1"/>
                <w:color w:val="auto"/>
              </w:rPr>
              <w:t>3,080,426</w:t>
            </w: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7" w:lineRule="exact"/>
              <w:rPr>
                <w:sz w:val="20"/>
                <w:szCs w:val="20"/>
                <w:color w:val="auto"/>
              </w:rPr>
            </w:pPr>
            <w:r>
              <w:rPr>
                <w:rFonts w:ascii="Arial" w:cs="Arial" w:eastAsia="Arial" w:hAnsi="Arial"/>
                <w:sz w:val="14"/>
                <w:szCs w:val="14"/>
                <w:b w:val="1"/>
                <w:bCs w:val="1"/>
                <w:color w:val="auto"/>
              </w:rPr>
              <w:t>(697,237)</w:t>
            </w:r>
          </w:p>
        </w:tc>
        <w:tc>
          <w:tcPr>
            <w:tcW w:w="1100" w:type="dxa"/>
            <w:vAlign w:val="bottom"/>
            <w:gridSpan w:val="3"/>
          </w:tcPr>
          <w:p>
            <w:pPr>
              <w:jc w:val="right"/>
              <w:spacing w:after="0" w:line="147" w:lineRule="exact"/>
              <w:rPr>
                <w:sz w:val="20"/>
                <w:szCs w:val="20"/>
                <w:color w:val="auto"/>
              </w:rPr>
            </w:pPr>
            <w:r>
              <w:rPr>
                <w:rFonts w:ascii="Arial" w:cs="Arial" w:eastAsia="Arial" w:hAnsi="Arial"/>
                <w:sz w:val="14"/>
                <w:szCs w:val="14"/>
                <w:b w:val="1"/>
                <w:bCs w:val="1"/>
                <w:color w:val="auto"/>
              </w:rPr>
              <w:t>-122.6%</w:t>
            </w:r>
          </w:p>
        </w:tc>
      </w:tr>
      <w:tr>
        <w:trPr>
          <w:trHeight w:val="147"/>
        </w:trPr>
        <w:tc>
          <w:tcPr>
            <w:tcW w:w="374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Income tax</w:t>
            </w:r>
          </w:p>
        </w:tc>
        <w:tc>
          <w:tcPr>
            <w:tcW w:w="90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(414,466)</w:t>
            </w:r>
          </w:p>
        </w:tc>
        <w:tc>
          <w:tcPr>
            <w:tcW w:w="90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(145,799)</w:t>
            </w:r>
          </w:p>
        </w:tc>
        <w:tc>
          <w:tcPr>
            <w:tcW w:w="92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414,775</w:t>
            </w:r>
          </w:p>
        </w:tc>
        <w:tc>
          <w:tcPr>
            <w:tcW w:w="92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-384.5%</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-200.1%</w:t>
            </w:r>
          </w:p>
        </w:tc>
        <w:tc>
          <w:tcPr>
            <w:tcW w:w="94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(836,631)</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268,976</w:t>
            </w:r>
          </w:p>
        </w:tc>
        <w:tc>
          <w:tcPr>
            <w:tcW w:w="1100" w:type="dxa"/>
            <w:vAlign w:val="bottom"/>
            <w:gridSpan w:val="3"/>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-132.1%</w:t>
            </w:r>
          </w:p>
        </w:tc>
      </w:tr>
      <w:tr>
        <w:trPr>
          <w:trHeight w:val="147"/>
        </w:trPr>
        <w:tc>
          <w:tcPr>
            <w:tcW w:w="3740" w:type="dxa"/>
            <w:vAlign w:val="bottom"/>
          </w:tcPr>
          <w:p>
            <w:pPr>
              <w:spacing w:after="0" w:line="147" w:lineRule="exact"/>
              <w:rPr>
                <w:sz w:val="20"/>
                <w:szCs w:val="20"/>
                <w:color w:val="auto"/>
              </w:rPr>
            </w:pPr>
            <w:r>
              <w:rPr>
                <w:rFonts w:ascii="Arial" w:cs="Arial" w:eastAsia="Arial" w:hAnsi="Arial"/>
                <w:sz w:val="14"/>
                <w:szCs w:val="14"/>
                <w:b w:val="1"/>
                <w:bCs w:val="1"/>
                <w:color w:val="auto"/>
              </w:rPr>
              <w:t>Net profit</w:t>
            </w:r>
          </w:p>
        </w:tc>
        <w:tc>
          <w:tcPr>
            <w:tcW w:w="900" w:type="dxa"/>
            <w:vAlign w:val="bottom"/>
            <w:gridSpan w:val="2"/>
          </w:tcPr>
          <w:p>
            <w:pPr>
              <w:jc w:val="right"/>
              <w:ind w:right="180"/>
              <w:spacing w:after="0" w:line="147" w:lineRule="exact"/>
              <w:rPr>
                <w:sz w:val="20"/>
                <w:szCs w:val="20"/>
                <w:color w:val="auto"/>
              </w:rPr>
            </w:pPr>
            <w:r>
              <w:rPr>
                <w:rFonts w:ascii="Arial" w:cs="Arial" w:eastAsia="Arial" w:hAnsi="Arial"/>
                <w:sz w:val="14"/>
                <w:szCs w:val="14"/>
                <w:b w:val="1"/>
                <w:bCs w:val="1"/>
                <w:color w:val="auto"/>
              </w:rPr>
              <w:t>1,120,531</w:t>
            </w:r>
          </w:p>
        </w:tc>
        <w:tc>
          <w:tcPr>
            <w:tcW w:w="900" w:type="dxa"/>
            <w:vAlign w:val="bottom"/>
            <w:gridSpan w:val="2"/>
          </w:tcPr>
          <w:p>
            <w:pPr>
              <w:jc w:val="right"/>
              <w:ind w:right="160"/>
              <w:spacing w:after="0" w:line="147" w:lineRule="exact"/>
              <w:rPr>
                <w:sz w:val="20"/>
                <w:szCs w:val="20"/>
                <w:color w:val="auto"/>
              </w:rPr>
            </w:pPr>
            <w:r>
              <w:rPr>
                <w:rFonts w:ascii="Arial" w:cs="Arial" w:eastAsia="Arial" w:hAnsi="Arial"/>
                <w:sz w:val="14"/>
                <w:szCs w:val="14"/>
                <w:b w:val="1"/>
                <w:bCs w:val="1"/>
                <w:color w:val="auto"/>
              </w:rPr>
              <w:t>213,175</w:t>
            </w:r>
          </w:p>
        </w:tc>
        <w:tc>
          <w:tcPr>
            <w:tcW w:w="920" w:type="dxa"/>
            <w:vAlign w:val="bottom"/>
            <w:gridSpan w:val="2"/>
          </w:tcPr>
          <w:p>
            <w:pPr>
              <w:jc w:val="right"/>
              <w:ind w:right="140"/>
              <w:spacing w:after="0" w:line="147" w:lineRule="exact"/>
              <w:rPr>
                <w:sz w:val="20"/>
                <w:szCs w:val="20"/>
                <w:color w:val="auto"/>
              </w:rPr>
            </w:pPr>
            <w:r>
              <w:rPr>
                <w:rFonts w:ascii="Arial" w:cs="Arial" w:eastAsia="Arial" w:hAnsi="Arial"/>
                <w:sz w:val="14"/>
                <w:szCs w:val="14"/>
                <w:b w:val="1"/>
                <w:bCs w:val="1"/>
                <w:color w:val="auto"/>
              </w:rPr>
              <w:t>(641,436)</w:t>
            </w:r>
          </w:p>
        </w:tc>
        <w:tc>
          <w:tcPr>
            <w:tcW w:w="920" w:type="dxa"/>
            <w:vAlign w:val="bottom"/>
            <w:gridSpan w:val="2"/>
          </w:tcPr>
          <w:p>
            <w:pPr>
              <w:jc w:val="right"/>
              <w:ind w:right="100"/>
              <w:spacing w:after="0" w:line="147" w:lineRule="exact"/>
              <w:rPr>
                <w:sz w:val="20"/>
                <w:szCs w:val="20"/>
                <w:color w:val="auto"/>
              </w:rPr>
            </w:pPr>
            <w:r>
              <w:rPr>
                <w:rFonts w:ascii="Arial" w:cs="Arial" w:eastAsia="Arial" w:hAnsi="Arial"/>
                <w:sz w:val="14"/>
                <w:szCs w:val="14"/>
                <w:b w:val="1"/>
                <w:bCs w:val="1"/>
                <w:color w:val="auto"/>
              </w:rPr>
              <w:t>-400.9%</w:t>
            </w:r>
          </w:p>
        </w:tc>
        <w:tc>
          <w:tcPr>
            <w:tcW w:w="200" w:type="dxa"/>
            <w:vAlign w:val="bottom"/>
          </w:tcPr>
          <w:p>
            <w:pPr>
              <w:spacing w:after="0"/>
              <w:rPr>
                <w:sz w:val="12"/>
                <w:szCs w:val="12"/>
                <w:color w:val="auto"/>
              </w:rPr>
            </w:pPr>
          </w:p>
        </w:tc>
        <w:tc>
          <w:tcPr>
            <w:tcW w:w="740" w:type="dxa"/>
            <w:vAlign w:val="bottom"/>
            <w:gridSpan w:val="2"/>
          </w:tcPr>
          <w:p>
            <w:pPr>
              <w:jc w:val="right"/>
              <w:ind w:right="100"/>
              <w:spacing w:after="0" w:line="147" w:lineRule="exact"/>
              <w:rPr>
                <w:sz w:val="20"/>
                <w:szCs w:val="20"/>
                <w:color w:val="auto"/>
              </w:rPr>
            </w:pPr>
            <w:r>
              <w:rPr>
                <w:rFonts w:ascii="Arial" w:cs="Arial" w:eastAsia="Arial" w:hAnsi="Arial"/>
                <w:sz w:val="14"/>
                <w:szCs w:val="14"/>
                <w:b w:val="1"/>
                <w:bCs w:val="1"/>
                <w:color w:val="auto"/>
              </w:rPr>
              <w:t>-157.2%</w:t>
            </w:r>
          </w:p>
        </w:tc>
        <w:tc>
          <w:tcPr>
            <w:tcW w:w="940" w:type="dxa"/>
            <w:vAlign w:val="bottom"/>
            <w:gridSpan w:val="2"/>
          </w:tcPr>
          <w:p>
            <w:pPr>
              <w:jc w:val="right"/>
              <w:ind w:right="180"/>
              <w:spacing w:after="0" w:line="147" w:lineRule="exact"/>
              <w:rPr>
                <w:sz w:val="20"/>
                <w:szCs w:val="20"/>
                <w:color w:val="auto"/>
              </w:rPr>
            </w:pPr>
            <w:r>
              <w:rPr>
                <w:rFonts w:ascii="Arial" w:cs="Arial" w:eastAsia="Arial" w:hAnsi="Arial"/>
                <w:sz w:val="14"/>
                <w:szCs w:val="14"/>
                <w:b w:val="1"/>
                <w:bCs w:val="1"/>
                <w:color w:val="auto"/>
              </w:rPr>
              <w:t>2,243,795</w:t>
            </w: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7" w:lineRule="exact"/>
              <w:rPr>
                <w:sz w:val="20"/>
                <w:szCs w:val="20"/>
                <w:color w:val="auto"/>
              </w:rPr>
            </w:pPr>
            <w:r>
              <w:rPr>
                <w:rFonts w:ascii="Arial" w:cs="Arial" w:eastAsia="Arial" w:hAnsi="Arial"/>
                <w:sz w:val="14"/>
                <w:szCs w:val="14"/>
                <w:b w:val="1"/>
                <w:bCs w:val="1"/>
                <w:color w:val="auto"/>
              </w:rPr>
              <w:t>(428,261)</w:t>
            </w:r>
          </w:p>
        </w:tc>
        <w:tc>
          <w:tcPr>
            <w:tcW w:w="1100" w:type="dxa"/>
            <w:vAlign w:val="bottom"/>
            <w:gridSpan w:val="3"/>
          </w:tcPr>
          <w:p>
            <w:pPr>
              <w:jc w:val="right"/>
              <w:spacing w:after="0" w:line="147" w:lineRule="exact"/>
              <w:rPr>
                <w:sz w:val="20"/>
                <w:szCs w:val="20"/>
                <w:color w:val="auto"/>
              </w:rPr>
            </w:pPr>
            <w:r>
              <w:rPr>
                <w:rFonts w:ascii="Arial" w:cs="Arial" w:eastAsia="Arial" w:hAnsi="Arial"/>
                <w:sz w:val="14"/>
                <w:szCs w:val="14"/>
                <w:b w:val="1"/>
                <w:bCs w:val="1"/>
                <w:color w:val="auto"/>
              </w:rPr>
              <w:t>-119.1%</w:t>
            </w:r>
          </w:p>
        </w:tc>
      </w:tr>
      <w:tr>
        <w:trPr>
          <w:trHeight w:val="147"/>
        </w:trPr>
        <w:tc>
          <w:tcPr>
            <w:tcW w:w="37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Non-controlling interest</w:t>
            </w:r>
          </w:p>
        </w:tc>
        <w:tc>
          <w:tcPr>
            <w:tcW w:w="9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21,958</w:t>
            </w:r>
          </w:p>
        </w:tc>
        <w:tc>
          <w:tcPr>
            <w:tcW w:w="90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3,901</w:t>
            </w:r>
          </w:p>
        </w:tc>
        <w:tc>
          <w:tcPr>
            <w:tcW w:w="9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(21,046)</w:t>
            </w:r>
          </w:p>
        </w:tc>
        <w:tc>
          <w:tcPr>
            <w:tcW w:w="92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-639.5%</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-195.8%</w:t>
            </w:r>
          </w:p>
        </w:tc>
        <w:tc>
          <w:tcPr>
            <w:tcW w:w="94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44,355</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(17,145)</w:t>
            </w:r>
          </w:p>
        </w:tc>
        <w:tc>
          <w:tcPr>
            <w:tcW w:w="1100" w:type="dxa"/>
            <w:vAlign w:val="bottom"/>
            <w:gridSpan w:val="3"/>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-138.7%</w:t>
            </w:r>
          </w:p>
        </w:tc>
      </w:tr>
      <w:tr>
        <w:trPr>
          <w:trHeight w:val="185"/>
        </w:trPr>
        <w:tc>
          <w:tcPr>
            <w:tcW w:w="3740" w:type="dxa"/>
            <w:vAlign w:val="bottom"/>
          </w:tcPr>
          <w:p>
            <w:pPr>
              <w:spacing w:after="0"/>
              <w:rPr>
                <w:sz w:val="20"/>
                <w:szCs w:val="20"/>
                <w:color w:val="auto"/>
              </w:rPr>
            </w:pPr>
            <w:r>
              <w:rPr>
                <w:rFonts w:ascii="Arial" w:cs="Arial" w:eastAsia="Arial" w:hAnsi="Arial"/>
                <w:sz w:val="14"/>
                <w:szCs w:val="14"/>
                <w:b w:val="1"/>
                <w:bCs w:val="1"/>
                <w:color w:val="auto"/>
              </w:rPr>
              <w:t>Net profit attributable to Credicorp</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1,098,573</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209,274</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(620,390)</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-396.4%</w:t>
            </w:r>
          </w:p>
        </w:tc>
        <w:tc>
          <w:tcPr>
            <w:tcW w:w="2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-156.5%</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2,199,440</w:t>
            </w:r>
          </w:p>
        </w:tc>
        <w:tc>
          <w:tcPr>
            <w:tcW w:w="1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(411,116)</w:t>
            </w: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-118.7%</w:t>
            </w:r>
          </w:p>
        </w:tc>
      </w:tr>
    </w:tbl>
    <w:p>
      <w:pPr>
        <w:spacing w:after="0" w:line="161" w:lineRule="exact"/>
        <w:rPr>
          <w:sz w:val="20"/>
          <w:szCs w:val="20"/>
          <w:color w:val="auto"/>
        </w:rPr>
      </w:pPr>
    </w:p>
    <w:p>
      <w:pPr>
        <w:ind w:left="260" w:hanging="253"/>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As of 2019, financing expenses related to lease agreements is included according to the application of IFRS 16.</w:t>
      </w:r>
    </w:p>
    <w:p>
      <w:pPr>
        <w:spacing w:after="0" w:line="19" w:lineRule="exact"/>
        <w:rPr>
          <w:rFonts w:ascii="Arial" w:cs="Arial" w:eastAsia="Arial" w:hAnsi="Arial"/>
          <w:sz w:val="18"/>
          <w:szCs w:val="18"/>
          <w:color w:val="auto"/>
        </w:rPr>
      </w:pPr>
    </w:p>
    <w:p>
      <w:pPr>
        <w:ind w:firstLine="7"/>
        <w:spacing w:after="0" w:line="247" w:lineRule="auto"/>
        <w:tabs>
          <w:tab w:leader="none" w:pos="273" w:val="left"/>
        </w:tabs>
        <w:numPr>
          <w:ilvl w:val="0"/>
          <w:numId w:val="84"/>
        </w:numPr>
        <w:rPr>
          <w:rFonts w:ascii="Arial" w:cs="Arial" w:eastAsia="Arial" w:hAnsi="Arial"/>
          <w:sz w:val="18"/>
          <w:szCs w:val="18"/>
          <w:color w:val="auto"/>
        </w:rPr>
      </w:pPr>
      <w:r>
        <w:rPr>
          <w:rFonts w:ascii="Arial" w:cs="Arial" w:eastAsia="Arial" w:hAnsi="Arial"/>
          <w:sz w:val="18"/>
          <w:szCs w:val="18"/>
          <w:color w:val="auto"/>
        </w:rPr>
        <w:t>Starting in 2019 the gain from other investments in related companies has been included in the item "Net gain in associates"; which previously was presented in the item "Net gain on securities".</w:t>
      </w:r>
    </w:p>
    <w:p>
      <w:pPr>
        <w:ind w:left="260" w:hanging="253"/>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gains on other investments, mainly made up of the profit of Banmedica.</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acquisition cost of Pacifico includes net fees and underwriting expenses.</w:t>
      </w:r>
    </w:p>
    <w:p>
      <w:pPr>
        <w:spacing w:after="0" w:line="6" w:lineRule="exact"/>
        <w:rPr>
          <w:rFonts w:ascii="Arial" w:cs="Arial" w:eastAsia="Arial" w:hAnsi="Arial"/>
          <w:sz w:val="18"/>
          <w:szCs w:val="18"/>
          <w:color w:val="auto"/>
        </w:rPr>
      </w:pPr>
    </w:p>
    <w:p>
      <w:pPr>
        <w:ind w:firstLine="7"/>
        <w:spacing w:after="0" w:line="262" w:lineRule="auto"/>
        <w:tabs>
          <w:tab w:leader="none" w:pos="266" w:val="left"/>
        </w:tabs>
        <w:numPr>
          <w:ilvl w:val="0"/>
          <w:numId w:val="84"/>
        </w:numPr>
        <w:rPr>
          <w:rFonts w:ascii="Arial" w:cs="Arial" w:eastAsia="Arial" w:hAnsi="Arial"/>
          <w:sz w:val="17"/>
          <w:szCs w:val="17"/>
          <w:color w:val="auto"/>
        </w:rPr>
      </w:pPr>
      <w:r>
        <w:rPr>
          <w:rFonts w:ascii="Arial" w:cs="Arial" w:eastAsia="Arial" w:hAnsi="Arial"/>
          <w:sz w:val="17"/>
          <w:szCs w:val="17"/>
          <w:color w:val="auto"/>
        </w:rPr>
        <w:t>From 1Q19, the effect is being incorporated by the application of IFRS 16, which corresponds to a greater depreciation for the asset for right-of-use". Likewise, the expenses related to the depreciation of improvements in building for rent is being reclassified to the item "Other expenses".</w:t>
      </w:r>
    </w:p>
    <w:p>
      <w:pPr>
        <w:ind w:left="260" w:hanging="253"/>
        <w:spacing w:after="0"/>
        <w:tabs>
          <w:tab w:leader="none" w:pos="2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From this quarter, the item “Association in participation” was incorporated, which previously was presented in the item “Net gain on securities”</w:t>
      </w:r>
    </w:p>
    <w:p>
      <w:pPr>
        <w:spacing w:after="0" w:line="200" w:lineRule="exact"/>
        <w:rPr>
          <w:sz w:val="20"/>
          <w:szCs w:val="20"/>
          <w:color w:val="auto"/>
        </w:rPr>
      </w:pPr>
    </w:p>
    <w:p>
      <w:pPr>
        <w:spacing w:after="0" w:line="232"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0"/>
        </w:trPr>
        <w:tc>
          <w:tcPr>
            <w:tcW w:w="9060" w:type="dxa"/>
            <w:vAlign w:val="bottom"/>
            <w:gridSpan w:val="3"/>
          </w:tcPr>
          <w:p>
            <w:pPr>
              <w:spacing w:after="0"/>
              <w:rPr>
                <w:sz w:val="20"/>
                <w:szCs w:val="20"/>
                <w:color w:val="auto"/>
              </w:rPr>
            </w:pPr>
            <w:r>
              <w:rPr>
                <w:rFonts w:ascii="Arial" w:cs="Arial" w:eastAsia="Arial" w:hAnsi="Arial"/>
                <w:sz w:val="18"/>
                <w:szCs w:val="18"/>
                <w:b w:val="1"/>
                <w:bCs w:val="1"/>
                <w:color w:val="auto"/>
              </w:rPr>
              <w:t>11.2. Credicorp Stand-alone</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140" w:type="dxa"/>
            <w:vAlign w:val="bottom"/>
          </w:tcPr>
          <w:p>
            <w:pPr>
              <w:spacing w:after="0"/>
              <w:rPr>
                <w:sz w:val="24"/>
                <w:szCs w:val="24"/>
                <w:color w:val="auto"/>
              </w:rPr>
            </w:pPr>
          </w:p>
        </w:tc>
        <w:tc>
          <w:tcPr>
            <w:tcW w:w="7920" w:type="dxa"/>
            <w:vAlign w:val="bottom"/>
            <w:gridSpan w:val="2"/>
          </w:tcPr>
          <w:p>
            <w:pPr>
              <w:jc w:val="center"/>
              <w:ind w:left="971"/>
              <w:spacing w:after="0"/>
              <w:rPr>
                <w:sz w:val="20"/>
                <w:szCs w:val="20"/>
                <w:color w:val="auto"/>
              </w:rPr>
            </w:pPr>
            <w:r>
              <w:rPr>
                <w:rFonts w:ascii="Arial" w:cs="Arial" w:eastAsia="Arial" w:hAnsi="Arial"/>
                <w:sz w:val="18"/>
                <w:szCs w:val="18"/>
                <w:b w:val="1"/>
                <w:bCs w:val="1"/>
                <w:color w:val="auto"/>
                <w:w w:val="92"/>
              </w:rPr>
              <w:t>Credicorp Ltd.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7920" w:type="dxa"/>
            <w:vAlign w:val="bottom"/>
            <w:gridSpan w:val="2"/>
          </w:tcPr>
          <w:p>
            <w:pPr>
              <w:jc w:val="center"/>
              <w:ind w:left="951"/>
              <w:spacing w:after="0"/>
              <w:rPr>
                <w:sz w:val="20"/>
                <w:szCs w:val="20"/>
                <w:color w:val="auto"/>
              </w:rPr>
            </w:pPr>
            <w:r>
              <w:rPr>
                <w:rFonts w:ascii="Arial" w:cs="Arial" w:eastAsia="Arial" w:hAnsi="Arial"/>
                <w:sz w:val="18"/>
                <w:szCs w:val="18"/>
                <w:b w:val="1"/>
                <w:bCs w:val="1"/>
                <w:color w:val="auto"/>
                <w:w w:val="88"/>
              </w:rPr>
              <w:t>Separate Statement of Financal Position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920" w:type="dxa"/>
            <w:vAlign w:val="bottom"/>
            <w:gridSpan w:val="2"/>
          </w:tcPr>
          <w:p>
            <w:pPr>
              <w:jc w:val="center"/>
              <w:ind w:left="951"/>
              <w:spacing w:after="0"/>
              <w:rPr>
                <w:sz w:val="20"/>
                <w:szCs w:val="20"/>
                <w:color w:val="auto"/>
              </w:rPr>
            </w:pPr>
            <w:r>
              <w:rPr>
                <w:rFonts w:ascii="Arial" w:cs="Arial" w:eastAsia="Arial" w:hAnsi="Arial"/>
                <w:sz w:val="18"/>
                <w:szCs w:val="18"/>
                <w:b w:val="1"/>
                <w:bCs w:val="1"/>
                <w:color w:val="auto"/>
                <w:w w:val="91"/>
              </w:rPr>
              <w:t>(In S/ thousands, IFRS)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114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Jun-20</w:t>
            </w: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7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1,817,197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through other comprehensive income investments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469,393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In subsidiaries and associates investments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27,118,956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7920" w:type="dxa"/>
            <w:vAlign w:val="bottom"/>
            <w:gridSpan w:val="2"/>
            <w:shd w:val="clear" w:color="auto" w:fill="CCEEFF"/>
          </w:tcPr>
          <w:p>
            <w:pPr>
              <w:ind w:left="3460"/>
              <w:spacing w:after="0"/>
              <w:rPr>
                <w:sz w:val="20"/>
                <w:szCs w:val="20"/>
                <w:color w:val="auto"/>
              </w:rPr>
            </w:pPr>
            <w:r>
              <w:rPr>
                <w:rFonts w:ascii="Arial" w:cs="Arial" w:eastAsia="Arial" w:hAnsi="Arial"/>
                <w:sz w:val="18"/>
                <w:szCs w:val="18"/>
                <w:b w:val="1"/>
                <w:bCs w:val="1"/>
                <w:color w:val="auto"/>
              </w:rPr>
              <w:t>Total Assets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29,405,546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LIABILITIES AND NET SHAREHOLDERS' EQUITY</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and notes issued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1,756,654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102,383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7920" w:type="dxa"/>
            <w:vAlign w:val="bottom"/>
            <w:gridSpan w:val="2"/>
            <w:shd w:val="clear" w:color="auto" w:fill="CCEEFF"/>
          </w:tcPr>
          <w:p>
            <w:pPr>
              <w:ind w:left="3300"/>
              <w:spacing w:after="0"/>
              <w:rPr>
                <w:sz w:val="20"/>
                <w:szCs w:val="20"/>
                <w:color w:val="auto"/>
              </w:rPr>
            </w:pPr>
            <w:r>
              <w:rPr>
                <w:rFonts w:ascii="Arial" w:cs="Arial" w:eastAsia="Arial" w:hAnsi="Arial"/>
                <w:sz w:val="18"/>
                <w:szCs w:val="18"/>
                <w:b w:val="1"/>
                <w:bCs w:val="1"/>
                <w:color w:val="auto"/>
              </w:rPr>
              <w:t>Total Liabilities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1,859,037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NET EQUITY</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stock</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Capital Surplus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384,542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21,070,409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Unrealized results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935,610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3,837,046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7920" w:type="dxa"/>
            <w:vAlign w:val="bottom"/>
            <w:gridSpan w:val="2"/>
          </w:tcPr>
          <w:p>
            <w:pPr>
              <w:ind w:left="3300"/>
              <w:spacing w:after="0"/>
              <w:rPr>
                <w:sz w:val="20"/>
                <w:szCs w:val="20"/>
                <w:color w:val="auto"/>
              </w:rPr>
            </w:pPr>
            <w:r>
              <w:rPr>
                <w:rFonts w:ascii="Arial" w:cs="Arial" w:eastAsia="Arial" w:hAnsi="Arial"/>
                <w:sz w:val="18"/>
                <w:szCs w:val="18"/>
                <w:b w:val="1"/>
                <w:bCs w:val="1"/>
                <w:color w:val="auto"/>
              </w:rPr>
              <w:t>Total net equity</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27,546,600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29,405,637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114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2Q20</w:t>
            </w: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7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Net share of the income from investments in subsidiaries and associates</w:t>
            </w:r>
          </w:p>
        </w:tc>
        <w:tc>
          <w:tcPr>
            <w:tcW w:w="880" w:type="dxa"/>
            <w:vAlign w:val="bottom"/>
          </w:tcPr>
          <w:p>
            <w:pPr>
              <w:jc w:val="right"/>
              <w:spacing w:after="0"/>
              <w:rPr>
                <w:sz w:val="20"/>
                <w:szCs w:val="20"/>
                <w:color w:val="auto"/>
              </w:rPr>
            </w:pPr>
            <w:r>
              <w:rPr>
                <w:rFonts w:ascii="Arial" w:cs="Arial" w:eastAsia="Arial" w:hAnsi="Arial"/>
                <w:sz w:val="18"/>
                <w:szCs w:val="18"/>
                <w:color w:val="auto"/>
              </w:rPr>
              <w:t>45,010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similar income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Total interest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45,949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and general expenses</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Total expenses</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(11,340)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69,218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Exchange differences, net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(4,073)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(6,045)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 before income tax</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(32,986)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30,187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vMerge w:val="continue"/>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Double Leverage Ratio</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98.45%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11.3. BCP Consolidated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9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As of</w:t>
            </w:r>
          </w:p>
        </w:tc>
        <w:tc>
          <w:tcPr>
            <w:tcW w:w="12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b w:val="1"/>
                <w:bCs w:val="1"/>
                <w:color w:val="auto"/>
                <w:w w:val="99"/>
              </w:rPr>
              <w:t>% change</w:t>
            </w: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1"/>
        </w:trPr>
        <w:tc>
          <w:tcPr>
            <w:tcW w:w="3980" w:type="dxa"/>
            <w:vAlign w:val="bottom"/>
          </w:tcPr>
          <w:p>
            <w:pPr>
              <w:spacing w:after="0"/>
              <w:rPr>
                <w:sz w:val="19"/>
                <w:szCs w:val="19"/>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Jun 2019</w:t>
            </w:r>
          </w:p>
        </w:tc>
        <w:tc>
          <w:tcPr>
            <w:tcW w:w="1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Mar 2020</w:t>
            </w:r>
          </w:p>
        </w:tc>
        <w:tc>
          <w:tcPr>
            <w:tcW w:w="1240" w:type="dxa"/>
            <w:vAlign w:val="bottom"/>
          </w:tcPr>
          <w:p>
            <w:pPr>
              <w:jc w:val="right"/>
              <w:ind w:right="191"/>
              <w:spacing w:after="0"/>
              <w:rPr>
                <w:sz w:val="20"/>
                <w:szCs w:val="20"/>
                <w:color w:val="auto"/>
              </w:rPr>
            </w:pPr>
            <w:r>
              <w:rPr>
                <w:rFonts w:ascii="Arial" w:cs="Arial" w:eastAsia="Arial" w:hAnsi="Arial"/>
                <w:sz w:val="18"/>
                <w:szCs w:val="18"/>
                <w:b w:val="1"/>
                <w:bCs w:val="1"/>
                <w:color w:val="auto"/>
              </w:rPr>
              <w:t>Jun 2020</w:t>
            </w:r>
          </w:p>
        </w:tc>
        <w:tc>
          <w:tcPr>
            <w:tcW w:w="200" w:type="dxa"/>
            <w:vAlign w:val="bottom"/>
          </w:tcPr>
          <w:p>
            <w:pPr>
              <w:spacing w:after="0"/>
              <w:rPr>
                <w:sz w:val="19"/>
                <w:szCs w:val="19"/>
                <w:color w:val="auto"/>
              </w:rPr>
            </w:pPr>
          </w:p>
        </w:tc>
        <w:tc>
          <w:tcPr>
            <w:tcW w:w="1860" w:type="dxa"/>
            <w:vAlign w:val="bottom"/>
            <w:gridSpan w:val="3"/>
          </w:tcPr>
          <w:p>
            <w:pPr>
              <w:ind w:left="440"/>
              <w:spacing w:after="0"/>
              <w:rPr>
                <w:sz w:val="20"/>
                <w:szCs w:val="20"/>
                <w:color w:val="auto"/>
              </w:rPr>
            </w:pPr>
            <w:r>
              <w:rPr>
                <w:rFonts w:ascii="Arial" w:cs="Arial" w:eastAsia="Arial" w:hAnsi="Arial"/>
                <w:sz w:val="18"/>
                <w:szCs w:val="18"/>
                <w:b w:val="1"/>
                <w:bCs w:val="1"/>
                <w:color w:val="auto"/>
              </w:rPr>
              <w:t>QoQ</w:t>
            </w:r>
          </w:p>
        </w:tc>
        <w:tc>
          <w:tcPr>
            <w:tcW w:w="900" w:type="dxa"/>
            <w:vAlign w:val="bottom"/>
          </w:tcPr>
          <w:p>
            <w:pPr>
              <w:ind w:left="120"/>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9"/>
                <w:szCs w:val="19"/>
                <w:color w:val="auto"/>
              </w:rPr>
            </w:pPr>
          </w:p>
        </w:tc>
      </w:tr>
      <w:tr>
        <w:trPr>
          <w:trHeight w:val="207"/>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r>
      <w:tr>
        <w:trPr>
          <w:trHeight w:val="213"/>
        </w:trPr>
        <w:tc>
          <w:tcPr>
            <w:tcW w:w="398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3"/>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Non-interest bearing</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5,039,035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4,957,324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5,041,371</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r>
      <w:tr>
        <w:trPr>
          <w:trHeight w:val="213"/>
        </w:trPr>
        <w:tc>
          <w:tcPr>
            <w:tcW w:w="3980" w:type="dxa"/>
            <w:vAlign w:val="bottom"/>
          </w:tcPr>
          <w:p>
            <w:pPr>
              <w:ind w:left="140"/>
              <w:spacing w:after="0"/>
              <w:rPr>
                <w:sz w:val="20"/>
                <w:szCs w:val="20"/>
                <w:color w:val="auto"/>
              </w:rPr>
            </w:pPr>
            <w:r>
              <w:rPr>
                <w:rFonts w:ascii="Arial" w:cs="Arial" w:eastAsia="Arial" w:hAnsi="Arial"/>
                <w:sz w:val="18"/>
                <w:szCs w:val="18"/>
                <w:color w:val="auto"/>
              </w:rPr>
              <w:t>Interest bearing</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16,660,085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18,437,537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26,863,958</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45.7%</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61.2%</w:t>
            </w:r>
          </w:p>
        </w:tc>
      </w:tr>
      <w:tr>
        <w:trPr>
          <w:trHeight w:val="213"/>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cash and due from banks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21,699,120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23,394,861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31,905,329</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36.4%</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47.0%</w:t>
            </w:r>
          </w:p>
        </w:tc>
      </w:tr>
      <w:tr>
        <w:trPr>
          <w:trHeight w:val="195"/>
        </w:trPr>
        <w:tc>
          <w:tcPr>
            <w:tcW w:w="3980" w:type="dxa"/>
            <w:vAlign w:val="bottom"/>
          </w:tcPr>
          <w:p>
            <w:pPr>
              <w:spacing w:after="0" w:line="195" w:lineRule="exact"/>
              <w:rPr>
                <w:sz w:val="20"/>
                <w:szCs w:val="20"/>
                <w:color w:val="auto"/>
              </w:rPr>
            </w:pPr>
            <w:r>
              <w:rPr>
                <w:rFonts w:ascii="Arial" w:cs="Arial" w:eastAsia="Arial" w:hAnsi="Arial"/>
                <w:sz w:val="18"/>
                <w:szCs w:val="18"/>
                <w:b w:val="1"/>
                <w:bCs w:val="1"/>
                <w:color w:val="auto"/>
                <w:w w:val="96"/>
              </w:rPr>
              <w:t>Cash collateral, reverse repurchase agreements</w:t>
            </w: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1"/>
        </w:trPr>
        <w:tc>
          <w:tcPr>
            <w:tcW w:w="3980" w:type="dxa"/>
            <w:vAlign w:val="bottom"/>
          </w:tcPr>
          <w:p>
            <w:pPr>
              <w:spacing w:after="0"/>
              <w:rPr>
                <w:sz w:val="20"/>
                <w:szCs w:val="20"/>
                <w:color w:val="auto"/>
              </w:rPr>
            </w:pPr>
            <w:r>
              <w:rPr>
                <w:rFonts w:ascii="Arial" w:cs="Arial" w:eastAsia="Arial" w:hAnsi="Arial"/>
                <w:sz w:val="18"/>
                <w:szCs w:val="18"/>
                <w:b w:val="1"/>
                <w:bCs w:val="1"/>
                <w:color w:val="auto"/>
              </w:rPr>
              <w:t>and securities borrowing</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3,255,249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3,324,737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1,987,570</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-40.2%</w:t>
            </w:r>
          </w:p>
        </w:tc>
        <w:tc>
          <w:tcPr>
            <w:tcW w:w="3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-38.9%</w:t>
            </w:r>
          </w:p>
        </w:tc>
      </w:tr>
      <w:tr>
        <w:trPr>
          <w:trHeight w:val="214"/>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through profit or loss investments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516,973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883,548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1,630,272</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84.5%</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215.3%</w:t>
            </w:r>
          </w:p>
        </w:tc>
      </w:tr>
      <w:tr>
        <w:trPr>
          <w:trHeight w:val="195"/>
        </w:trPr>
        <w:tc>
          <w:tcPr>
            <w:tcW w:w="3980" w:type="dxa"/>
            <w:vAlign w:val="bottom"/>
          </w:tcPr>
          <w:p>
            <w:pPr>
              <w:spacing w:after="0" w:line="195" w:lineRule="exact"/>
              <w:rPr>
                <w:sz w:val="20"/>
                <w:szCs w:val="20"/>
                <w:color w:val="auto"/>
              </w:rPr>
            </w:pPr>
            <w:r>
              <w:rPr>
                <w:rFonts w:ascii="Arial" w:cs="Arial" w:eastAsia="Arial" w:hAnsi="Arial"/>
                <w:sz w:val="18"/>
                <w:szCs w:val="18"/>
                <w:b w:val="1"/>
                <w:bCs w:val="1"/>
                <w:color w:val="auto"/>
                <w:w w:val="96"/>
              </w:rPr>
              <w:t>Fair value through other comprehensive income</w:t>
            </w: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1"/>
        </w:trPr>
        <w:tc>
          <w:tcPr>
            <w:tcW w:w="3980" w:type="dxa"/>
            <w:vAlign w:val="bottom"/>
          </w:tcPr>
          <w:p>
            <w:pPr>
              <w:spacing w:after="0"/>
              <w:rPr>
                <w:sz w:val="20"/>
                <w:szCs w:val="20"/>
                <w:color w:val="auto"/>
              </w:rPr>
            </w:pPr>
            <w:r>
              <w:rPr>
                <w:rFonts w:ascii="Arial" w:cs="Arial" w:eastAsia="Arial" w:hAnsi="Arial"/>
                <w:sz w:val="18"/>
                <w:szCs w:val="18"/>
                <w:b w:val="1"/>
                <w:bCs w:val="1"/>
                <w:color w:val="auto"/>
              </w:rPr>
              <w:t>investments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15,626,554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16,062,998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18,724,601</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16.6%</w:t>
            </w:r>
          </w:p>
        </w:tc>
        <w:tc>
          <w:tcPr>
            <w:tcW w:w="3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19.8%</w:t>
            </w:r>
          </w:p>
        </w:tc>
      </w:tr>
      <w:tr>
        <w:trPr>
          <w:trHeight w:val="214"/>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Amortized cost investments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3,347,118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4,223,311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4,280,002</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r>
      <w:tr>
        <w:trPr>
          <w:trHeight w:val="213"/>
        </w:trPr>
        <w:tc>
          <w:tcPr>
            <w:tcW w:w="3980" w:type="dxa"/>
            <w:vAlign w:val="bottom"/>
          </w:tcPr>
          <w:p>
            <w:pPr>
              <w:spacing w:after="0"/>
              <w:rPr>
                <w:sz w:val="20"/>
                <w:szCs w:val="20"/>
                <w:color w:val="auto"/>
              </w:rPr>
            </w:pPr>
            <w:r>
              <w:rPr>
                <w:rFonts w:ascii="Arial" w:cs="Arial" w:eastAsia="Arial" w:hAnsi="Arial"/>
                <w:sz w:val="18"/>
                <w:szCs w:val="18"/>
                <w:b w:val="1"/>
                <w:bCs w:val="1"/>
                <w:color w:val="auto"/>
              </w:rPr>
              <w:t>Loans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99,791,392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110,087,710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121,391,338</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10.3%</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21.6%</w:t>
            </w:r>
          </w:p>
        </w:tc>
      </w:tr>
      <w:tr>
        <w:trPr>
          <w:trHeight w:val="213"/>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96,649,966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106,693,682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117,707,704</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r>
      <w:tr>
        <w:trPr>
          <w:trHeight w:val="213"/>
        </w:trPr>
        <w:tc>
          <w:tcPr>
            <w:tcW w:w="3980" w:type="dxa"/>
            <w:vAlign w:val="bottom"/>
          </w:tcPr>
          <w:p>
            <w:pPr>
              <w:ind w:left="140"/>
              <w:spacing w:after="0"/>
              <w:rPr>
                <w:sz w:val="20"/>
                <w:szCs w:val="20"/>
                <w:color w:val="auto"/>
              </w:rPr>
            </w:pPr>
            <w:r>
              <w:rPr>
                <w:rFonts w:ascii="Arial" w:cs="Arial" w:eastAsia="Arial" w:hAnsi="Arial"/>
                <w:sz w:val="18"/>
                <w:szCs w:val="18"/>
                <w:color w:val="auto"/>
              </w:rPr>
              <w:t>Internal overdue loans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3,141,426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3,394,028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3,683,634</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r>
      <w:tr>
        <w:trPr>
          <w:trHeight w:val="213"/>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 allowance for loan losses</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(4,637,969)</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(5,571,581)</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(7,910,329)</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70.6%</w:t>
            </w:r>
          </w:p>
        </w:tc>
      </w:tr>
      <w:tr>
        <w:trPr>
          <w:trHeight w:val="213"/>
        </w:trPr>
        <w:tc>
          <w:tcPr>
            <w:tcW w:w="3980" w:type="dxa"/>
            <w:vAlign w:val="bottom"/>
          </w:tcPr>
          <w:p>
            <w:pPr>
              <w:spacing w:after="0"/>
              <w:rPr>
                <w:sz w:val="20"/>
                <w:szCs w:val="20"/>
                <w:color w:val="auto"/>
              </w:rPr>
            </w:pPr>
            <w:r>
              <w:rPr>
                <w:rFonts w:ascii="Arial" w:cs="Arial" w:eastAsia="Arial" w:hAnsi="Arial"/>
                <w:sz w:val="18"/>
                <w:szCs w:val="18"/>
                <w:b w:val="1"/>
                <w:bCs w:val="1"/>
                <w:color w:val="auto"/>
              </w:rPr>
              <w:t>Loans, net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95,153,423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104,516,129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113,481,009</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8.6%</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19.3%</w:t>
            </w:r>
          </w:p>
        </w:tc>
      </w:tr>
      <w:tr>
        <w:trPr>
          <w:trHeight w:val="254"/>
        </w:trPr>
        <w:tc>
          <w:tcPr>
            <w:tcW w:w="3980" w:type="dxa"/>
            <w:vAlign w:val="bottom"/>
            <w:shd w:val="clear" w:color="auto" w:fill="CCEEFF"/>
          </w:tcPr>
          <w:p>
            <w:pPr>
              <w:spacing w:after="0" w:line="253" w:lineRule="exact"/>
              <w:rPr>
                <w:sz w:val="20"/>
                <w:szCs w:val="20"/>
                <w:color w:val="auto"/>
              </w:rPr>
            </w:pPr>
            <w:r>
              <w:rPr>
                <w:rFonts w:ascii="Arial" w:cs="Arial" w:eastAsia="Arial" w:hAnsi="Arial"/>
                <w:sz w:val="18"/>
                <w:szCs w:val="18"/>
                <w:b w:val="1"/>
                <w:bCs w:val="1"/>
                <w:color w:val="auto"/>
              </w:rPr>
              <w:t xml:space="preserve">Property, furniture and equipment, net </w:t>
            </w:r>
            <w:r>
              <w:rPr>
                <w:rFonts w:ascii="Arial" w:cs="Arial" w:eastAsia="Arial" w:hAnsi="Arial"/>
                <w:sz w:val="29"/>
                <w:szCs w:val="29"/>
                <w:b w:val="1"/>
                <w:bCs w:val="1"/>
                <w:color w:val="auto"/>
                <w:vertAlign w:val="superscript"/>
              </w:rPr>
              <w:t>(1)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1,978,509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1,926,344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1,837,161</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w:t>
            </w:r>
          </w:p>
        </w:tc>
        <w:tc>
          <w:tcPr>
            <w:tcW w:w="3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r>
      <w:tr>
        <w:trPr>
          <w:trHeight w:val="213"/>
        </w:trPr>
        <w:tc>
          <w:tcPr>
            <w:tcW w:w="3980" w:type="dxa"/>
            <w:vAlign w:val="bottom"/>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534,637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555,598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331,591</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-40.3%</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-38.0%</w:t>
            </w:r>
          </w:p>
        </w:tc>
      </w:tr>
      <w:tr>
        <w:trPr>
          <w:trHeight w:val="254"/>
        </w:trPr>
        <w:tc>
          <w:tcPr>
            <w:tcW w:w="3980" w:type="dxa"/>
            <w:vAlign w:val="bottom"/>
            <w:shd w:val="clear" w:color="auto" w:fill="CCEEFF"/>
          </w:tcPr>
          <w:p>
            <w:pPr>
              <w:spacing w:after="0" w:line="253" w:lineRule="exact"/>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29"/>
                <w:szCs w:val="29"/>
                <w:b w:val="1"/>
                <w:bCs w:val="1"/>
                <w:color w:val="auto"/>
                <w:vertAlign w:val="superscript"/>
              </w:rPr>
              <w:t>(2)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4,641,232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5,937,221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7,295,908</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22.9%</w:t>
            </w:r>
          </w:p>
        </w:tc>
        <w:tc>
          <w:tcPr>
            <w:tcW w:w="3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57.2%</w:t>
            </w:r>
          </w:p>
        </w:tc>
      </w:tr>
      <w:tr>
        <w:trPr>
          <w:trHeight w:val="213"/>
        </w:trPr>
        <w:tc>
          <w:tcPr>
            <w:tcW w:w="3980" w:type="dxa"/>
            <w:vAlign w:val="bottom"/>
          </w:tcPr>
          <w:p>
            <w:pPr>
              <w:jc w:val="center"/>
              <w:ind w:right="11"/>
              <w:spacing w:after="0"/>
              <w:rPr>
                <w:sz w:val="20"/>
                <w:szCs w:val="20"/>
                <w:color w:val="auto"/>
              </w:rPr>
            </w:pPr>
            <w:r>
              <w:rPr>
                <w:rFonts w:ascii="Arial" w:cs="Arial" w:eastAsia="Arial" w:hAnsi="Arial"/>
                <w:sz w:val="18"/>
                <w:szCs w:val="18"/>
                <w:b w:val="1"/>
                <w:bCs w:val="1"/>
                <w:color w:val="auto"/>
                <w:w w:val="85"/>
              </w:rPr>
              <w:t>Total Assets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146,752,815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160,824,747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181,473,443</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12.8%</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23.7%</w:t>
            </w:r>
          </w:p>
        </w:tc>
      </w:tr>
      <w:tr>
        <w:trPr>
          <w:trHeight w:val="213"/>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3"/>
        </w:trPr>
        <w:tc>
          <w:tcPr>
            <w:tcW w:w="398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4"/>
        </w:trPr>
        <w:tc>
          <w:tcPr>
            <w:tcW w:w="3980" w:type="dxa"/>
            <w:vAlign w:val="bottom"/>
            <w:shd w:val="clear" w:color="auto" w:fill="CCEEFF"/>
          </w:tcPr>
          <w:p>
            <w:pPr>
              <w:ind w:left="140"/>
              <w:spacing w:after="0" w:line="253" w:lineRule="exact"/>
              <w:rPr>
                <w:sz w:val="20"/>
                <w:szCs w:val="20"/>
                <w:color w:val="auto"/>
              </w:rPr>
            </w:pPr>
            <w:r>
              <w:rPr>
                <w:rFonts w:ascii="Arial" w:cs="Arial" w:eastAsia="Arial" w:hAnsi="Arial"/>
                <w:sz w:val="18"/>
                <w:szCs w:val="18"/>
                <w:color w:val="auto"/>
              </w:rPr>
              <w:t xml:space="preserve">Non-interest bearing </w:t>
            </w:r>
            <w:r>
              <w:rPr>
                <w:rFonts w:ascii="Arial" w:cs="Arial" w:eastAsia="Arial" w:hAnsi="Arial"/>
                <w:sz w:val="29"/>
                <w:szCs w:val="29"/>
                <w:color w:val="auto"/>
                <w:vertAlign w:val="superscript"/>
              </w:rPr>
              <w:t>(1)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23,243,024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29,496,275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44,355,291</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w:t>
            </w:r>
          </w:p>
        </w:tc>
        <w:tc>
          <w:tcPr>
            <w:tcW w:w="3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90.8%</w:t>
            </w:r>
          </w:p>
        </w:tc>
      </w:tr>
      <w:tr>
        <w:trPr>
          <w:trHeight w:val="254"/>
        </w:trPr>
        <w:tc>
          <w:tcPr>
            <w:tcW w:w="3980" w:type="dxa"/>
            <w:vAlign w:val="bottom"/>
          </w:tcPr>
          <w:p>
            <w:pPr>
              <w:ind w:left="140"/>
              <w:spacing w:after="0" w:line="253" w:lineRule="exact"/>
              <w:rPr>
                <w:sz w:val="20"/>
                <w:szCs w:val="20"/>
                <w:color w:val="auto"/>
              </w:rPr>
            </w:pPr>
            <w:r>
              <w:rPr>
                <w:rFonts w:ascii="Arial" w:cs="Arial" w:eastAsia="Arial" w:hAnsi="Arial"/>
                <w:sz w:val="18"/>
                <w:szCs w:val="18"/>
                <w:color w:val="auto"/>
              </w:rPr>
              <w:t xml:space="preserve">Interest bearing </w:t>
            </w:r>
            <w:r>
              <w:rPr>
                <w:rFonts w:ascii="Arial" w:cs="Arial" w:eastAsia="Arial" w:hAnsi="Arial"/>
                <w:sz w:val="29"/>
                <w:szCs w:val="29"/>
                <w:color w:val="auto"/>
                <w:vertAlign w:val="superscript"/>
              </w:rPr>
              <w:t>(1)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69,210,922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76,834,615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70,151,519</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34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3"/>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deposits and obligations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92,453,946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106,330,890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114,506,810</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r>
      <w:tr>
        <w:trPr>
          <w:trHeight w:val="195"/>
        </w:trPr>
        <w:tc>
          <w:tcPr>
            <w:tcW w:w="3980" w:type="dxa"/>
            <w:vAlign w:val="bottom"/>
          </w:tcPr>
          <w:p>
            <w:pPr>
              <w:spacing w:after="0" w:line="195" w:lineRule="exact"/>
              <w:rPr>
                <w:sz w:val="20"/>
                <w:szCs w:val="20"/>
                <w:color w:val="auto"/>
              </w:rPr>
            </w:pPr>
            <w:r>
              <w:rPr>
                <w:rFonts w:ascii="Arial" w:cs="Arial" w:eastAsia="Arial" w:hAnsi="Arial"/>
                <w:sz w:val="18"/>
                <w:szCs w:val="18"/>
                <w:b w:val="1"/>
                <w:bCs w:val="1"/>
                <w:color w:val="auto"/>
              </w:rPr>
              <w:t>Payables from repurchase agreements and</w:t>
            </w: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1"/>
        </w:trPr>
        <w:tc>
          <w:tcPr>
            <w:tcW w:w="3980" w:type="dxa"/>
            <w:vAlign w:val="bottom"/>
          </w:tcPr>
          <w:p>
            <w:pPr>
              <w:spacing w:after="0"/>
              <w:rPr>
                <w:sz w:val="20"/>
                <w:szCs w:val="20"/>
                <w:color w:val="auto"/>
              </w:rPr>
            </w:pPr>
            <w:r>
              <w:rPr>
                <w:rFonts w:ascii="Arial" w:cs="Arial" w:eastAsia="Arial" w:hAnsi="Arial"/>
                <w:sz w:val="18"/>
                <w:szCs w:val="18"/>
                <w:b w:val="1"/>
                <w:bCs w:val="1"/>
                <w:color w:val="auto"/>
              </w:rPr>
              <w:t>securities lending</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8,019,941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6,781,667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20,912,125</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208.4%</w:t>
            </w:r>
          </w:p>
        </w:tc>
        <w:tc>
          <w:tcPr>
            <w:tcW w:w="3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160.8%</w:t>
            </w:r>
          </w:p>
        </w:tc>
      </w:tr>
      <w:tr>
        <w:trPr>
          <w:trHeight w:val="214"/>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BCRP instruments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6,304,186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5,346,373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19,441,733</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263.6%</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208.4%</w:t>
            </w:r>
          </w:p>
        </w:tc>
      </w:tr>
      <w:tr>
        <w:trPr>
          <w:trHeight w:val="213"/>
        </w:trPr>
        <w:tc>
          <w:tcPr>
            <w:tcW w:w="3980" w:type="dxa"/>
            <w:vAlign w:val="bottom"/>
          </w:tcPr>
          <w:p>
            <w:pPr>
              <w:ind w:left="140"/>
              <w:spacing w:after="0"/>
              <w:rPr>
                <w:sz w:val="20"/>
                <w:szCs w:val="20"/>
                <w:color w:val="auto"/>
              </w:rPr>
            </w:pPr>
            <w:r>
              <w:rPr>
                <w:rFonts w:ascii="Arial" w:cs="Arial" w:eastAsia="Arial" w:hAnsi="Arial"/>
                <w:sz w:val="18"/>
                <w:szCs w:val="18"/>
                <w:color w:val="auto"/>
              </w:rPr>
              <w:t>Repurchase agreements with third parties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1,715,756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1,435,294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1,470,392</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r>
      <w:tr>
        <w:trPr>
          <w:trHeight w:val="213"/>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9,280,977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9,035,804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8,205,084</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-9.2%</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r>
      <w:tr>
        <w:trPr>
          <w:trHeight w:val="213"/>
        </w:trPr>
        <w:tc>
          <w:tcPr>
            <w:tcW w:w="3980" w:type="dxa"/>
            <w:vAlign w:val="bottom"/>
          </w:tcPr>
          <w:p>
            <w:pPr>
              <w:spacing w:after="0"/>
              <w:rPr>
                <w:sz w:val="20"/>
                <w:szCs w:val="20"/>
                <w:color w:val="auto"/>
              </w:rPr>
            </w:pPr>
            <w:r>
              <w:rPr>
                <w:rFonts w:ascii="Arial" w:cs="Arial" w:eastAsia="Arial" w:hAnsi="Arial"/>
                <w:sz w:val="18"/>
                <w:szCs w:val="18"/>
                <w:b w:val="1"/>
                <w:bCs w:val="1"/>
                <w:color w:val="auto"/>
              </w:rPr>
              <w:t>Bonds and notes issued</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14,429,601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14,570,806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14,964,339</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3.7%</w:t>
            </w:r>
          </w:p>
        </w:tc>
      </w:tr>
      <w:tr>
        <w:trPr>
          <w:trHeight w:val="213"/>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Banker’s acceptances outstanding</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534,637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555,598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331,591</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-40.3%</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-38.0%</w:t>
            </w:r>
          </w:p>
        </w:tc>
      </w:tr>
      <w:tr>
        <w:trPr>
          <w:trHeight w:val="195"/>
        </w:trPr>
        <w:tc>
          <w:tcPr>
            <w:tcW w:w="3980" w:type="dxa"/>
            <w:vAlign w:val="bottom"/>
          </w:tcPr>
          <w:p>
            <w:pPr>
              <w:spacing w:after="0" w:line="195" w:lineRule="exact"/>
              <w:rPr>
                <w:sz w:val="20"/>
                <w:szCs w:val="20"/>
                <w:color w:val="auto"/>
              </w:rPr>
            </w:pPr>
            <w:r>
              <w:rPr>
                <w:rFonts w:ascii="Arial" w:cs="Arial" w:eastAsia="Arial" w:hAnsi="Arial"/>
                <w:sz w:val="18"/>
                <w:szCs w:val="18"/>
                <w:b w:val="1"/>
                <w:bCs w:val="1"/>
                <w:color w:val="auto"/>
                <w:w w:val="96"/>
              </w:rPr>
              <w:t>Financial liabilities at fair value through profit or</w:t>
            </w: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1"/>
        </w:trPr>
        <w:tc>
          <w:tcPr>
            <w:tcW w:w="3980" w:type="dxa"/>
            <w:vAlign w:val="bottom"/>
          </w:tcPr>
          <w:p>
            <w:pPr>
              <w:spacing w:after="0"/>
              <w:rPr>
                <w:sz w:val="20"/>
                <w:szCs w:val="20"/>
                <w:color w:val="auto"/>
              </w:rPr>
            </w:pPr>
            <w:r>
              <w:rPr>
                <w:rFonts w:ascii="Arial" w:cs="Arial" w:eastAsia="Arial" w:hAnsi="Arial"/>
                <w:sz w:val="18"/>
                <w:szCs w:val="18"/>
                <w:b w:val="1"/>
                <w:bCs w:val="1"/>
                <w:color w:val="auto"/>
              </w:rPr>
              <w:t>loss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70,459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9,131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108,189</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53.5%</w:t>
            </w:r>
          </w:p>
        </w:tc>
      </w:tr>
      <w:tr>
        <w:trPr>
          <w:trHeight w:val="254"/>
        </w:trPr>
        <w:tc>
          <w:tcPr>
            <w:tcW w:w="3980" w:type="dxa"/>
            <w:vAlign w:val="bottom"/>
            <w:shd w:val="clear" w:color="auto" w:fill="CCEEFF"/>
          </w:tcPr>
          <w:p>
            <w:pPr>
              <w:spacing w:after="0" w:line="253" w:lineRule="exact"/>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29"/>
                <w:szCs w:val="29"/>
                <w:b w:val="1"/>
                <w:bCs w:val="1"/>
                <w:color w:val="auto"/>
                <w:vertAlign w:val="superscript"/>
              </w:rPr>
              <w:t>(3)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4,309,665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4,708,160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5,378,042</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14.2%</w:t>
            </w:r>
          </w:p>
        </w:tc>
        <w:tc>
          <w:tcPr>
            <w:tcW w:w="3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24.8%</w:t>
            </w:r>
          </w:p>
        </w:tc>
      </w:tr>
      <w:tr>
        <w:trPr>
          <w:trHeight w:val="213"/>
        </w:trPr>
        <w:tc>
          <w:tcPr>
            <w:tcW w:w="3980" w:type="dxa"/>
            <w:vAlign w:val="bottom"/>
          </w:tcPr>
          <w:p>
            <w:pPr>
              <w:jc w:val="center"/>
              <w:ind w:right="11"/>
              <w:spacing w:after="0"/>
              <w:rPr>
                <w:sz w:val="20"/>
                <w:szCs w:val="20"/>
                <w:color w:val="auto"/>
              </w:rPr>
            </w:pPr>
            <w:r>
              <w:rPr>
                <w:rFonts w:ascii="Arial" w:cs="Arial" w:eastAsia="Arial" w:hAnsi="Arial"/>
                <w:sz w:val="18"/>
                <w:szCs w:val="18"/>
                <w:b w:val="1"/>
                <w:bCs w:val="1"/>
                <w:color w:val="auto"/>
                <w:w w:val="91"/>
              </w:rPr>
              <w:t>Total Liabilities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129,099,226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141,992,056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164,406,180</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15.8%</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27.3%</w:t>
            </w:r>
          </w:p>
        </w:tc>
      </w:tr>
      <w:tr>
        <w:trPr>
          <w:trHeight w:val="213"/>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equity</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17,539,343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18,714,668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16,963,220</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-9.4%</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r>
      <w:tr>
        <w:trPr>
          <w:trHeight w:val="213"/>
        </w:trPr>
        <w:tc>
          <w:tcPr>
            <w:tcW w:w="3980" w:type="dxa"/>
            <w:vAlign w:val="bottom"/>
          </w:tcPr>
          <w:p>
            <w:pPr>
              <w:ind w:left="140"/>
              <w:spacing w:after="0"/>
              <w:rPr>
                <w:sz w:val="20"/>
                <w:szCs w:val="20"/>
                <w:color w:val="auto"/>
              </w:rPr>
            </w:pPr>
            <w:r>
              <w:rPr>
                <w:rFonts w:ascii="Arial" w:cs="Arial" w:eastAsia="Arial" w:hAnsi="Arial"/>
                <w:sz w:val="18"/>
                <w:szCs w:val="18"/>
                <w:color w:val="auto"/>
              </w:rPr>
              <w:t>Capital stock</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9,924,006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9,924,006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10,774,006</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r>
      <w:tr>
        <w:trPr>
          <w:trHeight w:val="213"/>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4,476,256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4,476,256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5,945,313</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w:t>
            </w:r>
          </w:p>
        </w:tc>
      </w:tr>
      <w:tr>
        <w:trPr>
          <w:trHeight w:val="213"/>
        </w:trPr>
        <w:tc>
          <w:tcPr>
            <w:tcW w:w="3980" w:type="dxa"/>
            <w:vAlign w:val="bottom"/>
          </w:tcPr>
          <w:p>
            <w:pPr>
              <w:ind w:left="140"/>
              <w:spacing w:after="0"/>
              <w:rPr>
                <w:sz w:val="20"/>
                <w:szCs w:val="20"/>
                <w:color w:val="auto"/>
              </w:rPr>
            </w:pPr>
            <w:r>
              <w:rPr>
                <w:rFonts w:ascii="Arial" w:cs="Arial" w:eastAsia="Arial" w:hAnsi="Arial"/>
                <w:sz w:val="18"/>
                <w:szCs w:val="18"/>
                <w:color w:val="auto"/>
              </w:rPr>
              <w:t>Unrealized gains and losses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235,391</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(22,277)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333,548</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-1597.3%</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41.7%</w:t>
            </w:r>
          </w:p>
        </w:tc>
      </w:tr>
      <w:tr>
        <w:trPr>
          <w:trHeight w:val="213"/>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2,903,690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4,336,683</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(89,647)</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-102.1%</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-103.1%</w:t>
            </w:r>
          </w:p>
        </w:tc>
      </w:tr>
      <w:tr>
        <w:trPr>
          <w:trHeight w:val="213"/>
        </w:trPr>
        <w:tc>
          <w:tcPr>
            <w:tcW w:w="39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114,246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118,023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104,043</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r>
      <w:tr>
        <w:trPr>
          <w:trHeight w:val="213"/>
        </w:trPr>
        <w:tc>
          <w:tcPr>
            <w:tcW w:w="39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Total Net Equity</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17,653,589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18,832,691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17,067,263</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-9.4%</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r>
      <w:tr>
        <w:trPr>
          <w:trHeight w:val="213"/>
        </w:trPr>
        <w:tc>
          <w:tcPr>
            <w:tcW w:w="398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146,752,815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160,824,747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181,473,443</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12.8%</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23.7%</w:t>
            </w:r>
          </w:p>
        </w:tc>
      </w:tr>
      <w:tr>
        <w:trPr>
          <w:trHeight w:val="21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Off-balance sheet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112,550,680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119,606,613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115,150,387</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13"/>
        </w:trPr>
        <w:tc>
          <w:tcPr>
            <w:tcW w:w="3980" w:type="dxa"/>
            <w:vAlign w:val="bottom"/>
          </w:tcPr>
          <w:p>
            <w:pPr>
              <w:spacing w:after="0"/>
              <w:rPr>
                <w:sz w:val="20"/>
                <w:szCs w:val="20"/>
                <w:color w:val="auto"/>
              </w:rPr>
            </w:pPr>
            <w:r>
              <w:rPr>
                <w:rFonts w:ascii="Arial" w:cs="Arial" w:eastAsia="Arial" w:hAnsi="Arial"/>
                <w:sz w:val="18"/>
                <w:szCs w:val="18"/>
                <w:color w:val="auto"/>
              </w:rPr>
              <w:t>Total performance bonds, stand-by and L/Cs.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17,678,879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18,238,079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17,490,615</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Undrawn credit lines, advised but not committed</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67,316,327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71,174,841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70,509,409</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r>
      <w:tr>
        <w:trPr>
          <w:trHeight w:val="226"/>
        </w:trPr>
        <w:tc>
          <w:tcPr>
            <w:tcW w:w="3980" w:type="dxa"/>
            <w:vAlign w:val="bottom"/>
          </w:tcPr>
          <w:p>
            <w:pPr>
              <w:spacing w:after="0"/>
              <w:rPr>
                <w:sz w:val="20"/>
                <w:szCs w:val="20"/>
                <w:color w:val="auto"/>
              </w:rPr>
            </w:pPr>
            <w:r>
              <w:rPr>
                <w:rFonts w:ascii="Arial" w:cs="Arial" w:eastAsia="Arial" w:hAnsi="Arial"/>
                <w:sz w:val="18"/>
                <w:szCs w:val="18"/>
                <w:color w:val="auto"/>
              </w:rPr>
              <w:t>Total derivatives (notional) and others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27,555,474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30,193,693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27,150,363</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bl>
    <w:p>
      <w:pPr>
        <w:spacing w:after="0" w:line="186" w:lineRule="exact"/>
        <w:rPr>
          <w:sz w:val="20"/>
          <w:szCs w:val="20"/>
          <w:color w:val="auto"/>
        </w:rPr>
      </w:pPr>
    </w:p>
    <w:p>
      <w:pPr>
        <w:ind w:firstLine="7"/>
        <w:spacing w:after="0" w:line="286" w:lineRule="auto"/>
        <w:tabs>
          <w:tab w:leader="none" w:pos="257"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amounts differ from those previously reported due to the reclassification of the expenses on improvements in building for rent, previously presented in the item “Other assets”. Likewise, in the 2019 the asset is incorporated for the right to use the lease contracts, in application of the IFRS 16.</w:t>
      </w:r>
    </w:p>
    <w:p>
      <w:pPr>
        <w:spacing w:after="0" w:line="1" w:lineRule="exact"/>
        <w:rPr>
          <w:rFonts w:ascii="Arial" w:cs="Arial" w:eastAsia="Arial" w:hAnsi="Arial"/>
          <w:sz w:val="16"/>
          <w:szCs w:val="16"/>
          <w:color w:val="auto"/>
        </w:rPr>
      </w:pPr>
    </w:p>
    <w:p>
      <w:pPr>
        <w:ind w:left="260" w:hanging="253"/>
        <w:spacing w:after="0"/>
        <w:tabs>
          <w:tab w:leader="none" w:pos="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Mainly includes intangible assets, other receivable accounts and tax credit.</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Mainly includes other payable accounts.</w:t>
      </w:r>
    </w:p>
    <w:p>
      <w:pPr>
        <w:spacing w:after="0" w:line="200" w:lineRule="exact"/>
        <w:rPr>
          <w:sz w:val="20"/>
          <w:szCs w:val="20"/>
          <w:color w:val="auto"/>
        </w:rPr>
      </w:pPr>
    </w:p>
    <w:p>
      <w:pPr>
        <w:spacing w:after="0" w:line="220"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4" w:name="page65"/>
    <w:bookmarkEnd w:id="64"/>
    <w:p>
      <w:pPr>
        <w:ind w:left="3360"/>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CONSOLIDATED STATEMENT OF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Quarter</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ind w:left="740"/>
              <w:spacing w:after="0"/>
              <w:rPr>
                <w:sz w:val="20"/>
                <w:szCs w:val="20"/>
                <w:color w:val="auto"/>
              </w:rPr>
            </w:pPr>
            <w:r>
              <w:rPr>
                <w:rFonts w:ascii="Arial" w:cs="Arial" w:eastAsia="Arial" w:hAnsi="Arial"/>
                <w:sz w:val="12"/>
                <w:szCs w:val="12"/>
                <w:b w:val="1"/>
                <w:bCs w:val="1"/>
                <w:color w:val="auto"/>
              </w:rPr>
              <w:t>% change</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3"/>
          </w:tcPr>
          <w:p>
            <w:pPr>
              <w:ind w:left="860"/>
              <w:spacing w:after="0"/>
              <w:rPr>
                <w:sz w:val="20"/>
                <w:szCs w:val="20"/>
                <w:color w:val="auto"/>
              </w:rPr>
            </w:pPr>
            <w:r>
              <w:rPr>
                <w:rFonts w:ascii="Arial" w:cs="Arial" w:eastAsia="Arial" w:hAnsi="Arial"/>
                <w:sz w:val="12"/>
                <w:szCs w:val="12"/>
                <w:b w:val="1"/>
                <w:bCs w:val="1"/>
                <w:color w:val="auto"/>
              </w:rPr>
              <w:t>YTD</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 change</w:t>
            </w:r>
          </w:p>
        </w:tc>
      </w:tr>
      <w:tr>
        <w:trPr>
          <w:trHeight w:val="140"/>
        </w:trPr>
        <w:tc>
          <w:tcPr>
            <w:tcW w:w="238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2"/>
                <w:szCs w:val="12"/>
                <w:b w:val="1"/>
                <w:bCs w:val="1"/>
                <w:color w:val="auto"/>
              </w:rPr>
              <w:t>2Q19</w:t>
            </w:r>
          </w:p>
        </w:tc>
        <w:tc>
          <w:tcPr>
            <w:tcW w:w="116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2"/>
                <w:szCs w:val="12"/>
                <w:b w:val="1"/>
                <w:bCs w:val="1"/>
                <w:color w:val="auto"/>
              </w:rPr>
              <w:t>1Q20</w:t>
            </w:r>
          </w:p>
        </w:tc>
        <w:tc>
          <w:tcPr>
            <w:tcW w:w="880" w:type="dxa"/>
            <w:vAlign w:val="bottom"/>
            <w:tcBorders>
              <w:top w:val="single" w:sz="8" w:color="auto"/>
            </w:tcBorders>
          </w:tcPr>
          <w:p>
            <w:pPr>
              <w:jc w:val="right"/>
              <w:ind w:right="238"/>
              <w:spacing w:after="0"/>
              <w:rPr>
                <w:sz w:val="20"/>
                <w:szCs w:val="20"/>
                <w:color w:val="auto"/>
              </w:rPr>
            </w:pPr>
            <w:r>
              <w:rPr>
                <w:rFonts w:ascii="Arial" w:cs="Arial" w:eastAsia="Arial" w:hAnsi="Arial"/>
                <w:sz w:val="12"/>
                <w:szCs w:val="12"/>
                <w:b w:val="1"/>
                <w:bCs w:val="1"/>
                <w:color w:val="auto"/>
              </w:rPr>
              <w:t>2Q20</w:t>
            </w:r>
          </w:p>
        </w:tc>
        <w:tc>
          <w:tcPr>
            <w:tcW w:w="220" w:type="dxa"/>
            <w:vAlign w:val="bottom"/>
          </w:tcPr>
          <w:p>
            <w:pPr>
              <w:spacing w:after="0"/>
              <w:rPr>
                <w:sz w:val="12"/>
                <w:szCs w:val="12"/>
                <w:color w:val="auto"/>
              </w:rPr>
            </w:pPr>
          </w:p>
        </w:tc>
        <w:tc>
          <w:tcPr>
            <w:tcW w:w="1360" w:type="dxa"/>
            <w:vAlign w:val="bottom"/>
            <w:tcBorders>
              <w:top w:val="single" w:sz="8" w:color="auto"/>
            </w:tcBorders>
            <w:gridSpan w:val="3"/>
          </w:tcPr>
          <w:p>
            <w:pPr>
              <w:ind w:left="300"/>
              <w:spacing w:after="0"/>
              <w:rPr>
                <w:sz w:val="20"/>
                <w:szCs w:val="20"/>
                <w:color w:val="auto"/>
              </w:rPr>
            </w:pPr>
            <w:r>
              <w:rPr>
                <w:rFonts w:ascii="Arial" w:cs="Arial" w:eastAsia="Arial" w:hAnsi="Arial"/>
                <w:sz w:val="12"/>
                <w:szCs w:val="12"/>
                <w:b w:val="1"/>
                <w:bCs w:val="1"/>
                <w:color w:val="auto"/>
              </w:rPr>
              <w:t>QoQ</w:t>
            </w:r>
          </w:p>
        </w:tc>
        <w:tc>
          <w:tcPr>
            <w:tcW w:w="640" w:type="dxa"/>
            <w:vAlign w:val="bottom"/>
            <w:tcBorders>
              <w:top w:val="single" w:sz="8" w:color="auto"/>
            </w:tcBorders>
          </w:tcPr>
          <w:p>
            <w:pPr>
              <w:ind w:left="100"/>
              <w:spacing w:after="0"/>
              <w:rPr>
                <w:sz w:val="20"/>
                <w:szCs w:val="20"/>
                <w:color w:val="auto"/>
              </w:rPr>
            </w:pPr>
            <w:r>
              <w:rPr>
                <w:rFonts w:ascii="Arial" w:cs="Arial" w:eastAsia="Arial" w:hAnsi="Arial"/>
                <w:sz w:val="12"/>
                <w:szCs w:val="12"/>
                <w:b w:val="1"/>
                <w:bCs w:val="1"/>
                <w:color w:val="auto"/>
              </w:rPr>
              <w:t>YoY</w:t>
            </w:r>
          </w:p>
        </w:tc>
        <w:tc>
          <w:tcPr>
            <w:tcW w:w="260" w:type="dxa"/>
            <w:vAlign w:val="bottom"/>
          </w:tcPr>
          <w:p>
            <w:pPr>
              <w:spacing w:after="0"/>
              <w:rPr>
                <w:sz w:val="12"/>
                <w:szCs w:val="12"/>
                <w:color w:val="auto"/>
              </w:rPr>
            </w:pPr>
          </w:p>
        </w:tc>
        <w:tc>
          <w:tcPr>
            <w:tcW w:w="1240" w:type="dxa"/>
            <w:vAlign w:val="bottom"/>
            <w:tcBorders>
              <w:top w:val="single" w:sz="8" w:color="auto"/>
            </w:tcBorders>
            <w:gridSpan w:val="3"/>
          </w:tcPr>
          <w:p>
            <w:pPr>
              <w:ind w:left="260"/>
              <w:spacing w:after="0"/>
              <w:rPr>
                <w:sz w:val="20"/>
                <w:szCs w:val="20"/>
                <w:color w:val="auto"/>
              </w:rPr>
            </w:pPr>
            <w:r>
              <w:rPr>
                <w:rFonts w:ascii="Arial" w:cs="Arial" w:eastAsia="Arial" w:hAnsi="Arial"/>
                <w:sz w:val="12"/>
                <w:szCs w:val="12"/>
                <w:b w:val="1"/>
                <w:bCs w:val="1"/>
                <w:color w:val="auto"/>
              </w:rPr>
              <w:t>Jun-19</w:t>
            </w:r>
          </w:p>
        </w:tc>
        <w:tc>
          <w:tcPr>
            <w:tcW w:w="740" w:type="dxa"/>
            <w:vAlign w:val="bottom"/>
            <w:tcBorders>
              <w:top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Jun-20</w:t>
            </w:r>
          </w:p>
        </w:tc>
        <w:tc>
          <w:tcPr>
            <w:tcW w:w="200" w:type="dxa"/>
            <w:vAlign w:val="bottom"/>
          </w:tcPr>
          <w:p>
            <w:pPr>
              <w:spacing w:after="0"/>
              <w:rPr>
                <w:sz w:val="12"/>
                <w:szCs w:val="12"/>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Jun 20 / Jun 19</w:t>
            </w:r>
          </w:p>
        </w:tc>
        <w:tc>
          <w:tcPr>
            <w:tcW w:w="140" w:type="dxa"/>
            <w:vAlign w:val="bottom"/>
          </w:tcPr>
          <w:p>
            <w:pPr>
              <w:spacing w:after="0"/>
              <w:rPr>
                <w:sz w:val="12"/>
                <w:szCs w:val="12"/>
                <w:color w:val="auto"/>
              </w:rPr>
            </w:pPr>
          </w:p>
        </w:tc>
      </w:tr>
      <w:tr>
        <w:trPr>
          <w:trHeight w:val="127"/>
        </w:trPr>
        <w:tc>
          <w:tcPr>
            <w:tcW w:w="2380" w:type="dxa"/>
            <w:vAlign w:val="bottom"/>
            <w:tcBorders>
              <w:top w:val="single" w:sz="8" w:color="CCEEFF"/>
            </w:tcBorders>
            <w:shd w:val="clear" w:color="auto" w:fill="CCEEFF"/>
          </w:tcPr>
          <w:p>
            <w:pPr>
              <w:spacing w:after="0" w:line="127" w:lineRule="exact"/>
              <w:rPr>
                <w:sz w:val="20"/>
                <w:szCs w:val="20"/>
                <w:color w:val="auto"/>
              </w:rPr>
            </w:pPr>
            <w:r>
              <w:rPr>
                <w:rFonts w:ascii="Arial" w:cs="Arial" w:eastAsia="Arial" w:hAnsi="Arial"/>
                <w:sz w:val="12"/>
                <w:szCs w:val="12"/>
                <w:b w:val="1"/>
                <w:bCs w:val="1"/>
                <w:color w:val="auto"/>
              </w:rPr>
              <w:t>Interest income and expense</w:t>
            </w:r>
          </w:p>
        </w:tc>
        <w:tc>
          <w:tcPr>
            <w:tcW w:w="9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r>
      <w:tr>
        <w:trPr>
          <w:trHeight w:val="133"/>
        </w:trPr>
        <w:tc>
          <w:tcPr>
            <w:tcW w:w="2380" w:type="dxa"/>
            <w:vAlign w:val="bottom"/>
          </w:tcPr>
          <w:p>
            <w:pPr>
              <w:ind w:left="140"/>
              <w:spacing w:after="0" w:line="134" w:lineRule="exact"/>
              <w:rPr>
                <w:sz w:val="20"/>
                <w:szCs w:val="20"/>
                <w:color w:val="auto"/>
              </w:rPr>
            </w:pPr>
            <w:r>
              <w:rPr>
                <w:rFonts w:ascii="Arial" w:cs="Arial" w:eastAsia="Arial" w:hAnsi="Arial"/>
                <w:sz w:val="12"/>
                <w:szCs w:val="12"/>
                <w:color w:val="auto"/>
              </w:rPr>
              <w:t>Interest and dividend income</w:t>
            </w:r>
          </w:p>
        </w:tc>
        <w:tc>
          <w:tcPr>
            <w:tcW w:w="900" w:type="dxa"/>
            <w:vAlign w:val="bottom"/>
          </w:tcPr>
          <w:p>
            <w:pPr>
              <w:jc w:val="right"/>
              <w:spacing w:after="0" w:line="134" w:lineRule="exact"/>
              <w:rPr>
                <w:sz w:val="20"/>
                <w:szCs w:val="20"/>
                <w:color w:val="auto"/>
              </w:rPr>
            </w:pPr>
            <w:r>
              <w:rPr>
                <w:rFonts w:ascii="Arial" w:cs="Arial" w:eastAsia="Arial" w:hAnsi="Arial"/>
                <w:sz w:val="12"/>
                <w:szCs w:val="12"/>
                <w:color w:val="auto"/>
              </w:rPr>
              <w:t>2,727,447</w:t>
            </w:r>
          </w:p>
        </w:tc>
        <w:tc>
          <w:tcPr>
            <w:tcW w:w="240" w:type="dxa"/>
            <w:vAlign w:val="bottom"/>
          </w:tcPr>
          <w:p>
            <w:pPr>
              <w:spacing w:after="0"/>
              <w:rPr>
                <w:sz w:val="11"/>
                <w:szCs w:val="11"/>
                <w:color w:val="auto"/>
              </w:rPr>
            </w:pPr>
          </w:p>
        </w:tc>
        <w:tc>
          <w:tcPr>
            <w:tcW w:w="116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2,763,923</w:t>
            </w:r>
          </w:p>
        </w:tc>
        <w:tc>
          <w:tcPr>
            <w:tcW w:w="110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2,325,119</w:t>
            </w:r>
          </w:p>
        </w:tc>
        <w:tc>
          <w:tcPr>
            <w:tcW w:w="11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-15.9%</w:t>
            </w:r>
          </w:p>
        </w:tc>
        <w:tc>
          <w:tcPr>
            <w:tcW w:w="240" w:type="dxa"/>
            <w:vAlign w:val="bottom"/>
          </w:tcPr>
          <w:p>
            <w:pPr>
              <w:spacing w:after="0"/>
              <w:rPr>
                <w:sz w:val="11"/>
                <w:szCs w:val="11"/>
                <w:color w:val="auto"/>
              </w:rPr>
            </w:pPr>
          </w:p>
        </w:tc>
        <w:tc>
          <w:tcPr>
            <w:tcW w:w="90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-14.8%</w:t>
            </w:r>
          </w:p>
        </w:tc>
        <w:tc>
          <w:tcPr>
            <w:tcW w:w="880" w:type="dxa"/>
            <w:vAlign w:val="bottom"/>
          </w:tcPr>
          <w:p>
            <w:pPr>
              <w:jc w:val="right"/>
              <w:spacing w:after="0" w:line="134" w:lineRule="exact"/>
              <w:rPr>
                <w:sz w:val="20"/>
                <w:szCs w:val="20"/>
                <w:color w:val="auto"/>
              </w:rPr>
            </w:pPr>
            <w:r>
              <w:rPr>
                <w:rFonts w:ascii="Arial" w:cs="Arial" w:eastAsia="Arial" w:hAnsi="Arial"/>
                <w:sz w:val="12"/>
                <w:szCs w:val="12"/>
                <w:color w:val="auto"/>
              </w:rPr>
              <w:t>5,383,662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5,089,042</w:t>
            </w:r>
          </w:p>
        </w:tc>
        <w:tc>
          <w:tcPr>
            <w:tcW w:w="102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-5.5%</w:t>
            </w:r>
          </w:p>
        </w:tc>
      </w:tr>
      <w:tr>
        <w:trPr>
          <w:trHeight w:val="173"/>
        </w:trPr>
        <w:tc>
          <w:tcPr>
            <w:tcW w:w="2380" w:type="dxa"/>
            <w:vAlign w:val="bottom"/>
            <w:shd w:val="clear" w:color="auto" w:fill="CCEEFF"/>
          </w:tcPr>
          <w:p>
            <w:pPr>
              <w:ind w:left="140"/>
              <w:spacing w:after="0" w:line="174" w:lineRule="exact"/>
              <w:rPr>
                <w:sz w:val="20"/>
                <w:szCs w:val="20"/>
                <w:color w:val="auto"/>
              </w:rPr>
            </w:pPr>
            <w:r>
              <w:rPr>
                <w:rFonts w:ascii="Arial" w:cs="Arial" w:eastAsia="Arial" w:hAnsi="Arial"/>
                <w:sz w:val="12"/>
                <w:szCs w:val="12"/>
                <w:color w:val="auto"/>
              </w:rPr>
              <w:t xml:space="preserve">Interest expense </w:t>
            </w:r>
            <w:r>
              <w:rPr>
                <w:rFonts w:ascii="Arial" w:cs="Arial" w:eastAsia="Arial" w:hAnsi="Arial"/>
                <w:sz w:val="20"/>
                <w:szCs w:val="20"/>
                <w:color w:val="auto"/>
                <w:vertAlign w:val="superscript"/>
              </w:rPr>
              <w:t>(1)</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(720,921)</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(660,975)</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(636,539)</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-3.7%</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-11.7%</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(1,411,077)</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(1,297,514)</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-8.0%</w:t>
            </w:r>
          </w:p>
        </w:tc>
      </w:tr>
      <w:tr>
        <w:trPr>
          <w:trHeight w:val="133"/>
        </w:trPr>
        <w:tc>
          <w:tcPr>
            <w:tcW w:w="23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Net interest income</w:t>
            </w:r>
          </w:p>
        </w:tc>
        <w:tc>
          <w:tcPr>
            <w:tcW w:w="900" w:type="dxa"/>
            <w:vAlign w:val="bottom"/>
          </w:tcPr>
          <w:p>
            <w:pPr>
              <w:jc w:val="right"/>
              <w:spacing w:after="0" w:line="134" w:lineRule="exact"/>
              <w:rPr>
                <w:sz w:val="20"/>
                <w:szCs w:val="20"/>
                <w:color w:val="auto"/>
              </w:rPr>
            </w:pPr>
            <w:r>
              <w:rPr>
                <w:rFonts w:ascii="Arial" w:cs="Arial" w:eastAsia="Arial" w:hAnsi="Arial"/>
                <w:sz w:val="12"/>
                <w:szCs w:val="12"/>
                <w:b w:val="1"/>
                <w:bCs w:val="1"/>
                <w:color w:val="auto"/>
              </w:rPr>
              <w:t>2,006,526</w:t>
            </w:r>
          </w:p>
        </w:tc>
        <w:tc>
          <w:tcPr>
            <w:tcW w:w="240" w:type="dxa"/>
            <w:vAlign w:val="bottom"/>
          </w:tcPr>
          <w:p>
            <w:pPr>
              <w:spacing w:after="0"/>
              <w:rPr>
                <w:sz w:val="11"/>
                <w:szCs w:val="11"/>
                <w:color w:val="auto"/>
              </w:rPr>
            </w:pPr>
          </w:p>
        </w:tc>
        <w:tc>
          <w:tcPr>
            <w:tcW w:w="1160" w:type="dxa"/>
            <w:vAlign w:val="bottom"/>
            <w:gridSpan w:val="2"/>
          </w:tcPr>
          <w:p>
            <w:pPr>
              <w:jc w:val="right"/>
              <w:ind w:right="240"/>
              <w:spacing w:after="0" w:line="134" w:lineRule="exact"/>
              <w:rPr>
                <w:sz w:val="20"/>
                <w:szCs w:val="20"/>
                <w:color w:val="auto"/>
              </w:rPr>
            </w:pPr>
            <w:r>
              <w:rPr>
                <w:rFonts w:ascii="Arial" w:cs="Arial" w:eastAsia="Arial" w:hAnsi="Arial"/>
                <w:sz w:val="12"/>
                <w:szCs w:val="12"/>
                <w:b w:val="1"/>
                <w:bCs w:val="1"/>
                <w:color w:val="auto"/>
              </w:rPr>
              <w:t>2,102,948</w:t>
            </w:r>
          </w:p>
        </w:tc>
        <w:tc>
          <w:tcPr>
            <w:tcW w:w="880" w:type="dxa"/>
            <w:vAlign w:val="bottom"/>
          </w:tcPr>
          <w:p>
            <w:pPr>
              <w:jc w:val="right"/>
              <w:spacing w:after="0" w:line="134" w:lineRule="exact"/>
              <w:rPr>
                <w:sz w:val="20"/>
                <w:szCs w:val="20"/>
                <w:color w:val="auto"/>
              </w:rPr>
            </w:pPr>
            <w:r>
              <w:rPr>
                <w:rFonts w:ascii="Arial" w:cs="Arial" w:eastAsia="Arial" w:hAnsi="Arial"/>
                <w:sz w:val="12"/>
                <w:szCs w:val="12"/>
                <w:b w:val="1"/>
                <w:bCs w:val="1"/>
                <w:color w:val="auto"/>
              </w:rPr>
              <w:t>1,688,580</w:t>
            </w:r>
          </w:p>
        </w:tc>
        <w:tc>
          <w:tcPr>
            <w:tcW w:w="220" w:type="dxa"/>
            <w:vAlign w:val="bottom"/>
          </w:tcPr>
          <w:p>
            <w:pPr>
              <w:spacing w:after="0"/>
              <w:rPr>
                <w:sz w:val="11"/>
                <w:szCs w:val="11"/>
                <w:color w:val="auto"/>
              </w:rPr>
            </w:pPr>
          </w:p>
        </w:tc>
        <w:tc>
          <w:tcPr>
            <w:tcW w:w="1120" w:type="dxa"/>
            <w:vAlign w:val="bottom"/>
            <w:gridSpan w:val="2"/>
          </w:tcPr>
          <w:p>
            <w:pPr>
              <w:jc w:val="right"/>
              <w:ind w:right="120"/>
              <w:spacing w:after="0" w:line="134" w:lineRule="exact"/>
              <w:rPr>
                <w:sz w:val="20"/>
                <w:szCs w:val="20"/>
                <w:color w:val="auto"/>
              </w:rPr>
            </w:pPr>
            <w:r>
              <w:rPr>
                <w:rFonts w:ascii="Arial" w:cs="Arial" w:eastAsia="Arial" w:hAnsi="Arial"/>
                <w:sz w:val="12"/>
                <w:szCs w:val="12"/>
                <w:b w:val="1"/>
                <w:bCs w:val="1"/>
                <w:color w:val="auto"/>
              </w:rPr>
              <w:t>-19.7%</w:t>
            </w:r>
          </w:p>
        </w:tc>
        <w:tc>
          <w:tcPr>
            <w:tcW w:w="240" w:type="dxa"/>
            <w:vAlign w:val="bottom"/>
          </w:tcPr>
          <w:p>
            <w:pPr>
              <w:spacing w:after="0"/>
              <w:rPr>
                <w:sz w:val="11"/>
                <w:szCs w:val="11"/>
                <w:color w:val="auto"/>
              </w:rPr>
            </w:pPr>
          </w:p>
        </w:tc>
        <w:tc>
          <w:tcPr>
            <w:tcW w:w="900" w:type="dxa"/>
            <w:vAlign w:val="bottom"/>
            <w:gridSpan w:val="2"/>
          </w:tcPr>
          <w:p>
            <w:pPr>
              <w:jc w:val="right"/>
              <w:ind w:right="120"/>
              <w:spacing w:after="0" w:line="134" w:lineRule="exact"/>
              <w:rPr>
                <w:sz w:val="20"/>
                <w:szCs w:val="20"/>
                <w:color w:val="auto"/>
              </w:rPr>
            </w:pPr>
            <w:r>
              <w:rPr>
                <w:rFonts w:ascii="Arial" w:cs="Arial" w:eastAsia="Arial" w:hAnsi="Arial"/>
                <w:sz w:val="12"/>
                <w:szCs w:val="12"/>
                <w:b w:val="1"/>
                <w:bCs w:val="1"/>
                <w:color w:val="auto"/>
              </w:rPr>
              <w:t>-15.8%</w:t>
            </w:r>
          </w:p>
        </w:tc>
        <w:tc>
          <w:tcPr>
            <w:tcW w:w="880" w:type="dxa"/>
            <w:vAlign w:val="bottom"/>
          </w:tcPr>
          <w:p>
            <w:pPr>
              <w:jc w:val="right"/>
              <w:spacing w:after="0" w:line="134" w:lineRule="exact"/>
              <w:rPr>
                <w:sz w:val="20"/>
                <w:szCs w:val="20"/>
                <w:color w:val="auto"/>
              </w:rPr>
            </w:pPr>
            <w:r>
              <w:rPr>
                <w:rFonts w:ascii="Arial" w:cs="Arial" w:eastAsia="Arial" w:hAnsi="Arial"/>
                <w:sz w:val="12"/>
                <w:szCs w:val="12"/>
                <w:b w:val="1"/>
                <w:bCs w:val="1"/>
                <w:color w:val="auto"/>
              </w:rPr>
              <w:t>3,972,585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auto"/>
              </w:rPr>
              <w:t>3,791,528</w:t>
            </w:r>
          </w:p>
        </w:tc>
        <w:tc>
          <w:tcPr>
            <w:tcW w:w="1020" w:type="dxa"/>
            <w:vAlign w:val="bottom"/>
            <w:gridSpan w:val="2"/>
          </w:tcPr>
          <w:p>
            <w:pPr>
              <w:jc w:val="right"/>
              <w:spacing w:after="0" w:line="134" w:lineRule="exact"/>
              <w:rPr>
                <w:sz w:val="20"/>
                <w:szCs w:val="20"/>
                <w:color w:val="auto"/>
              </w:rPr>
            </w:pPr>
            <w:r>
              <w:rPr>
                <w:rFonts w:ascii="Arial" w:cs="Arial" w:eastAsia="Arial" w:hAnsi="Arial"/>
                <w:sz w:val="12"/>
                <w:szCs w:val="12"/>
                <w:b w:val="1"/>
                <w:bCs w:val="1"/>
                <w:color w:val="auto"/>
              </w:rPr>
              <w:t>-4.6%</w:t>
            </w:r>
          </w:p>
        </w:tc>
      </w:tr>
      <w:tr>
        <w:trPr>
          <w:trHeight w:val="133"/>
        </w:trPr>
        <w:tc>
          <w:tcPr>
            <w:tcW w:w="23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Provision for credit losses on loan portfolio</w:t>
            </w:r>
          </w:p>
        </w:tc>
        <w:tc>
          <w:tcPr>
            <w:tcW w:w="11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(494,492)</w:t>
            </w:r>
          </w:p>
        </w:tc>
        <w:tc>
          <w:tcPr>
            <w:tcW w:w="11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(1,340,975)</w:t>
            </w:r>
          </w:p>
        </w:tc>
        <w:tc>
          <w:tcPr>
            <w:tcW w:w="11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(2,425,753)</w:t>
            </w:r>
          </w:p>
        </w:tc>
        <w:tc>
          <w:tcPr>
            <w:tcW w:w="11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80.9%</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390.6%</w:t>
            </w:r>
          </w:p>
        </w:tc>
        <w:tc>
          <w:tcPr>
            <w:tcW w:w="11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(931,706)</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(3,766,728)</w:t>
            </w:r>
          </w:p>
        </w:tc>
        <w:tc>
          <w:tcPr>
            <w:tcW w:w="102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304.3%</w:t>
            </w:r>
          </w:p>
        </w:tc>
      </w:tr>
      <w:tr>
        <w:trPr>
          <w:trHeight w:val="133"/>
        </w:trPr>
        <w:tc>
          <w:tcPr>
            <w:tcW w:w="2380" w:type="dxa"/>
            <w:vAlign w:val="bottom"/>
          </w:tcPr>
          <w:p>
            <w:pPr>
              <w:spacing w:after="0" w:line="134" w:lineRule="exact"/>
              <w:rPr>
                <w:sz w:val="20"/>
                <w:szCs w:val="20"/>
                <w:color w:val="auto"/>
              </w:rPr>
            </w:pPr>
            <w:r>
              <w:rPr>
                <w:rFonts w:ascii="Arial" w:cs="Arial" w:eastAsia="Arial" w:hAnsi="Arial"/>
                <w:sz w:val="12"/>
                <w:szCs w:val="12"/>
                <w:color w:val="auto"/>
              </w:rPr>
              <w:t>Recoveries of written-off loans</w:t>
            </w:r>
          </w:p>
        </w:tc>
        <w:tc>
          <w:tcPr>
            <w:tcW w:w="114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60,861</w:t>
            </w:r>
          </w:p>
        </w:tc>
        <w:tc>
          <w:tcPr>
            <w:tcW w:w="116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43,954</w:t>
            </w:r>
          </w:p>
        </w:tc>
        <w:tc>
          <w:tcPr>
            <w:tcW w:w="110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16,184</w:t>
            </w:r>
          </w:p>
        </w:tc>
        <w:tc>
          <w:tcPr>
            <w:tcW w:w="11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-63.2%</w:t>
            </w:r>
          </w:p>
        </w:tc>
        <w:tc>
          <w:tcPr>
            <w:tcW w:w="240" w:type="dxa"/>
            <w:vAlign w:val="bottom"/>
          </w:tcPr>
          <w:p>
            <w:pPr>
              <w:spacing w:after="0"/>
              <w:rPr>
                <w:sz w:val="11"/>
                <w:szCs w:val="11"/>
                <w:color w:val="auto"/>
              </w:rPr>
            </w:pPr>
          </w:p>
        </w:tc>
        <w:tc>
          <w:tcPr>
            <w:tcW w:w="90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-73.4%</w:t>
            </w:r>
          </w:p>
        </w:tc>
        <w:tc>
          <w:tcPr>
            <w:tcW w:w="110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130,697</w:t>
            </w:r>
          </w:p>
        </w:tc>
        <w:tc>
          <w:tcPr>
            <w:tcW w:w="140" w:type="dxa"/>
            <w:vAlign w:val="bottom"/>
          </w:tcPr>
          <w:p>
            <w:pPr>
              <w:spacing w:after="0"/>
              <w:rPr>
                <w:sz w:val="11"/>
                <w:szCs w:val="11"/>
                <w:color w:val="auto"/>
              </w:rPr>
            </w:pPr>
          </w:p>
        </w:tc>
        <w:tc>
          <w:tcPr>
            <w:tcW w:w="94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60,138</w:t>
            </w:r>
          </w:p>
        </w:tc>
        <w:tc>
          <w:tcPr>
            <w:tcW w:w="102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-54.0%</w:t>
            </w:r>
          </w:p>
        </w:tc>
      </w:tr>
      <w:tr>
        <w:trPr>
          <w:trHeight w:val="115"/>
        </w:trPr>
        <w:tc>
          <w:tcPr>
            <w:tcW w:w="2380" w:type="dxa"/>
            <w:vAlign w:val="bottom"/>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Provision for credit losses on loan</w:t>
            </w: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52"/>
        </w:trPr>
        <w:tc>
          <w:tcPr>
            <w:tcW w:w="2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portfolio, net of recoveries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(433,631)</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(1,297,021)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(2,409,569)</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85.8%</w:t>
            </w: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455.7%</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(801,009)</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(3,706,590)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362.7%</w:t>
            </w:r>
          </w:p>
        </w:tc>
      </w:tr>
      <w:tr>
        <w:trPr>
          <w:trHeight w:val="133"/>
        </w:trPr>
        <w:tc>
          <w:tcPr>
            <w:tcW w:w="2380" w:type="dxa"/>
            <w:vAlign w:val="bottom"/>
          </w:tcPr>
          <w:p>
            <w:pPr>
              <w:spacing w:after="0" w:line="134" w:lineRule="exact"/>
              <w:rPr>
                <w:sz w:val="20"/>
                <w:szCs w:val="20"/>
                <w:color w:val="auto"/>
              </w:rPr>
            </w:pPr>
            <w:r>
              <w:rPr>
                <w:rFonts w:ascii="Arial" w:cs="Arial" w:eastAsia="Arial" w:hAnsi="Arial"/>
                <w:sz w:val="12"/>
                <w:szCs w:val="12"/>
                <w:b w:val="1"/>
                <w:bCs w:val="1"/>
                <w:color w:val="auto"/>
              </w:rPr>
              <w:t>Risk-adjusted net interest income</w:t>
            </w:r>
          </w:p>
        </w:tc>
        <w:tc>
          <w:tcPr>
            <w:tcW w:w="900" w:type="dxa"/>
            <w:vAlign w:val="bottom"/>
          </w:tcPr>
          <w:p>
            <w:pPr>
              <w:jc w:val="right"/>
              <w:spacing w:after="0" w:line="134" w:lineRule="exact"/>
              <w:rPr>
                <w:sz w:val="20"/>
                <w:szCs w:val="20"/>
                <w:color w:val="auto"/>
              </w:rPr>
            </w:pPr>
            <w:r>
              <w:rPr>
                <w:rFonts w:ascii="Arial" w:cs="Arial" w:eastAsia="Arial" w:hAnsi="Arial"/>
                <w:sz w:val="12"/>
                <w:szCs w:val="12"/>
                <w:b w:val="1"/>
                <w:bCs w:val="1"/>
                <w:color w:val="auto"/>
              </w:rPr>
              <w:t>1,572,895</w:t>
            </w:r>
          </w:p>
        </w:tc>
        <w:tc>
          <w:tcPr>
            <w:tcW w:w="240" w:type="dxa"/>
            <w:vAlign w:val="bottom"/>
          </w:tcPr>
          <w:p>
            <w:pPr>
              <w:spacing w:after="0"/>
              <w:rPr>
                <w:sz w:val="11"/>
                <w:szCs w:val="11"/>
                <w:color w:val="auto"/>
              </w:rPr>
            </w:pPr>
          </w:p>
        </w:tc>
        <w:tc>
          <w:tcPr>
            <w:tcW w:w="1160" w:type="dxa"/>
            <w:vAlign w:val="bottom"/>
            <w:gridSpan w:val="2"/>
          </w:tcPr>
          <w:p>
            <w:pPr>
              <w:jc w:val="right"/>
              <w:ind w:right="240"/>
              <w:spacing w:after="0" w:line="134" w:lineRule="exact"/>
              <w:rPr>
                <w:sz w:val="20"/>
                <w:szCs w:val="20"/>
                <w:color w:val="auto"/>
              </w:rPr>
            </w:pPr>
            <w:r>
              <w:rPr>
                <w:rFonts w:ascii="Arial" w:cs="Arial" w:eastAsia="Arial" w:hAnsi="Arial"/>
                <w:sz w:val="12"/>
                <w:szCs w:val="12"/>
                <w:b w:val="1"/>
                <w:bCs w:val="1"/>
                <w:color w:val="auto"/>
              </w:rPr>
              <w:t>805,927</w:t>
            </w:r>
          </w:p>
        </w:tc>
        <w:tc>
          <w:tcPr>
            <w:tcW w:w="1100" w:type="dxa"/>
            <w:vAlign w:val="bottom"/>
            <w:gridSpan w:val="2"/>
          </w:tcPr>
          <w:p>
            <w:pPr>
              <w:jc w:val="right"/>
              <w:ind w:right="180"/>
              <w:spacing w:after="0" w:line="134" w:lineRule="exact"/>
              <w:rPr>
                <w:sz w:val="20"/>
                <w:szCs w:val="20"/>
                <w:color w:val="auto"/>
              </w:rPr>
            </w:pPr>
            <w:r>
              <w:rPr>
                <w:rFonts w:ascii="Arial" w:cs="Arial" w:eastAsia="Arial" w:hAnsi="Arial"/>
                <w:sz w:val="12"/>
                <w:szCs w:val="12"/>
                <w:b w:val="1"/>
                <w:bCs w:val="1"/>
                <w:color w:val="auto"/>
              </w:rPr>
              <w:t>(720,989)</w:t>
            </w:r>
          </w:p>
        </w:tc>
        <w:tc>
          <w:tcPr>
            <w:tcW w:w="1120" w:type="dxa"/>
            <w:vAlign w:val="bottom"/>
            <w:gridSpan w:val="2"/>
          </w:tcPr>
          <w:p>
            <w:pPr>
              <w:jc w:val="right"/>
              <w:ind w:right="120"/>
              <w:spacing w:after="0" w:line="134" w:lineRule="exact"/>
              <w:rPr>
                <w:sz w:val="20"/>
                <w:szCs w:val="20"/>
                <w:color w:val="auto"/>
              </w:rPr>
            </w:pPr>
            <w:r>
              <w:rPr>
                <w:rFonts w:ascii="Arial" w:cs="Arial" w:eastAsia="Arial" w:hAnsi="Arial"/>
                <w:sz w:val="12"/>
                <w:szCs w:val="12"/>
                <w:b w:val="1"/>
                <w:bCs w:val="1"/>
                <w:color w:val="auto"/>
              </w:rPr>
              <w:t>-189.5%</w:t>
            </w:r>
          </w:p>
        </w:tc>
        <w:tc>
          <w:tcPr>
            <w:tcW w:w="240" w:type="dxa"/>
            <w:vAlign w:val="bottom"/>
          </w:tcPr>
          <w:p>
            <w:pPr>
              <w:spacing w:after="0"/>
              <w:rPr>
                <w:sz w:val="11"/>
                <w:szCs w:val="11"/>
                <w:color w:val="auto"/>
              </w:rPr>
            </w:pPr>
          </w:p>
        </w:tc>
        <w:tc>
          <w:tcPr>
            <w:tcW w:w="900" w:type="dxa"/>
            <w:vAlign w:val="bottom"/>
            <w:gridSpan w:val="2"/>
          </w:tcPr>
          <w:p>
            <w:pPr>
              <w:jc w:val="right"/>
              <w:ind w:right="120"/>
              <w:spacing w:after="0" w:line="134" w:lineRule="exact"/>
              <w:rPr>
                <w:sz w:val="20"/>
                <w:szCs w:val="20"/>
                <w:color w:val="auto"/>
              </w:rPr>
            </w:pPr>
            <w:r>
              <w:rPr>
                <w:rFonts w:ascii="Arial" w:cs="Arial" w:eastAsia="Arial" w:hAnsi="Arial"/>
                <w:sz w:val="12"/>
                <w:szCs w:val="12"/>
                <w:b w:val="1"/>
                <w:bCs w:val="1"/>
                <w:color w:val="auto"/>
              </w:rPr>
              <w:t>-145.8%</w:t>
            </w:r>
          </w:p>
        </w:tc>
        <w:tc>
          <w:tcPr>
            <w:tcW w:w="880" w:type="dxa"/>
            <w:vAlign w:val="bottom"/>
          </w:tcPr>
          <w:p>
            <w:pPr>
              <w:jc w:val="right"/>
              <w:spacing w:after="0" w:line="134" w:lineRule="exact"/>
              <w:rPr>
                <w:sz w:val="20"/>
                <w:szCs w:val="20"/>
                <w:color w:val="auto"/>
              </w:rPr>
            </w:pPr>
            <w:r>
              <w:rPr>
                <w:rFonts w:ascii="Arial" w:cs="Arial" w:eastAsia="Arial" w:hAnsi="Arial"/>
                <w:sz w:val="12"/>
                <w:szCs w:val="12"/>
                <w:b w:val="1"/>
                <w:bCs w:val="1"/>
                <w:color w:val="auto"/>
              </w:rPr>
              <w:t>3,171,576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auto"/>
              </w:rPr>
              <w:t>84,938</w:t>
            </w:r>
          </w:p>
        </w:tc>
        <w:tc>
          <w:tcPr>
            <w:tcW w:w="1020" w:type="dxa"/>
            <w:vAlign w:val="bottom"/>
            <w:gridSpan w:val="2"/>
          </w:tcPr>
          <w:p>
            <w:pPr>
              <w:jc w:val="right"/>
              <w:spacing w:after="0" w:line="134" w:lineRule="exact"/>
              <w:rPr>
                <w:sz w:val="20"/>
                <w:szCs w:val="20"/>
                <w:color w:val="auto"/>
              </w:rPr>
            </w:pPr>
            <w:r>
              <w:rPr>
                <w:rFonts w:ascii="Arial" w:cs="Arial" w:eastAsia="Arial" w:hAnsi="Arial"/>
                <w:sz w:val="12"/>
                <w:szCs w:val="12"/>
                <w:b w:val="1"/>
                <w:bCs w:val="1"/>
                <w:color w:val="auto"/>
              </w:rPr>
              <w:t>-97.3%</w:t>
            </w:r>
          </w:p>
        </w:tc>
      </w:tr>
      <w:tr>
        <w:trPr>
          <w:trHeight w:val="133"/>
        </w:trPr>
        <w:tc>
          <w:tcPr>
            <w:tcW w:w="238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Non-financial income</w:t>
            </w: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3"/>
        </w:trPr>
        <w:tc>
          <w:tcPr>
            <w:tcW w:w="2380" w:type="dxa"/>
            <w:vAlign w:val="bottom"/>
          </w:tcPr>
          <w:p>
            <w:pPr>
              <w:ind w:left="140"/>
              <w:spacing w:after="0" w:line="134" w:lineRule="exact"/>
              <w:rPr>
                <w:sz w:val="20"/>
                <w:szCs w:val="20"/>
                <w:color w:val="auto"/>
              </w:rPr>
            </w:pPr>
            <w:r>
              <w:rPr>
                <w:rFonts w:ascii="Arial" w:cs="Arial" w:eastAsia="Arial" w:hAnsi="Arial"/>
                <w:sz w:val="12"/>
                <w:szCs w:val="12"/>
                <w:color w:val="auto"/>
              </w:rPr>
              <w:t>Fee income</w:t>
            </w:r>
          </w:p>
        </w:tc>
        <w:tc>
          <w:tcPr>
            <w:tcW w:w="900" w:type="dxa"/>
            <w:vAlign w:val="bottom"/>
          </w:tcPr>
          <w:p>
            <w:pPr>
              <w:jc w:val="right"/>
              <w:spacing w:after="0" w:line="134" w:lineRule="exact"/>
              <w:rPr>
                <w:sz w:val="20"/>
                <w:szCs w:val="20"/>
                <w:color w:val="auto"/>
              </w:rPr>
            </w:pPr>
            <w:r>
              <w:rPr>
                <w:rFonts w:ascii="Arial" w:cs="Arial" w:eastAsia="Arial" w:hAnsi="Arial"/>
                <w:sz w:val="12"/>
                <w:szCs w:val="12"/>
                <w:color w:val="auto"/>
              </w:rPr>
              <w:t>635,782</w:t>
            </w:r>
          </w:p>
        </w:tc>
        <w:tc>
          <w:tcPr>
            <w:tcW w:w="240" w:type="dxa"/>
            <w:vAlign w:val="bottom"/>
          </w:tcPr>
          <w:p>
            <w:pPr>
              <w:spacing w:after="0"/>
              <w:rPr>
                <w:sz w:val="11"/>
                <w:szCs w:val="11"/>
                <w:color w:val="auto"/>
              </w:rPr>
            </w:pPr>
          </w:p>
        </w:tc>
        <w:tc>
          <w:tcPr>
            <w:tcW w:w="116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602,585</w:t>
            </w:r>
          </w:p>
        </w:tc>
        <w:tc>
          <w:tcPr>
            <w:tcW w:w="110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379,933</w:t>
            </w:r>
          </w:p>
        </w:tc>
        <w:tc>
          <w:tcPr>
            <w:tcW w:w="11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-36.9%</w:t>
            </w:r>
          </w:p>
        </w:tc>
        <w:tc>
          <w:tcPr>
            <w:tcW w:w="240" w:type="dxa"/>
            <w:vAlign w:val="bottom"/>
          </w:tcPr>
          <w:p>
            <w:pPr>
              <w:spacing w:after="0"/>
              <w:rPr>
                <w:sz w:val="11"/>
                <w:szCs w:val="11"/>
                <w:color w:val="auto"/>
              </w:rPr>
            </w:pPr>
          </w:p>
        </w:tc>
        <w:tc>
          <w:tcPr>
            <w:tcW w:w="90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-40.2%</w:t>
            </w:r>
          </w:p>
        </w:tc>
        <w:tc>
          <w:tcPr>
            <w:tcW w:w="880" w:type="dxa"/>
            <w:vAlign w:val="bottom"/>
          </w:tcPr>
          <w:p>
            <w:pPr>
              <w:jc w:val="right"/>
              <w:spacing w:after="0" w:line="134" w:lineRule="exact"/>
              <w:rPr>
                <w:sz w:val="20"/>
                <w:szCs w:val="20"/>
                <w:color w:val="auto"/>
              </w:rPr>
            </w:pPr>
            <w:r>
              <w:rPr>
                <w:rFonts w:ascii="Arial" w:cs="Arial" w:eastAsia="Arial" w:hAnsi="Arial"/>
                <w:sz w:val="12"/>
                <w:szCs w:val="12"/>
                <w:color w:val="auto"/>
              </w:rPr>
              <w:t>1,268,108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982,518</w:t>
            </w:r>
          </w:p>
        </w:tc>
        <w:tc>
          <w:tcPr>
            <w:tcW w:w="102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-22.5%</w:t>
            </w:r>
          </w:p>
        </w:tc>
      </w:tr>
      <w:tr>
        <w:trPr>
          <w:trHeight w:val="133"/>
        </w:trPr>
        <w:tc>
          <w:tcPr>
            <w:tcW w:w="2380" w:type="dxa"/>
            <w:vAlign w:val="bottom"/>
            <w:shd w:val="clear" w:color="auto" w:fill="CCEEFF"/>
          </w:tcPr>
          <w:p>
            <w:pPr>
              <w:ind w:left="140"/>
              <w:spacing w:after="0" w:line="134" w:lineRule="exact"/>
              <w:rPr>
                <w:sz w:val="20"/>
                <w:szCs w:val="20"/>
                <w:color w:val="auto"/>
              </w:rPr>
            </w:pPr>
            <w:r>
              <w:rPr>
                <w:rFonts w:ascii="Arial" w:cs="Arial" w:eastAsia="Arial" w:hAnsi="Arial"/>
                <w:sz w:val="12"/>
                <w:szCs w:val="12"/>
                <w:color w:val="auto"/>
                <w:w w:val="98"/>
              </w:rPr>
              <w:t>Net gain on foreign exchange transactions</w:t>
            </w:r>
          </w:p>
        </w:tc>
        <w:tc>
          <w:tcPr>
            <w:tcW w:w="9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184,131</w:t>
            </w:r>
          </w:p>
        </w:tc>
        <w:tc>
          <w:tcPr>
            <w:tcW w:w="2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177,407</w:t>
            </w:r>
          </w:p>
        </w:tc>
        <w:tc>
          <w:tcPr>
            <w:tcW w:w="110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143,905</w:t>
            </w:r>
          </w:p>
        </w:tc>
        <w:tc>
          <w:tcPr>
            <w:tcW w:w="11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-18.9%</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-21.8%</w:t>
            </w:r>
          </w:p>
        </w:tc>
        <w:tc>
          <w:tcPr>
            <w:tcW w:w="110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354,150</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321,312</w:t>
            </w:r>
          </w:p>
        </w:tc>
        <w:tc>
          <w:tcPr>
            <w:tcW w:w="102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-9.3%</w:t>
            </w:r>
          </w:p>
        </w:tc>
      </w:tr>
      <w:tr>
        <w:trPr>
          <w:trHeight w:val="133"/>
        </w:trPr>
        <w:tc>
          <w:tcPr>
            <w:tcW w:w="2380" w:type="dxa"/>
            <w:vAlign w:val="bottom"/>
          </w:tcPr>
          <w:p>
            <w:pPr>
              <w:ind w:left="140"/>
              <w:spacing w:after="0" w:line="134" w:lineRule="exact"/>
              <w:rPr>
                <w:sz w:val="20"/>
                <w:szCs w:val="20"/>
                <w:color w:val="auto"/>
              </w:rPr>
            </w:pPr>
            <w:r>
              <w:rPr>
                <w:rFonts w:ascii="Arial" w:cs="Arial" w:eastAsia="Arial" w:hAnsi="Arial"/>
                <w:sz w:val="12"/>
                <w:szCs w:val="12"/>
                <w:color w:val="auto"/>
              </w:rPr>
              <w:t>Net gain on securities</w:t>
            </w:r>
          </w:p>
        </w:tc>
        <w:tc>
          <w:tcPr>
            <w:tcW w:w="114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20,431</w:t>
            </w:r>
          </w:p>
        </w:tc>
        <w:tc>
          <w:tcPr>
            <w:tcW w:w="11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(31,791)</w:t>
            </w:r>
          </w:p>
        </w:tc>
        <w:tc>
          <w:tcPr>
            <w:tcW w:w="110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72,350</w:t>
            </w:r>
          </w:p>
        </w:tc>
        <w:tc>
          <w:tcPr>
            <w:tcW w:w="11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-327.6%</w:t>
            </w:r>
          </w:p>
        </w:tc>
        <w:tc>
          <w:tcPr>
            <w:tcW w:w="240" w:type="dxa"/>
            <w:vAlign w:val="bottom"/>
          </w:tcPr>
          <w:p>
            <w:pPr>
              <w:spacing w:after="0"/>
              <w:rPr>
                <w:sz w:val="11"/>
                <w:szCs w:val="11"/>
                <w:color w:val="auto"/>
              </w:rPr>
            </w:pPr>
          </w:p>
        </w:tc>
        <w:tc>
          <w:tcPr>
            <w:tcW w:w="90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254.1%</w:t>
            </w:r>
          </w:p>
        </w:tc>
        <w:tc>
          <w:tcPr>
            <w:tcW w:w="110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26,301</w:t>
            </w:r>
          </w:p>
        </w:tc>
        <w:tc>
          <w:tcPr>
            <w:tcW w:w="140" w:type="dxa"/>
            <w:vAlign w:val="bottom"/>
          </w:tcPr>
          <w:p>
            <w:pPr>
              <w:spacing w:after="0"/>
              <w:rPr>
                <w:sz w:val="11"/>
                <w:szCs w:val="11"/>
                <w:color w:val="auto"/>
              </w:rPr>
            </w:pPr>
          </w:p>
        </w:tc>
        <w:tc>
          <w:tcPr>
            <w:tcW w:w="94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40,559</w:t>
            </w:r>
          </w:p>
        </w:tc>
        <w:tc>
          <w:tcPr>
            <w:tcW w:w="102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54.2%</w:t>
            </w:r>
          </w:p>
        </w:tc>
      </w:tr>
      <w:tr>
        <w:trPr>
          <w:trHeight w:val="133"/>
        </w:trPr>
        <w:tc>
          <w:tcPr>
            <w:tcW w:w="2380" w:type="dxa"/>
            <w:vAlign w:val="bottom"/>
            <w:shd w:val="clear" w:color="auto" w:fill="CCEEFF"/>
          </w:tcPr>
          <w:p>
            <w:pPr>
              <w:ind w:left="140"/>
              <w:spacing w:after="0" w:line="134" w:lineRule="exact"/>
              <w:rPr>
                <w:sz w:val="20"/>
                <w:szCs w:val="20"/>
                <w:color w:val="auto"/>
              </w:rPr>
            </w:pPr>
            <w:r>
              <w:rPr>
                <w:rFonts w:ascii="Arial" w:cs="Arial" w:eastAsia="Arial" w:hAnsi="Arial"/>
                <w:sz w:val="12"/>
                <w:szCs w:val="12"/>
                <w:color w:val="auto"/>
              </w:rPr>
              <w:t>Net gain on derivatives held for trading</w:t>
            </w:r>
          </w:p>
        </w:tc>
        <w:tc>
          <w:tcPr>
            <w:tcW w:w="114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12,918</w:t>
            </w:r>
          </w:p>
        </w:tc>
        <w:tc>
          <w:tcPr>
            <w:tcW w:w="11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(568)</w:t>
            </w:r>
          </w:p>
        </w:tc>
        <w:tc>
          <w:tcPr>
            <w:tcW w:w="110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34,979</w:t>
            </w:r>
          </w:p>
        </w:tc>
        <w:tc>
          <w:tcPr>
            <w:tcW w:w="11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-6258.3%</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170.8%</w:t>
            </w:r>
          </w:p>
        </w:tc>
        <w:tc>
          <w:tcPr>
            <w:tcW w:w="110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25,588</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34,411</w:t>
            </w:r>
          </w:p>
        </w:tc>
        <w:tc>
          <w:tcPr>
            <w:tcW w:w="102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34.5%</w:t>
            </w:r>
          </w:p>
        </w:tc>
      </w:tr>
      <w:tr>
        <w:trPr>
          <w:trHeight w:val="133"/>
        </w:trPr>
        <w:tc>
          <w:tcPr>
            <w:tcW w:w="2380" w:type="dxa"/>
            <w:vAlign w:val="bottom"/>
          </w:tcPr>
          <w:p>
            <w:pPr>
              <w:ind w:left="140"/>
              <w:spacing w:after="0" w:line="134" w:lineRule="exact"/>
              <w:rPr>
                <w:sz w:val="20"/>
                <w:szCs w:val="20"/>
                <w:color w:val="auto"/>
              </w:rPr>
            </w:pPr>
            <w:r>
              <w:rPr>
                <w:rFonts w:ascii="Arial" w:cs="Arial" w:eastAsia="Arial" w:hAnsi="Arial"/>
                <w:sz w:val="12"/>
                <w:szCs w:val="12"/>
                <w:color w:val="auto"/>
              </w:rPr>
              <w:t>Net gain from exchange differences</w:t>
            </w:r>
          </w:p>
        </w:tc>
        <w:tc>
          <w:tcPr>
            <w:tcW w:w="900" w:type="dxa"/>
            <w:vAlign w:val="bottom"/>
          </w:tcPr>
          <w:p>
            <w:pPr>
              <w:jc w:val="right"/>
              <w:spacing w:after="0" w:line="134" w:lineRule="exact"/>
              <w:rPr>
                <w:sz w:val="20"/>
                <w:szCs w:val="20"/>
                <w:color w:val="auto"/>
              </w:rPr>
            </w:pPr>
            <w:r>
              <w:rPr>
                <w:rFonts w:ascii="Arial" w:cs="Arial" w:eastAsia="Arial" w:hAnsi="Arial"/>
                <w:sz w:val="12"/>
                <w:szCs w:val="12"/>
                <w:color w:val="auto"/>
              </w:rPr>
              <w:t>4,618</w:t>
            </w:r>
          </w:p>
        </w:tc>
        <w:tc>
          <w:tcPr>
            <w:tcW w:w="240" w:type="dxa"/>
            <w:vAlign w:val="bottom"/>
          </w:tcPr>
          <w:p>
            <w:pPr>
              <w:spacing w:after="0"/>
              <w:rPr>
                <w:sz w:val="11"/>
                <w:szCs w:val="11"/>
                <w:color w:val="auto"/>
              </w:rPr>
            </w:pPr>
          </w:p>
        </w:tc>
        <w:tc>
          <w:tcPr>
            <w:tcW w:w="11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(19,548)</w:t>
            </w:r>
          </w:p>
        </w:tc>
        <w:tc>
          <w:tcPr>
            <w:tcW w:w="110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8,495</w:t>
            </w:r>
          </w:p>
        </w:tc>
        <w:tc>
          <w:tcPr>
            <w:tcW w:w="11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-143.5%</w:t>
            </w:r>
          </w:p>
        </w:tc>
        <w:tc>
          <w:tcPr>
            <w:tcW w:w="240" w:type="dxa"/>
            <w:vAlign w:val="bottom"/>
          </w:tcPr>
          <w:p>
            <w:pPr>
              <w:spacing w:after="0"/>
              <w:rPr>
                <w:sz w:val="11"/>
                <w:szCs w:val="11"/>
                <w:color w:val="auto"/>
              </w:rPr>
            </w:pPr>
          </w:p>
        </w:tc>
        <w:tc>
          <w:tcPr>
            <w:tcW w:w="90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84.0%</w:t>
            </w:r>
          </w:p>
        </w:tc>
        <w:tc>
          <w:tcPr>
            <w:tcW w:w="110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15,479</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(11,053)</w:t>
            </w:r>
          </w:p>
        </w:tc>
        <w:tc>
          <w:tcPr>
            <w:tcW w:w="102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-171.4%</w:t>
            </w:r>
          </w:p>
        </w:tc>
      </w:tr>
      <w:tr>
        <w:trPr>
          <w:trHeight w:val="133"/>
        </w:trPr>
        <w:tc>
          <w:tcPr>
            <w:tcW w:w="2380" w:type="dxa"/>
            <w:vAlign w:val="bottom"/>
            <w:shd w:val="clear" w:color="auto" w:fill="CCEEFF"/>
          </w:tcPr>
          <w:p>
            <w:pPr>
              <w:ind w:left="140"/>
              <w:spacing w:after="0" w:line="134" w:lineRule="exact"/>
              <w:rPr>
                <w:sz w:val="20"/>
                <w:szCs w:val="20"/>
                <w:color w:val="auto"/>
              </w:rPr>
            </w:pPr>
            <w:r>
              <w:rPr>
                <w:rFonts w:ascii="Arial" w:cs="Arial" w:eastAsia="Arial" w:hAnsi="Arial"/>
                <w:sz w:val="12"/>
                <w:szCs w:val="12"/>
                <w:color w:val="auto"/>
              </w:rPr>
              <w:t>Others</w:t>
            </w:r>
          </w:p>
        </w:tc>
        <w:tc>
          <w:tcPr>
            <w:tcW w:w="114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47,128</w:t>
            </w:r>
          </w:p>
        </w:tc>
        <w:tc>
          <w:tcPr>
            <w:tcW w:w="116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92,808</w:t>
            </w:r>
          </w:p>
        </w:tc>
        <w:tc>
          <w:tcPr>
            <w:tcW w:w="110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21,512</w:t>
            </w:r>
          </w:p>
        </w:tc>
        <w:tc>
          <w:tcPr>
            <w:tcW w:w="11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-76.8%</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-54.4%</w:t>
            </w:r>
          </w:p>
        </w:tc>
        <w:tc>
          <w:tcPr>
            <w:tcW w:w="110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2"/>
                <w:szCs w:val="12"/>
                <w:color w:val="auto"/>
              </w:rPr>
              <w:t>97,913</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114,320</w:t>
            </w:r>
          </w:p>
        </w:tc>
        <w:tc>
          <w:tcPr>
            <w:tcW w:w="102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16.8%</w:t>
            </w:r>
          </w:p>
        </w:tc>
      </w:tr>
      <w:tr>
        <w:trPr>
          <w:trHeight w:val="133"/>
        </w:trPr>
        <w:tc>
          <w:tcPr>
            <w:tcW w:w="23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Total other income</w:t>
            </w:r>
          </w:p>
        </w:tc>
        <w:tc>
          <w:tcPr>
            <w:tcW w:w="900" w:type="dxa"/>
            <w:vAlign w:val="bottom"/>
          </w:tcPr>
          <w:p>
            <w:pPr>
              <w:jc w:val="right"/>
              <w:spacing w:after="0" w:line="134" w:lineRule="exact"/>
              <w:rPr>
                <w:sz w:val="20"/>
                <w:szCs w:val="20"/>
                <w:color w:val="auto"/>
              </w:rPr>
            </w:pPr>
            <w:r>
              <w:rPr>
                <w:rFonts w:ascii="Arial" w:cs="Arial" w:eastAsia="Arial" w:hAnsi="Arial"/>
                <w:sz w:val="12"/>
                <w:szCs w:val="12"/>
                <w:b w:val="1"/>
                <w:bCs w:val="1"/>
                <w:color w:val="auto"/>
              </w:rPr>
              <w:t>905,008</w:t>
            </w:r>
          </w:p>
        </w:tc>
        <w:tc>
          <w:tcPr>
            <w:tcW w:w="240" w:type="dxa"/>
            <w:vAlign w:val="bottom"/>
          </w:tcPr>
          <w:p>
            <w:pPr>
              <w:spacing w:after="0"/>
              <w:rPr>
                <w:sz w:val="11"/>
                <w:szCs w:val="11"/>
                <w:color w:val="auto"/>
              </w:rPr>
            </w:pPr>
          </w:p>
        </w:tc>
        <w:tc>
          <w:tcPr>
            <w:tcW w:w="1160" w:type="dxa"/>
            <w:vAlign w:val="bottom"/>
            <w:gridSpan w:val="2"/>
          </w:tcPr>
          <w:p>
            <w:pPr>
              <w:jc w:val="right"/>
              <w:ind w:right="240"/>
              <w:spacing w:after="0" w:line="134" w:lineRule="exact"/>
              <w:rPr>
                <w:sz w:val="20"/>
                <w:szCs w:val="20"/>
                <w:color w:val="auto"/>
              </w:rPr>
            </w:pPr>
            <w:r>
              <w:rPr>
                <w:rFonts w:ascii="Arial" w:cs="Arial" w:eastAsia="Arial" w:hAnsi="Arial"/>
                <w:sz w:val="12"/>
                <w:szCs w:val="12"/>
                <w:b w:val="1"/>
                <w:bCs w:val="1"/>
                <w:color w:val="auto"/>
              </w:rPr>
              <w:t>820,893</w:t>
            </w:r>
          </w:p>
        </w:tc>
        <w:tc>
          <w:tcPr>
            <w:tcW w:w="1100" w:type="dxa"/>
            <w:vAlign w:val="bottom"/>
            <w:gridSpan w:val="2"/>
          </w:tcPr>
          <w:p>
            <w:pPr>
              <w:jc w:val="right"/>
              <w:ind w:right="220"/>
              <w:spacing w:after="0" w:line="134" w:lineRule="exact"/>
              <w:rPr>
                <w:sz w:val="20"/>
                <w:szCs w:val="20"/>
                <w:color w:val="auto"/>
              </w:rPr>
            </w:pPr>
            <w:r>
              <w:rPr>
                <w:rFonts w:ascii="Arial" w:cs="Arial" w:eastAsia="Arial" w:hAnsi="Arial"/>
                <w:sz w:val="12"/>
                <w:szCs w:val="12"/>
                <w:b w:val="1"/>
                <w:bCs w:val="1"/>
                <w:color w:val="auto"/>
              </w:rPr>
              <w:t>661,174</w:t>
            </w:r>
          </w:p>
        </w:tc>
        <w:tc>
          <w:tcPr>
            <w:tcW w:w="1120" w:type="dxa"/>
            <w:vAlign w:val="bottom"/>
            <w:gridSpan w:val="2"/>
          </w:tcPr>
          <w:p>
            <w:pPr>
              <w:jc w:val="right"/>
              <w:ind w:right="120"/>
              <w:spacing w:after="0" w:line="134" w:lineRule="exact"/>
              <w:rPr>
                <w:sz w:val="20"/>
                <w:szCs w:val="20"/>
                <w:color w:val="auto"/>
              </w:rPr>
            </w:pPr>
            <w:r>
              <w:rPr>
                <w:rFonts w:ascii="Arial" w:cs="Arial" w:eastAsia="Arial" w:hAnsi="Arial"/>
                <w:sz w:val="12"/>
                <w:szCs w:val="12"/>
                <w:b w:val="1"/>
                <w:bCs w:val="1"/>
                <w:color w:val="auto"/>
              </w:rPr>
              <w:t>-19.5%</w:t>
            </w:r>
          </w:p>
        </w:tc>
        <w:tc>
          <w:tcPr>
            <w:tcW w:w="240" w:type="dxa"/>
            <w:vAlign w:val="bottom"/>
          </w:tcPr>
          <w:p>
            <w:pPr>
              <w:spacing w:after="0"/>
              <w:rPr>
                <w:sz w:val="11"/>
                <w:szCs w:val="11"/>
                <w:color w:val="auto"/>
              </w:rPr>
            </w:pPr>
          </w:p>
        </w:tc>
        <w:tc>
          <w:tcPr>
            <w:tcW w:w="900" w:type="dxa"/>
            <w:vAlign w:val="bottom"/>
            <w:gridSpan w:val="2"/>
          </w:tcPr>
          <w:p>
            <w:pPr>
              <w:jc w:val="right"/>
              <w:ind w:right="120"/>
              <w:spacing w:after="0" w:line="134" w:lineRule="exact"/>
              <w:rPr>
                <w:sz w:val="20"/>
                <w:szCs w:val="20"/>
                <w:color w:val="auto"/>
              </w:rPr>
            </w:pPr>
            <w:r>
              <w:rPr>
                <w:rFonts w:ascii="Arial" w:cs="Arial" w:eastAsia="Arial" w:hAnsi="Arial"/>
                <w:sz w:val="12"/>
                <w:szCs w:val="12"/>
                <w:b w:val="1"/>
                <w:bCs w:val="1"/>
                <w:color w:val="auto"/>
              </w:rPr>
              <w:t>-26.9%</w:t>
            </w:r>
          </w:p>
        </w:tc>
        <w:tc>
          <w:tcPr>
            <w:tcW w:w="880" w:type="dxa"/>
            <w:vAlign w:val="bottom"/>
          </w:tcPr>
          <w:p>
            <w:pPr>
              <w:jc w:val="right"/>
              <w:spacing w:after="0" w:line="134" w:lineRule="exact"/>
              <w:rPr>
                <w:sz w:val="20"/>
                <w:szCs w:val="20"/>
                <w:color w:val="auto"/>
              </w:rPr>
            </w:pPr>
            <w:r>
              <w:rPr>
                <w:rFonts w:ascii="Arial" w:cs="Arial" w:eastAsia="Arial" w:hAnsi="Arial"/>
                <w:sz w:val="12"/>
                <w:szCs w:val="12"/>
                <w:b w:val="1"/>
                <w:bCs w:val="1"/>
                <w:color w:val="auto"/>
              </w:rPr>
              <w:t>1,787,539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auto"/>
              </w:rPr>
              <w:t>1,482,067</w:t>
            </w:r>
          </w:p>
        </w:tc>
        <w:tc>
          <w:tcPr>
            <w:tcW w:w="1020" w:type="dxa"/>
            <w:vAlign w:val="bottom"/>
            <w:gridSpan w:val="2"/>
          </w:tcPr>
          <w:p>
            <w:pPr>
              <w:jc w:val="right"/>
              <w:spacing w:after="0" w:line="134" w:lineRule="exact"/>
              <w:rPr>
                <w:sz w:val="20"/>
                <w:szCs w:val="20"/>
                <w:color w:val="auto"/>
              </w:rPr>
            </w:pPr>
            <w:r>
              <w:rPr>
                <w:rFonts w:ascii="Arial" w:cs="Arial" w:eastAsia="Arial" w:hAnsi="Arial"/>
                <w:sz w:val="12"/>
                <w:szCs w:val="12"/>
                <w:b w:val="1"/>
                <w:bCs w:val="1"/>
                <w:color w:val="auto"/>
              </w:rPr>
              <w:t>-17.1%</w:t>
            </w:r>
          </w:p>
        </w:tc>
      </w:tr>
      <w:tr>
        <w:trPr>
          <w:trHeight w:val="133"/>
        </w:trPr>
        <w:tc>
          <w:tcPr>
            <w:tcW w:w="238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Total expenses</w:t>
            </w: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3"/>
        </w:trPr>
        <w:tc>
          <w:tcPr>
            <w:tcW w:w="2380" w:type="dxa"/>
            <w:vAlign w:val="bottom"/>
          </w:tcPr>
          <w:p>
            <w:pPr>
              <w:ind w:left="140"/>
              <w:spacing w:after="0" w:line="134" w:lineRule="exact"/>
              <w:rPr>
                <w:sz w:val="20"/>
                <w:szCs w:val="20"/>
                <w:color w:val="auto"/>
              </w:rPr>
            </w:pPr>
            <w:r>
              <w:rPr>
                <w:rFonts w:ascii="Arial" w:cs="Arial" w:eastAsia="Arial" w:hAnsi="Arial"/>
                <w:sz w:val="12"/>
                <w:szCs w:val="12"/>
                <w:color w:val="auto"/>
              </w:rPr>
              <w:t>Salaries and employee benefits</w:t>
            </w:r>
          </w:p>
        </w:tc>
        <w:tc>
          <w:tcPr>
            <w:tcW w:w="11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(638,802)</w:t>
            </w:r>
          </w:p>
        </w:tc>
        <w:tc>
          <w:tcPr>
            <w:tcW w:w="11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(657,774)</w:t>
            </w:r>
          </w:p>
        </w:tc>
        <w:tc>
          <w:tcPr>
            <w:tcW w:w="110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(589,893)</w:t>
            </w:r>
          </w:p>
        </w:tc>
        <w:tc>
          <w:tcPr>
            <w:tcW w:w="11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-10.3%</w:t>
            </w:r>
          </w:p>
        </w:tc>
        <w:tc>
          <w:tcPr>
            <w:tcW w:w="240" w:type="dxa"/>
            <w:vAlign w:val="bottom"/>
          </w:tcPr>
          <w:p>
            <w:pPr>
              <w:spacing w:after="0"/>
              <w:rPr>
                <w:sz w:val="11"/>
                <w:szCs w:val="11"/>
                <w:color w:val="auto"/>
              </w:rPr>
            </w:pPr>
          </w:p>
        </w:tc>
        <w:tc>
          <w:tcPr>
            <w:tcW w:w="90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-7.7%</w:t>
            </w:r>
          </w:p>
        </w:tc>
        <w:tc>
          <w:tcPr>
            <w:tcW w:w="110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(1,265,570)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(1,247,667)</w:t>
            </w:r>
          </w:p>
        </w:tc>
        <w:tc>
          <w:tcPr>
            <w:tcW w:w="102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-1.4%</w:t>
            </w:r>
          </w:p>
        </w:tc>
      </w:tr>
      <w:tr>
        <w:trPr>
          <w:trHeight w:val="133"/>
        </w:trPr>
        <w:tc>
          <w:tcPr>
            <w:tcW w:w="2380" w:type="dxa"/>
            <w:vAlign w:val="bottom"/>
            <w:shd w:val="clear" w:color="auto" w:fill="CCEEFF"/>
          </w:tcPr>
          <w:p>
            <w:pPr>
              <w:ind w:left="140"/>
              <w:spacing w:after="0" w:line="134" w:lineRule="exact"/>
              <w:rPr>
                <w:sz w:val="20"/>
                <w:szCs w:val="20"/>
                <w:color w:val="auto"/>
              </w:rPr>
            </w:pPr>
            <w:r>
              <w:rPr>
                <w:rFonts w:ascii="Arial" w:cs="Arial" w:eastAsia="Arial" w:hAnsi="Arial"/>
                <w:sz w:val="12"/>
                <w:szCs w:val="12"/>
                <w:color w:val="auto"/>
              </w:rPr>
              <w:t>Administrative expenses</w:t>
            </w:r>
          </w:p>
        </w:tc>
        <w:tc>
          <w:tcPr>
            <w:tcW w:w="11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(503,987)</w:t>
            </w:r>
          </w:p>
        </w:tc>
        <w:tc>
          <w:tcPr>
            <w:tcW w:w="11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(404,917)</w:t>
            </w:r>
          </w:p>
        </w:tc>
        <w:tc>
          <w:tcPr>
            <w:tcW w:w="11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(378,687)</w:t>
            </w:r>
          </w:p>
        </w:tc>
        <w:tc>
          <w:tcPr>
            <w:tcW w:w="11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-6.5%</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-24.9%</w:t>
            </w:r>
          </w:p>
        </w:tc>
        <w:tc>
          <w:tcPr>
            <w:tcW w:w="11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(963,353)</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(783,604)</w:t>
            </w:r>
          </w:p>
        </w:tc>
        <w:tc>
          <w:tcPr>
            <w:tcW w:w="102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-18.7%</w:t>
            </w:r>
          </w:p>
        </w:tc>
      </w:tr>
      <w:tr>
        <w:trPr>
          <w:trHeight w:val="173"/>
        </w:trPr>
        <w:tc>
          <w:tcPr>
            <w:tcW w:w="2380" w:type="dxa"/>
            <w:vAlign w:val="bottom"/>
          </w:tcPr>
          <w:p>
            <w:pPr>
              <w:ind w:left="140"/>
              <w:spacing w:after="0" w:line="174" w:lineRule="exact"/>
              <w:rPr>
                <w:sz w:val="20"/>
                <w:szCs w:val="20"/>
                <w:color w:val="auto"/>
              </w:rPr>
            </w:pPr>
            <w:r>
              <w:rPr>
                <w:rFonts w:ascii="Arial" w:cs="Arial" w:eastAsia="Arial" w:hAnsi="Arial"/>
                <w:sz w:val="12"/>
                <w:szCs w:val="12"/>
                <w:color w:val="auto"/>
              </w:rPr>
              <w:t xml:space="preserve">Depreciation and amortization </w:t>
            </w:r>
            <w:r>
              <w:rPr>
                <w:rFonts w:ascii="Arial" w:cs="Arial" w:eastAsia="Arial" w:hAnsi="Arial"/>
                <w:sz w:val="20"/>
                <w:szCs w:val="20"/>
                <w:color w:val="auto"/>
                <w:vertAlign w:val="superscript"/>
              </w:rPr>
              <w:t>(2)</w:t>
            </w: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(63,593)</w:t>
            </w: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(133,928)</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(134,137)</w:t>
            </w: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0.2%</w:t>
            </w: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110.9%</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(134,947)</w:t>
            </w: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(268,065)</w:t>
            </w: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98.6%</w:t>
            </w:r>
          </w:p>
        </w:tc>
      </w:tr>
      <w:tr>
        <w:trPr>
          <w:trHeight w:val="133"/>
        </w:trPr>
        <w:tc>
          <w:tcPr>
            <w:tcW w:w="2380" w:type="dxa"/>
            <w:vAlign w:val="bottom"/>
            <w:shd w:val="clear" w:color="auto" w:fill="CCEEFF"/>
          </w:tcPr>
          <w:p>
            <w:pPr>
              <w:ind w:left="140"/>
              <w:spacing w:after="0" w:line="134" w:lineRule="exact"/>
              <w:rPr>
                <w:sz w:val="20"/>
                <w:szCs w:val="20"/>
                <w:color w:val="auto"/>
              </w:rPr>
            </w:pPr>
            <w:r>
              <w:rPr>
                <w:rFonts w:ascii="Arial" w:cs="Arial" w:eastAsia="Arial" w:hAnsi="Arial"/>
                <w:sz w:val="12"/>
                <w:szCs w:val="12"/>
                <w:color w:val="auto"/>
              </w:rPr>
              <w:t>Other expenses</w:t>
            </w:r>
          </w:p>
        </w:tc>
        <w:tc>
          <w:tcPr>
            <w:tcW w:w="11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(27,943)</w:t>
            </w:r>
          </w:p>
        </w:tc>
        <w:tc>
          <w:tcPr>
            <w:tcW w:w="11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(151,363)</w:t>
            </w:r>
          </w:p>
        </w:tc>
        <w:tc>
          <w:tcPr>
            <w:tcW w:w="11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(77,386)</w:t>
            </w:r>
          </w:p>
        </w:tc>
        <w:tc>
          <w:tcPr>
            <w:tcW w:w="11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-48.9%</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176.9%</w:t>
            </w:r>
          </w:p>
        </w:tc>
        <w:tc>
          <w:tcPr>
            <w:tcW w:w="11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color w:val="auto"/>
              </w:rPr>
              <w:t>(59,033)</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(228,749)</w:t>
            </w:r>
          </w:p>
        </w:tc>
        <w:tc>
          <w:tcPr>
            <w:tcW w:w="102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287.5%</w:t>
            </w:r>
          </w:p>
        </w:tc>
      </w:tr>
      <w:tr>
        <w:trPr>
          <w:trHeight w:val="133"/>
        </w:trPr>
        <w:tc>
          <w:tcPr>
            <w:tcW w:w="23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Total expenses</w:t>
            </w:r>
          </w:p>
        </w:tc>
        <w:tc>
          <w:tcPr>
            <w:tcW w:w="1140" w:type="dxa"/>
            <w:vAlign w:val="bottom"/>
            <w:gridSpan w:val="2"/>
          </w:tcPr>
          <w:p>
            <w:pPr>
              <w:jc w:val="right"/>
              <w:ind w:right="180"/>
              <w:spacing w:after="0" w:line="134" w:lineRule="exact"/>
              <w:rPr>
                <w:sz w:val="20"/>
                <w:szCs w:val="20"/>
                <w:color w:val="auto"/>
              </w:rPr>
            </w:pPr>
            <w:r>
              <w:rPr>
                <w:rFonts w:ascii="Arial" w:cs="Arial" w:eastAsia="Arial" w:hAnsi="Arial"/>
                <w:sz w:val="12"/>
                <w:szCs w:val="12"/>
                <w:b w:val="1"/>
                <w:bCs w:val="1"/>
                <w:color w:val="auto"/>
              </w:rPr>
              <w:t>(1,234,325)</w:t>
            </w:r>
          </w:p>
        </w:tc>
        <w:tc>
          <w:tcPr>
            <w:tcW w:w="116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auto"/>
              </w:rPr>
              <w:t>(1,347,982)</w:t>
            </w:r>
          </w:p>
        </w:tc>
        <w:tc>
          <w:tcPr>
            <w:tcW w:w="1100" w:type="dxa"/>
            <w:vAlign w:val="bottom"/>
            <w:gridSpan w:val="2"/>
          </w:tcPr>
          <w:p>
            <w:pPr>
              <w:jc w:val="right"/>
              <w:ind w:right="180"/>
              <w:spacing w:after="0" w:line="134" w:lineRule="exact"/>
              <w:rPr>
                <w:sz w:val="20"/>
                <w:szCs w:val="20"/>
                <w:color w:val="auto"/>
              </w:rPr>
            </w:pPr>
            <w:r>
              <w:rPr>
                <w:rFonts w:ascii="Arial" w:cs="Arial" w:eastAsia="Arial" w:hAnsi="Arial"/>
                <w:sz w:val="12"/>
                <w:szCs w:val="12"/>
                <w:b w:val="1"/>
                <w:bCs w:val="1"/>
                <w:color w:val="auto"/>
              </w:rPr>
              <w:t>(1,180,103)</w:t>
            </w:r>
          </w:p>
        </w:tc>
        <w:tc>
          <w:tcPr>
            <w:tcW w:w="1120" w:type="dxa"/>
            <w:vAlign w:val="bottom"/>
            <w:gridSpan w:val="2"/>
          </w:tcPr>
          <w:p>
            <w:pPr>
              <w:jc w:val="right"/>
              <w:ind w:right="120"/>
              <w:spacing w:after="0" w:line="134" w:lineRule="exact"/>
              <w:rPr>
                <w:sz w:val="20"/>
                <w:szCs w:val="20"/>
                <w:color w:val="auto"/>
              </w:rPr>
            </w:pPr>
            <w:r>
              <w:rPr>
                <w:rFonts w:ascii="Arial" w:cs="Arial" w:eastAsia="Arial" w:hAnsi="Arial"/>
                <w:sz w:val="12"/>
                <w:szCs w:val="12"/>
                <w:b w:val="1"/>
                <w:bCs w:val="1"/>
                <w:color w:val="auto"/>
              </w:rPr>
              <w:t>-12.5%</w:t>
            </w:r>
          </w:p>
        </w:tc>
        <w:tc>
          <w:tcPr>
            <w:tcW w:w="240" w:type="dxa"/>
            <w:vAlign w:val="bottom"/>
          </w:tcPr>
          <w:p>
            <w:pPr>
              <w:spacing w:after="0"/>
              <w:rPr>
                <w:sz w:val="11"/>
                <w:szCs w:val="11"/>
                <w:color w:val="auto"/>
              </w:rPr>
            </w:pPr>
          </w:p>
        </w:tc>
        <w:tc>
          <w:tcPr>
            <w:tcW w:w="900" w:type="dxa"/>
            <w:vAlign w:val="bottom"/>
            <w:gridSpan w:val="2"/>
          </w:tcPr>
          <w:p>
            <w:pPr>
              <w:jc w:val="right"/>
              <w:ind w:right="120"/>
              <w:spacing w:after="0" w:line="134" w:lineRule="exact"/>
              <w:rPr>
                <w:sz w:val="20"/>
                <w:szCs w:val="20"/>
                <w:color w:val="auto"/>
              </w:rPr>
            </w:pPr>
            <w:r>
              <w:rPr>
                <w:rFonts w:ascii="Arial" w:cs="Arial" w:eastAsia="Arial" w:hAnsi="Arial"/>
                <w:sz w:val="12"/>
                <w:szCs w:val="12"/>
                <w:b w:val="1"/>
                <w:bCs w:val="1"/>
                <w:color w:val="auto"/>
              </w:rPr>
              <w:t>-4.4%</w:t>
            </w:r>
          </w:p>
        </w:tc>
        <w:tc>
          <w:tcPr>
            <w:tcW w:w="1100" w:type="dxa"/>
            <w:vAlign w:val="bottom"/>
            <w:gridSpan w:val="2"/>
          </w:tcPr>
          <w:p>
            <w:pPr>
              <w:jc w:val="right"/>
              <w:ind w:right="180"/>
              <w:spacing w:after="0" w:line="134" w:lineRule="exact"/>
              <w:rPr>
                <w:sz w:val="20"/>
                <w:szCs w:val="20"/>
                <w:color w:val="auto"/>
              </w:rPr>
            </w:pPr>
            <w:r>
              <w:rPr>
                <w:rFonts w:ascii="Arial" w:cs="Arial" w:eastAsia="Arial" w:hAnsi="Arial"/>
                <w:sz w:val="12"/>
                <w:szCs w:val="12"/>
                <w:b w:val="1"/>
                <w:bCs w:val="1"/>
                <w:color w:val="auto"/>
              </w:rPr>
              <w:t>(2,422,903)</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line="134" w:lineRule="exact"/>
              <w:rPr>
                <w:sz w:val="20"/>
                <w:szCs w:val="20"/>
                <w:color w:val="auto"/>
              </w:rPr>
            </w:pPr>
            <w:r>
              <w:rPr>
                <w:rFonts w:ascii="Arial" w:cs="Arial" w:eastAsia="Arial" w:hAnsi="Arial"/>
                <w:sz w:val="12"/>
                <w:szCs w:val="12"/>
                <w:b w:val="1"/>
                <w:bCs w:val="1"/>
                <w:color w:val="auto"/>
              </w:rPr>
              <w:t>(2,528,085)</w:t>
            </w:r>
          </w:p>
        </w:tc>
        <w:tc>
          <w:tcPr>
            <w:tcW w:w="1020" w:type="dxa"/>
            <w:vAlign w:val="bottom"/>
            <w:gridSpan w:val="2"/>
          </w:tcPr>
          <w:p>
            <w:pPr>
              <w:jc w:val="right"/>
              <w:spacing w:after="0" w:line="134" w:lineRule="exact"/>
              <w:rPr>
                <w:sz w:val="20"/>
                <w:szCs w:val="20"/>
                <w:color w:val="auto"/>
              </w:rPr>
            </w:pPr>
            <w:r>
              <w:rPr>
                <w:rFonts w:ascii="Arial" w:cs="Arial" w:eastAsia="Arial" w:hAnsi="Arial"/>
                <w:sz w:val="12"/>
                <w:szCs w:val="12"/>
                <w:b w:val="1"/>
                <w:bCs w:val="1"/>
                <w:color w:val="auto"/>
              </w:rPr>
              <w:t>4.3%</w:t>
            </w:r>
          </w:p>
        </w:tc>
      </w:tr>
      <w:tr>
        <w:trPr>
          <w:trHeight w:val="133"/>
        </w:trPr>
        <w:tc>
          <w:tcPr>
            <w:tcW w:w="238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Profit before income tax</w:t>
            </w:r>
          </w:p>
        </w:tc>
        <w:tc>
          <w:tcPr>
            <w:tcW w:w="9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1,243,578</w:t>
            </w:r>
          </w:p>
        </w:tc>
        <w:tc>
          <w:tcPr>
            <w:tcW w:w="2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b w:val="1"/>
                <w:bCs w:val="1"/>
                <w:color w:val="auto"/>
              </w:rPr>
              <w:t>278,838</w:t>
            </w:r>
          </w:p>
        </w:tc>
        <w:tc>
          <w:tcPr>
            <w:tcW w:w="11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b w:val="1"/>
                <w:bCs w:val="1"/>
                <w:color w:val="auto"/>
              </w:rPr>
              <w:t>(1,239,918)</w:t>
            </w:r>
          </w:p>
        </w:tc>
        <w:tc>
          <w:tcPr>
            <w:tcW w:w="112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b w:val="1"/>
                <w:bCs w:val="1"/>
                <w:color w:val="auto"/>
              </w:rPr>
              <w:t>-544.7%</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b w:val="1"/>
                <w:bCs w:val="1"/>
                <w:color w:val="auto"/>
              </w:rPr>
              <w:t>-199.7%</w:t>
            </w:r>
          </w:p>
        </w:tc>
        <w:tc>
          <w:tcPr>
            <w:tcW w:w="8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2,536,212</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b w:val="1"/>
                <w:bCs w:val="1"/>
                <w:color w:val="auto"/>
              </w:rPr>
              <w:t>(961,080)</w:t>
            </w:r>
          </w:p>
        </w:tc>
        <w:tc>
          <w:tcPr>
            <w:tcW w:w="10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-137.9%</w:t>
            </w:r>
          </w:p>
        </w:tc>
      </w:tr>
      <w:tr>
        <w:trPr>
          <w:trHeight w:val="133"/>
        </w:trPr>
        <w:tc>
          <w:tcPr>
            <w:tcW w:w="2380" w:type="dxa"/>
            <w:vAlign w:val="bottom"/>
          </w:tcPr>
          <w:p>
            <w:pPr>
              <w:ind w:left="140"/>
              <w:spacing w:after="0" w:line="134" w:lineRule="exact"/>
              <w:rPr>
                <w:sz w:val="20"/>
                <w:szCs w:val="20"/>
                <w:color w:val="auto"/>
              </w:rPr>
            </w:pPr>
            <w:r>
              <w:rPr>
                <w:rFonts w:ascii="Arial" w:cs="Arial" w:eastAsia="Arial" w:hAnsi="Arial"/>
                <w:sz w:val="12"/>
                <w:szCs w:val="12"/>
                <w:color w:val="auto"/>
              </w:rPr>
              <w:t>Income tax</w:t>
            </w:r>
          </w:p>
        </w:tc>
        <w:tc>
          <w:tcPr>
            <w:tcW w:w="11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(334,458)</w:t>
            </w:r>
          </w:p>
        </w:tc>
        <w:tc>
          <w:tcPr>
            <w:tcW w:w="11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(97,582)</w:t>
            </w:r>
          </w:p>
        </w:tc>
        <w:tc>
          <w:tcPr>
            <w:tcW w:w="110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422,109</w:t>
            </w:r>
          </w:p>
        </w:tc>
        <w:tc>
          <w:tcPr>
            <w:tcW w:w="11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-532.6 %</w:t>
            </w:r>
          </w:p>
        </w:tc>
        <w:tc>
          <w:tcPr>
            <w:tcW w:w="240" w:type="dxa"/>
            <w:vAlign w:val="bottom"/>
          </w:tcPr>
          <w:p>
            <w:pPr>
              <w:spacing w:after="0"/>
              <w:rPr>
                <w:sz w:val="11"/>
                <w:szCs w:val="11"/>
                <w:color w:val="auto"/>
              </w:rPr>
            </w:pPr>
          </w:p>
        </w:tc>
        <w:tc>
          <w:tcPr>
            <w:tcW w:w="90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-226.2 %</w:t>
            </w:r>
          </w:p>
        </w:tc>
        <w:tc>
          <w:tcPr>
            <w:tcW w:w="110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(689,536)</w:t>
            </w:r>
          </w:p>
        </w:tc>
        <w:tc>
          <w:tcPr>
            <w:tcW w:w="140" w:type="dxa"/>
            <w:vAlign w:val="bottom"/>
          </w:tcPr>
          <w:p>
            <w:pPr>
              <w:spacing w:after="0"/>
              <w:rPr>
                <w:sz w:val="11"/>
                <w:szCs w:val="11"/>
                <w:color w:val="auto"/>
              </w:rPr>
            </w:pPr>
          </w:p>
        </w:tc>
        <w:tc>
          <w:tcPr>
            <w:tcW w:w="94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324,527</w:t>
            </w:r>
          </w:p>
        </w:tc>
        <w:tc>
          <w:tcPr>
            <w:tcW w:w="102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-147.1%</w:t>
            </w:r>
          </w:p>
        </w:tc>
      </w:tr>
      <w:tr>
        <w:trPr>
          <w:trHeight w:val="133"/>
        </w:trPr>
        <w:tc>
          <w:tcPr>
            <w:tcW w:w="238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Net profit</w:t>
            </w:r>
          </w:p>
        </w:tc>
        <w:tc>
          <w:tcPr>
            <w:tcW w:w="9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909,120</w:t>
            </w:r>
          </w:p>
        </w:tc>
        <w:tc>
          <w:tcPr>
            <w:tcW w:w="2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b w:val="1"/>
                <w:bCs w:val="1"/>
                <w:color w:val="auto"/>
              </w:rPr>
              <w:t>181,256</w:t>
            </w:r>
          </w:p>
        </w:tc>
        <w:tc>
          <w:tcPr>
            <w:tcW w:w="110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2"/>
                <w:szCs w:val="12"/>
                <w:b w:val="1"/>
                <w:bCs w:val="1"/>
                <w:color w:val="auto"/>
              </w:rPr>
              <w:t>(817,809)</w:t>
            </w:r>
          </w:p>
        </w:tc>
        <w:tc>
          <w:tcPr>
            <w:tcW w:w="112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b w:val="1"/>
                <w:bCs w:val="1"/>
                <w:color w:val="auto"/>
              </w:rPr>
              <w:t>-551.2%</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2"/>
                <w:szCs w:val="12"/>
                <w:b w:val="1"/>
                <w:bCs w:val="1"/>
                <w:color w:val="auto"/>
              </w:rPr>
              <w:t>-190.0%</w:t>
            </w:r>
          </w:p>
        </w:tc>
        <w:tc>
          <w:tcPr>
            <w:tcW w:w="8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1,846,676</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b w:val="1"/>
                <w:bCs w:val="1"/>
                <w:color w:val="auto"/>
              </w:rPr>
              <w:t>(636,553)</w:t>
            </w:r>
          </w:p>
        </w:tc>
        <w:tc>
          <w:tcPr>
            <w:tcW w:w="10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-134.5%</w:t>
            </w:r>
          </w:p>
        </w:tc>
      </w:tr>
      <w:tr>
        <w:trPr>
          <w:trHeight w:val="133"/>
        </w:trPr>
        <w:tc>
          <w:tcPr>
            <w:tcW w:w="2380" w:type="dxa"/>
            <w:vAlign w:val="bottom"/>
          </w:tcPr>
          <w:p>
            <w:pPr>
              <w:spacing w:after="0" w:line="134" w:lineRule="exact"/>
              <w:rPr>
                <w:sz w:val="20"/>
                <w:szCs w:val="20"/>
                <w:color w:val="auto"/>
              </w:rPr>
            </w:pPr>
            <w:r>
              <w:rPr>
                <w:rFonts w:ascii="Arial" w:cs="Arial" w:eastAsia="Arial" w:hAnsi="Arial"/>
                <w:sz w:val="12"/>
                <w:szCs w:val="12"/>
                <w:color w:val="auto"/>
              </w:rPr>
              <w:t>Non-controlling interest</w:t>
            </w:r>
          </w:p>
        </w:tc>
        <w:tc>
          <w:tcPr>
            <w:tcW w:w="114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(4,844)</w:t>
            </w:r>
          </w:p>
        </w:tc>
        <w:tc>
          <w:tcPr>
            <w:tcW w:w="116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(1,534)</w:t>
            </w:r>
          </w:p>
        </w:tc>
        <w:tc>
          <w:tcPr>
            <w:tcW w:w="1100" w:type="dxa"/>
            <w:vAlign w:val="bottom"/>
            <w:gridSpan w:val="2"/>
          </w:tcPr>
          <w:p>
            <w:pPr>
              <w:jc w:val="right"/>
              <w:ind w:right="220"/>
              <w:spacing w:after="0" w:line="134" w:lineRule="exact"/>
              <w:rPr>
                <w:sz w:val="20"/>
                <w:szCs w:val="20"/>
                <w:color w:val="auto"/>
              </w:rPr>
            </w:pPr>
            <w:r>
              <w:rPr>
                <w:rFonts w:ascii="Arial" w:cs="Arial" w:eastAsia="Arial" w:hAnsi="Arial"/>
                <w:sz w:val="12"/>
                <w:szCs w:val="12"/>
                <w:color w:val="auto"/>
              </w:rPr>
              <w:t>14,266</w:t>
            </w:r>
          </w:p>
        </w:tc>
        <w:tc>
          <w:tcPr>
            <w:tcW w:w="11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-1030.0%</w:t>
            </w:r>
          </w:p>
        </w:tc>
        <w:tc>
          <w:tcPr>
            <w:tcW w:w="240" w:type="dxa"/>
            <w:vAlign w:val="bottom"/>
          </w:tcPr>
          <w:p>
            <w:pPr>
              <w:spacing w:after="0"/>
              <w:rPr>
                <w:sz w:val="11"/>
                <w:szCs w:val="11"/>
                <w:color w:val="auto"/>
              </w:rPr>
            </w:pPr>
          </w:p>
        </w:tc>
        <w:tc>
          <w:tcPr>
            <w:tcW w:w="900" w:type="dxa"/>
            <w:vAlign w:val="bottom"/>
            <w:gridSpan w:val="2"/>
          </w:tcPr>
          <w:p>
            <w:pPr>
              <w:jc w:val="right"/>
              <w:ind w:right="160"/>
              <w:spacing w:after="0" w:line="134" w:lineRule="exact"/>
              <w:rPr>
                <w:sz w:val="20"/>
                <w:szCs w:val="20"/>
                <w:color w:val="auto"/>
              </w:rPr>
            </w:pPr>
            <w:r>
              <w:rPr>
                <w:rFonts w:ascii="Arial" w:cs="Arial" w:eastAsia="Arial" w:hAnsi="Arial"/>
                <w:sz w:val="12"/>
                <w:szCs w:val="12"/>
                <w:color w:val="auto"/>
              </w:rPr>
              <w:t>-394.5 %</w:t>
            </w:r>
          </w:p>
        </w:tc>
        <w:tc>
          <w:tcPr>
            <w:tcW w:w="1100" w:type="dxa"/>
            <w:vAlign w:val="bottom"/>
            <w:gridSpan w:val="2"/>
          </w:tcPr>
          <w:p>
            <w:pPr>
              <w:jc w:val="right"/>
              <w:ind w:right="180"/>
              <w:spacing w:after="0" w:line="134" w:lineRule="exact"/>
              <w:rPr>
                <w:sz w:val="20"/>
                <w:szCs w:val="20"/>
                <w:color w:val="auto"/>
              </w:rPr>
            </w:pPr>
            <w:r>
              <w:rPr>
                <w:rFonts w:ascii="Arial" w:cs="Arial" w:eastAsia="Arial" w:hAnsi="Arial"/>
                <w:sz w:val="12"/>
                <w:szCs w:val="12"/>
                <w:color w:val="auto"/>
              </w:rPr>
              <w:t>(9,775)</w:t>
            </w:r>
          </w:p>
        </w:tc>
        <w:tc>
          <w:tcPr>
            <w:tcW w:w="140" w:type="dxa"/>
            <w:vAlign w:val="bottom"/>
          </w:tcPr>
          <w:p>
            <w:pPr>
              <w:spacing w:after="0"/>
              <w:rPr>
                <w:sz w:val="11"/>
                <w:szCs w:val="11"/>
                <w:color w:val="auto"/>
              </w:rPr>
            </w:pPr>
          </w:p>
        </w:tc>
        <w:tc>
          <w:tcPr>
            <w:tcW w:w="940" w:type="dxa"/>
            <w:vAlign w:val="bottom"/>
            <w:gridSpan w:val="2"/>
          </w:tcPr>
          <w:p>
            <w:pPr>
              <w:jc w:val="right"/>
              <w:ind w:right="200"/>
              <w:spacing w:after="0" w:line="134" w:lineRule="exact"/>
              <w:rPr>
                <w:sz w:val="20"/>
                <w:szCs w:val="20"/>
                <w:color w:val="auto"/>
              </w:rPr>
            </w:pPr>
            <w:r>
              <w:rPr>
                <w:rFonts w:ascii="Arial" w:cs="Arial" w:eastAsia="Arial" w:hAnsi="Arial"/>
                <w:sz w:val="12"/>
                <w:szCs w:val="12"/>
                <w:color w:val="auto"/>
              </w:rPr>
              <w:t>12,732</w:t>
            </w:r>
          </w:p>
        </w:tc>
        <w:tc>
          <w:tcPr>
            <w:tcW w:w="102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-230.3%</w:t>
            </w:r>
          </w:p>
        </w:tc>
      </w:tr>
      <w:tr>
        <w:trPr>
          <w:trHeight w:val="115"/>
        </w:trPr>
        <w:tc>
          <w:tcPr>
            <w:tcW w:w="2380" w:type="dxa"/>
            <w:vAlign w:val="bottom"/>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Net profit attributable to BCP</w:t>
            </w: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52"/>
        </w:trPr>
        <w:tc>
          <w:tcPr>
            <w:tcW w:w="2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Consolidated</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904,276</w:t>
            </w:r>
          </w:p>
        </w:tc>
        <w:tc>
          <w:tcPr>
            <w:tcW w:w="2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179,722</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(803,543)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-547.1%</w:t>
            </w: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-188.9%</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1,836,901</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(623,821)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-134.0%</w:t>
            </w:r>
          </w:p>
        </w:tc>
      </w:tr>
    </w:tbl>
    <w:p>
      <w:pPr>
        <w:spacing w:after="0" w:line="199" w:lineRule="exact"/>
        <w:rPr>
          <w:sz w:val="20"/>
          <w:szCs w:val="20"/>
          <w:color w:val="auto"/>
        </w:rPr>
      </w:pPr>
    </w:p>
    <w:p>
      <w:pPr>
        <w:ind w:left="180" w:hanging="173"/>
        <w:spacing w:after="0"/>
        <w:tabs>
          <w:tab w:leader="none" w:pos="1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As of 2019, financing expenses related to lease agreements is included according to the application of IFRS 16.</w:t>
      </w:r>
    </w:p>
    <w:p>
      <w:pPr>
        <w:spacing w:after="0" w:line="5" w:lineRule="exact"/>
        <w:rPr>
          <w:rFonts w:ascii="Arial" w:cs="Arial" w:eastAsia="Arial" w:hAnsi="Arial"/>
          <w:sz w:val="12"/>
          <w:szCs w:val="12"/>
          <w:color w:val="auto"/>
        </w:rPr>
      </w:pPr>
    </w:p>
    <w:p>
      <w:pPr>
        <w:ind w:firstLine="7"/>
        <w:spacing w:after="0" w:line="247" w:lineRule="auto"/>
        <w:tabs>
          <w:tab w:leader="none" w:pos="197" w:val="left"/>
        </w:tabs>
        <w:numPr>
          <w:ilvl w:val="0"/>
          <w:numId w:val="86"/>
        </w:numPr>
        <w:rPr>
          <w:rFonts w:ascii="Arial" w:cs="Arial" w:eastAsia="Arial" w:hAnsi="Arial"/>
          <w:sz w:val="12"/>
          <w:szCs w:val="12"/>
          <w:color w:val="auto"/>
        </w:rPr>
      </w:pPr>
      <w:r>
        <w:rPr>
          <w:rFonts w:ascii="Arial" w:cs="Arial" w:eastAsia="Arial" w:hAnsi="Arial"/>
          <w:sz w:val="12"/>
          <w:szCs w:val="12"/>
          <w:color w:val="auto"/>
        </w:rPr>
        <w:t>From this quarter, the effect is being incorporated by the application of IFRS 16, which corresponds to a greater depreciation for the asset for right-of-use". Likewise, the expenses related to the depreciation of improvements in building for rent is being reclassified to the item "Other expenses".</w:t>
      </w:r>
    </w:p>
    <w:p>
      <w:pPr>
        <w:spacing w:after="0" w:line="400"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4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Borders>
              <w:bottom w:val="single" w:sz="8" w:color="auto"/>
            </w:tcBorders>
            <w:gridSpan w:val="3"/>
          </w:tcPr>
          <w:p>
            <w:pPr>
              <w:ind w:left="1060"/>
              <w:spacing w:after="0"/>
              <w:rPr>
                <w:sz w:val="20"/>
                <w:szCs w:val="20"/>
                <w:color w:val="auto"/>
              </w:rPr>
            </w:pPr>
            <w:r>
              <w:rPr>
                <w:rFonts w:ascii="Arial" w:cs="Arial" w:eastAsia="Arial" w:hAnsi="Arial"/>
                <w:sz w:val="18"/>
                <w:szCs w:val="18"/>
                <w:b w:val="1"/>
                <w:bCs w:val="1"/>
                <w:color w:val="auto"/>
              </w:rPr>
              <w:t>YTD</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1"/>
        </w:trPr>
        <w:tc>
          <w:tcPr>
            <w:tcW w:w="4480" w:type="dxa"/>
            <w:vAlign w:val="bottom"/>
          </w:tcPr>
          <w:p>
            <w:pPr>
              <w:spacing w:after="0"/>
              <w:rPr>
                <w:sz w:val="19"/>
                <w:szCs w:val="19"/>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2Q19</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1Q20</w:t>
            </w:r>
          </w:p>
        </w:tc>
        <w:tc>
          <w:tcPr>
            <w:tcW w:w="1120" w:type="dxa"/>
            <w:vAlign w:val="bottom"/>
          </w:tcPr>
          <w:p>
            <w:pPr>
              <w:jc w:val="right"/>
              <w:ind w:right="271"/>
              <w:spacing w:after="0"/>
              <w:rPr>
                <w:sz w:val="20"/>
                <w:szCs w:val="20"/>
                <w:color w:val="auto"/>
              </w:rPr>
            </w:pPr>
            <w:r>
              <w:rPr>
                <w:rFonts w:ascii="Arial" w:cs="Arial" w:eastAsia="Arial" w:hAnsi="Arial"/>
                <w:sz w:val="18"/>
                <w:szCs w:val="18"/>
                <w:b w:val="1"/>
                <w:bCs w:val="1"/>
                <w:color w:val="auto"/>
              </w:rPr>
              <w:t>2Q20</w:t>
            </w:r>
          </w:p>
        </w:tc>
        <w:tc>
          <w:tcPr>
            <w:tcW w:w="260" w:type="dxa"/>
            <w:vAlign w:val="bottom"/>
          </w:tcPr>
          <w:p>
            <w:pPr>
              <w:spacing w:after="0"/>
              <w:rPr>
                <w:sz w:val="19"/>
                <w:szCs w:val="19"/>
                <w:color w:val="auto"/>
              </w:rPr>
            </w:pPr>
          </w:p>
        </w:tc>
        <w:tc>
          <w:tcPr>
            <w:tcW w:w="1560" w:type="dxa"/>
            <w:vAlign w:val="bottom"/>
            <w:gridSpan w:val="3"/>
          </w:tcPr>
          <w:p>
            <w:pPr>
              <w:ind w:left="300"/>
              <w:spacing w:after="0"/>
              <w:rPr>
                <w:sz w:val="20"/>
                <w:szCs w:val="20"/>
                <w:color w:val="auto"/>
              </w:rPr>
            </w:pPr>
            <w:r>
              <w:rPr>
                <w:rFonts w:ascii="Arial" w:cs="Arial" w:eastAsia="Arial" w:hAnsi="Arial"/>
                <w:sz w:val="18"/>
                <w:szCs w:val="18"/>
                <w:b w:val="1"/>
                <w:bCs w:val="1"/>
                <w:color w:val="auto"/>
              </w:rPr>
              <w:t>Jun 19</w:t>
            </w:r>
          </w:p>
        </w:tc>
        <w:tc>
          <w:tcPr>
            <w:tcW w:w="920" w:type="dxa"/>
            <w:vAlign w:val="bottom"/>
          </w:tcPr>
          <w:p>
            <w:pPr>
              <w:ind w:left="120"/>
              <w:spacing w:after="0"/>
              <w:rPr>
                <w:sz w:val="20"/>
                <w:szCs w:val="20"/>
                <w:color w:val="auto"/>
              </w:rPr>
            </w:pPr>
            <w:r>
              <w:rPr>
                <w:rFonts w:ascii="Arial" w:cs="Arial" w:eastAsia="Arial" w:hAnsi="Arial"/>
                <w:sz w:val="18"/>
                <w:szCs w:val="18"/>
                <w:b w:val="1"/>
                <w:bCs w:val="1"/>
                <w:color w:val="auto"/>
              </w:rPr>
              <w:t>Jun 20</w:t>
            </w:r>
          </w:p>
        </w:tc>
        <w:tc>
          <w:tcPr>
            <w:tcW w:w="160" w:type="dxa"/>
            <w:vAlign w:val="bottom"/>
          </w:tcPr>
          <w:p>
            <w:pPr>
              <w:spacing w:after="0"/>
              <w:rPr>
                <w:sz w:val="19"/>
                <w:szCs w:val="19"/>
                <w:color w:val="auto"/>
              </w:rPr>
            </w:pPr>
          </w:p>
        </w:tc>
      </w:tr>
      <w:tr>
        <w:trPr>
          <w:trHeight w:val="207"/>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Profitability</w:t>
            </w: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54"/>
        </w:trPr>
        <w:tc>
          <w:tcPr>
            <w:tcW w:w="4480" w:type="dxa"/>
            <w:vAlign w:val="bottom"/>
          </w:tcPr>
          <w:p>
            <w:pPr>
              <w:spacing w:after="0" w:line="253"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9"/>
                <w:szCs w:val="29"/>
                <w:color w:val="auto"/>
                <w:vertAlign w:val="superscript"/>
              </w:rPr>
              <w:t>(1)</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0.082</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0.016</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(0.073)</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0.166</w:t>
            </w:r>
          </w:p>
        </w:tc>
        <w:tc>
          <w:tcPr>
            <w:tcW w:w="1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(0.056)</w:t>
            </w:r>
          </w:p>
        </w:tc>
      </w:tr>
      <w:tr>
        <w:trPr>
          <w:trHeight w:val="254"/>
        </w:trPr>
        <w:tc>
          <w:tcPr>
            <w:tcW w:w="4480" w:type="dxa"/>
            <w:vAlign w:val="bottom"/>
            <w:shd w:val="clear" w:color="auto" w:fill="CCEEFF"/>
          </w:tcPr>
          <w:p>
            <w:pPr>
              <w:spacing w:after="0" w:line="253" w:lineRule="exact"/>
              <w:rPr>
                <w:sz w:val="20"/>
                <w:szCs w:val="20"/>
                <w:color w:val="auto"/>
              </w:rPr>
            </w:pPr>
            <w:r>
              <w:rPr>
                <w:rFonts w:ascii="Arial" w:cs="Arial" w:eastAsia="Arial" w:hAnsi="Arial"/>
                <w:sz w:val="29"/>
                <w:szCs w:val="29"/>
                <w:color w:val="auto"/>
                <w:vertAlign w:val="subscript"/>
              </w:rPr>
              <w:t>ROAA</w:t>
            </w:r>
            <w:r>
              <w:rPr>
                <w:rFonts w:ascii="Arial" w:cs="Arial" w:eastAsia="Arial" w:hAnsi="Arial"/>
                <w:sz w:val="13"/>
                <w:szCs w:val="13"/>
                <w:color w:val="auto"/>
              </w:rPr>
              <w:t xml:space="preserve"> (2)(3)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r>
      <w:tr>
        <w:trPr>
          <w:trHeight w:val="254"/>
        </w:trPr>
        <w:tc>
          <w:tcPr>
            <w:tcW w:w="4480" w:type="dxa"/>
            <w:vAlign w:val="bottom"/>
          </w:tcPr>
          <w:p>
            <w:pPr>
              <w:spacing w:after="0" w:line="253" w:lineRule="exact"/>
              <w:rPr>
                <w:sz w:val="20"/>
                <w:szCs w:val="20"/>
                <w:color w:val="auto"/>
              </w:rPr>
            </w:pPr>
            <w:r>
              <w:rPr>
                <w:rFonts w:ascii="Arial" w:cs="Arial" w:eastAsia="Arial" w:hAnsi="Arial"/>
                <w:sz w:val="29"/>
                <w:szCs w:val="29"/>
                <w:color w:val="auto"/>
                <w:vertAlign w:val="subscript"/>
              </w:rPr>
              <w:t>ROAE</w:t>
            </w:r>
            <w:r>
              <w:rPr>
                <w:rFonts w:ascii="Arial" w:cs="Arial" w:eastAsia="Arial" w:hAnsi="Arial"/>
                <w:sz w:val="13"/>
                <w:szCs w:val="13"/>
                <w:color w:val="auto"/>
              </w:rPr>
              <w:t xml:space="preserve"> (2)(3)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21.2%</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-18.0%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54"/>
        </w:trPr>
        <w:tc>
          <w:tcPr>
            <w:tcW w:w="448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9"/>
                <w:szCs w:val="29"/>
                <w:color w:val="auto"/>
                <w:vertAlign w:val="superscript"/>
              </w:rPr>
              <w:t>(2)(3)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w:t>
            </w: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r>
      <w:tr>
        <w:trPr>
          <w:trHeight w:val="254"/>
        </w:trPr>
        <w:tc>
          <w:tcPr>
            <w:tcW w:w="4480" w:type="dxa"/>
            <w:vAlign w:val="bottom"/>
          </w:tcPr>
          <w:p>
            <w:pPr>
              <w:spacing w:after="0" w:line="253" w:lineRule="exact"/>
              <w:rPr>
                <w:sz w:val="20"/>
                <w:szCs w:val="20"/>
                <w:color w:val="auto"/>
              </w:rPr>
            </w:pPr>
            <w:r>
              <w:rPr>
                <w:rFonts w:ascii="Arial" w:cs="Arial" w:eastAsia="Arial" w:hAnsi="Arial"/>
                <w:sz w:val="18"/>
                <w:szCs w:val="18"/>
                <w:color w:val="auto"/>
              </w:rPr>
              <w:t xml:space="preserve">Risk adjusted NIM </w:t>
            </w:r>
            <w:r>
              <w:rPr>
                <w:rFonts w:ascii="Arial" w:cs="Arial" w:eastAsia="Arial" w:hAnsi="Arial"/>
                <w:sz w:val="29"/>
                <w:szCs w:val="29"/>
                <w:color w:val="auto"/>
                <w:vertAlign w:val="superscript"/>
              </w:rPr>
              <w:t>(2)(3)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4.56%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2.16%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-1.76%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2.33%</w:t>
            </w:r>
          </w:p>
        </w:tc>
        <w:tc>
          <w:tcPr>
            <w:tcW w:w="18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r>
      <w:tr>
        <w:trPr>
          <w:trHeight w:val="254"/>
        </w:trPr>
        <w:tc>
          <w:tcPr>
            <w:tcW w:w="448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 xml:space="preserve">Funding Cost </w:t>
            </w:r>
            <w:r>
              <w:rPr>
                <w:rFonts w:ascii="Arial" w:cs="Arial" w:eastAsia="Arial" w:hAnsi="Arial"/>
                <w:sz w:val="29"/>
                <w:szCs w:val="29"/>
                <w:color w:val="auto"/>
                <w:vertAlign w:val="superscript"/>
              </w:rPr>
              <w:t>(2)(3)(4)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0.90%</w:t>
            </w:r>
          </w:p>
        </w:tc>
      </w:tr>
      <w:tr>
        <w:trPr>
          <w:trHeight w:val="213"/>
        </w:trPr>
        <w:tc>
          <w:tcPr>
            <w:tcW w:w="448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IOL ratio</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w:t>
            </w:r>
          </w:p>
        </w:tc>
      </w:tr>
      <w:tr>
        <w:trPr>
          <w:trHeight w:val="213"/>
        </w:trPr>
        <w:tc>
          <w:tcPr>
            <w:tcW w:w="4480" w:type="dxa"/>
            <w:vAlign w:val="bottom"/>
          </w:tcPr>
          <w:p>
            <w:pPr>
              <w:spacing w:after="0"/>
              <w:rPr>
                <w:sz w:val="20"/>
                <w:szCs w:val="20"/>
                <w:color w:val="auto"/>
              </w:rPr>
            </w:pPr>
            <w:r>
              <w:rPr>
                <w:rFonts w:ascii="Arial" w:cs="Arial" w:eastAsia="Arial" w:hAnsi="Arial"/>
                <w:sz w:val="18"/>
                <w:szCs w:val="18"/>
                <w:color w:val="auto"/>
              </w:rPr>
              <w:t>NPL ratio</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4.34%</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3.99%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4.34%</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3.99%</w:t>
            </w:r>
          </w:p>
        </w:tc>
      </w:tr>
      <w:tr>
        <w:trPr>
          <w:trHeight w:val="213"/>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Coverage of IOLs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214.7%</w:t>
            </w:r>
          </w:p>
        </w:tc>
      </w:tr>
      <w:tr>
        <w:trPr>
          <w:trHeight w:val="213"/>
        </w:trPr>
        <w:tc>
          <w:tcPr>
            <w:tcW w:w="4480" w:type="dxa"/>
            <w:vAlign w:val="bottom"/>
          </w:tcPr>
          <w:p>
            <w:pPr>
              <w:spacing w:after="0"/>
              <w:rPr>
                <w:sz w:val="20"/>
                <w:szCs w:val="20"/>
                <w:color w:val="auto"/>
              </w:rPr>
            </w:pPr>
            <w:r>
              <w:rPr>
                <w:rFonts w:ascii="Arial" w:cs="Arial" w:eastAsia="Arial" w:hAnsi="Arial"/>
                <w:sz w:val="18"/>
                <w:szCs w:val="18"/>
                <w:color w:val="auto"/>
              </w:rPr>
              <w:t>Coverage of NPLs</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107.1%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123.9%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163.5%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107.1%</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163.5%</w:t>
            </w:r>
          </w:p>
        </w:tc>
      </w:tr>
      <w:tr>
        <w:trPr>
          <w:trHeight w:val="254"/>
        </w:trPr>
        <w:tc>
          <w:tcPr>
            <w:tcW w:w="448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 xml:space="preserve">Cost of risk </w:t>
            </w:r>
            <w:r>
              <w:rPr>
                <w:rFonts w:ascii="Arial" w:cs="Arial" w:eastAsia="Arial" w:hAnsi="Arial"/>
                <w:sz w:val="29"/>
                <w:szCs w:val="29"/>
                <w:color w:val="auto"/>
                <w:vertAlign w:val="superscript"/>
              </w:rPr>
              <w:t>(5)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0.80%</w:t>
            </w: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r>
      <w:tr>
        <w:trPr>
          <w:trHeight w:val="213"/>
        </w:trPr>
        <w:tc>
          <w:tcPr>
            <w:tcW w:w="4480" w:type="dxa"/>
            <w:vAlign w:val="bottom"/>
          </w:tcPr>
          <w:p>
            <w:pPr>
              <w:spacing w:after="0"/>
              <w:rPr>
                <w:sz w:val="20"/>
                <w:szCs w:val="20"/>
                <w:color w:val="auto"/>
              </w:rPr>
            </w:pPr>
            <w:r>
              <w:rPr>
                <w:rFonts w:ascii="Arial" w:cs="Arial" w:eastAsia="Arial" w:hAnsi="Arial"/>
                <w:sz w:val="18"/>
                <w:szCs w:val="18"/>
                <w:b w:val="1"/>
                <w:bCs w:val="1"/>
                <w:color w:val="auto"/>
              </w:rPr>
              <w:t>Operating efficiency</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4"/>
        </w:trPr>
        <w:tc>
          <w:tcPr>
            <w:tcW w:w="448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w w:val="94"/>
              </w:rPr>
              <w:t xml:space="preserve">Oper. expenses as a percent. of total income - reported </w:t>
            </w:r>
            <w:r>
              <w:rPr>
                <w:rFonts w:ascii="Arial" w:cs="Arial" w:eastAsia="Arial" w:hAnsi="Arial"/>
                <w:sz w:val="29"/>
                <w:szCs w:val="29"/>
                <w:color w:val="auto"/>
                <w:w w:val="94"/>
                <w:vertAlign w:val="superscript"/>
              </w:rPr>
              <w:t>(6)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w:t>
            </w: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w:t>
            </w:r>
          </w:p>
        </w:tc>
      </w:tr>
      <w:tr>
        <w:trPr>
          <w:trHeight w:val="199"/>
        </w:trPr>
        <w:tc>
          <w:tcPr>
            <w:tcW w:w="4480" w:type="dxa"/>
            <w:vAlign w:val="bottom"/>
          </w:tcPr>
          <w:p>
            <w:pPr>
              <w:spacing w:after="0" w:line="199" w:lineRule="exact"/>
              <w:rPr>
                <w:sz w:val="20"/>
                <w:szCs w:val="20"/>
                <w:color w:val="auto"/>
              </w:rPr>
            </w:pPr>
            <w:r>
              <w:rPr>
                <w:rFonts w:ascii="Arial" w:cs="Arial" w:eastAsia="Arial" w:hAnsi="Arial"/>
                <w:sz w:val="18"/>
                <w:szCs w:val="18"/>
                <w:color w:val="auto"/>
                <w:w w:val="95"/>
              </w:rPr>
              <w:t>Oper. expenses as a percent. of total income - including all</w:t>
            </w: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7"/>
        </w:trPr>
        <w:tc>
          <w:tcPr>
            <w:tcW w:w="4480" w:type="dxa"/>
            <w:vAlign w:val="bottom"/>
          </w:tcPr>
          <w:p>
            <w:pPr>
              <w:spacing w:after="0"/>
              <w:rPr>
                <w:sz w:val="20"/>
                <w:szCs w:val="20"/>
                <w:color w:val="auto"/>
              </w:rPr>
            </w:pPr>
            <w:r>
              <w:rPr>
                <w:rFonts w:ascii="Arial" w:cs="Arial" w:eastAsia="Arial" w:hAnsi="Arial"/>
                <w:sz w:val="18"/>
                <w:szCs w:val="18"/>
                <w:color w:val="auto"/>
              </w:rPr>
              <w:t>other items</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42.4%</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46.1%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50.2%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42.1%</w:t>
            </w:r>
          </w:p>
        </w:tc>
        <w:tc>
          <w:tcPr>
            <w:tcW w:w="1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47.9%</w:t>
            </w:r>
          </w:p>
        </w:tc>
      </w:tr>
      <w:tr>
        <w:trPr>
          <w:trHeight w:val="254"/>
        </w:trPr>
        <w:tc>
          <w:tcPr>
            <w:tcW w:w="448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w w:val="99"/>
              </w:rPr>
              <w:t xml:space="preserve">Oper. expenses as a percent. of av. tot. assets </w:t>
            </w:r>
            <w:r>
              <w:rPr>
                <w:rFonts w:ascii="Arial" w:cs="Arial" w:eastAsia="Arial" w:hAnsi="Arial"/>
                <w:sz w:val="29"/>
                <w:szCs w:val="29"/>
                <w:color w:val="auto"/>
                <w:w w:val="99"/>
                <w:vertAlign w:val="superscript"/>
              </w:rPr>
              <w:t>(2)(3)(6)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r>
      <w:tr>
        <w:trPr>
          <w:trHeight w:val="254"/>
        </w:trPr>
        <w:tc>
          <w:tcPr>
            <w:tcW w:w="4480" w:type="dxa"/>
            <w:vAlign w:val="bottom"/>
          </w:tcPr>
          <w:p>
            <w:pPr>
              <w:spacing w:after="0" w:line="253" w:lineRule="exact"/>
              <w:rPr>
                <w:sz w:val="20"/>
                <w:szCs w:val="20"/>
                <w:color w:val="auto"/>
              </w:rPr>
            </w:pPr>
            <w:r>
              <w:rPr>
                <w:rFonts w:ascii="Arial" w:cs="Arial" w:eastAsia="Arial" w:hAnsi="Arial"/>
                <w:sz w:val="18"/>
                <w:szCs w:val="18"/>
                <w:b w:val="1"/>
                <w:bCs w:val="1"/>
                <w:color w:val="auto"/>
              </w:rPr>
              <w:t xml:space="preserve">Capital adequacy </w:t>
            </w:r>
            <w:r>
              <w:rPr>
                <w:rFonts w:ascii="Arial" w:cs="Arial" w:eastAsia="Arial" w:hAnsi="Arial"/>
                <w:sz w:val="29"/>
                <w:szCs w:val="29"/>
                <w:b w:val="1"/>
                <w:bCs w:val="1"/>
                <w:color w:val="auto"/>
                <w:vertAlign w:val="superscript"/>
              </w:rPr>
              <w:t>(7)</w:t>
            </w: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13"/>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regulatory capital (S/ Million)</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19,138</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19,215</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21,027</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19,138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21,027</w:t>
            </w:r>
          </w:p>
        </w:tc>
      </w:tr>
      <w:tr>
        <w:trPr>
          <w:trHeight w:val="254"/>
        </w:trPr>
        <w:tc>
          <w:tcPr>
            <w:tcW w:w="4480" w:type="dxa"/>
            <w:vAlign w:val="bottom"/>
          </w:tcPr>
          <w:p>
            <w:pPr>
              <w:spacing w:after="0" w:line="253" w:lineRule="exact"/>
              <w:rPr>
                <w:sz w:val="20"/>
                <w:szCs w:val="20"/>
                <w:color w:val="auto"/>
              </w:rPr>
            </w:pPr>
            <w:r>
              <w:rPr>
                <w:rFonts w:ascii="Arial" w:cs="Arial" w:eastAsia="Arial" w:hAnsi="Arial"/>
                <w:sz w:val="18"/>
                <w:szCs w:val="18"/>
                <w:color w:val="auto"/>
              </w:rPr>
              <w:t xml:space="preserve">Tier 1 capital (S/ Million) </w:t>
            </w:r>
            <w:r>
              <w:rPr>
                <w:rFonts w:ascii="Arial" w:cs="Arial" w:eastAsia="Arial" w:hAnsi="Arial"/>
                <w:sz w:val="29"/>
                <w:szCs w:val="29"/>
                <w:color w:val="auto"/>
                <w:vertAlign w:val="superscript"/>
              </w:rPr>
              <w:t>(8)</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14,504</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14,672</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14,971</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14,504</w:t>
            </w:r>
          </w:p>
        </w:tc>
        <w:tc>
          <w:tcPr>
            <w:tcW w:w="18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14,971</w:t>
            </w:r>
          </w:p>
        </w:tc>
      </w:tr>
      <w:tr>
        <w:trPr>
          <w:trHeight w:val="254"/>
        </w:trPr>
        <w:tc>
          <w:tcPr>
            <w:tcW w:w="448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11.82%</w:t>
            </w: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11.22%</w:t>
            </w:r>
          </w:p>
        </w:tc>
      </w:tr>
      <w:tr>
        <w:trPr>
          <w:trHeight w:val="254"/>
        </w:trPr>
        <w:tc>
          <w:tcPr>
            <w:tcW w:w="4480" w:type="dxa"/>
            <w:vAlign w:val="bottom"/>
          </w:tcPr>
          <w:p>
            <w:pPr>
              <w:spacing w:after="0" w:line="253"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(10)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14.95%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13.52%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14.80%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14.95%</w:t>
            </w:r>
          </w:p>
        </w:tc>
        <w:tc>
          <w:tcPr>
            <w:tcW w:w="18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14.80%</w:t>
            </w:r>
          </w:p>
        </w:tc>
      </w:tr>
      <w:tr>
        <w:trPr>
          <w:trHeight w:val="213"/>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Share Information</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b w:val="1"/>
                <w:bCs w:val="1"/>
                <w:color w:val="auto"/>
              </w:rPr>
              <w:t>N° of outstanding shares (Million)</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11,067</w:t>
            </w:r>
          </w:p>
        </w:tc>
        <w:tc>
          <w:tcPr>
            <w:tcW w:w="1100" w:type="dxa"/>
            <w:vAlign w:val="bottom"/>
          </w:tcPr>
          <w:p>
            <w:pPr>
              <w:jc w:val="right"/>
              <w:spacing w:after="0"/>
              <w:rPr>
                <w:sz w:val="20"/>
                <w:szCs w:val="20"/>
                <w:color w:val="auto"/>
              </w:rPr>
            </w:pPr>
            <w:r>
              <w:rPr>
                <w:rFonts w:ascii="Arial" w:cs="Arial" w:eastAsia="Arial" w:hAnsi="Arial"/>
                <w:sz w:val="18"/>
                <w:szCs w:val="18"/>
                <w:color w:val="auto"/>
              </w:rPr>
              <w:t>11,067</w:t>
            </w:r>
          </w:p>
        </w:tc>
        <w:tc>
          <w:tcPr>
            <w:tcW w:w="26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11,067</w:t>
            </w:r>
          </w:p>
        </w:tc>
        <w:tc>
          <w:tcPr>
            <w:tcW w:w="1100" w:type="dxa"/>
            <w:vAlign w:val="bottom"/>
          </w:tcPr>
          <w:p>
            <w:pPr>
              <w:jc w:val="right"/>
              <w:spacing w:after="0"/>
              <w:rPr>
                <w:sz w:val="20"/>
                <w:szCs w:val="20"/>
                <w:color w:val="auto"/>
              </w:rPr>
            </w:pPr>
            <w:r>
              <w:rPr>
                <w:rFonts w:ascii="Arial" w:cs="Arial" w:eastAsia="Arial" w:hAnsi="Arial"/>
                <w:sz w:val="18"/>
                <w:szCs w:val="18"/>
                <w:color w:val="auto"/>
              </w:rPr>
              <w:t>11,067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11,067</w:t>
            </w:r>
          </w:p>
        </w:tc>
      </w:tr>
    </w:tbl>
    <w:p>
      <w:pPr>
        <w:spacing w:after="0" w:line="182" w:lineRule="exact"/>
        <w:rPr>
          <w:sz w:val="20"/>
          <w:szCs w:val="20"/>
          <w:color w:val="auto"/>
        </w:rPr>
      </w:pPr>
    </w:p>
    <w:p>
      <w:pPr>
        <w:ind w:left="260" w:hanging="253"/>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Shares outstanding of 10,217 million is used for all periods since shares have been issued only for capitalization of profits.</w:t>
      </w:r>
    </w:p>
    <w:p>
      <w:pPr>
        <w:spacing w:after="0" w:line="19" w:lineRule="exact"/>
        <w:rPr>
          <w:rFonts w:ascii="Arial" w:cs="Arial" w:eastAsia="Arial" w:hAnsi="Arial"/>
          <w:sz w:val="18"/>
          <w:szCs w:val="18"/>
          <w:color w:val="auto"/>
        </w:rPr>
      </w:pPr>
    </w:p>
    <w:p>
      <w:pPr>
        <w:ind w:left="260" w:hanging="253"/>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6" w:lineRule="exact"/>
        <w:rPr>
          <w:rFonts w:ascii="Arial" w:cs="Arial" w:eastAsia="Arial" w:hAnsi="Arial"/>
          <w:sz w:val="18"/>
          <w:szCs w:val="18"/>
          <w:color w:val="auto"/>
        </w:rPr>
      </w:pPr>
    </w:p>
    <w:p>
      <w:pPr>
        <w:ind w:right="20" w:firstLine="7"/>
        <w:spacing w:after="0" w:line="278" w:lineRule="auto"/>
        <w:tabs>
          <w:tab w:leader="none" w:pos="263"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funding costs differs from previously reported due to a methodology change in the denominator, which no longer includes the following accounts: acceptances outstanding, reserves for property and casualty claims, reserve for unearned premiums, reinsurance payable and other liabilities.</w:t>
      </w:r>
    </w:p>
    <w:p>
      <w:pPr>
        <w:ind w:left="260" w:hanging="253"/>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Cost of risk: Annualized provision for loan losses / Total loans.</w:t>
      </w:r>
    </w:p>
    <w:p>
      <w:pPr>
        <w:spacing w:after="0" w:line="6" w:lineRule="exact"/>
        <w:rPr>
          <w:rFonts w:ascii="Arial" w:cs="Arial" w:eastAsia="Arial" w:hAnsi="Arial"/>
          <w:sz w:val="18"/>
          <w:szCs w:val="18"/>
          <w:color w:val="auto"/>
        </w:rPr>
      </w:pPr>
    </w:p>
    <w:p>
      <w:pPr>
        <w:ind w:firstLine="7"/>
        <w:spacing w:after="0" w:line="262" w:lineRule="auto"/>
        <w:tabs>
          <w:tab w:leader="none" w:pos="287" w:val="left"/>
        </w:tabs>
        <w:numPr>
          <w:ilvl w:val="0"/>
          <w:numId w:val="87"/>
        </w:numPr>
        <w:rPr>
          <w:rFonts w:ascii="Arial" w:cs="Arial" w:eastAsia="Arial" w:hAnsi="Arial"/>
          <w:sz w:val="17"/>
          <w:szCs w:val="17"/>
          <w:color w:val="auto"/>
        </w:rPr>
      </w:pPr>
      <w:r>
        <w:rPr>
          <w:rFonts w:ascii="Arial" w:cs="Arial" w:eastAsia="Arial" w:hAnsi="Arial"/>
          <w:sz w:val="17"/>
          <w:szCs w:val="17"/>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ind w:left="260" w:hanging="253"/>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capital ratios are for BCP Stand-alone and based on Peru GAAP</w:t>
      </w:r>
    </w:p>
    <w:p>
      <w:pPr>
        <w:spacing w:after="0" w:line="6" w:lineRule="exact"/>
        <w:rPr>
          <w:rFonts w:ascii="Arial" w:cs="Arial" w:eastAsia="Arial" w:hAnsi="Arial"/>
          <w:sz w:val="18"/>
          <w:szCs w:val="18"/>
          <w:color w:val="auto"/>
        </w:rPr>
      </w:pPr>
    </w:p>
    <w:p>
      <w:pPr>
        <w:jc w:val="both"/>
        <w:ind w:firstLine="7"/>
        <w:spacing w:after="0" w:line="262" w:lineRule="auto"/>
        <w:tabs>
          <w:tab w:leader="none" w:pos="284" w:val="left"/>
        </w:tabs>
        <w:numPr>
          <w:ilvl w:val="0"/>
          <w:numId w:val="87"/>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firstLine="7"/>
        <w:spacing w:after="0" w:line="247" w:lineRule="auto"/>
        <w:tabs>
          <w:tab w:leader="none" w:pos="265"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left="340" w:hanging="333"/>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Regulatory capital/ risk-weighted assets. Risk weighted assets include market risk and operational risk.</w:t>
      </w:r>
    </w:p>
    <w:p>
      <w:pPr>
        <w:spacing w:after="0" w:line="200" w:lineRule="exact"/>
        <w:rPr>
          <w:sz w:val="20"/>
          <w:szCs w:val="20"/>
          <w:color w:val="auto"/>
        </w:rPr>
      </w:pPr>
    </w:p>
    <w:p>
      <w:pPr>
        <w:spacing w:after="0" w:line="220"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18"/>
                <w:szCs w:val="18"/>
                <w:b w:val="1"/>
                <w:bCs w:val="1"/>
                <w:color w:val="auto"/>
              </w:rPr>
              <w:t>11.4. BCP Stand-alone</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gridSpan w:val="5"/>
          </w:tcPr>
          <w:p>
            <w:pPr>
              <w:jc w:val="center"/>
              <w:ind w:left="131"/>
              <w:spacing w:after="0"/>
              <w:rPr>
                <w:sz w:val="20"/>
                <w:szCs w:val="20"/>
                <w:color w:val="auto"/>
              </w:rPr>
            </w:pPr>
            <w:r>
              <w:rPr>
                <w:rFonts w:ascii="Arial" w:cs="Arial" w:eastAsia="Arial" w:hAnsi="Arial"/>
                <w:sz w:val="18"/>
                <w:szCs w:val="18"/>
                <w:b w:val="1"/>
                <w:bCs w:val="1"/>
                <w:color w:val="auto"/>
                <w:w w:val="98"/>
              </w:rPr>
              <w:t>BANCO DE CREDITO DEL PERU</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3"/>
        </w:trPr>
        <w:tc>
          <w:tcPr>
            <w:tcW w:w="3860" w:type="dxa"/>
            <w:vAlign w:val="bottom"/>
          </w:tcPr>
          <w:p>
            <w:pPr>
              <w:spacing w:after="0"/>
              <w:rPr>
                <w:sz w:val="18"/>
                <w:szCs w:val="18"/>
                <w:color w:val="auto"/>
              </w:rPr>
            </w:pPr>
          </w:p>
        </w:tc>
        <w:tc>
          <w:tcPr>
            <w:tcW w:w="4440" w:type="dxa"/>
            <w:vAlign w:val="bottom"/>
            <w:gridSpan w:val="8"/>
          </w:tcPr>
          <w:p>
            <w:pPr>
              <w:jc w:val="center"/>
              <w:ind w:right="900"/>
              <w:spacing w:after="0"/>
              <w:rPr>
                <w:sz w:val="20"/>
                <w:szCs w:val="20"/>
                <w:color w:val="auto"/>
              </w:rPr>
            </w:pPr>
            <w:r>
              <w:rPr>
                <w:rFonts w:ascii="Arial" w:cs="Arial" w:eastAsia="Arial" w:hAnsi="Arial"/>
                <w:sz w:val="18"/>
                <w:szCs w:val="18"/>
                <w:b w:val="1"/>
                <w:bCs w:val="1"/>
                <w:color w:val="auto"/>
              </w:rPr>
              <w:t>STATEMENT OF FINANCIAL POSITION</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5"/>
          </w:tcPr>
          <w:p>
            <w:pPr>
              <w:jc w:val="center"/>
              <w:ind w:left="111"/>
              <w:spacing w:after="0"/>
              <w:rPr>
                <w:sz w:val="20"/>
                <w:szCs w:val="20"/>
                <w:color w:val="auto"/>
              </w:rPr>
            </w:pPr>
            <w:r>
              <w:rPr>
                <w:rFonts w:ascii="Arial" w:cs="Arial" w:eastAsia="Arial" w:hAnsi="Arial"/>
                <w:sz w:val="18"/>
                <w:szCs w:val="18"/>
                <w:b w:val="1"/>
                <w:bCs w:val="1"/>
                <w:color w:val="auto"/>
                <w:w w:val="91"/>
              </w:rPr>
              <w:t>(In S/ thousands, IFRS)</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1"/>
        </w:trPr>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b w:val="1"/>
                <w:bCs w:val="1"/>
                <w:color w:val="auto"/>
                <w:w w:val="88"/>
              </w:rPr>
              <w:t>As of</w:t>
            </w:r>
          </w:p>
        </w:tc>
        <w:tc>
          <w:tcPr>
            <w:tcW w:w="10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Borders>
              <w:bottom w:val="single" w:sz="8" w:color="auto"/>
            </w:tcBorders>
            <w:gridSpan w:val="3"/>
          </w:tcPr>
          <w:p>
            <w:pPr>
              <w:ind w:left="1000"/>
              <w:spacing w:after="0"/>
              <w:rPr>
                <w:sz w:val="20"/>
                <w:szCs w:val="20"/>
                <w:color w:val="auto"/>
              </w:rPr>
            </w:pPr>
            <w:r>
              <w:rPr>
                <w:rFonts w:ascii="Arial" w:cs="Arial" w:eastAsia="Arial" w:hAnsi="Arial"/>
                <w:sz w:val="18"/>
                <w:szCs w:val="18"/>
                <w:b w:val="1"/>
                <w:bCs w:val="1"/>
                <w:color w:val="auto"/>
                <w:w w:val="99"/>
              </w:rPr>
              <w:t>% change</w:t>
            </w:r>
          </w:p>
        </w:tc>
        <w:tc>
          <w:tcPr>
            <w:tcW w:w="9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1"/>
        </w:trPr>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Jun 2019</w:t>
            </w:r>
          </w:p>
        </w:tc>
        <w:tc>
          <w:tcPr>
            <w:tcW w:w="16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5"/>
              </w:rPr>
              <w:t>Mar 2020</w:t>
            </w:r>
          </w:p>
        </w:tc>
        <w:tc>
          <w:tcPr>
            <w:tcW w:w="1040" w:type="dxa"/>
            <w:vAlign w:val="bottom"/>
          </w:tcPr>
          <w:p>
            <w:pPr>
              <w:jc w:val="right"/>
              <w:ind w:right="191"/>
              <w:spacing w:after="0"/>
              <w:rPr>
                <w:sz w:val="20"/>
                <w:szCs w:val="20"/>
                <w:color w:val="auto"/>
              </w:rPr>
            </w:pPr>
            <w:r>
              <w:rPr>
                <w:rFonts w:ascii="Arial" w:cs="Arial" w:eastAsia="Arial" w:hAnsi="Arial"/>
                <w:sz w:val="18"/>
                <w:szCs w:val="18"/>
                <w:b w:val="1"/>
                <w:bCs w:val="1"/>
                <w:color w:val="auto"/>
                <w:w w:val="95"/>
              </w:rPr>
              <w:t>Jun 2020</w:t>
            </w:r>
          </w:p>
        </w:tc>
        <w:tc>
          <w:tcPr>
            <w:tcW w:w="200" w:type="dxa"/>
            <w:vAlign w:val="bottom"/>
          </w:tcPr>
          <w:p>
            <w:pPr>
              <w:spacing w:after="0"/>
              <w:rPr>
                <w:sz w:val="19"/>
                <w:szCs w:val="19"/>
                <w:color w:val="auto"/>
              </w:rPr>
            </w:pPr>
          </w:p>
        </w:tc>
        <w:tc>
          <w:tcPr>
            <w:tcW w:w="1860" w:type="dxa"/>
            <w:vAlign w:val="bottom"/>
            <w:gridSpan w:val="3"/>
          </w:tcPr>
          <w:p>
            <w:pPr>
              <w:ind w:left="440"/>
              <w:spacing w:after="0"/>
              <w:rPr>
                <w:sz w:val="20"/>
                <w:szCs w:val="20"/>
                <w:color w:val="auto"/>
              </w:rPr>
            </w:pPr>
            <w:r>
              <w:rPr>
                <w:rFonts w:ascii="Arial" w:cs="Arial" w:eastAsia="Arial" w:hAnsi="Arial"/>
                <w:sz w:val="18"/>
                <w:szCs w:val="18"/>
                <w:b w:val="1"/>
                <w:bCs w:val="1"/>
                <w:color w:val="auto"/>
              </w:rPr>
              <w:t>QoQ</w:t>
            </w:r>
          </w:p>
        </w:tc>
        <w:tc>
          <w:tcPr>
            <w:tcW w:w="920" w:type="dxa"/>
            <w:vAlign w:val="bottom"/>
          </w:tcPr>
          <w:p>
            <w:pPr>
              <w:jc w:val="right"/>
              <w:ind w:right="391"/>
              <w:spacing w:after="0"/>
              <w:rPr>
                <w:sz w:val="20"/>
                <w:szCs w:val="20"/>
                <w:color w:val="auto"/>
              </w:rPr>
            </w:pPr>
            <w:r>
              <w:rPr>
                <w:rFonts w:ascii="Arial" w:cs="Arial" w:eastAsia="Arial" w:hAnsi="Arial"/>
                <w:sz w:val="18"/>
                <w:szCs w:val="18"/>
                <w:b w:val="1"/>
                <w:bCs w:val="1"/>
                <w:color w:val="auto"/>
              </w:rPr>
              <w:t>YoY</w:t>
            </w:r>
          </w:p>
        </w:tc>
        <w:tc>
          <w:tcPr>
            <w:tcW w:w="160" w:type="dxa"/>
            <w:vAlign w:val="bottom"/>
          </w:tcPr>
          <w:p>
            <w:pPr>
              <w:spacing w:after="0"/>
              <w:rPr>
                <w:sz w:val="19"/>
                <w:szCs w:val="19"/>
                <w:color w:val="auto"/>
              </w:rPr>
            </w:pPr>
          </w:p>
        </w:tc>
      </w:tr>
      <w:tr>
        <w:trPr>
          <w:trHeight w:val="207"/>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3"/>
        </w:trPr>
        <w:tc>
          <w:tcPr>
            <w:tcW w:w="386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4,632,855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4,320,100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4,402,832</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r>
      <w:tr>
        <w:trPr>
          <w:trHeight w:val="213"/>
        </w:trPr>
        <w:tc>
          <w:tcPr>
            <w:tcW w:w="386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16,130,654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18,202,901</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26,045,808</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43.1%</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61.5%</w:t>
            </w:r>
          </w:p>
        </w:tc>
      </w:tr>
      <w:tr>
        <w:trPr>
          <w:trHeight w:val="213"/>
        </w:trPr>
        <w:tc>
          <w:tcPr>
            <w:tcW w:w="38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cash and due from banks</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20,763,509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22,523,001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30,448,640</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35.2%</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46.6%</w:t>
            </w:r>
          </w:p>
        </w:tc>
      </w:tr>
      <w:tr>
        <w:trPr>
          <w:trHeight w:val="195"/>
        </w:trPr>
        <w:tc>
          <w:tcPr>
            <w:tcW w:w="3860" w:type="dxa"/>
            <w:vAlign w:val="bottom"/>
          </w:tcPr>
          <w:p>
            <w:pPr>
              <w:spacing w:after="0" w:line="195" w:lineRule="exact"/>
              <w:rPr>
                <w:sz w:val="20"/>
                <w:szCs w:val="20"/>
                <w:color w:val="auto"/>
              </w:rPr>
            </w:pPr>
            <w:r>
              <w:rPr>
                <w:rFonts w:ascii="Arial" w:cs="Arial" w:eastAsia="Arial" w:hAnsi="Arial"/>
                <w:sz w:val="18"/>
                <w:szCs w:val="18"/>
                <w:b w:val="1"/>
                <w:bCs w:val="1"/>
                <w:color w:val="auto"/>
                <w:w w:val="93"/>
              </w:rPr>
              <w:t>Cash collateral, reverse repurchase agreements</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1"/>
        </w:trPr>
        <w:tc>
          <w:tcPr>
            <w:tcW w:w="3860" w:type="dxa"/>
            <w:vAlign w:val="bottom"/>
          </w:tcPr>
          <w:p>
            <w:pPr>
              <w:spacing w:after="0"/>
              <w:rPr>
                <w:sz w:val="20"/>
                <w:szCs w:val="20"/>
                <w:color w:val="auto"/>
              </w:rPr>
            </w:pPr>
            <w:r>
              <w:rPr>
                <w:rFonts w:ascii="Arial" w:cs="Arial" w:eastAsia="Arial" w:hAnsi="Arial"/>
                <w:sz w:val="18"/>
                <w:szCs w:val="18"/>
                <w:b w:val="1"/>
                <w:bCs w:val="1"/>
                <w:color w:val="auto"/>
              </w:rPr>
              <w:t>and securities borrowing</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3,255,249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3,324,737</w:t>
            </w: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1,987,570</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-40.2%</w:t>
            </w:r>
          </w:p>
        </w:tc>
        <w:tc>
          <w:tcPr>
            <w:tcW w:w="3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-38.9%</w:t>
            </w:r>
          </w:p>
        </w:tc>
      </w:tr>
      <w:tr>
        <w:trPr>
          <w:trHeight w:val="214"/>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through profit or loss investments</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516,973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883,548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1,630,272</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84.5%</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215.3%</w:t>
            </w:r>
          </w:p>
        </w:tc>
      </w:tr>
      <w:tr>
        <w:trPr>
          <w:trHeight w:val="195"/>
        </w:trPr>
        <w:tc>
          <w:tcPr>
            <w:tcW w:w="3860" w:type="dxa"/>
            <w:vAlign w:val="bottom"/>
          </w:tcPr>
          <w:p>
            <w:pPr>
              <w:spacing w:after="0" w:line="195" w:lineRule="exact"/>
              <w:rPr>
                <w:sz w:val="20"/>
                <w:szCs w:val="20"/>
                <w:color w:val="auto"/>
              </w:rPr>
            </w:pPr>
            <w:r>
              <w:rPr>
                <w:rFonts w:ascii="Arial" w:cs="Arial" w:eastAsia="Arial" w:hAnsi="Arial"/>
                <w:sz w:val="18"/>
                <w:szCs w:val="18"/>
                <w:b w:val="1"/>
                <w:bCs w:val="1"/>
                <w:color w:val="auto"/>
                <w:w w:val="93"/>
              </w:rPr>
              <w:t>Fair value through other comprehensive income</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1"/>
        </w:trPr>
        <w:tc>
          <w:tcPr>
            <w:tcW w:w="3860" w:type="dxa"/>
            <w:vAlign w:val="bottom"/>
          </w:tcPr>
          <w:p>
            <w:pPr>
              <w:spacing w:after="0"/>
              <w:rPr>
                <w:sz w:val="20"/>
                <w:szCs w:val="20"/>
                <w:color w:val="auto"/>
              </w:rPr>
            </w:pPr>
            <w:r>
              <w:rPr>
                <w:rFonts w:ascii="Arial" w:cs="Arial" w:eastAsia="Arial" w:hAnsi="Arial"/>
                <w:sz w:val="18"/>
                <w:szCs w:val="18"/>
                <w:b w:val="1"/>
                <w:bCs w:val="1"/>
                <w:color w:val="auto"/>
              </w:rPr>
              <w:t>investments</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16,132,624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16,692,311</w:t>
            </w: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19,425,075</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16.4%</w:t>
            </w:r>
          </w:p>
        </w:tc>
        <w:tc>
          <w:tcPr>
            <w:tcW w:w="3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20.4%</w:t>
            </w:r>
          </w:p>
        </w:tc>
      </w:tr>
      <w:tr>
        <w:trPr>
          <w:trHeight w:val="214"/>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Amortized cost investments</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3,059,858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3,942,806</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3,995,043</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30.6%</w:t>
            </w:r>
          </w:p>
        </w:tc>
      </w:tr>
      <w:tr>
        <w:trPr>
          <w:trHeight w:val="213"/>
        </w:trPr>
        <w:tc>
          <w:tcPr>
            <w:tcW w:w="3860" w:type="dxa"/>
            <w:vAlign w:val="bottom"/>
          </w:tcPr>
          <w:p>
            <w:pPr>
              <w:spacing w:after="0"/>
              <w:rPr>
                <w:sz w:val="20"/>
                <w:szCs w:val="20"/>
                <w:color w:val="auto"/>
              </w:rPr>
            </w:pPr>
            <w:r>
              <w:rPr>
                <w:rFonts w:ascii="Arial" w:cs="Arial" w:eastAsia="Arial" w:hAnsi="Arial"/>
                <w:sz w:val="18"/>
                <w:szCs w:val="18"/>
                <w:b w:val="1"/>
                <w:bCs w:val="1"/>
                <w:color w:val="auto"/>
              </w:rPr>
              <w:t>Loans</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90,645,086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100,730,089</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111,821,212</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11.0%</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23.4%</w:t>
            </w:r>
          </w:p>
        </w:tc>
      </w:tr>
      <w:tr>
        <w:trPr>
          <w:trHeight w:val="213"/>
        </w:trPr>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88,060,593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97,920,461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108,857,750</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w:t>
            </w:r>
          </w:p>
        </w:tc>
      </w:tr>
      <w:tr>
        <w:trPr>
          <w:trHeight w:val="213"/>
        </w:trPr>
        <w:tc>
          <w:tcPr>
            <w:tcW w:w="3860" w:type="dxa"/>
            <w:vAlign w:val="bottom"/>
          </w:tcPr>
          <w:p>
            <w:pPr>
              <w:ind w:left="160"/>
              <w:spacing w:after="0"/>
              <w:rPr>
                <w:sz w:val="20"/>
                <w:szCs w:val="20"/>
                <w:color w:val="auto"/>
              </w:rPr>
            </w:pPr>
            <w:r>
              <w:rPr>
                <w:rFonts w:ascii="Arial" w:cs="Arial" w:eastAsia="Arial" w:hAnsi="Arial"/>
                <w:sz w:val="18"/>
                <w:szCs w:val="18"/>
                <w:color w:val="auto"/>
              </w:rPr>
              <w:t>Internal overdue loans</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2,584,493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2,809,628</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2,963,462</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r>
      <w:tr>
        <w:trPr>
          <w:trHeight w:val="213"/>
        </w:trPr>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 allowance for loan losses</w:t>
            </w:r>
          </w:p>
        </w:tc>
        <w:tc>
          <w:tcPr>
            <w:tcW w:w="1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(3,716,743)</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(4,507,844)</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(6,438,182)</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73.2%</w:t>
            </w:r>
          </w:p>
        </w:tc>
      </w:tr>
      <w:tr>
        <w:trPr>
          <w:trHeight w:val="213"/>
        </w:trPr>
        <w:tc>
          <w:tcPr>
            <w:tcW w:w="3860" w:type="dxa"/>
            <w:vAlign w:val="bottom"/>
          </w:tcPr>
          <w:p>
            <w:pPr>
              <w:spacing w:after="0"/>
              <w:rPr>
                <w:sz w:val="20"/>
                <w:szCs w:val="20"/>
                <w:color w:val="auto"/>
              </w:rPr>
            </w:pPr>
            <w:r>
              <w:rPr>
                <w:rFonts w:ascii="Arial" w:cs="Arial" w:eastAsia="Arial" w:hAnsi="Arial"/>
                <w:sz w:val="18"/>
                <w:szCs w:val="18"/>
                <w:b w:val="1"/>
                <w:bCs w:val="1"/>
                <w:color w:val="auto"/>
              </w:rPr>
              <w:t>Loans, net</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86,928,343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96,222,245</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105,383,030</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9.5%</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21.2%</w:t>
            </w:r>
          </w:p>
        </w:tc>
      </w:tr>
      <w:tr>
        <w:trPr>
          <w:trHeight w:val="213"/>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furniture and equipment, net</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1,579,335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1,523,405</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1,447,090</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r>
      <w:tr>
        <w:trPr>
          <w:trHeight w:val="213"/>
        </w:trPr>
        <w:tc>
          <w:tcPr>
            <w:tcW w:w="3860" w:type="dxa"/>
            <w:vAlign w:val="bottom"/>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534,637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555,598</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331,591</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-40.3%</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-38.0%</w:t>
            </w:r>
          </w:p>
        </w:tc>
      </w:tr>
      <w:tr>
        <w:trPr>
          <w:trHeight w:val="213"/>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 (1)</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3,981,275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5,123,191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6,486,760</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26.6%</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62.9%</w:t>
            </w:r>
          </w:p>
        </w:tc>
      </w:tr>
      <w:tr>
        <w:trPr>
          <w:trHeight w:val="213"/>
        </w:trPr>
        <w:tc>
          <w:tcPr>
            <w:tcW w:w="3860" w:type="dxa"/>
            <w:vAlign w:val="bottom"/>
          </w:tcPr>
          <w:p>
            <w:pPr>
              <w:jc w:val="center"/>
              <w:spacing w:after="0"/>
              <w:rPr>
                <w:sz w:val="20"/>
                <w:szCs w:val="20"/>
                <w:color w:val="auto"/>
              </w:rPr>
            </w:pPr>
            <w:r>
              <w:rPr>
                <w:rFonts w:ascii="Arial" w:cs="Arial" w:eastAsia="Arial" w:hAnsi="Arial"/>
                <w:sz w:val="18"/>
                <w:szCs w:val="18"/>
                <w:b w:val="1"/>
                <w:bCs w:val="1"/>
                <w:color w:val="auto"/>
                <w:w w:val="85"/>
              </w:rPr>
              <w:t>Total Assets</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136,751,803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150,790,842</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171,135,071</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13.5%</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25.1%</w:t>
            </w:r>
          </w:p>
        </w:tc>
      </w:tr>
      <w:tr>
        <w:trPr>
          <w:trHeight w:val="213"/>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3"/>
        </w:trPr>
        <w:tc>
          <w:tcPr>
            <w:tcW w:w="386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27,437,778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35,761,340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44,355,685</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61.7%</w:t>
            </w:r>
          </w:p>
        </w:tc>
      </w:tr>
      <w:tr>
        <w:trPr>
          <w:trHeight w:val="213"/>
        </w:trPr>
        <w:tc>
          <w:tcPr>
            <w:tcW w:w="386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56,859,259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62,258,736</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62,066,600</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r>
      <w:tr>
        <w:trPr>
          <w:trHeight w:val="213"/>
        </w:trPr>
        <w:tc>
          <w:tcPr>
            <w:tcW w:w="38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deposits and obligations</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84,297,037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98,020,076</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106,422,285</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26.2%</w:t>
            </w:r>
          </w:p>
        </w:tc>
      </w:tr>
      <w:tr>
        <w:trPr>
          <w:trHeight w:val="195"/>
        </w:trPr>
        <w:tc>
          <w:tcPr>
            <w:tcW w:w="3860" w:type="dxa"/>
            <w:vAlign w:val="bottom"/>
          </w:tcPr>
          <w:p>
            <w:pPr>
              <w:spacing w:after="0" w:line="195" w:lineRule="exact"/>
              <w:rPr>
                <w:sz w:val="20"/>
                <w:szCs w:val="20"/>
                <w:color w:val="auto"/>
              </w:rPr>
            </w:pPr>
            <w:r>
              <w:rPr>
                <w:rFonts w:ascii="Arial" w:cs="Arial" w:eastAsia="Arial" w:hAnsi="Arial"/>
                <w:sz w:val="18"/>
                <w:szCs w:val="18"/>
                <w:b w:val="1"/>
                <w:bCs w:val="1"/>
                <w:color w:val="auto"/>
              </w:rPr>
              <w:t>Payables from repurchase agreements and</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1"/>
        </w:trPr>
        <w:tc>
          <w:tcPr>
            <w:tcW w:w="3860" w:type="dxa"/>
            <w:vAlign w:val="bottom"/>
          </w:tcPr>
          <w:p>
            <w:pPr>
              <w:spacing w:after="0"/>
              <w:rPr>
                <w:sz w:val="20"/>
                <w:szCs w:val="20"/>
                <w:color w:val="auto"/>
              </w:rPr>
            </w:pPr>
            <w:r>
              <w:rPr>
                <w:rFonts w:ascii="Arial" w:cs="Arial" w:eastAsia="Arial" w:hAnsi="Arial"/>
                <w:sz w:val="18"/>
                <w:szCs w:val="18"/>
                <w:b w:val="1"/>
                <w:bCs w:val="1"/>
                <w:color w:val="auto"/>
              </w:rPr>
              <w:t>securities lending</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7,807,525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6,722,157</w:t>
            </w: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20,656,894</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207.3%</w:t>
            </w:r>
          </w:p>
        </w:tc>
        <w:tc>
          <w:tcPr>
            <w:tcW w:w="3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164.6%</w:t>
            </w:r>
          </w:p>
        </w:tc>
      </w:tr>
      <w:tr>
        <w:trPr>
          <w:trHeight w:val="214"/>
        </w:trPr>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BCRP instruments</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6,091,769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5,286,863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19,186,502</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262.9%</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215.0%</w:t>
            </w:r>
          </w:p>
        </w:tc>
      </w:tr>
      <w:tr>
        <w:trPr>
          <w:trHeight w:val="213"/>
        </w:trPr>
        <w:tc>
          <w:tcPr>
            <w:tcW w:w="3860" w:type="dxa"/>
            <w:vAlign w:val="bottom"/>
          </w:tcPr>
          <w:p>
            <w:pPr>
              <w:ind w:left="160"/>
              <w:spacing w:after="0"/>
              <w:rPr>
                <w:sz w:val="20"/>
                <w:szCs w:val="20"/>
                <w:color w:val="auto"/>
              </w:rPr>
            </w:pPr>
            <w:r>
              <w:rPr>
                <w:rFonts w:ascii="Arial" w:cs="Arial" w:eastAsia="Arial" w:hAnsi="Arial"/>
                <w:sz w:val="18"/>
                <w:szCs w:val="18"/>
                <w:color w:val="auto"/>
              </w:rPr>
              <w:t>Repurchase agreements with third parties</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1,715,756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1,435,294</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1,470,392</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r>
      <w:tr>
        <w:trPr>
          <w:trHeight w:val="213"/>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8,673,491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8,229,065</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7,062,622</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-14.2%</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r>
      <w:tr>
        <w:trPr>
          <w:trHeight w:val="213"/>
        </w:trPr>
        <w:tc>
          <w:tcPr>
            <w:tcW w:w="3860" w:type="dxa"/>
            <w:vAlign w:val="bottom"/>
          </w:tcPr>
          <w:p>
            <w:pPr>
              <w:spacing w:after="0"/>
              <w:rPr>
                <w:sz w:val="20"/>
                <w:szCs w:val="20"/>
                <w:color w:val="auto"/>
              </w:rPr>
            </w:pPr>
            <w:r>
              <w:rPr>
                <w:rFonts w:ascii="Arial" w:cs="Arial" w:eastAsia="Arial" w:hAnsi="Arial"/>
                <w:sz w:val="18"/>
                <w:szCs w:val="18"/>
                <w:b w:val="1"/>
                <w:bCs w:val="1"/>
                <w:color w:val="auto"/>
              </w:rPr>
              <w:t>Bonds and notes issued</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14,165,988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14,435,544</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14,831,741</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4.7%</w:t>
            </w:r>
          </w:p>
        </w:tc>
      </w:tr>
      <w:tr>
        <w:trPr>
          <w:trHeight w:val="213"/>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Banker’s acceptances outstanding</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534,637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555,598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331,591</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-40.3%</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-38.0%</w:t>
            </w:r>
          </w:p>
        </w:tc>
      </w:tr>
      <w:tr>
        <w:trPr>
          <w:trHeight w:val="195"/>
        </w:trPr>
        <w:tc>
          <w:tcPr>
            <w:tcW w:w="3860" w:type="dxa"/>
            <w:vAlign w:val="bottom"/>
          </w:tcPr>
          <w:p>
            <w:pPr>
              <w:spacing w:after="0" w:line="195" w:lineRule="exact"/>
              <w:rPr>
                <w:sz w:val="20"/>
                <w:szCs w:val="20"/>
                <w:color w:val="auto"/>
              </w:rPr>
            </w:pPr>
            <w:r>
              <w:rPr>
                <w:rFonts w:ascii="Arial" w:cs="Arial" w:eastAsia="Arial" w:hAnsi="Arial"/>
                <w:sz w:val="18"/>
                <w:szCs w:val="18"/>
                <w:b w:val="1"/>
                <w:bCs w:val="1"/>
                <w:color w:val="auto"/>
                <w:w w:val="93"/>
              </w:rPr>
              <w:t>Financial liabilities at fair value through profit or</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1"/>
        </w:trPr>
        <w:tc>
          <w:tcPr>
            <w:tcW w:w="3860" w:type="dxa"/>
            <w:vAlign w:val="bottom"/>
          </w:tcPr>
          <w:p>
            <w:pPr>
              <w:spacing w:after="0"/>
              <w:rPr>
                <w:sz w:val="20"/>
                <w:szCs w:val="20"/>
                <w:color w:val="auto"/>
              </w:rPr>
            </w:pPr>
            <w:r>
              <w:rPr>
                <w:rFonts w:ascii="Arial" w:cs="Arial" w:eastAsia="Arial" w:hAnsi="Arial"/>
                <w:sz w:val="18"/>
                <w:szCs w:val="18"/>
                <w:b w:val="1"/>
                <w:bCs w:val="1"/>
                <w:color w:val="auto"/>
              </w:rPr>
              <w:t>loss</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70,459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9,131</w:t>
            </w: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108,189</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53.5%</w:t>
            </w:r>
          </w:p>
        </w:tc>
      </w:tr>
      <w:tr>
        <w:trPr>
          <w:trHeight w:val="214"/>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 (2)</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3,663,557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4,103,298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4,756,793</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15.9%</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29.8%</w:t>
            </w:r>
          </w:p>
        </w:tc>
      </w:tr>
      <w:tr>
        <w:trPr>
          <w:trHeight w:val="213"/>
        </w:trPr>
        <w:tc>
          <w:tcPr>
            <w:tcW w:w="3860" w:type="dxa"/>
            <w:vAlign w:val="bottom"/>
          </w:tcPr>
          <w:p>
            <w:pPr>
              <w:jc w:val="center"/>
              <w:spacing w:after="0"/>
              <w:rPr>
                <w:sz w:val="20"/>
                <w:szCs w:val="20"/>
                <w:color w:val="auto"/>
              </w:rPr>
            </w:pPr>
            <w:r>
              <w:rPr>
                <w:rFonts w:ascii="Arial" w:cs="Arial" w:eastAsia="Arial" w:hAnsi="Arial"/>
                <w:sz w:val="18"/>
                <w:szCs w:val="18"/>
                <w:b w:val="1"/>
                <w:bCs w:val="1"/>
                <w:color w:val="auto"/>
                <w:w w:val="91"/>
              </w:rPr>
              <w:t>Total Liabilities</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119,212,694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132,074,869</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154,170,115</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16.7%</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29.3%</w:t>
            </w:r>
          </w:p>
        </w:tc>
      </w:tr>
      <w:tr>
        <w:trPr>
          <w:trHeight w:val="213"/>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equity</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17,539,109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18,715,973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16,964,956</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-9.4%</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r>
      <w:tr>
        <w:trPr>
          <w:trHeight w:val="213"/>
        </w:trPr>
        <w:tc>
          <w:tcPr>
            <w:tcW w:w="3860" w:type="dxa"/>
            <w:vAlign w:val="bottom"/>
          </w:tcPr>
          <w:p>
            <w:pPr>
              <w:ind w:left="160"/>
              <w:spacing w:after="0"/>
              <w:rPr>
                <w:sz w:val="20"/>
                <w:szCs w:val="20"/>
                <w:color w:val="auto"/>
              </w:rPr>
            </w:pPr>
            <w:r>
              <w:rPr>
                <w:rFonts w:ascii="Arial" w:cs="Arial" w:eastAsia="Arial" w:hAnsi="Arial"/>
                <w:sz w:val="18"/>
                <w:szCs w:val="18"/>
                <w:color w:val="auto"/>
              </w:rPr>
              <w:t>Capital stock</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9,924,006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9,924,006</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10,774,006</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r>
      <w:tr>
        <w:trPr>
          <w:trHeight w:val="213"/>
        </w:trPr>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Reserves</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4,476,256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4,476,256</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5,945,313</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w:t>
            </w:r>
          </w:p>
        </w:tc>
      </w:tr>
      <w:tr>
        <w:trPr>
          <w:trHeight w:val="213"/>
        </w:trPr>
        <w:tc>
          <w:tcPr>
            <w:tcW w:w="3860" w:type="dxa"/>
            <w:vAlign w:val="bottom"/>
          </w:tcPr>
          <w:p>
            <w:pPr>
              <w:ind w:left="160"/>
              <w:spacing w:after="0"/>
              <w:rPr>
                <w:sz w:val="20"/>
                <w:szCs w:val="20"/>
                <w:color w:val="auto"/>
              </w:rPr>
            </w:pPr>
            <w:r>
              <w:rPr>
                <w:rFonts w:ascii="Arial" w:cs="Arial" w:eastAsia="Arial" w:hAnsi="Arial"/>
                <w:sz w:val="18"/>
                <w:szCs w:val="18"/>
                <w:color w:val="auto"/>
              </w:rPr>
              <w:t>Unrealized gains and losses</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235,391</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(22,277)</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333,548</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-1597.3%</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41.7%</w:t>
            </w:r>
          </w:p>
        </w:tc>
      </w:tr>
      <w:tr>
        <w:trPr>
          <w:trHeight w:val="213"/>
        </w:trPr>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2,903,456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4,337,988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(87,911)</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-102.0%</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-103.0%</w:t>
            </w:r>
          </w:p>
        </w:tc>
      </w:tr>
      <w:tr>
        <w:trPr>
          <w:trHeight w:val="213"/>
        </w:trPr>
        <w:tc>
          <w:tcPr>
            <w:tcW w:w="386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3"/>
        </w:trPr>
        <w:tc>
          <w:tcPr>
            <w:tcW w:w="38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Total Net Equity</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17,539,109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18,715,973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16,964,956</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-9.4%</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r>
      <w:tr>
        <w:trPr>
          <w:trHeight w:val="213"/>
        </w:trPr>
        <w:tc>
          <w:tcPr>
            <w:tcW w:w="386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136,751,803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150,790,842</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171,135,071</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13.5%</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25.1%</w:t>
            </w:r>
          </w:p>
        </w:tc>
      </w:tr>
      <w:tr>
        <w:trPr>
          <w:trHeight w:val="21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Off-balance sheet</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110,145,630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116,914,484</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113,527,769</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13"/>
        </w:trPr>
        <w:tc>
          <w:tcPr>
            <w:tcW w:w="3860" w:type="dxa"/>
            <w:vAlign w:val="bottom"/>
          </w:tcPr>
          <w:p>
            <w:pPr>
              <w:spacing w:after="0"/>
              <w:rPr>
                <w:sz w:val="20"/>
                <w:szCs w:val="20"/>
                <w:color w:val="auto"/>
              </w:rPr>
            </w:pPr>
            <w:r>
              <w:rPr>
                <w:rFonts w:ascii="Arial" w:cs="Arial" w:eastAsia="Arial" w:hAnsi="Arial"/>
                <w:sz w:val="18"/>
                <w:szCs w:val="18"/>
                <w:color w:val="auto"/>
              </w:rPr>
              <w:t>Total performance bonds, stand-by and L/Cs.</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17,679,494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18,238,441</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17,490,977</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Undrawn credit lines, advised but not committed</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65,955,854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69,951,222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69,526,957</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r>
      <w:tr>
        <w:trPr>
          <w:trHeight w:val="227"/>
        </w:trPr>
        <w:tc>
          <w:tcPr>
            <w:tcW w:w="3860" w:type="dxa"/>
            <w:vAlign w:val="bottom"/>
          </w:tcPr>
          <w:p>
            <w:pPr>
              <w:spacing w:after="0"/>
              <w:rPr>
                <w:sz w:val="20"/>
                <w:szCs w:val="20"/>
                <w:color w:val="auto"/>
              </w:rPr>
            </w:pPr>
            <w:r>
              <w:rPr>
                <w:rFonts w:ascii="Arial" w:cs="Arial" w:eastAsia="Arial" w:hAnsi="Arial"/>
                <w:sz w:val="18"/>
                <w:szCs w:val="18"/>
                <w:color w:val="auto"/>
              </w:rPr>
              <w:t>Total derivatives (notional) and others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26,510,282</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28,724,821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26,509,835</w:t>
            </w:r>
          </w:p>
        </w:tc>
        <w:tc>
          <w:tcPr>
            <w:tcW w:w="20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9" w:lineRule="exact"/>
        <w:rPr>
          <w:sz w:val="20"/>
          <w:szCs w:val="20"/>
          <w:color w:val="auto"/>
        </w:rPr>
      </w:pPr>
    </w:p>
    <w:p>
      <w:pPr>
        <w:ind w:firstLine="7"/>
        <w:spacing w:after="0" w:line="286" w:lineRule="auto"/>
        <w:tabs>
          <w:tab w:leader="none" w:pos="257"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amounts differ from those previously reported due to the reclassification of the expenses on improvements in building for rent, previously presented in the item “Other assets”. Likewise, in the 2019 the asset is incorporated for the right to use the lease contracts, in application of the IFRS 16.</w:t>
      </w:r>
    </w:p>
    <w:p>
      <w:pPr>
        <w:spacing w:after="0" w:line="1" w:lineRule="exact"/>
        <w:rPr>
          <w:rFonts w:ascii="Arial" w:cs="Arial" w:eastAsia="Arial" w:hAnsi="Arial"/>
          <w:sz w:val="16"/>
          <w:szCs w:val="16"/>
          <w:color w:val="auto"/>
        </w:rPr>
      </w:pPr>
    </w:p>
    <w:p>
      <w:pPr>
        <w:ind w:left="260" w:hanging="253"/>
        <w:spacing w:after="0"/>
        <w:tabs>
          <w:tab w:leader="none" w:pos="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Mainly includes intangible assets, other receivable accounts and tax credit.</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Mainly includes other payable accounts.</w:t>
      </w:r>
    </w:p>
    <w:p>
      <w:pPr>
        <w:spacing w:after="0" w:line="200" w:lineRule="exact"/>
        <w:rPr>
          <w:sz w:val="20"/>
          <w:szCs w:val="20"/>
          <w:color w:val="auto"/>
        </w:rPr>
      </w:pPr>
    </w:p>
    <w:p>
      <w:pPr>
        <w:spacing w:after="0" w:line="220"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7" w:name="page68"/>
    <w:bookmarkEnd w:id="67"/>
    <w:p>
      <w:pPr>
        <w:ind w:left="4260"/>
        <w:spacing w:after="0"/>
        <w:rPr>
          <w:sz w:val="20"/>
          <w:szCs w:val="20"/>
          <w:color w:val="auto"/>
        </w:rPr>
      </w:pPr>
      <w:r>
        <w:rPr>
          <w:rFonts w:ascii="Arial" w:cs="Arial" w:eastAsia="Arial" w:hAnsi="Arial"/>
          <w:sz w:val="18"/>
          <w:szCs w:val="18"/>
          <w:b w:val="1"/>
          <w:bCs w:val="1"/>
          <w:color w:val="auto"/>
        </w:rPr>
        <w:t>BANCO DE CREDITO DEL PERU</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STATEMENT OF INCOME</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S/ thousands, IFRS)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3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Quarter</w:t>
            </w: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 change</w:t>
            </w: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YTD</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380" w:type="dxa"/>
            <w:vAlign w:val="bottom"/>
          </w:tcPr>
          <w:p>
            <w:pPr>
              <w:spacing w:after="0"/>
              <w:rPr>
                <w:sz w:val="10"/>
                <w:szCs w:val="10"/>
                <w:color w:val="auto"/>
              </w:rPr>
            </w:pP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2Q19</w:t>
            </w: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1Q20</w:t>
            </w: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2Q20</w:t>
            </w:r>
          </w:p>
        </w:tc>
        <w:tc>
          <w:tcPr>
            <w:tcW w:w="138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QoQ</w:t>
            </w:r>
          </w:p>
        </w:tc>
        <w:tc>
          <w:tcPr>
            <w:tcW w:w="9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YoY</w:t>
            </w:r>
          </w:p>
        </w:tc>
        <w:tc>
          <w:tcPr>
            <w:tcW w:w="12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Jun-19</w:t>
            </w: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Jun-20</w:t>
            </w:r>
          </w:p>
        </w:tc>
        <w:tc>
          <w:tcPr>
            <w:tcW w:w="88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Jun 20 / Jun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38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Interest income and expense</w:t>
            </w: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80" w:type="dxa"/>
            <w:vAlign w:val="bottom"/>
          </w:tcPr>
          <w:p>
            <w:pPr>
              <w:ind w:left="160"/>
              <w:spacing w:after="0" w:line="147" w:lineRule="exact"/>
              <w:rPr>
                <w:sz w:val="20"/>
                <w:szCs w:val="20"/>
                <w:color w:val="auto"/>
              </w:rPr>
            </w:pPr>
            <w:r>
              <w:rPr>
                <w:rFonts w:ascii="Arial" w:cs="Arial" w:eastAsia="Arial" w:hAnsi="Arial"/>
                <w:sz w:val="14"/>
                <w:szCs w:val="14"/>
                <w:color w:val="auto"/>
              </w:rPr>
              <w:t>Interest and dividend income</w:t>
            </w:r>
          </w:p>
        </w:tc>
        <w:tc>
          <w:tcPr>
            <w:tcW w:w="900" w:type="dxa"/>
            <w:vAlign w:val="bottom"/>
          </w:tcPr>
          <w:p>
            <w:pPr>
              <w:jc w:val="right"/>
              <w:spacing w:after="0" w:line="147" w:lineRule="exact"/>
              <w:rPr>
                <w:sz w:val="20"/>
                <w:szCs w:val="20"/>
                <w:color w:val="auto"/>
              </w:rPr>
            </w:pPr>
            <w:r>
              <w:rPr>
                <w:rFonts w:ascii="Arial" w:cs="Arial" w:eastAsia="Arial" w:hAnsi="Arial"/>
                <w:sz w:val="14"/>
                <w:szCs w:val="14"/>
                <w:color w:val="auto"/>
              </w:rPr>
              <w:t>2,150,148</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2,179,313</w:t>
            </w:r>
          </w:p>
        </w:tc>
        <w:tc>
          <w:tcPr>
            <w:tcW w:w="900" w:type="dxa"/>
            <w:vAlign w:val="bottom"/>
          </w:tcPr>
          <w:p>
            <w:pPr>
              <w:jc w:val="right"/>
              <w:spacing w:after="0" w:line="147" w:lineRule="exact"/>
              <w:rPr>
                <w:sz w:val="20"/>
                <w:szCs w:val="20"/>
                <w:color w:val="auto"/>
              </w:rPr>
            </w:pPr>
            <w:r>
              <w:rPr>
                <w:rFonts w:ascii="Arial" w:cs="Arial" w:eastAsia="Arial" w:hAnsi="Arial"/>
                <w:sz w:val="14"/>
                <w:szCs w:val="14"/>
                <w:color w:val="auto"/>
              </w:rPr>
              <w:t>1,968,404</w:t>
            </w:r>
          </w:p>
        </w:tc>
        <w:tc>
          <w:tcPr>
            <w:tcW w:w="200" w:type="dxa"/>
            <w:vAlign w:val="bottom"/>
          </w:tcPr>
          <w:p>
            <w:pPr>
              <w:spacing w:after="0"/>
              <w:rPr>
                <w:sz w:val="12"/>
                <w:szCs w:val="12"/>
                <w:color w:val="auto"/>
              </w:rPr>
            </w:pPr>
          </w:p>
        </w:tc>
        <w:tc>
          <w:tcPr>
            <w:tcW w:w="114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-9.7%</w:t>
            </w:r>
          </w:p>
        </w:tc>
        <w:tc>
          <w:tcPr>
            <w:tcW w:w="240" w:type="dxa"/>
            <w:vAlign w:val="bottom"/>
          </w:tcPr>
          <w:p>
            <w:pPr>
              <w:spacing w:after="0"/>
              <w:rPr>
                <w:sz w:val="12"/>
                <w:szCs w:val="12"/>
                <w:color w:val="auto"/>
              </w:rPr>
            </w:pPr>
          </w:p>
        </w:tc>
        <w:tc>
          <w:tcPr>
            <w:tcW w:w="90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-8.5%</w:t>
            </w:r>
          </w:p>
        </w:tc>
        <w:tc>
          <w:tcPr>
            <w:tcW w:w="10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4,234,901</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4,147,717</w:t>
            </w:r>
          </w:p>
        </w:tc>
        <w:tc>
          <w:tcPr>
            <w:tcW w:w="10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7"/>
        </w:trPr>
        <w:tc>
          <w:tcPr>
            <w:tcW w:w="2380" w:type="dxa"/>
            <w:vAlign w:val="bottom"/>
            <w:shd w:val="clear" w:color="auto" w:fill="CCEEFF"/>
          </w:tcPr>
          <w:p>
            <w:pPr>
              <w:ind w:left="160"/>
              <w:spacing w:after="0" w:line="187" w:lineRule="exact"/>
              <w:rPr>
                <w:sz w:val="20"/>
                <w:szCs w:val="20"/>
                <w:color w:val="auto"/>
              </w:rPr>
            </w:pPr>
            <w:r>
              <w:rPr>
                <w:rFonts w:ascii="Arial" w:cs="Arial" w:eastAsia="Arial" w:hAnsi="Arial"/>
                <w:sz w:val="13"/>
                <w:szCs w:val="13"/>
                <w:color w:val="auto"/>
              </w:rPr>
              <w:t xml:space="preserve">Interest expense </w:t>
            </w:r>
            <w:r>
              <w:rPr>
                <w:rFonts w:ascii="Arial" w:cs="Arial" w:eastAsia="Arial" w:hAnsi="Arial"/>
                <w:sz w:val="21"/>
                <w:szCs w:val="21"/>
                <w:color w:val="auto"/>
                <w:vertAlign w:val="superscript"/>
              </w:rPr>
              <w:t>(1)</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(619,047)</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(563,389)</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(546,174)</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(1,207,931)</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(1,109,563)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47"/>
        </w:trPr>
        <w:tc>
          <w:tcPr>
            <w:tcW w:w="2380" w:type="dxa"/>
            <w:vAlign w:val="bottom"/>
          </w:tcPr>
          <w:p>
            <w:pPr>
              <w:ind w:left="160"/>
              <w:spacing w:after="0" w:line="147" w:lineRule="exact"/>
              <w:rPr>
                <w:sz w:val="20"/>
                <w:szCs w:val="20"/>
                <w:color w:val="auto"/>
              </w:rPr>
            </w:pPr>
            <w:r>
              <w:rPr>
                <w:rFonts w:ascii="Arial" w:cs="Arial" w:eastAsia="Arial" w:hAnsi="Arial"/>
                <w:sz w:val="14"/>
                <w:szCs w:val="14"/>
                <w:b w:val="1"/>
                <w:bCs w:val="1"/>
                <w:color w:val="auto"/>
              </w:rPr>
              <w:t>Net interest income</w:t>
            </w:r>
          </w:p>
        </w:tc>
        <w:tc>
          <w:tcPr>
            <w:tcW w:w="90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1,531,101</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7" w:lineRule="exact"/>
              <w:rPr>
                <w:sz w:val="20"/>
                <w:szCs w:val="20"/>
                <w:color w:val="auto"/>
              </w:rPr>
            </w:pPr>
            <w:r>
              <w:rPr>
                <w:rFonts w:ascii="Arial" w:cs="Arial" w:eastAsia="Arial" w:hAnsi="Arial"/>
                <w:sz w:val="14"/>
                <w:szCs w:val="14"/>
                <w:b w:val="1"/>
                <w:bCs w:val="1"/>
                <w:color w:val="auto"/>
              </w:rPr>
              <w:t>1,615,924</w:t>
            </w:r>
          </w:p>
        </w:tc>
        <w:tc>
          <w:tcPr>
            <w:tcW w:w="90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1,422,230</w:t>
            </w:r>
          </w:p>
        </w:tc>
        <w:tc>
          <w:tcPr>
            <w:tcW w:w="200" w:type="dxa"/>
            <w:vAlign w:val="bottom"/>
          </w:tcPr>
          <w:p>
            <w:pPr>
              <w:spacing w:after="0"/>
              <w:rPr>
                <w:sz w:val="12"/>
                <w:szCs w:val="12"/>
                <w:color w:val="auto"/>
              </w:rPr>
            </w:pPr>
          </w:p>
        </w:tc>
        <w:tc>
          <w:tcPr>
            <w:tcW w:w="1140" w:type="dxa"/>
            <w:vAlign w:val="bottom"/>
            <w:gridSpan w:val="2"/>
          </w:tcPr>
          <w:p>
            <w:pPr>
              <w:jc w:val="right"/>
              <w:ind w:right="120"/>
              <w:spacing w:after="0" w:line="147" w:lineRule="exact"/>
              <w:rPr>
                <w:sz w:val="20"/>
                <w:szCs w:val="20"/>
                <w:color w:val="auto"/>
              </w:rPr>
            </w:pPr>
            <w:r>
              <w:rPr>
                <w:rFonts w:ascii="Arial" w:cs="Arial" w:eastAsia="Arial" w:hAnsi="Arial"/>
                <w:sz w:val="14"/>
                <w:szCs w:val="14"/>
                <w:b w:val="1"/>
                <w:bCs w:val="1"/>
                <w:color w:val="auto"/>
              </w:rPr>
              <w:t>-12.0%</w:t>
            </w:r>
          </w:p>
        </w:tc>
        <w:tc>
          <w:tcPr>
            <w:tcW w:w="240" w:type="dxa"/>
            <w:vAlign w:val="bottom"/>
          </w:tcPr>
          <w:p>
            <w:pPr>
              <w:spacing w:after="0"/>
              <w:rPr>
                <w:sz w:val="12"/>
                <w:szCs w:val="12"/>
                <w:color w:val="auto"/>
              </w:rPr>
            </w:pPr>
          </w:p>
        </w:tc>
        <w:tc>
          <w:tcPr>
            <w:tcW w:w="900" w:type="dxa"/>
            <w:vAlign w:val="bottom"/>
            <w:gridSpan w:val="2"/>
          </w:tcPr>
          <w:p>
            <w:pPr>
              <w:jc w:val="right"/>
              <w:ind w:right="120"/>
              <w:spacing w:after="0" w:line="147" w:lineRule="exact"/>
              <w:rPr>
                <w:sz w:val="20"/>
                <w:szCs w:val="20"/>
                <w:color w:val="auto"/>
              </w:rPr>
            </w:pPr>
            <w:r>
              <w:rPr>
                <w:rFonts w:ascii="Arial" w:cs="Arial" w:eastAsia="Arial" w:hAnsi="Arial"/>
                <w:sz w:val="14"/>
                <w:szCs w:val="14"/>
                <w:b w:val="1"/>
                <w:bCs w:val="1"/>
                <w:color w:val="auto"/>
              </w:rPr>
              <w:t>-7.1%</w:t>
            </w:r>
          </w:p>
        </w:tc>
        <w:tc>
          <w:tcPr>
            <w:tcW w:w="10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3,026,970</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3,038,154</w:t>
            </w:r>
          </w:p>
        </w:tc>
        <w:tc>
          <w:tcPr>
            <w:tcW w:w="10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28"/>
        </w:trPr>
        <w:tc>
          <w:tcPr>
            <w:tcW w:w="23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Provision for credit losses on loan</w:t>
            </w: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portfolio</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(372,789)</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(1,151,580)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(2,017,137)</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75.2%</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441.1%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(703,671)</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(3,168,717)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350.3%</w:t>
            </w:r>
          </w:p>
        </w:tc>
        <w:tc>
          <w:tcPr>
            <w:tcW w:w="0" w:type="dxa"/>
            <w:vAlign w:val="bottom"/>
          </w:tcPr>
          <w:p>
            <w:pPr>
              <w:spacing w:after="0"/>
              <w:rPr>
                <w:sz w:val="1"/>
                <w:szCs w:val="1"/>
                <w:color w:val="auto"/>
              </w:rPr>
            </w:pPr>
          </w:p>
        </w:tc>
      </w:tr>
      <w:tr>
        <w:trPr>
          <w:trHeight w:val="147"/>
        </w:trPr>
        <w:tc>
          <w:tcPr>
            <w:tcW w:w="2380" w:type="dxa"/>
            <w:vAlign w:val="bottom"/>
          </w:tcPr>
          <w:p>
            <w:pPr>
              <w:spacing w:after="0" w:line="147" w:lineRule="exact"/>
              <w:rPr>
                <w:sz w:val="20"/>
                <w:szCs w:val="20"/>
                <w:color w:val="auto"/>
              </w:rPr>
            </w:pPr>
            <w:r>
              <w:rPr>
                <w:rFonts w:ascii="Arial" w:cs="Arial" w:eastAsia="Arial" w:hAnsi="Arial"/>
                <w:sz w:val="14"/>
                <w:szCs w:val="14"/>
                <w:color w:val="auto"/>
              </w:rPr>
              <w:t>Recoveries of written-off loans</w:t>
            </w:r>
          </w:p>
        </w:tc>
        <w:tc>
          <w:tcPr>
            <w:tcW w:w="114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44,810</w:t>
            </w:r>
          </w:p>
        </w:tc>
        <w:tc>
          <w:tcPr>
            <w:tcW w:w="116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34,422</w:t>
            </w:r>
          </w:p>
        </w:tc>
        <w:tc>
          <w:tcPr>
            <w:tcW w:w="110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14,089</w:t>
            </w:r>
          </w:p>
        </w:tc>
        <w:tc>
          <w:tcPr>
            <w:tcW w:w="114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-59.1%</w:t>
            </w:r>
          </w:p>
        </w:tc>
        <w:tc>
          <w:tcPr>
            <w:tcW w:w="240" w:type="dxa"/>
            <w:vAlign w:val="bottom"/>
          </w:tcPr>
          <w:p>
            <w:pPr>
              <w:spacing w:after="0"/>
              <w:rPr>
                <w:sz w:val="12"/>
                <w:szCs w:val="12"/>
                <w:color w:val="auto"/>
              </w:rPr>
            </w:pPr>
          </w:p>
        </w:tc>
        <w:tc>
          <w:tcPr>
            <w:tcW w:w="90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-68.6%</w:t>
            </w:r>
          </w:p>
        </w:tc>
        <w:tc>
          <w:tcPr>
            <w:tcW w:w="10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99,054</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48,511</w:t>
            </w:r>
          </w:p>
        </w:tc>
        <w:tc>
          <w:tcPr>
            <w:tcW w:w="10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24"/>
        </w:trPr>
        <w:tc>
          <w:tcPr>
            <w:tcW w:w="2380" w:type="dxa"/>
            <w:vAlign w:val="bottom"/>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Provision for credit losses on loan</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(327,979)</w:t>
            </w:r>
          </w:p>
        </w:tc>
        <w:tc>
          <w:tcPr>
            <w:tcW w:w="11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(1,117,158)</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(2,003,048)</w:t>
            </w:r>
          </w:p>
        </w:tc>
        <w:tc>
          <w:tcPr>
            <w:tcW w:w="11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79.3%</w:t>
            </w:r>
          </w:p>
        </w:tc>
        <w:tc>
          <w:tcPr>
            <w:tcW w:w="2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510.7%</w:t>
            </w:r>
          </w:p>
        </w:tc>
        <w:tc>
          <w:tcPr>
            <w:tcW w:w="8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portfolio, net of recoveries</w:t>
            </w:r>
          </w:p>
        </w:tc>
        <w:tc>
          <w:tcPr>
            <w:tcW w:w="1140" w:type="dxa"/>
            <w:vAlign w:val="bottom"/>
            <w:gridSpan w:val="2"/>
            <w:vMerge w:val="continue"/>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(604,617)</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(3,120,206)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416.1%</w:t>
            </w:r>
          </w:p>
        </w:tc>
        <w:tc>
          <w:tcPr>
            <w:tcW w:w="0" w:type="dxa"/>
            <w:vAlign w:val="bottom"/>
          </w:tcPr>
          <w:p>
            <w:pPr>
              <w:spacing w:after="0"/>
              <w:rPr>
                <w:sz w:val="1"/>
                <w:szCs w:val="1"/>
                <w:color w:val="auto"/>
              </w:rPr>
            </w:pPr>
          </w:p>
        </w:tc>
      </w:tr>
      <w:tr>
        <w:trPr>
          <w:trHeight w:val="147"/>
        </w:trPr>
        <w:tc>
          <w:tcPr>
            <w:tcW w:w="2380" w:type="dxa"/>
            <w:vAlign w:val="bottom"/>
          </w:tcPr>
          <w:p>
            <w:pPr>
              <w:spacing w:after="0" w:line="147" w:lineRule="exact"/>
              <w:rPr>
                <w:sz w:val="20"/>
                <w:szCs w:val="20"/>
                <w:color w:val="auto"/>
              </w:rPr>
            </w:pPr>
            <w:r>
              <w:rPr>
                <w:rFonts w:ascii="Arial" w:cs="Arial" w:eastAsia="Arial" w:hAnsi="Arial"/>
                <w:sz w:val="14"/>
                <w:szCs w:val="14"/>
                <w:b w:val="1"/>
                <w:bCs w:val="1"/>
                <w:color w:val="auto"/>
              </w:rPr>
              <w:t>Risk-adjusted net interest income</w:t>
            </w:r>
          </w:p>
        </w:tc>
        <w:tc>
          <w:tcPr>
            <w:tcW w:w="90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1,203,122</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7" w:lineRule="exact"/>
              <w:rPr>
                <w:sz w:val="20"/>
                <w:szCs w:val="20"/>
                <w:color w:val="auto"/>
              </w:rPr>
            </w:pPr>
            <w:r>
              <w:rPr>
                <w:rFonts w:ascii="Arial" w:cs="Arial" w:eastAsia="Arial" w:hAnsi="Arial"/>
                <w:sz w:val="14"/>
                <w:szCs w:val="14"/>
                <w:b w:val="1"/>
                <w:bCs w:val="1"/>
                <w:color w:val="auto"/>
              </w:rPr>
              <w:t>498,766</w:t>
            </w:r>
          </w:p>
        </w:tc>
        <w:tc>
          <w:tcPr>
            <w:tcW w:w="1100" w:type="dxa"/>
            <w:vAlign w:val="bottom"/>
            <w:gridSpan w:val="2"/>
          </w:tcPr>
          <w:p>
            <w:pPr>
              <w:jc w:val="right"/>
              <w:ind w:right="160"/>
              <w:spacing w:after="0" w:line="147" w:lineRule="exact"/>
              <w:rPr>
                <w:sz w:val="20"/>
                <w:szCs w:val="20"/>
                <w:color w:val="auto"/>
              </w:rPr>
            </w:pPr>
            <w:r>
              <w:rPr>
                <w:rFonts w:ascii="Arial" w:cs="Arial" w:eastAsia="Arial" w:hAnsi="Arial"/>
                <w:sz w:val="14"/>
                <w:szCs w:val="14"/>
                <w:b w:val="1"/>
                <w:bCs w:val="1"/>
                <w:color w:val="auto"/>
              </w:rPr>
              <w:t>(580,818)</w:t>
            </w:r>
          </w:p>
        </w:tc>
        <w:tc>
          <w:tcPr>
            <w:tcW w:w="1140" w:type="dxa"/>
            <w:vAlign w:val="bottom"/>
            <w:gridSpan w:val="2"/>
          </w:tcPr>
          <w:p>
            <w:pPr>
              <w:jc w:val="right"/>
              <w:ind w:right="120"/>
              <w:spacing w:after="0" w:line="147" w:lineRule="exact"/>
              <w:rPr>
                <w:sz w:val="20"/>
                <w:szCs w:val="20"/>
                <w:color w:val="auto"/>
              </w:rPr>
            </w:pPr>
            <w:r>
              <w:rPr>
                <w:rFonts w:ascii="Arial" w:cs="Arial" w:eastAsia="Arial" w:hAnsi="Arial"/>
                <w:sz w:val="14"/>
                <w:szCs w:val="14"/>
                <w:b w:val="1"/>
                <w:bCs w:val="1"/>
                <w:color w:val="auto"/>
              </w:rPr>
              <w:t>-216.5%</w:t>
            </w:r>
          </w:p>
        </w:tc>
        <w:tc>
          <w:tcPr>
            <w:tcW w:w="240" w:type="dxa"/>
            <w:vAlign w:val="bottom"/>
          </w:tcPr>
          <w:p>
            <w:pPr>
              <w:spacing w:after="0"/>
              <w:rPr>
                <w:sz w:val="12"/>
                <w:szCs w:val="12"/>
                <w:color w:val="auto"/>
              </w:rPr>
            </w:pPr>
          </w:p>
        </w:tc>
        <w:tc>
          <w:tcPr>
            <w:tcW w:w="900" w:type="dxa"/>
            <w:vAlign w:val="bottom"/>
            <w:gridSpan w:val="2"/>
          </w:tcPr>
          <w:p>
            <w:pPr>
              <w:jc w:val="right"/>
              <w:ind w:right="120"/>
              <w:spacing w:after="0" w:line="147" w:lineRule="exact"/>
              <w:rPr>
                <w:sz w:val="20"/>
                <w:szCs w:val="20"/>
                <w:color w:val="auto"/>
              </w:rPr>
            </w:pPr>
            <w:r>
              <w:rPr>
                <w:rFonts w:ascii="Arial" w:cs="Arial" w:eastAsia="Arial" w:hAnsi="Arial"/>
                <w:sz w:val="14"/>
                <w:szCs w:val="14"/>
                <w:b w:val="1"/>
                <w:bCs w:val="1"/>
                <w:color w:val="auto"/>
              </w:rPr>
              <w:t>-148.3%</w:t>
            </w:r>
          </w:p>
        </w:tc>
        <w:tc>
          <w:tcPr>
            <w:tcW w:w="10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2,422,353</w:t>
            </w:r>
          </w:p>
        </w:tc>
        <w:tc>
          <w:tcPr>
            <w:tcW w:w="140" w:type="dxa"/>
            <w:vAlign w:val="bottom"/>
          </w:tcPr>
          <w:p>
            <w:pPr>
              <w:spacing w:after="0"/>
              <w:rPr>
                <w:sz w:val="12"/>
                <w:szCs w:val="12"/>
                <w:color w:val="auto"/>
              </w:rPr>
            </w:pPr>
          </w:p>
        </w:tc>
        <w:tc>
          <w:tcPr>
            <w:tcW w:w="96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(82,052)</w:t>
            </w:r>
          </w:p>
        </w:tc>
        <w:tc>
          <w:tcPr>
            <w:tcW w:w="10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-103.4%</w:t>
            </w: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Non-financial income</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80" w:type="dxa"/>
            <w:vAlign w:val="bottom"/>
          </w:tcPr>
          <w:p>
            <w:pPr>
              <w:ind w:left="160"/>
              <w:spacing w:after="0" w:line="147" w:lineRule="exact"/>
              <w:rPr>
                <w:sz w:val="20"/>
                <w:szCs w:val="20"/>
                <w:color w:val="auto"/>
              </w:rPr>
            </w:pPr>
            <w:r>
              <w:rPr>
                <w:rFonts w:ascii="Arial" w:cs="Arial" w:eastAsia="Arial" w:hAnsi="Arial"/>
                <w:sz w:val="14"/>
                <w:szCs w:val="14"/>
                <w:color w:val="auto"/>
              </w:rPr>
              <w:t>Fee income</w:t>
            </w:r>
          </w:p>
        </w:tc>
        <w:tc>
          <w:tcPr>
            <w:tcW w:w="114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600,784</w:t>
            </w:r>
          </w:p>
        </w:tc>
        <w:tc>
          <w:tcPr>
            <w:tcW w:w="116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578,583</w:t>
            </w:r>
          </w:p>
        </w:tc>
        <w:tc>
          <w:tcPr>
            <w:tcW w:w="110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379,049</w:t>
            </w:r>
          </w:p>
        </w:tc>
        <w:tc>
          <w:tcPr>
            <w:tcW w:w="114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-34.5%</w:t>
            </w:r>
          </w:p>
        </w:tc>
        <w:tc>
          <w:tcPr>
            <w:tcW w:w="240" w:type="dxa"/>
            <w:vAlign w:val="bottom"/>
          </w:tcPr>
          <w:p>
            <w:pPr>
              <w:spacing w:after="0"/>
              <w:rPr>
                <w:sz w:val="12"/>
                <w:szCs w:val="12"/>
                <w:color w:val="auto"/>
              </w:rPr>
            </w:pPr>
          </w:p>
        </w:tc>
        <w:tc>
          <w:tcPr>
            <w:tcW w:w="90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-36.9%</w:t>
            </w:r>
          </w:p>
        </w:tc>
        <w:tc>
          <w:tcPr>
            <w:tcW w:w="10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1,196,497</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957,632</w:t>
            </w:r>
          </w:p>
        </w:tc>
        <w:tc>
          <w:tcPr>
            <w:tcW w:w="10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28"/>
        </w:trPr>
        <w:tc>
          <w:tcPr>
            <w:tcW w:w="2380" w:type="dxa"/>
            <w:vAlign w:val="bottom"/>
            <w:shd w:val="clear" w:color="auto" w:fill="CCEEFF"/>
          </w:tcPr>
          <w:p>
            <w:pPr>
              <w:ind w:left="160"/>
              <w:spacing w:after="0" w:line="129" w:lineRule="exact"/>
              <w:rPr>
                <w:sz w:val="20"/>
                <w:szCs w:val="20"/>
                <w:color w:val="auto"/>
              </w:rPr>
            </w:pPr>
            <w:r>
              <w:rPr>
                <w:rFonts w:ascii="Arial" w:cs="Arial" w:eastAsia="Arial" w:hAnsi="Arial"/>
                <w:sz w:val="14"/>
                <w:szCs w:val="14"/>
                <w:color w:val="auto"/>
              </w:rPr>
              <w:t>Net gain on foreign exchange</w:t>
            </w: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transactions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182,415</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174,787</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142,210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-18.6%</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350,660</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316,997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7"/>
        </w:trPr>
        <w:tc>
          <w:tcPr>
            <w:tcW w:w="2380" w:type="dxa"/>
            <w:vAlign w:val="bottom"/>
          </w:tcPr>
          <w:p>
            <w:pPr>
              <w:ind w:left="160"/>
              <w:spacing w:after="0" w:line="147" w:lineRule="exact"/>
              <w:rPr>
                <w:sz w:val="20"/>
                <w:szCs w:val="20"/>
                <w:color w:val="auto"/>
              </w:rPr>
            </w:pPr>
            <w:r>
              <w:rPr>
                <w:rFonts w:ascii="Arial" w:cs="Arial" w:eastAsia="Arial" w:hAnsi="Arial"/>
                <w:sz w:val="14"/>
                <w:szCs w:val="14"/>
                <w:color w:val="auto"/>
              </w:rPr>
              <w:t>Net gain on securities</w:t>
            </w:r>
          </w:p>
        </w:tc>
        <w:tc>
          <w:tcPr>
            <w:tcW w:w="900" w:type="dxa"/>
            <w:vAlign w:val="bottom"/>
          </w:tcPr>
          <w:p>
            <w:pPr>
              <w:jc w:val="right"/>
              <w:spacing w:after="0" w:line="147" w:lineRule="exact"/>
              <w:rPr>
                <w:sz w:val="20"/>
                <w:szCs w:val="20"/>
                <w:color w:val="auto"/>
              </w:rPr>
            </w:pPr>
            <w:r>
              <w:rPr>
                <w:rFonts w:ascii="Arial" w:cs="Arial" w:eastAsia="Arial" w:hAnsi="Arial"/>
                <w:sz w:val="14"/>
                <w:szCs w:val="14"/>
                <w:color w:val="auto"/>
              </w:rPr>
              <w:t>115,776</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3,257</w:t>
            </w:r>
          </w:p>
        </w:tc>
        <w:tc>
          <w:tcPr>
            <w:tcW w:w="110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(189,379)</w:t>
            </w:r>
          </w:p>
        </w:tc>
        <w:tc>
          <w:tcPr>
            <w:tcW w:w="114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-5914.5%</w:t>
            </w:r>
          </w:p>
        </w:tc>
        <w:tc>
          <w:tcPr>
            <w:tcW w:w="240" w:type="dxa"/>
            <w:vAlign w:val="bottom"/>
          </w:tcPr>
          <w:p>
            <w:pPr>
              <w:spacing w:after="0"/>
              <w:rPr>
                <w:sz w:val="12"/>
                <w:szCs w:val="12"/>
                <w:color w:val="auto"/>
              </w:rPr>
            </w:pPr>
          </w:p>
        </w:tc>
        <w:tc>
          <w:tcPr>
            <w:tcW w:w="90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-263.6%</w:t>
            </w:r>
          </w:p>
        </w:tc>
        <w:tc>
          <w:tcPr>
            <w:tcW w:w="10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216,371</w:t>
            </w:r>
          </w:p>
        </w:tc>
        <w:tc>
          <w:tcPr>
            <w:tcW w:w="140" w:type="dxa"/>
            <w:vAlign w:val="bottom"/>
          </w:tcPr>
          <w:p>
            <w:pPr>
              <w:spacing w:after="0"/>
              <w:rPr>
                <w:sz w:val="12"/>
                <w:szCs w:val="12"/>
                <w:color w:val="auto"/>
              </w:rPr>
            </w:pPr>
          </w:p>
        </w:tc>
        <w:tc>
          <w:tcPr>
            <w:tcW w:w="96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(186,122)</w:t>
            </w:r>
          </w:p>
        </w:tc>
        <w:tc>
          <w:tcPr>
            <w:tcW w:w="10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-186.0%</w:t>
            </w:r>
          </w:p>
        </w:tc>
        <w:tc>
          <w:tcPr>
            <w:tcW w:w="0" w:type="dxa"/>
            <w:vAlign w:val="bottom"/>
          </w:tcPr>
          <w:p>
            <w:pPr>
              <w:spacing w:after="0"/>
              <w:rPr>
                <w:sz w:val="1"/>
                <w:szCs w:val="1"/>
                <w:color w:val="auto"/>
              </w:rPr>
            </w:pPr>
          </w:p>
        </w:tc>
      </w:tr>
      <w:tr>
        <w:trPr>
          <w:trHeight w:val="128"/>
        </w:trPr>
        <w:tc>
          <w:tcPr>
            <w:tcW w:w="2380" w:type="dxa"/>
            <w:vAlign w:val="bottom"/>
            <w:shd w:val="clear" w:color="auto" w:fill="CCEEFF"/>
          </w:tcPr>
          <w:p>
            <w:pPr>
              <w:ind w:left="160"/>
              <w:spacing w:after="0" w:line="129" w:lineRule="exact"/>
              <w:rPr>
                <w:sz w:val="20"/>
                <w:szCs w:val="20"/>
                <w:color w:val="auto"/>
              </w:rPr>
            </w:pPr>
            <w:r>
              <w:rPr>
                <w:rFonts w:ascii="Arial" w:cs="Arial" w:eastAsia="Arial" w:hAnsi="Arial"/>
                <w:sz w:val="14"/>
                <w:szCs w:val="14"/>
                <w:color w:val="auto"/>
              </w:rPr>
              <w:t>Net gain on derivatives held for</w:t>
            </w: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trading</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11,711</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(1,309)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34,437</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-2730.8%</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194.1%</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23,863</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33,128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47"/>
        </w:trPr>
        <w:tc>
          <w:tcPr>
            <w:tcW w:w="2380" w:type="dxa"/>
            <w:vAlign w:val="bottom"/>
          </w:tcPr>
          <w:p>
            <w:pPr>
              <w:ind w:left="160"/>
              <w:spacing w:after="0" w:line="147" w:lineRule="exact"/>
              <w:rPr>
                <w:sz w:val="20"/>
                <w:szCs w:val="20"/>
                <w:color w:val="auto"/>
              </w:rPr>
            </w:pPr>
            <w:r>
              <w:rPr>
                <w:rFonts w:ascii="Arial" w:cs="Arial" w:eastAsia="Arial" w:hAnsi="Arial"/>
                <w:sz w:val="14"/>
                <w:szCs w:val="14"/>
                <w:color w:val="auto"/>
                <w:w w:val="99"/>
              </w:rPr>
              <w:t>Net gain from exchange differences</w:t>
            </w:r>
          </w:p>
        </w:tc>
        <w:tc>
          <w:tcPr>
            <w:tcW w:w="114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4,652</w:t>
            </w:r>
          </w:p>
        </w:tc>
        <w:tc>
          <w:tcPr>
            <w:tcW w:w="116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(13,056)</w:t>
            </w:r>
          </w:p>
        </w:tc>
        <w:tc>
          <w:tcPr>
            <w:tcW w:w="110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10,806</w:t>
            </w:r>
          </w:p>
        </w:tc>
        <w:tc>
          <w:tcPr>
            <w:tcW w:w="114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-182.8%</w:t>
            </w:r>
          </w:p>
        </w:tc>
        <w:tc>
          <w:tcPr>
            <w:tcW w:w="240" w:type="dxa"/>
            <w:vAlign w:val="bottom"/>
          </w:tcPr>
          <w:p>
            <w:pPr>
              <w:spacing w:after="0"/>
              <w:rPr>
                <w:sz w:val="12"/>
                <w:szCs w:val="12"/>
                <w:color w:val="auto"/>
              </w:rPr>
            </w:pPr>
          </w:p>
        </w:tc>
        <w:tc>
          <w:tcPr>
            <w:tcW w:w="90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132.3%</w:t>
            </w:r>
          </w:p>
        </w:tc>
        <w:tc>
          <w:tcPr>
            <w:tcW w:w="10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16,583</w:t>
            </w:r>
          </w:p>
        </w:tc>
        <w:tc>
          <w:tcPr>
            <w:tcW w:w="140" w:type="dxa"/>
            <w:vAlign w:val="bottom"/>
          </w:tcPr>
          <w:p>
            <w:pPr>
              <w:spacing w:after="0"/>
              <w:rPr>
                <w:sz w:val="12"/>
                <w:szCs w:val="12"/>
                <w:color w:val="auto"/>
              </w:rPr>
            </w:pPr>
          </w:p>
        </w:tc>
        <w:tc>
          <w:tcPr>
            <w:tcW w:w="96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(2,250)</w:t>
            </w:r>
          </w:p>
        </w:tc>
        <w:tc>
          <w:tcPr>
            <w:tcW w:w="10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-113.6%</w:t>
            </w: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ind w:left="160"/>
              <w:spacing w:after="0" w:line="147" w:lineRule="exact"/>
              <w:rPr>
                <w:sz w:val="20"/>
                <w:szCs w:val="20"/>
                <w:color w:val="auto"/>
              </w:rPr>
            </w:pPr>
            <w:r>
              <w:rPr>
                <w:rFonts w:ascii="Arial" w:cs="Arial" w:eastAsia="Arial" w:hAnsi="Arial"/>
                <w:sz w:val="14"/>
                <w:szCs w:val="14"/>
                <w:color w:val="auto"/>
              </w:rPr>
              <w:t>Others</w:t>
            </w:r>
          </w:p>
        </w:tc>
        <w:tc>
          <w:tcPr>
            <w:tcW w:w="114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44,783</w:t>
            </w:r>
          </w:p>
        </w:tc>
        <w:tc>
          <w:tcPr>
            <w:tcW w:w="116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72,084</w:t>
            </w:r>
          </w:p>
        </w:tc>
        <w:tc>
          <w:tcPr>
            <w:tcW w:w="110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19,983</w:t>
            </w:r>
          </w:p>
        </w:tc>
        <w:tc>
          <w:tcPr>
            <w:tcW w:w="114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-72.3%</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-55.4%</w:t>
            </w:r>
          </w:p>
        </w:tc>
        <w:tc>
          <w:tcPr>
            <w:tcW w:w="10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87,106</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92,067</w:t>
            </w:r>
          </w:p>
        </w:tc>
        <w:tc>
          <w:tcPr>
            <w:tcW w:w="10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7"/>
        </w:trPr>
        <w:tc>
          <w:tcPr>
            <w:tcW w:w="2380" w:type="dxa"/>
            <w:vAlign w:val="bottom"/>
          </w:tcPr>
          <w:p>
            <w:pPr>
              <w:spacing w:after="0" w:line="147" w:lineRule="exact"/>
              <w:rPr>
                <w:sz w:val="20"/>
                <w:szCs w:val="20"/>
                <w:color w:val="auto"/>
              </w:rPr>
            </w:pPr>
            <w:r>
              <w:rPr>
                <w:rFonts w:ascii="Arial" w:cs="Arial" w:eastAsia="Arial" w:hAnsi="Arial"/>
                <w:sz w:val="14"/>
                <w:szCs w:val="14"/>
                <w:b w:val="1"/>
                <w:bCs w:val="1"/>
                <w:color w:val="auto"/>
              </w:rPr>
              <w:t>Total other income</w:t>
            </w:r>
          </w:p>
        </w:tc>
        <w:tc>
          <w:tcPr>
            <w:tcW w:w="1140" w:type="dxa"/>
            <w:vAlign w:val="bottom"/>
            <w:gridSpan w:val="2"/>
          </w:tcPr>
          <w:p>
            <w:pPr>
              <w:jc w:val="right"/>
              <w:ind w:right="240"/>
              <w:spacing w:after="0" w:line="147" w:lineRule="exact"/>
              <w:rPr>
                <w:sz w:val="20"/>
                <w:szCs w:val="20"/>
                <w:color w:val="auto"/>
              </w:rPr>
            </w:pPr>
            <w:r>
              <w:rPr>
                <w:rFonts w:ascii="Arial" w:cs="Arial" w:eastAsia="Arial" w:hAnsi="Arial"/>
                <w:sz w:val="14"/>
                <w:szCs w:val="14"/>
                <w:b w:val="1"/>
                <w:bCs w:val="1"/>
                <w:color w:val="auto"/>
              </w:rPr>
              <w:t>960,121</w:t>
            </w:r>
          </w:p>
        </w:tc>
        <w:tc>
          <w:tcPr>
            <w:tcW w:w="1160" w:type="dxa"/>
            <w:vAlign w:val="bottom"/>
            <w:gridSpan w:val="2"/>
          </w:tcPr>
          <w:p>
            <w:pPr>
              <w:jc w:val="right"/>
              <w:ind w:right="240"/>
              <w:spacing w:after="0" w:line="147" w:lineRule="exact"/>
              <w:rPr>
                <w:sz w:val="20"/>
                <w:szCs w:val="20"/>
                <w:color w:val="auto"/>
              </w:rPr>
            </w:pPr>
            <w:r>
              <w:rPr>
                <w:rFonts w:ascii="Arial" w:cs="Arial" w:eastAsia="Arial" w:hAnsi="Arial"/>
                <w:sz w:val="14"/>
                <w:szCs w:val="14"/>
                <w:b w:val="1"/>
                <w:bCs w:val="1"/>
                <w:color w:val="auto"/>
              </w:rPr>
              <w:t>814,346</w:t>
            </w:r>
          </w:p>
        </w:tc>
        <w:tc>
          <w:tcPr>
            <w:tcW w:w="1100" w:type="dxa"/>
            <w:vAlign w:val="bottom"/>
            <w:gridSpan w:val="2"/>
          </w:tcPr>
          <w:p>
            <w:pPr>
              <w:jc w:val="right"/>
              <w:ind w:right="200"/>
              <w:spacing w:after="0" w:line="147" w:lineRule="exact"/>
              <w:rPr>
                <w:sz w:val="20"/>
                <w:szCs w:val="20"/>
                <w:color w:val="auto"/>
              </w:rPr>
            </w:pPr>
            <w:r>
              <w:rPr>
                <w:rFonts w:ascii="Arial" w:cs="Arial" w:eastAsia="Arial" w:hAnsi="Arial"/>
                <w:sz w:val="14"/>
                <w:szCs w:val="14"/>
                <w:b w:val="1"/>
                <w:bCs w:val="1"/>
                <w:color w:val="auto"/>
              </w:rPr>
              <w:t>397,106</w:t>
            </w:r>
          </w:p>
        </w:tc>
        <w:tc>
          <w:tcPr>
            <w:tcW w:w="1140" w:type="dxa"/>
            <w:vAlign w:val="bottom"/>
            <w:gridSpan w:val="2"/>
          </w:tcPr>
          <w:p>
            <w:pPr>
              <w:jc w:val="right"/>
              <w:ind w:right="120"/>
              <w:spacing w:after="0" w:line="147" w:lineRule="exact"/>
              <w:rPr>
                <w:sz w:val="20"/>
                <w:szCs w:val="20"/>
                <w:color w:val="auto"/>
              </w:rPr>
            </w:pPr>
            <w:r>
              <w:rPr>
                <w:rFonts w:ascii="Arial" w:cs="Arial" w:eastAsia="Arial" w:hAnsi="Arial"/>
                <w:sz w:val="14"/>
                <w:szCs w:val="14"/>
                <w:b w:val="1"/>
                <w:bCs w:val="1"/>
                <w:color w:val="auto"/>
              </w:rPr>
              <w:t>-51.2%</w:t>
            </w:r>
          </w:p>
        </w:tc>
        <w:tc>
          <w:tcPr>
            <w:tcW w:w="240" w:type="dxa"/>
            <w:vAlign w:val="bottom"/>
          </w:tcPr>
          <w:p>
            <w:pPr>
              <w:spacing w:after="0"/>
              <w:rPr>
                <w:sz w:val="12"/>
                <w:szCs w:val="12"/>
                <w:color w:val="auto"/>
              </w:rPr>
            </w:pPr>
          </w:p>
        </w:tc>
        <w:tc>
          <w:tcPr>
            <w:tcW w:w="900" w:type="dxa"/>
            <w:vAlign w:val="bottom"/>
            <w:gridSpan w:val="2"/>
          </w:tcPr>
          <w:p>
            <w:pPr>
              <w:jc w:val="right"/>
              <w:ind w:right="120"/>
              <w:spacing w:after="0" w:line="147" w:lineRule="exact"/>
              <w:rPr>
                <w:sz w:val="20"/>
                <w:szCs w:val="20"/>
                <w:color w:val="auto"/>
              </w:rPr>
            </w:pPr>
            <w:r>
              <w:rPr>
                <w:rFonts w:ascii="Arial" w:cs="Arial" w:eastAsia="Arial" w:hAnsi="Arial"/>
                <w:sz w:val="14"/>
                <w:szCs w:val="14"/>
                <w:b w:val="1"/>
                <w:bCs w:val="1"/>
                <w:color w:val="auto"/>
              </w:rPr>
              <w:t>-58.6%</w:t>
            </w:r>
          </w:p>
        </w:tc>
        <w:tc>
          <w:tcPr>
            <w:tcW w:w="10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1,891,080</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1,211,452</w:t>
            </w:r>
          </w:p>
        </w:tc>
        <w:tc>
          <w:tcPr>
            <w:tcW w:w="10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ind w:left="160"/>
              <w:spacing w:after="0" w:line="147" w:lineRule="exact"/>
              <w:rPr>
                <w:sz w:val="20"/>
                <w:szCs w:val="20"/>
                <w:color w:val="auto"/>
              </w:rPr>
            </w:pPr>
            <w:r>
              <w:rPr>
                <w:rFonts w:ascii="Arial" w:cs="Arial" w:eastAsia="Arial" w:hAnsi="Arial"/>
                <w:sz w:val="14"/>
                <w:szCs w:val="14"/>
                <w:b w:val="1"/>
                <w:bCs w:val="1"/>
                <w:color w:val="auto"/>
              </w:rPr>
              <w:t>Total expenses</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80" w:type="dxa"/>
            <w:vAlign w:val="bottom"/>
          </w:tcPr>
          <w:p>
            <w:pPr>
              <w:ind w:left="160"/>
              <w:spacing w:after="0" w:line="147" w:lineRule="exact"/>
              <w:rPr>
                <w:sz w:val="20"/>
                <w:szCs w:val="20"/>
                <w:color w:val="auto"/>
              </w:rPr>
            </w:pPr>
            <w:r>
              <w:rPr>
                <w:rFonts w:ascii="Arial" w:cs="Arial" w:eastAsia="Arial" w:hAnsi="Arial"/>
                <w:sz w:val="14"/>
                <w:szCs w:val="14"/>
                <w:color w:val="auto"/>
              </w:rPr>
              <w:t>Salaries and employee benefits</w:t>
            </w:r>
          </w:p>
        </w:tc>
        <w:tc>
          <w:tcPr>
            <w:tcW w:w="114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(444,732)</w:t>
            </w:r>
          </w:p>
        </w:tc>
        <w:tc>
          <w:tcPr>
            <w:tcW w:w="116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(447,977)</w:t>
            </w:r>
          </w:p>
        </w:tc>
        <w:tc>
          <w:tcPr>
            <w:tcW w:w="110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(400,800)</w:t>
            </w:r>
          </w:p>
        </w:tc>
        <w:tc>
          <w:tcPr>
            <w:tcW w:w="114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-10.5%</w:t>
            </w:r>
          </w:p>
        </w:tc>
        <w:tc>
          <w:tcPr>
            <w:tcW w:w="240" w:type="dxa"/>
            <w:vAlign w:val="bottom"/>
          </w:tcPr>
          <w:p>
            <w:pPr>
              <w:spacing w:after="0"/>
              <w:rPr>
                <w:sz w:val="12"/>
                <w:szCs w:val="12"/>
                <w:color w:val="auto"/>
              </w:rPr>
            </w:pPr>
          </w:p>
        </w:tc>
        <w:tc>
          <w:tcPr>
            <w:tcW w:w="90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-9.9%</w:t>
            </w:r>
          </w:p>
        </w:tc>
        <w:tc>
          <w:tcPr>
            <w:tcW w:w="108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(882,475)</w:t>
            </w:r>
          </w:p>
        </w:tc>
        <w:tc>
          <w:tcPr>
            <w:tcW w:w="140" w:type="dxa"/>
            <w:vAlign w:val="bottom"/>
          </w:tcPr>
          <w:p>
            <w:pPr>
              <w:spacing w:after="0"/>
              <w:rPr>
                <w:sz w:val="12"/>
                <w:szCs w:val="12"/>
                <w:color w:val="auto"/>
              </w:rPr>
            </w:pPr>
          </w:p>
        </w:tc>
        <w:tc>
          <w:tcPr>
            <w:tcW w:w="96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(848,777)</w:t>
            </w:r>
          </w:p>
        </w:tc>
        <w:tc>
          <w:tcPr>
            <w:tcW w:w="10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ind w:left="160"/>
              <w:spacing w:after="0" w:line="147" w:lineRule="exact"/>
              <w:rPr>
                <w:sz w:val="20"/>
                <w:szCs w:val="20"/>
                <w:color w:val="auto"/>
              </w:rPr>
            </w:pPr>
            <w:r>
              <w:rPr>
                <w:rFonts w:ascii="Arial" w:cs="Arial" w:eastAsia="Arial" w:hAnsi="Arial"/>
                <w:sz w:val="14"/>
                <w:szCs w:val="14"/>
                <w:color w:val="auto"/>
              </w:rPr>
              <w:t>Administrative expenses</w:t>
            </w:r>
          </w:p>
        </w:tc>
        <w:tc>
          <w:tcPr>
            <w:tcW w:w="114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(442,448)</w:t>
            </w:r>
          </w:p>
        </w:tc>
        <w:tc>
          <w:tcPr>
            <w:tcW w:w="116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(357,181)</w:t>
            </w:r>
          </w:p>
        </w:tc>
        <w:tc>
          <w:tcPr>
            <w:tcW w:w="110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(342,849)</w:t>
            </w:r>
          </w:p>
        </w:tc>
        <w:tc>
          <w:tcPr>
            <w:tcW w:w="114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-4.0%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-22.5%</w:t>
            </w:r>
          </w:p>
        </w:tc>
        <w:tc>
          <w:tcPr>
            <w:tcW w:w="108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(826,439)</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(700,030)</w:t>
            </w:r>
          </w:p>
        </w:tc>
        <w:tc>
          <w:tcPr>
            <w:tcW w:w="10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87"/>
        </w:trPr>
        <w:tc>
          <w:tcPr>
            <w:tcW w:w="2380" w:type="dxa"/>
            <w:vAlign w:val="bottom"/>
          </w:tcPr>
          <w:p>
            <w:pPr>
              <w:ind w:left="160"/>
              <w:spacing w:after="0" w:line="187"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21"/>
                <w:szCs w:val="21"/>
                <w:color w:val="auto"/>
                <w:vertAlign w:val="superscript"/>
              </w:rPr>
              <w:t>(2)</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(50,595)</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(109,334)</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(109,693)</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0.3%</w:t>
            </w:r>
          </w:p>
        </w:tc>
        <w:tc>
          <w:tcPr>
            <w:tcW w:w="2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116.8%</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(109,272)</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(219,027)</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100.4%</w:t>
            </w: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ind w:left="160"/>
              <w:spacing w:after="0" w:line="147" w:lineRule="exact"/>
              <w:rPr>
                <w:sz w:val="20"/>
                <w:szCs w:val="20"/>
                <w:color w:val="auto"/>
              </w:rPr>
            </w:pPr>
            <w:r>
              <w:rPr>
                <w:rFonts w:ascii="Arial" w:cs="Arial" w:eastAsia="Arial" w:hAnsi="Arial"/>
                <w:sz w:val="14"/>
                <w:szCs w:val="14"/>
                <w:color w:val="auto"/>
              </w:rPr>
              <w:t>Other expenses</w:t>
            </w:r>
          </w:p>
        </w:tc>
        <w:tc>
          <w:tcPr>
            <w:tcW w:w="114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(25,716)</w:t>
            </w:r>
          </w:p>
        </w:tc>
        <w:tc>
          <w:tcPr>
            <w:tcW w:w="116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(137,515)</w:t>
            </w:r>
          </w:p>
        </w:tc>
        <w:tc>
          <w:tcPr>
            <w:tcW w:w="110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(68,142)</w:t>
            </w:r>
          </w:p>
        </w:tc>
        <w:tc>
          <w:tcPr>
            <w:tcW w:w="114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-50.4%</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165.0%</w:t>
            </w:r>
          </w:p>
        </w:tc>
        <w:tc>
          <w:tcPr>
            <w:tcW w:w="108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(46,671)</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(205,658)</w:t>
            </w:r>
          </w:p>
        </w:tc>
        <w:tc>
          <w:tcPr>
            <w:tcW w:w="10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340.7%</w:t>
            </w:r>
          </w:p>
        </w:tc>
        <w:tc>
          <w:tcPr>
            <w:tcW w:w="0" w:type="dxa"/>
            <w:vAlign w:val="bottom"/>
          </w:tcPr>
          <w:p>
            <w:pPr>
              <w:spacing w:after="0"/>
              <w:rPr>
                <w:sz w:val="1"/>
                <w:szCs w:val="1"/>
                <w:color w:val="auto"/>
              </w:rPr>
            </w:pPr>
          </w:p>
        </w:tc>
      </w:tr>
      <w:tr>
        <w:trPr>
          <w:trHeight w:val="147"/>
        </w:trPr>
        <w:tc>
          <w:tcPr>
            <w:tcW w:w="2380" w:type="dxa"/>
            <w:vAlign w:val="bottom"/>
          </w:tcPr>
          <w:p>
            <w:pPr>
              <w:ind w:left="160"/>
              <w:spacing w:after="0" w:line="147" w:lineRule="exact"/>
              <w:rPr>
                <w:sz w:val="20"/>
                <w:szCs w:val="20"/>
                <w:color w:val="auto"/>
              </w:rPr>
            </w:pPr>
            <w:r>
              <w:rPr>
                <w:rFonts w:ascii="Arial" w:cs="Arial" w:eastAsia="Arial" w:hAnsi="Arial"/>
                <w:sz w:val="14"/>
                <w:szCs w:val="14"/>
                <w:b w:val="1"/>
                <w:bCs w:val="1"/>
                <w:color w:val="auto"/>
              </w:rPr>
              <w:t>Total expenses</w:t>
            </w:r>
          </w:p>
        </w:tc>
        <w:tc>
          <w:tcPr>
            <w:tcW w:w="1140" w:type="dxa"/>
            <w:vAlign w:val="bottom"/>
            <w:gridSpan w:val="2"/>
          </w:tcPr>
          <w:p>
            <w:pPr>
              <w:jc w:val="right"/>
              <w:ind w:right="180"/>
              <w:spacing w:after="0" w:line="147" w:lineRule="exact"/>
              <w:rPr>
                <w:sz w:val="20"/>
                <w:szCs w:val="20"/>
                <w:color w:val="auto"/>
              </w:rPr>
            </w:pPr>
            <w:r>
              <w:rPr>
                <w:rFonts w:ascii="Arial" w:cs="Arial" w:eastAsia="Arial" w:hAnsi="Arial"/>
                <w:sz w:val="14"/>
                <w:szCs w:val="14"/>
                <w:b w:val="1"/>
                <w:bCs w:val="1"/>
                <w:color w:val="auto"/>
              </w:rPr>
              <w:t>(963,491)</w:t>
            </w:r>
          </w:p>
        </w:tc>
        <w:tc>
          <w:tcPr>
            <w:tcW w:w="1160" w:type="dxa"/>
            <w:vAlign w:val="bottom"/>
            <w:gridSpan w:val="2"/>
          </w:tcPr>
          <w:p>
            <w:pPr>
              <w:jc w:val="right"/>
              <w:ind w:right="200"/>
              <w:spacing w:after="0" w:line="147" w:lineRule="exact"/>
              <w:rPr>
                <w:sz w:val="20"/>
                <w:szCs w:val="20"/>
                <w:color w:val="auto"/>
              </w:rPr>
            </w:pPr>
            <w:r>
              <w:rPr>
                <w:rFonts w:ascii="Arial" w:cs="Arial" w:eastAsia="Arial" w:hAnsi="Arial"/>
                <w:sz w:val="14"/>
                <w:szCs w:val="14"/>
                <w:b w:val="1"/>
                <w:bCs w:val="1"/>
                <w:color w:val="auto"/>
              </w:rPr>
              <w:t>(1,052,007)</w:t>
            </w:r>
          </w:p>
        </w:tc>
        <w:tc>
          <w:tcPr>
            <w:tcW w:w="1100" w:type="dxa"/>
            <w:vAlign w:val="bottom"/>
            <w:gridSpan w:val="2"/>
          </w:tcPr>
          <w:p>
            <w:pPr>
              <w:jc w:val="right"/>
              <w:ind w:right="160"/>
              <w:spacing w:after="0" w:line="147" w:lineRule="exact"/>
              <w:rPr>
                <w:sz w:val="20"/>
                <w:szCs w:val="20"/>
                <w:color w:val="auto"/>
              </w:rPr>
            </w:pPr>
            <w:r>
              <w:rPr>
                <w:rFonts w:ascii="Arial" w:cs="Arial" w:eastAsia="Arial" w:hAnsi="Arial"/>
                <w:sz w:val="14"/>
                <w:szCs w:val="14"/>
                <w:b w:val="1"/>
                <w:bCs w:val="1"/>
                <w:color w:val="auto"/>
              </w:rPr>
              <w:t>(921,484)</w:t>
            </w:r>
          </w:p>
        </w:tc>
        <w:tc>
          <w:tcPr>
            <w:tcW w:w="1140" w:type="dxa"/>
            <w:vAlign w:val="bottom"/>
            <w:gridSpan w:val="2"/>
          </w:tcPr>
          <w:p>
            <w:pPr>
              <w:jc w:val="right"/>
              <w:ind w:right="120"/>
              <w:spacing w:after="0" w:line="147" w:lineRule="exact"/>
              <w:rPr>
                <w:sz w:val="20"/>
                <w:szCs w:val="20"/>
                <w:color w:val="auto"/>
              </w:rPr>
            </w:pPr>
            <w:r>
              <w:rPr>
                <w:rFonts w:ascii="Arial" w:cs="Arial" w:eastAsia="Arial" w:hAnsi="Arial"/>
                <w:sz w:val="14"/>
                <w:szCs w:val="14"/>
                <w:b w:val="1"/>
                <w:bCs w:val="1"/>
                <w:color w:val="auto"/>
              </w:rPr>
              <w:t>-12.4%</w:t>
            </w:r>
          </w:p>
        </w:tc>
        <w:tc>
          <w:tcPr>
            <w:tcW w:w="240" w:type="dxa"/>
            <w:vAlign w:val="bottom"/>
          </w:tcPr>
          <w:p>
            <w:pPr>
              <w:spacing w:after="0"/>
              <w:rPr>
                <w:sz w:val="12"/>
                <w:szCs w:val="12"/>
                <w:color w:val="auto"/>
              </w:rPr>
            </w:pPr>
          </w:p>
        </w:tc>
        <w:tc>
          <w:tcPr>
            <w:tcW w:w="900" w:type="dxa"/>
            <w:vAlign w:val="bottom"/>
            <w:gridSpan w:val="2"/>
          </w:tcPr>
          <w:p>
            <w:pPr>
              <w:jc w:val="right"/>
              <w:ind w:right="120"/>
              <w:spacing w:after="0" w:line="147" w:lineRule="exact"/>
              <w:rPr>
                <w:sz w:val="20"/>
                <w:szCs w:val="20"/>
                <w:color w:val="auto"/>
              </w:rPr>
            </w:pPr>
            <w:r>
              <w:rPr>
                <w:rFonts w:ascii="Arial" w:cs="Arial" w:eastAsia="Arial" w:hAnsi="Arial"/>
                <w:sz w:val="14"/>
                <w:szCs w:val="14"/>
                <w:b w:val="1"/>
                <w:bCs w:val="1"/>
                <w:color w:val="auto"/>
              </w:rPr>
              <w:t>-4.4%</w:t>
            </w:r>
          </w:p>
        </w:tc>
        <w:tc>
          <w:tcPr>
            <w:tcW w:w="108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(1,864,857)</w:t>
            </w:r>
          </w:p>
        </w:tc>
        <w:tc>
          <w:tcPr>
            <w:tcW w:w="140" w:type="dxa"/>
            <w:vAlign w:val="bottom"/>
          </w:tcPr>
          <w:p>
            <w:pPr>
              <w:spacing w:after="0"/>
              <w:rPr>
                <w:sz w:val="12"/>
                <w:szCs w:val="12"/>
                <w:color w:val="auto"/>
              </w:rPr>
            </w:pPr>
          </w:p>
        </w:tc>
        <w:tc>
          <w:tcPr>
            <w:tcW w:w="96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(1,973,492)</w:t>
            </w:r>
          </w:p>
        </w:tc>
        <w:tc>
          <w:tcPr>
            <w:tcW w:w="10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Profit before income tax</w:t>
            </w:r>
          </w:p>
        </w:tc>
        <w:tc>
          <w:tcPr>
            <w:tcW w:w="9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1,199,752</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261,105</w:t>
            </w:r>
          </w:p>
        </w:tc>
        <w:tc>
          <w:tcPr>
            <w:tcW w:w="110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(1,105,196)</w:t>
            </w:r>
          </w:p>
        </w:tc>
        <w:tc>
          <w:tcPr>
            <w:tcW w:w="114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-523.3%</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-192.1%</w:t>
            </w:r>
          </w:p>
        </w:tc>
        <w:tc>
          <w:tcPr>
            <w:tcW w:w="10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2,448,576</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(844,092)</w:t>
            </w:r>
          </w:p>
        </w:tc>
        <w:tc>
          <w:tcPr>
            <w:tcW w:w="10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-134.5%</w:t>
            </w:r>
          </w:p>
        </w:tc>
        <w:tc>
          <w:tcPr>
            <w:tcW w:w="0" w:type="dxa"/>
            <w:vAlign w:val="bottom"/>
          </w:tcPr>
          <w:p>
            <w:pPr>
              <w:spacing w:after="0"/>
              <w:rPr>
                <w:sz w:val="1"/>
                <w:szCs w:val="1"/>
                <w:color w:val="auto"/>
              </w:rPr>
            </w:pPr>
          </w:p>
        </w:tc>
      </w:tr>
      <w:tr>
        <w:trPr>
          <w:trHeight w:val="147"/>
        </w:trPr>
        <w:tc>
          <w:tcPr>
            <w:tcW w:w="2380" w:type="dxa"/>
            <w:vAlign w:val="bottom"/>
          </w:tcPr>
          <w:p>
            <w:pPr>
              <w:ind w:left="160"/>
              <w:spacing w:after="0" w:line="147" w:lineRule="exact"/>
              <w:rPr>
                <w:sz w:val="20"/>
                <w:szCs w:val="20"/>
                <w:color w:val="auto"/>
              </w:rPr>
            </w:pPr>
            <w:r>
              <w:rPr>
                <w:rFonts w:ascii="Arial" w:cs="Arial" w:eastAsia="Arial" w:hAnsi="Arial"/>
                <w:sz w:val="14"/>
                <w:szCs w:val="14"/>
                <w:color w:val="auto"/>
              </w:rPr>
              <w:t>Income tax</w:t>
            </w:r>
          </w:p>
        </w:tc>
        <w:tc>
          <w:tcPr>
            <w:tcW w:w="114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(294,965)</w:t>
            </w:r>
          </w:p>
        </w:tc>
        <w:tc>
          <w:tcPr>
            <w:tcW w:w="116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(80,487)</w:t>
            </w:r>
          </w:p>
        </w:tc>
        <w:tc>
          <w:tcPr>
            <w:tcW w:w="110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302,083</w:t>
            </w:r>
          </w:p>
        </w:tc>
        <w:tc>
          <w:tcPr>
            <w:tcW w:w="114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-475.3%</w:t>
            </w:r>
          </w:p>
        </w:tc>
        <w:tc>
          <w:tcPr>
            <w:tcW w:w="240" w:type="dxa"/>
            <w:vAlign w:val="bottom"/>
          </w:tcPr>
          <w:p>
            <w:pPr>
              <w:spacing w:after="0"/>
              <w:rPr>
                <w:sz w:val="12"/>
                <w:szCs w:val="12"/>
                <w:color w:val="auto"/>
              </w:rPr>
            </w:pPr>
          </w:p>
        </w:tc>
        <w:tc>
          <w:tcPr>
            <w:tcW w:w="90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-202.4%</w:t>
            </w:r>
          </w:p>
        </w:tc>
        <w:tc>
          <w:tcPr>
            <w:tcW w:w="108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(610,650)</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221,596</w:t>
            </w:r>
          </w:p>
        </w:tc>
        <w:tc>
          <w:tcPr>
            <w:tcW w:w="10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-136.3%</w:t>
            </w: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Net profit</w:t>
            </w:r>
          </w:p>
        </w:tc>
        <w:tc>
          <w:tcPr>
            <w:tcW w:w="114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904,787</w:t>
            </w:r>
          </w:p>
        </w:tc>
        <w:tc>
          <w:tcPr>
            <w:tcW w:w="116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180,618</w:t>
            </w:r>
          </w:p>
        </w:tc>
        <w:tc>
          <w:tcPr>
            <w:tcW w:w="110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(803,113)</w:t>
            </w:r>
          </w:p>
        </w:tc>
        <w:tc>
          <w:tcPr>
            <w:tcW w:w="114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-544.6%</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-188.8%</w:t>
            </w:r>
          </w:p>
        </w:tc>
        <w:tc>
          <w:tcPr>
            <w:tcW w:w="10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1,837,926</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(622,496)</w:t>
            </w:r>
          </w:p>
        </w:tc>
        <w:tc>
          <w:tcPr>
            <w:tcW w:w="100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-133.9%</w:t>
            </w:r>
          </w:p>
        </w:tc>
        <w:tc>
          <w:tcPr>
            <w:tcW w:w="0" w:type="dxa"/>
            <w:vAlign w:val="bottom"/>
          </w:tcPr>
          <w:p>
            <w:pPr>
              <w:spacing w:after="0"/>
              <w:rPr>
                <w:sz w:val="1"/>
                <w:szCs w:val="1"/>
                <w:color w:val="auto"/>
              </w:rPr>
            </w:pPr>
          </w:p>
        </w:tc>
      </w:tr>
      <w:tr>
        <w:trPr>
          <w:trHeight w:val="147"/>
        </w:trPr>
        <w:tc>
          <w:tcPr>
            <w:tcW w:w="2380" w:type="dxa"/>
            <w:vAlign w:val="bottom"/>
          </w:tcPr>
          <w:p>
            <w:pPr>
              <w:spacing w:after="0" w:line="147" w:lineRule="exact"/>
              <w:rPr>
                <w:sz w:val="20"/>
                <w:szCs w:val="20"/>
                <w:color w:val="auto"/>
              </w:rPr>
            </w:pPr>
            <w:r>
              <w:rPr>
                <w:rFonts w:ascii="Arial" w:cs="Arial" w:eastAsia="Arial" w:hAnsi="Arial"/>
                <w:sz w:val="14"/>
                <w:szCs w:val="14"/>
                <w:color w:val="auto"/>
              </w:rPr>
              <w:t>Non-controlling interest</w:t>
            </w:r>
          </w:p>
        </w:tc>
        <w:tc>
          <w:tcPr>
            <w:tcW w:w="90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4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2380" w:type="dxa"/>
            <w:vAlign w:val="bottom"/>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Net profit attributable to BCP</w:t>
            </w: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Consolidated</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904,787</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180,618</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(803,113)</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-544.6%</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-188.8%</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1,837,926</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(622,496)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-133.9%</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80" w:hanging="633"/>
        <w:spacing w:after="0"/>
        <w:tabs>
          <w:tab w:leader="none" w:pos="12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As of 2019, financing expenses related to lease agreements is included according to the application of IFRS 16.</w:t>
      </w:r>
    </w:p>
    <w:p>
      <w:pPr>
        <w:ind w:left="1280" w:hanging="633"/>
        <w:spacing w:after="0" w:line="235" w:lineRule="auto"/>
        <w:tabs>
          <w:tab w:leader="none" w:pos="12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From this quarter, the effect is being incorporated by the application of IFRS 16, which corresponds to a greater depreciation for the asset for right-of-use". Likewise, the expenses related to the depreciation of improvements in building for rent is being reclassified to the item "Other expenses".</w:t>
      </w:r>
    </w:p>
    <w:p>
      <w:pPr>
        <w:spacing w:after="0" w:line="398"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BANCO DE CREDITO DEL PERU</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0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rPr>
              <w:t>YTD</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1"/>
        </w:trPr>
        <w:tc>
          <w:tcPr>
            <w:tcW w:w="502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2Q19</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1Q20</w:t>
            </w:r>
          </w:p>
        </w:tc>
        <w:tc>
          <w:tcPr>
            <w:tcW w:w="1000" w:type="dxa"/>
            <w:vAlign w:val="bottom"/>
          </w:tcPr>
          <w:p>
            <w:pPr>
              <w:ind w:left="300"/>
              <w:spacing w:after="0"/>
              <w:rPr>
                <w:sz w:val="20"/>
                <w:szCs w:val="20"/>
                <w:color w:val="auto"/>
              </w:rPr>
            </w:pPr>
            <w:r>
              <w:rPr>
                <w:rFonts w:ascii="Arial" w:cs="Arial" w:eastAsia="Arial" w:hAnsi="Arial"/>
                <w:sz w:val="18"/>
                <w:szCs w:val="18"/>
                <w:b w:val="1"/>
                <w:bCs w:val="1"/>
                <w:color w:val="auto"/>
              </w:rPr>
              <w:t>2Q20</w:t>
            </w:r>
          </w:p>
        </w:tc>
        <w:tc>
          <w:tcPr>
            <w:tcW w:w="280" w:type="dxa"/>
            <w:vAlign w:val="bottom"/>
          </w:tcPr>
          <w:p>
            <w:pPr>
              <w:spacing w:after="0"/>
              <w:rPr>
                <w:sz w:val="19"/>
                <w:szCs w:val="19"/>
                <w:color w:val="auto"/>
              </w:rPr>
            </w:pPr>
          </w:p>
        </w:tc>
        <w:tc>
          <w:tcPr>
            <w:tcW w:w="1400" w:type="dxa"/>
            <w:vAlign w:val="bottom"/>
            <w:gridSpan w:val="3"/>
          </w:tcPr>
          <w:p>
            <w:pPr>
              <w:ind w:left="240"/>
              <w:spacing w:after="0"/>
              <w:rPr>
                <w:sz w:val="20"/>
                <w:szCs w:val="20"/>
                <w:color w:val="auto"/>
              </w:rPr>
            </w:pPr>
            <w:r>
              <w:rPr>
                <w:rFonts w:ascii="Arial" w:cs="Arial" w:eastAsia="Arial" w:hAnsi="Arial"/>
                <w:sz w:val="18"/>
                <w:szCs w:val="18"/>
                <w:b w:val="1"/>
                <w:bCs w:val="1"/>
                <w:color w:val="auto"/>
              </w:rPr>
              <w:t>Jun-19</w:t>
            </w:r>
          </w:p>
        </w:tc>
        <w:tc>
          <w:tcPr>
            <w:tcW w:w="860" w:type="dxa"/>
            <w:vAlign w:val="bottom"/>
          </w:tcPr>
          <w:p>
            <w:pPr>
              <w:ind w:left="100"/>
              <w:spacing w:after="0"/>
              <w:rPr>
                <w:sz w:val="20"/>
                <w:szCs w:val="20"/>
                <w:color w:val="auto"/>
              </w:rPr>
            </w:pPr>
            <w:r>
              <w:rPr>
                <w:rFonts w:ascii="Arial" w:cs="Arial" w:eastAsia="Arial" w:hAnsi="Arial"/>
                <w:sz w:val="18"/>
                <w:szCs w:val="18"/>
                <w:b w:val="1"/>
                <w:bCs w:val="1"/>
                <w:color w:val="auto"/>
              </w:rPr>
              <w:t>Jun-20</w:t>
            </w:r>
          </w:p>
        </w:tc>
        <w:tc>
          <w:tcPr>
            <w:tcW w:w="160" w:type="dxa"/>
            <w:vAlign w:val="bottom"/>
          </w:tcPr>
          <w:p>
            <w:pPr>
              <w:spacing w:after="0"/>
              <w:rPr>
                <w:sz w:val="19"/>
                <w:szCs w:val="19"/>
                <w:color w:val="auto"/>
              </w:rPr>
            </w:pPr>
          </w:p>
        </w:tc>
      </w:tr>
      <w:tr>
        <w:trPr>
          <w:trHeight w:val="207"/>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Profitability</w:t>
            </w: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67"/>
        </w:trPr>
        <w:tc>
          <w:tcPr>
            <w:tcW w:w="5020" w:type="dxa"/>
            <w:vAlign w:val="bottom"/>
          </w:tcPr>
          <w:p>
            <w:pPr>
              <w:spacing w:after="0" w:line="266" w:lineRule="exact"/>
              <w:rPr>
                <w:sz w:val="20"/>
                <w:szCs w:val="20"/>
                <w:color w:val="auto"/>
              </w:rPr>
            </w:pPr>
            <w:r>
              <w:rPr>
                <w:rFonts w:ascii="Arial" w:cs="Arial" w:eastAsia="Arial" w:hAnsi="Arial"/>
                <w:sz w:val="30"/>
                <w:szCs w:val="30"/>
                <w:color w:val="auto"/>
                <w:vertAlign w:val="subscript"/>
              </w:rPr>
              <w:t>ROAE</w:t>
            </w:r>
            <w:r>
              <w:rPr>
                <w:rFonts w:ascii="Arial" w:cs="Arial" w:eastAsia="Arial" w:hAnsi="Arial"/>
                <w:sz w:val="15"/>
                <w:szCs w:val="15"/>
                <w:color w:val="auto"/>
              </w:rPr>
              <w:t xml:space="preserve"> (1)(2)</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22.9%</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23"/>
                <w:szCs w:val="23"/>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r>
      <w:tr>
        <w:trPr>
          <w:trHeight w:val="267"/>
        </w:trPr>
        <w:tc>
          <w:tcPr>
            <w:tcW w:w="5020" w:type="dxa"/>
            <w:vAlign w:val="bottom"/>
            <w:shd w:val="clear" w:color="auto" w:fill="CCEEFF"/>
          </w:tcPr>
          <w:p>
            <w:pPr>
              <w:spacing w:after="0" w:line="266" w:lineRule="exact"/>
              <w:rPr>
                <w:sz w:val="20"/>
                <w:szCs w:val="20"/>
                <w:color w:val="auto"/>
              </w:rPr>
            </w:pPr>
            <w:r>
              <w:rPr>
                <w:rFonts w:ascii="Arial" w:cs="Arial" w:eastAsia="Arial" w:hAnsi="Arial"/>
                <w:sz w:val="30"/>
                <w:szCs w:val="30"/>
                <w:color w:val="auto"/>
                <w:vertAlign w:val="subscript"/>
              </w:rPr>
              <w:t>ROAA</w:t>
            </w:r>
            <w:r>
              <w:rPr>
                <w:rFonts w:ascii="Arial" w:cs="Arial" w:eastAsia="Arial" w:hAnsi="Arial"/>
                <w:sz w:val="15"/>
                <w:szCs w:val="15"/>
                <w:color w:val="auto"/>
              </w:rPr>
              <w:t xml:space="preserve"> (1)(2)</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r>
      <w:tr>
        <w:trPr>
          <w:trHeight w:val="254"/>
        </w:trPr>
        <w:tc>
          <w:tcPr>
            <w:tcW w:w="5020" w:type="dxa"/>
            <w:vAlign w:val="bottom"/>
          </w:tcPr>
          <w:p>
            <w:pPr>
              <w:spacing w:after="0" w:line="253"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9"/>
                <w:szCs w:val="29"/>
                <w:color w:val="auto"/>
                <w:vertAlign w:val="superscript"/>
              </w:rPr>
              <w:t>(1)(2)</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4.86%</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4.70%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3.73%</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4.77%</w:t>
            </w:r>
          </w:p>
        </w:tc>
        <w:tc>
          <w:tcPr>
            <w:tcW w:w="1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4.21%</w:t>
            </w:r>
          </w:p>
        </w:tc>
      </w:tr>
      <w:tr>
        <w:trPr>
          <w:trHeight w:val="254"/>
        </w:trPr>
        <w:tc>
          <w:tcPr>
            <w:tcW w:w="502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 xml:space="preserve">Risk adjusted NIM </w:t>
            </w:r>
            <w:r>
              <w:rPr>
                <w:rFonts w:ascii="Arial" w:cs="Arial" w:eastAsia="Arial" w:hAnsi="Arial"/>
                <w:sz w:val="29"/>
                <w:szCs w:val="29"/>
                <w:color w:val="auto"/>
                <w:vertAlign w:val="superscript"/>
              </w:rPr>
              <w:t>(1)(2)</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-0.11%</w:t>
            </w:r>
          </w:p>
        </w:tc>
      </w:tr>
      <w:tr>
        <w:trPr>
          <w:trHeight w:val="254"/>
        </w:trPr>
        <w:tc>
          <w:tcPr>
            <w:tcW w:w="5020" w:type="dxa"/>
            <w:vAlign w:val="bottom"/>
          </w:tcPr>
          <w:p>
            <w:pPr>
              <w:spacing w:after="0" w:line="253" w:lineRule="exact"/>
              <w:rPr>
                <w:sz w:val="20"/>
                <w:szCs w:val="20"/>
                <w:color w:val="auto"/>
              </w:rPr>
            </w:pPr>
            <w:r>
              <w:rPr>
                <w:rFonts w:ascii="Arial" w:cs="Arial" w:eastAsia="Arial" w:hAnsi="Arial"/>
                <w:sz w:val="18"/>
                <w:szCs w:val="18"/>
                <w:color w:val="auto"/>
              </w:rPr>
              <w:t xml:space="preserve">Funding Cost </w:t>
            </w:r>
            <w:r>
              <w:rPr>
                <w:rFonts w:ascii="Arial" w:cs="Arial" w:eastAsia="Arial" w:hAnsi="Arial"/>
                <w:sz w:val="29"/>
                <w:szCs w:val="29"/>
                <w:color w:val="auto"/>
                <w:vertAlign w:val="superscript"/>
              </w:rPr>
              <w:t>(1)(2)</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3.46%</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2.87%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1.58%</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r>
      <w:tr>
        <w:trPr>
          <w:trHeight w:val="213"/>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Quality of loan portfolio</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3"/>
        </w:trPr>
        <w:tc>
          <w:tcPr>
            <w:tcW w:w="5020" w:type="dxa"/>
            <w:vAlign w:val="bottom"/>
          </w:tcPr>
          <w:p>
            <w:pPr>
              <w:spacing w:after="0"/>
              <w:rPr>
                <w:sz w:val="20"/>
                <w:szCs w:val="20"/>
                <w:color w:val="auto"/>
              </w:rPr>
            </w:pPr>
            <w:r>
              <w:rPr>
                <w:rFonts w:ascii="Arial" w:cs="Arial" w:eastAsia="Arial" w:hAnsi="Arial"/>
                <w:sz w:val="18"/>
                <w:szCs w:val="18"/>
                <w:color w:val="auto"/>
              </w:rPr>
              <w:t>IOL ratio</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2.79%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2.65%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r>
      <w:tr>
        <w:trPr>
          <w:trHeight w:val="213"/>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NPL ratio</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w:t>
            </w:r>
          </w:p>
        </w:tc>
      </w:tr>
      <w:tr>
        <w:trPr>
          <w:trHeight w:val="213"/>
        </w:trPr>
        <w:tc>
          <w:tcPr>
            <w:tcW w:w="5020" w:type="dxa"/>
            <w:vAlign w:val="bottom"/>
          </w:tcPr>
          <w:p>
            <w:pPr>
              <w:spacing w:after="0"/>
              <w:rPr>
                <w:sz w:val="20"/>
                <w:szCs w:val="20"/>
                <w:color w:val="auto"/>
              </w:rPr>
            </w:pPr>
            <w:r>
              <w:rPr>
                <w:rFonts w:ascii="Arial" w:cs="Arial" w:eastAsia="Arial" w:hAnsi="Arial"/>
                <w:sz w:val="18"/>
                <w:szCs w:val="18"/>
                <w:color w:val="auto"/>
              </w:rPr>
              <w:t>Coverage of IOLs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143.8%</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160.4%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217.3%</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143.8%</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217.3%</w:t>
            </w:r>
          </w:p>
        </w:tc>
      </w:tr>
      <w:tr>
        <w:trPr>
          <w:trHeight w:val="213"/>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Coverage of NPLs</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101.6%</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160.3%</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101.6%</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160.3%</w:t>
            </w:r>
          </w:p>
        </w:tc>
      </w:tr>
      <w:tr>
        <w:trPr>
          <w:trHeight w:val="254"/>
        </w:trPr>
        <w:tc>
          <w:tcPr>
            <w:tcW w:w="5020" w:type="dxa"/>
            <w:vAlign w:val="bottom"/>
          </w:tcPr>
          <w:p>
            <w:pPr>
              <w:spacing w:after="0" w:line="253" w:lineRule="exact"/>
              <w:rPr>
                <w:sz w:val="20"/>
                <w:szCs w:val="20"/>
                <w:color w:val="auto"/>
              </w:rPr>
            </w:pPr>
            <w:r>
              <w:rPr>
                <w:rFonts w:ascii="Arial" w:cs="Arial" w:eastAsia="Arial" w:hAnsi="Arial"/>
                <w:sz w:val="18"/>
                <w:szCs w:val="18"/>
                <w:color w:val="auto"/>
              </w:rPr>
              <w:t xml:space="preserve">Cost of risk </w:t>
            </w:r>
            <w:r>
              <w:rPr>
                <w:rFonts w:ascii="Arial" w:cs="Arial" w:eastAsia="Arial" w:hAnsi="Arial"/>
                <w:sz w:val="29"/>
                <w:szCs w:val="29"/>
                <w:color w:val="auto"/>
                <w:vertAlign w:val="superscript"/>
              </w:rPr>
              <w:t>(3)</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4.44%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7.17%</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0.89%</w:t>
            </w:r>
          </w:p>
        </w:tc>
        <w:tc>
          <w:tcPr>
            <w:tcW w:w="1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3.72%</w:t>
            </w:r>
          </w:p>
        </w:tc>
      </w:tr>
      <w:tr>
        <w:trPr>
          <w:trHeight w:val="213"/>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efficiency</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4"/>
        </w:trPr>
        <w:tc>
          <w:tcPr>
            <w:tcW w:w="5020" w:type="dxa"/>
            <w:vAlign w:val="bottom"/>
          </w:tcPr>
          <w:p>
            <w:pPr>
              <w:spacing w:after="0" w:line="253" w:lineRule="exact"/>
              <w:rPr>
                <w:sz w:val="20"/>
                <w:szCs w:val="20"/>
                <w:color w:val="auto"/>
              </w:rPr>
            </w:pPr>
            <w:r>
              <w:rPr>
                <w:rFonts w:ascii="Arial" w:cs="Arial" w:eastAsia="Arial" w:hAnsi="Arial"/>
                <w:sz w:val="18"/>
                <w:szCs w:val="18"/>
                <w:color w:val="auto"/>
              </w:rPr>
              <w:t xml:space="preserve">Oper. expenses as a percent. of total income - reported </w:t>
            </w:r>
            <w:r>
              <w:rPr>
                <w:rFonts w:ascii="Arial" w:cs="Arial" w:eastAsia="Arial" w:hAnsi="Arial"/>
                <w:sz w:val="29"/>
                <w:szCs w:val="29"/>
                <w:color w:val="auto"/>
                <w:vertAlign w:val="superscript"/>
              </w:rPr>
              <w:t>(4)</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40.2%</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38.8%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42.9%</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r>
      <w:tr>
        <w:trPr>
          <w:trHeight w:val="199"/>
        </w:trPr>
        <w:tc>
          <w:tcPr>
            <w:tcW w:w="50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7"/>
              </w:rPr>
              <w:t>Oper. expenses as a percent. of total income - including all other</w:t>
            </w: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8"/>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items</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w:t>
            </w:r>
          </w:p>
        </w:tc>
      </w:tr>
      <w:tr>
        <w:trPr>
          <w:trHeight w:val="254"/>
        </w:trPr>
        <w:tc>
          <w:tcPr>
            <w:tcW w:w="5020" w:type="dxa"/>
            <w:vAlign w:val="bottom"/>
          </w:tcPr>
          <w:p>
            <w:pPr>
              <w:spacing w:after="0" w:line="253" w:lineRule="exact"/>
              <w:rPr>
                <w:sz w:val="20"/>
                <w:szCs w:val="20"/>
                <w:color w:val="auto"/>
              </w:rPr>
            </w:pPr>
            <w:r>
              <w:rPr>
                <w:rFonts w:ascii="Arial" w:cs="Arial" w:eastAsia="Arial" w:hAnsi="Arial"/>
                <w:sz w:val="18"/>
                <w:szCs w:val="18"/>
                <w:color w:val="auto"/>
              </w:rPr>
              <w:t xml:space="preserve">Oper. expenses as a percent. of av. tot. assets </w:t>
            </w:r>
            <w:r>
              <w:rPr>
                <w:rFonts w:ascii="Arial" w:cs="Arial" w:eastAsia="Arial" w:hAnsi="Arial"/>
                <w:sz w:val="29"/>
                <w:szCs w:val="29"/>
                <w:color w:val="auto"/>
                <w:vertAlign w:val="superscript"/>
              </w:rPr>
              <w:t>(1)(2)</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3.09%</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2.74%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2.12%</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r>
      <w:tr>
        <w:trPr>
          <w:trHeight w:val="213"/>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adequacy</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3"/>
        </w:trPr>
        <w:tc>
          <w:tcPr>
            <w:tcW w:w="5020" w:type="dxa"/>
            <w:vAlign w:val="bottom"/>
          </w:tcPr>
          <w:p>
            <w:pPr>
              <w:spacing w:after="0"/>
              <w:rPr>
                <w:sz w:val="20"/>
                <w:szCs w:val="20"/>
                <w:color w:val="auto"/>
              </w:rPr>
            </w:pPr>
            <w:r>
              <w:rPr>
                <w:rFonts w:ascii="Arial" w:cs="Arial" w:eastAsia="Arial" w:hAnsi="Arial"/>
                <w:sz w:val="18"/>
                <w:szCs w:val="18"/>
                <w:color w:val="auto"/>
              </w:rPr>
              <w:t>Total regulatory capital (S/ Million)</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19,138</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19,215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21,027</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19,138</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21,027</w:t>
            </w:r>
          </w:p>
        </w:tc>
      </w:tr>
      <w:tr>
        <w:trPr>
          <w:trHeight w:val="254"/>
        </w:trPr>
        <w:tc>
          <w:tcPr>
            <w:tcW w:w="502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 xml:space="preserve">Tier 1 capital (S/ Million) </w:t>
            </w:r>
            <w:r>
              <w:rPr>
                <w:rFonts w:ascii="Arial" w:cs="Arial" w:eastAsia="Arial" w:hAnsi="Arial"/>
                <w:sz w:val="29"/>
                <w:szCs w:val="29"/>
                <w:color w:val="auto"/>
                <w:vertAlign w:val="superscript"/>
              </w:rPr>
              <w:t>(5)</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14,504</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14,672</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14,971</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14,504</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14,971</w:t>
            </w:r>
          </w:p>
        </w:tc>
      </w:tr>
      <w:tr>
        <w:trPr>
          <w:trHeight w:val="254"/>
        </w:trPr>
        <w:tc>
          <w:tcPr>
            <w:tcW w:w="5020" w:type="dxa"/>
            <w:vAlign w:val="bottom"/>
          </w:tcPr>
          <w:p>
            <w:pPr>
              <w:spacing w:after="0" w:line="253"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(6)</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11.82%</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11.89%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11.22%</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11.82%</w:t>
            </w:r>
          </w:p>
        </w:tc>
        <w:tc>
          <w:tcPr>
            <w:tcW w:w="1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11.22%</w:t>
            </w:r>
          </w:p>
        </w:tc>
      </w:tr>
      <w:tr>
        <w:trPr>
          <w:trHeight w:val="254"/>
        </w:trPr>
        <w:tc>
          <w:tcPr>
            <w:tcW w:w="502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(7)</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14.95%</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14.95%</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14.80%</w:t>
            </w:r>
          </w:p>
        </w:tc>
      </w:tr>
    </w:tbl>
    <w:p>
      <w:pPr>
        <w:spacing w:after="0" w:line="199" w:lineRule="exact"/>
        <w:rPr>
          <w:sz w:val="20"/>
          <w:szCs w:val="20"/>
          <w:color w:val="auto"/>
        </w:rPr>
      </w:pPr>
    </w:p>
    <w:p>
      <w:pPr>
        <w:ind w:left="640" w:hanging="633"/>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19" w:lineRule="exact"/>
        <w:rPr>
          <w:rFonts w:ascii="Arial" w:cs="Arial" w:eastAsia="Arial" w:hAnsi="Arial"/>
          <w:sz w:val="18"/>
          <w:szCs w:val="18"/>
          <w:color w:val="auto"/>
        </w:rPr>
      </w:pPr>
    </w:p>
    <w:p>
      <w:pPr>
        <w:ind w:left="640" w:hanging="633"/>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6" w:lineRule="exact"/>
        <w:rPr>
          <w:rFonts w:ascii="Arial" w:cs="Arial" w:eastAsia="Arial" w:hAnsi="Arial"/>
          <w:sz w:val="18"/>
          <w:szCs w:val="18"/>
          <w:color w:val="auto"/>
        </w:rPr>
      </w:pPr>
    </w:p>
    <w:p>
      <w:pPr>
        <w:ind w:left="640" w:hanging="633"/>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Cost of risk: Annualized provision for loan losses / Total loans.</w:t>
      </w:r>
    </w:p>
    <w:p>
      <w:pPr>
        <w:spacing w:after="0" w:line="6" w:lineRule="exact"/>
        <w:rPr>
          <w:rFonts w:ascii="Arial" w:cs="Arial" w:eastAsia="Arial" w:hAnsi="Arial"/>
          <w:sz w:val="18"/>
          <w:szCs w:val="18"/>
          <w:color w:val="auto"/>
        </w:rPr>
      </w:pPr>
    </w:p>
    <w:p>
      <w:pPr>
        <w:ind w:left="640" w:right="240" w:hanging="633"/>
        <w:spacing w:after="0" w:line="318" w:lineRule="auto"/>
        <w:tabs>
          <w:tab w:leader="none" w:pos="6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jc w:val="both"/>
        <w:ind w:left="640" w:right="360" w:hanging="633"/>
        <w:spacing w:after="0" w:line="278" w:lineRule="auto"/>
        <w:tabs>
          <w:tab w:leader="none" w:pos="6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1" w:lineRule="exact"/>
        <w:rPr>
          <w:rFonts w:ascii="Arial" w:cs="Arial" w:eastAsia="Arial" w:hAnsi="Arial"/>
          <w:sz w:val="16"/>
          <w:szCs w:val="16"/>
          <w:color w:val="auto"/>
        </w:rPr>
      </w:pPr>
    </w:p>
    <w:p>
      <w:pPr>
        <w:ind w:left="640" w:right="320" w:hanging="633"/>
        <w:spacing w:after="0" w:line="247" w:lineRule="auto"/>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left="640" w:hanging="633"/>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Regulatory capital/ risk-weighted assets. Risk weighted assets include market risk and operational risk.</w:t>
      </w:r>
    </w:p>
    <w:p>
      <w:pPr>
        <w:spacing w:after="0" w:line="200" w:lineRule="exact"/>
        <w:rPr>
          <w:sz w:val="20"/>
          <w:szCs w:val="20"/>
          <w:color w:val="auto"/>
        </w:rPr>
      </w:pPr>
    </w:p>
    <w:p>
      <w:pPr>
        <w:spacing w:after="0" w:line="220"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r>
              <w:rPr>
                <w:rFonts w:ascii="Arial" w:cs="Arial" w:eastAsia="Arial" w:hAnsi="Arial"/>
                <w:sz w:val="18"/>
                <w:szCs w:val="18"/>
                <w:b w:val="1"/>
                <w:bCs w:val="1"/>
                <w:color w:val="auto"/>
              </w:rPr>
              <w:t>11.5. Mibanco</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0"/>
        </w:trPr>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7"/>
          </w:tcPr>
          <w:p>
            <w:pPr>
              <w:jc w:val="center"/>
              <w:ind w:right="20"/>
              <w:spacing w:after="0"/>
              <w:rPr>
                <w:sz w:val="20"/>
                <w:szCs w:val="20"/>
                <w:color w:val="auto"/>
              </w:rPr>
            </w:pPr>
            <w:r>
              <w:rPr>
                <w:rFonts w:ascii="Arial" w:cs="Arial" w:eastAsia="Arial" w:hAnsi="Arial"/>
                <w:sz w:val="18"/>
                <w:szCs w:val="18"/>
                <w:b w:val="1"/>
                <w:bCs w:val="1"/>
                <w:color w:val="auto"/>
              </w:rPr>
              <w:t>MIBANCO</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3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40" w:type="dxa"/>
            <w:vAlign w:val="bottom"/>
            <w:gridSpan w:val="12"/>
          </w:tcPr>
          <w:p>
            <w:pPr>
              <w:jc w:val="center"/>
              <w:ind w:right="591"/>
              <w:spacing w:after="0"/>
              <w:rPr>
                <w:sz w:val="20"/>
                <w:szCs w:val="20"/>
                <w:color w:val="auto"/>
              </w:rPr>
            </w:pPr>
            <w:r>
              <w:rPr>
                <w:rFonts w:ascii="Arial" w:cs="Arial" w:eastAsia="Arial" w:hAnsi="Arial"/>
                <w:sz w:val="18"/>
                <w:szCs w:val="18"/>
                <w:b w:val="1"/>
                <w:bCs w:val="1"/>
                <w:color w:val="auto"/>
                <w:w w:val="91"/>
              </w:rPr>
              <w:t>(In S/ thousands, IFRS)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40"/>
        </w:trPr>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As of</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6"/>
          </w:tcPr>
          <w:p>
            <w:pPr>
              <w:jc w:val="right"/>
              <w:ind w:right="1180"/>
              <w:spacing w:after="0"/>
              <w:rPr>
                <w:sz w:val="20"/>
                <w:szCs w:val="20"/>
                <w:color w:val="auto"/>
              </w:rPr>
            </w:pPr>
            <w:r>
              <w:rPr>
                <w:rFonts w:ascii="Arial" w:cs="Arial" w:eastAsia="Arial" w:hAnsi="Arial"/>
                <w:sz w:val="18"/>
                <w:szCs w:val="18"/>
                <w:b w:val="1"/>
                <w:bCs w:val="1"/>
                <w:color w:val="auto"/>
              </w:rPr>
              <w:t>% change</w:t>
            </w:r>
          </w:p>
        </w:tc>
      </w:tr>
      <w:tr>
        <w:trPr>
          <w:trHeight w:val="208"/>
        </w:trPr>
        <w:tc>
          <w:tcPr>
            <w:tcW w:w="39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6"/>
          </w:tcPr>
          <w:p>
            <w:pPr>
              <w:ind w:left="340"/>
              <w:spacing w:after="0"/>
              <w:rPr>
                <w:sz w:val="20"/>
                <w:szCs w:val="20"/>
                <w:color w:val="auto"/>
              </w:rPr>
            </w:pPr>
            <w:r>
              <w:rPr>
                <w:rFonts w:ascii="Arial" w:cs="Arial" w:eastAsia="Arial" w:hAnsi="Arial"/>
                <w:sz w:val="18"/>
                <w:szCs w:val="18"/>
                <w:b w:val="1"/>
                <w:bCs w:val="1"/>
                <w:color w:val="auto"/>
              </w:rPr>
              <w:t>Jun 19</w:t>
            </w:r>
          </w:p>
        </w:tc>
        <w:tc>
          <w:tcPr>
            <w:tcW w:w="8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Mar 20</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4"/>
          </w:tcPr>
          <w:p>
            <w:pPr>
              <w:jc w:val="right"/>
              <w:ind w:right="380"/>
              <w:spacing w:after="0"/>
              <w:rPr>
                <w:sz w:val="20"/>
                <w:szCs w:val="20"/>
                <w:color w:val="auto"/>
              </w:rPr>
            </w:pPr>
            <w:r>
              <w:rPr>
                <w:rFonts w:ascii="Arial" w:cs="Arial" w:eastAsia="Arial" w:hAnsi="Arial"/>
                <w:sz w:val="18"/>
                <w:szCs w:val="18"/>
                <w:b w:val="1"/>
                <w:bCs w:val="1"/>
                <w:color w:val="auto"/>
              </w:rPr>
              <w:t>Jun 20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Borders>
              <w:top w:val="single" w:sz="8" w:color="auto"/>
            </w:tcBorders>
            <w:gridSpan w:val="5"/>
          </w:tcPr>
          <w:p>
            <w:pPr>
              <w:jc w:val="right"/>
              <w:ind w:right="720"/>
              <w:spacing w:after="0"/>
              <w:rPr>
                <w:sz w:val="20"/>
                <w:szCs w:val="20"/>
                <w:color w:val="auto"/>
              </w:rPr>
            </w:pPr>
            <w:r>
              <w:rPr>
                <w:rFonts w:ascii="Arial" w:cs="Arial" w:eastAsia="Arial" w:hAnsi="Arial"/>
                <w:sz w:val="18"/>
                <w:szCs w:val="18"/>
                <w:b w:val="1"/>
                <w:bCs w:val="1"/>
                <w:color w:val="auto"/>
              </w:rPr>
              <w:t>QoQ</w:t>
            </w: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8"/>
                <w:szCs w:val="18"/>
                <w:color w:val="auto"/>
              </w:rPr>
            </w:pPr>
          </w:p>
        </w:tc>
      </w:tr>
      <w:tr>
        <w:trPr>
          <w:trHeight w:val="207"/>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r>
      <w:tr>
        <w:trPr>
          <w:trHeight w:val="213"/>
        </w:trPr>
        <w:tc>
          <w:tcPr>
            <w:tcW w:w="398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440" w:type="dxa"/>
            <w:vAlign w:val="bottom"/>
            <w:gridSpan w:val="5"/>
          </w:tcPr>
          <w:p>
            <w:pPr>
              <w:jc w:val="right"/>
              <w:ind w:right="200"/>
              <w:spacing w:after="0"/>
              <w:rPr>
                <w:sz w:val="20"/>
                <w:szCs w:val="20"/>
                <w:color w:val="auto"/>
              </w:rPr>
            </w:pPr>
            <w:r>
              <w:rPr>
                <w:rFonts w:ascii="Arial" w:cs="Arial" w:eastAsia="Arial" w:hAnsi="Arial"/>
                <w:sz w:val="18"/>
                <w:szCs w:val="18"/>
                <w:color w:val="auto"/>
              </w:rPr>
              <w:t>1,021,867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5"/>
          </w:tcPr>
          <w:p>
            <w:pPr>
              <w:jc w:val="right"/>
              <w:ind w:right="200"/>
              <w:spacing w:after="0"/>
              <w:rPr>
                <w:sz w:val="20"/>
                <w:szCs w:val="20"/>
                <w:color w:val="auto"/>
              </w:rPr>
            </w:pPr>
            <w:r>
              <w:rPr>
                <w:rFonts w:ascii="Arial" w:cs="Arial" w:eastAsia="Arial" w:hAnsi="Arial"/>
                <w:sz w:val="18"/>
                <w:szCs w:val="18"/>
                <w:color w:val="auto"/>
              </w:rPr>
              <w:t>919,001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8"/>
                <w:szCs w:val="18"/>
                <w:color w:val="auto"/>
                <w:w w:val="99"/>
              </w:rPr>
              <w:t>1,516,399</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8"/>
                <w:szCs w:val="18"/>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48.4%</w:t>
            </w:r>
          </w:p>
        </w:tc>
      </w:tr>
      <w:tr>
        <w:trPr>
          <w:trHeight w:val="21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4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1,807,917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1,744,788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9"/>
              </w:rPr>
              <w:t>1,419,390</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r>
      <w:tr>
        <w:trPr>
          <w:trHeight w:val="213"/>
        </w:trPr>
        <w:tc>
          <w:tcPr>
            <w:tcW w:w="3980" w:type="dxa"/>
            <w:vAlign w:val="bottom"/>
          </w:tcPr>
          <w:p>
            <w:pPr>
              <w:spacing w:after="0"/>
              <w:rPr>
                <w:sz w:val="20"/>
                <w:szCs w:val="20"/>
                <w:color w:val="auto"/>
              </w:rPr>
            </w:pPr>
            <w:r>
              <w:rPr>
                <w:rFonts w:ascii="Arial" w:cs="Arial" w:eastAsia="Arial" w:hAnsi="Arial"/>
                <w:sz w:val="18"/>
                <w:szCs w:val="18"/>
                <w:b w:val="1"/>
                <w:bCs w:val="1"/>
                <w:color w:val="auto"/>
              </w:rPr>
              <w:t>Total loans</w:t>
            </w:r>
          </w:p>
        </w:tc>
        <w:tc>
          <w:tcPr>
            <w:tcW w:w="144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10,256,643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10,732,068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88"/>
              </w:rPr>
              <w:t>10,773,466</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10.4%</w:t>
            </w: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5.0%</w:t>
            </w:r>
          </w:p>
        </w:tc>
      </w:tr>
      <w:tr>
        <w:trPr>
          <w:trHeight w:val="213"/>
        </w:trPr>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4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9,59,920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10,061,078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9"/>
              </w:rPr>
              <w:t>9,963,251</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r>
      <w:tr>
        <w:trPr>
          <w:trHeight w:val="213"/>
        </w:trPr>
        <w:tc>
          <w:tcPr>
            <w:tcW w:w="3980" w:type="dxa"/>
            <w:vAlign w:val="bottom"/>
          </w:tcPr>
          <w:p>
            <w:pPr>
              <w:ind w:left="160"/>
              <w:spacing w:after="0"/>
              <w:rPr>
                <w:sz w:val="20"/>
                <w:szCs w:val="20"/>
                <w:color w:val="auto"/>
              </w:rPr>
            </w:pPr>
            <w:r>
              <w:rPr>
                <w:rFonts w:ascii="Arial" w:cs="Arial" w:eastAsia="Arial" w:hAnsi="Arial"/>
                <w:sz w:val="18"/>
                <w:szCs w:val="18"/>
                <w:color w:val="auto"/>
              </w:rPr>
              <w:t>Internal overdue loans</w:t>
            </w:r>
          </w:p>
        </w:tc>
        <w:tc>
          <w:tcPr>
            <w:tcW w:w="1440" w:type="dxa"/>
            <w:vAlign w:val="bottom"/>
            <w:gridSpan w:val="5"/>
          </w:tcPr>
          <w:p>
            <w:pPr>
              <w:jc w:val="right"/>
              <w:ind w:right="200"/>
              <w:spacing w:after="0"/>
              <w:rPr>
                <w:sz w:val="20"/>
                <w:szCs w:val="20"/>
                <w:color w:val="auto"/>
              </w:rPr>
            </w:pPr>
            <w:r>
              <w:rPr>
                <w:rFonts w:ascii="Arial" w:cs="Arial" w:eastAsia="Arial" w:hAnsi="Arial"/>
                <w:sz w:val="18"/>
                <w:szCs w:val="18"/>
                <w:color w:val="auto"/>
              </w:rPr>
              <w:t>548,278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5"/>
          </w:tcPr>
          <w:p>
            <w:pPr>
              <w:jc w:val="right"/>
              <w:ind w:right="200"/>
              <w:spacing w:after="0"/>
              <w:rPr>
                <w:sz w:val="20"/>
                <w:szCs w:val="20"/>
                <w:color w:val="auto"/>
              </w:rPr>
            </w:pPr>
            <w:r>
              <w:rPr>
                <w:rFonts w:ascii="Arial" w:cs="Arial" w:eastAsia="Arial" w:hAnsi="Arial"/>
                <w:sz w:val="18"/>
                <w:szCs w:val="18"/>
                <w:color w:val="auto"/>
              </w:rPr>
              <w:t>574,899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8"/>
                <w:szCs w:val="18"/>
                <w:color w:val="auto"/>
              </w:rPr>
              <w:t>710,551</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8"/>
                <w:szCs w:val="18"/>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29.6%</w:t>
            </w:r>
          </w:p>
        </w:tc>
      </w:tr>
      <w:tr>
        <w:trPr>
          <w:trHeight w:val="213"/>
        </w:trPr>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Refinanced</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6"/>
              </w:rPr>
              <w:t>116,445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96,091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99,664</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r>
      <w:tr>
        <w:trPr>
          <w:trHeight w:val="213"/>
        </w:trPr>
        <w:tc>
          <w:tcPr>
            <w:tcW w:w="3980" w:type="dxa"/>
            <w:vAlign w:val="bottom"/>
          </w:tcPr>
          <w:p>
            <w:pPr>
              <w:spacing w:after="0"/>
              <w:rPr>
                <w:sz w:val="20"/>
                <w:szCs w:val="20"/>
                <w:color w:val="auto"/>
              </w:rPr>
            </w:pPr>
            <w:r>
              <w:rPr>
                <w:rFonts w:ascii="Arial" w:cs="Arial" w:eastAsia="Arial" w:hAnsi="Arial"/>
                <w:sz w:val="18"/>
                <w:szCs w:val="18"/>
                <w:color w:val="auto"/>
              </w:rPr>
              <w:t>Allow ance for loan losses</w:t>
            </w:r>
          </w:p>
        </w:tc>
        <w:tc>
          <w:tcPr>
            <w:tcW w:w="1440" w:type="dxa"/>
            <w:vAlign w:val="bottom"/>
            <w:gridSpan w:val="5"/>
          </w:tcPr>
          <w:p>
            <w:pPr>
              <w:jc w:val="right"/>
              <w:ind w:right="200"/>
              <w:spacing w:after="0"/>
              <w:rPr>
                <w:sz w:val="20"/>
                <w:szCs w:val="20"/>
                <w:color w:val="auto"/>
              </w:rPr>
            </w:pPr>
            <w:r>
              <w:rPr>
                <w:rFonts w:ascii="Arial" w:cs="Arial" w:eastAsia="Arial" w:hAnsi="Arial"/>
                <w:sz w:val="18"/>
                <w:szCs w:val="18"/>
                <w:color w:val="auto"/>
              </w:rPr>
              <w:t>-909,004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5"/>
          </w:tcPr>
          <w:p>
            <w:pPr>
              <w:jc w:val="right"/>
              <w:ind w:right="200"/>
              <w:spacing w:after="0"/>
              <w:rPr>
                <w:sz w:val="20"/>
                <w:szCs w:val="20"/>
                <w:color w:val="auto"/>
              </w:rPr>
            </w:pPr>
            <w:r>
              <w:rPr>
                <w:rFonts w:ascii="Arial" w:cs="Arial" w:eastAsia="Arial" w:hAnsi="Arial"/>
                <w:sz w:val="18"/>
                <w:szCs w:val="18"/>
                <w:color w:val="auto"/>
              </w:rPr>
              <w:t>-1,051,741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8"/>
                <w:szCs w:val="18"/>
                <w:color w:val="auto"/>
                <w:w w:val="92"/>
              </w:rPr>
              <w:t>-1,460,508</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60.7%</w:t>
            </w:r>
          </w:p>
        </w:tc>
      </w:tr>
      <w:tr>
        <w:trPr>
          <w:trHeight w:val="213"/>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loans</w:t>
            </w:r>
          </w:p>
        </w:tc>
        <w:tc>
          <w:tcPr>
            <w:tcW w:w="14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9,347,640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9,680,327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9,312,957</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r>
      <w:tr>
        <w:trPr>
          <w:trHeight w:val="213"/>
        </w:trPr>
        <w:tc>
          <w:tcPr>
            <w:tcW w:w="39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440" w:type="dxa"/>
            <w:vAlign w:val="bottom"/>
            <w:gridSpan w:val="5"/>
          </w:tcPr>
          <w:p>
            <w:pPr>
              <w:jc w:val="right"/>
              <w:ind w:right="200"/>
              <w:spacing w:after="0"/>
              <w:rPr>
                <w:sz w:val="20"/>
                <w:szCs w:val="20"/>
                <w:color w:val="auto"/>
              </w:rPr>
            </w:pPr>
            <w:r>
              <w:rPr>
                <w:rFonts w:ascii="Arial" w:cs="Arial" w:eastAsia="Arial" w:hAnsi="Arial"/>
                <w:sz w:val="18"/>
                <w:szCs w:val="18"/>
                <w:color w:val="auto"/>
              </w:rPr>
              <w:t>187,951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5"/>
          </w:tcPr>
          <w:p>
            <w:pPr>
              <w:jc w:val="right"/>
              <w:ind w:right="200"/>
              <w:spacing w:after="0"/>
              <w:rPr>
                <w:sz w:val="20"/>
                <w:szCs w:val="20"/>
                <w:color w:val="auto"/>
              </w:rPr>
            </w:pPr>
            <w:r>
              <w:rPr>
                <w:rFonts w:ascii="Arial" w:cs="Arial" w:eastAsia="Arial" w:hAnsi="Arial"/>
                <w:sz w:val="18"/>
                <w:szCs w:val="18"/>
                <w:color w:val="auto"/>
              </w:rPr>
              <w:t>166,018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8"/>
                <w:szCs w:val="18"/>
                <w:color w:val="auto"/>
              </w:rPr>
              <w:t>163,287</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-13.1%</w:t>
            </w:r>
          </w:p>
        </w:tc>
      </w:tr>
      <w:tr>
        <w:trPr>
          <w:trHeight w:val="21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840,950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1,018,840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996,259</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r>
      <w:tr>
        <w:trPr>
          <w:trHeight w:val="213"/>
        </w:trPr>
        <w:tc>
          <w:tcPr>
            <w:tcW w:w="3980" w:type="dxa"/>
            <w:vAlign w:val="bottom"/>
          </w:tcPr>
          <w:p>
            <w:pPr>
              <w:ind w:left="1500"/>
              <w:spacing w:after="0"/>
              <w:rPr>
                <w:sz w:val="20"/>
                <w:szCs w:val="20"/>
                <w:color w:val="auto"/>
              </w:rPr>
            </w:pPr>
            <w:r>
              <w:rPr>
                <w:rFonts w:ascii="Arial" w:cs="Arial" w:eastAsia="Arial" w:hAnsi="Arial"/>
                <w:sz w:val="18"/>
                <w:szCs w:val="18"/>
                <w:b w:val="1"/>
                <w:bCs w:val="1"/>
                <w:color w:val="auto"/>
              </w:rPr>
              <w:t>Total assets</w:t>
            </w:r>
          </w:p>
        </w:tc>
        <w:tc>
          <w:tcPr>
            <w:tcW w:w="144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13,206,324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13,528,974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88"/>
              </w:rPr>
              <w:t>13,408,292</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-0.9%</w:t>
            </w: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1.5%</w:t>
            </w:r>
          </w:p>
        </w:tc>
      </w:tr>
      <w:tr>
        <w:trPr>
          <w:trHeight w:val="195"/>
        </w:trPr>
        <w:tc>
          <w:tcPr>
            <w:tcW w:w="398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LIABILITIES AND NET SHAREHOLDERS'</w:t>
            </w: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32"/>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13"/>
        </w:trPr>
        <w:tc>
          <w:tcPr>
            <w:tcW w:w="398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440" w:type="dxa"/>
            <w:vAlign w:val="bottom"/>
            <w:gridSpan w:val="5"/>
          </w:tcPr>
          <w:p>
            <w:pPr>
              <w:jc w:val="right"/>
              <w:ind w:right="200"/>
              <w:spacing w:after="0"/>
              <w:rPr>
                <w:sz w:val="20"/>
                <w:szCs w:val="20"/>
                <w:color w:val="auto"/>
              </w:rPr>
            </w:pPr>
            <w:r>
              <w:rPr>
                <w:rFonts w:ascii="Arial" w:cs="Arial" w:eastAsia="Arial" w:hAnsi="Arial"/>
                <w:sz w:val="18"/>
                <w:szCs w:val="18"/>
                <w:color w:val="auto"/>
              </w:rPr>
              <w:t>8,216,878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5"/>
          </w:tcPr>
          <w:p>
            <w:pPr>
              <w:jc w:val="right"/>
              <w:ind w:right="200"/>
              <w:spacing w:after="0"/>
              <w:rPr>
                <w:sz w:val="20"/>
                <w:szCs w:val="20"/>
                <w:color w:val="auto"/>
              </w:rPr>
            </w:pPr>
            <w:r>
              <w:rPr>
                <w:rFonts w:ascii="Arial" w:cs="Arial" w:eastAsia="Arial" w:hAnsi="Arial"/>
                <w:sz w:val="18"/>
                <w:szCs w:val="18"/>
                <w:color w:val="auto"/>
              </w:rPr>
              <w:t>8,366714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8"/>
                <w:szCs w:val="18"/>
                <w:color w:val="auto"/>
                <w:w w:val="99"/>
              </w:rPr>
              <w:t>8,137,844</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r>
      <w:tr>
        <w:trPr>
          <w:trHeight w:val="21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14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1,823,461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2,235,744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9"/>
              </w:rPr>
              <w:t>2,403,370</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31.8%</w:t>
            </w:r>
          </w:p>
        </w:tc>
      </w:tr>
      <w:tr>
        <w:trPr>
          <w:trHeight w:val="213"/>
        </w:trPr>
        <w:tc>
          <w:tcPr>
            <w:tcW w:w="3980" w:type="dxa"/>
            <w:vAlign w:val="bottom"/>
          </w:tcPr>
          <w:p>
            <w:pPr>
              <w:spacing w:after="0"/>
              <w:rPr>
                <w:sz w:val="20"/>
                <w:szCs w:val="20"/>
                <w:color w:val="auto"/>
              </w:rPr>
            </w:pPr>
            <w:r>
              <w:rPr>
                <w:rFonts w:ascii="Arial" w:cs="Arial" w:eastAsia="Arial" w:hAnsi="Arial"/>
                <w:sz w:val="18"/>
                <w:szCs w:val="18"/>
                <w:color w:val="auto"/>
              </w:rPr>
              <w:t>Bonds and subordinated debt</w:t>
            </w:r>
          </w:p>
        </w:tc>
        <w:tc>
          <w:tcPr>
            <w:tcW w:w="1440" w:type="dxa"/>
            <w:vAlign w:val="bottom"/>
            <w:gridSpan w:val="5"/>
          </w:tcPr>
          <w:p>
            <w:pPr>
              <w:jc w:val="right"/>
              <w:ind w:right="200"/>
              <w:spacing w:after="0"/>
              <w:rPr>
                <w:sz w:val="20"/>
                <w:szCs w:val="20"/>
                <w:color w:val="auto"/>
              </w:rPr>
            </w:pPr>
            <w:r>
              <w:rPr>
                <w:rFonts w:ascii="Arial" w:cs="Arial" w:eastAsia="Arial" w:hAnsi="Arial"/>
                <w:sz w:val="18"/>
                <w:szCs w:val="18"/>
                <w:color w:val="auto"/>
              </w:rPr>
              <w:t>263,613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5"/>
          </w:tcPr>
          <w:p>
            <w:pPr>
              <w:jc w:val="right"/>
              <w:ind w:right="200"/>
              <w:spacing w:after="0"/>
              <w:rPr>
                <w:sz w:val="20"/>
                <w:szCs w:val="20"/>
                <w:color w:val="auto"/>
              </w:rPr>
            </w:pPr>
            <w:r>
              <w:rPr>
                <w:rFonts w:ascii="Arial" w:cs="Arial" w:eastAsia="Arial" w:hAnsi="Arial"/>
                <w:sz w:val="18"/>
                <w:szCs w:val="18"/>
                <w:color w:val="auto"/>
              </w:rPr>
              <w:t>135,262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8"/>
                <w:szCs w:val="18"/>
                <w:color w:val="auto"/>
              </w:rPr>
              <w:t>132,599</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-49.7%</w:t>
            </w:r>
          </w:p>
        </w:tc>
      </w:tr>
      <w:tr>
        <w:trPr>
          <w:trHeight w:val="21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867,815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670,371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885,695</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13"/>
        </w:trPr>
        <w:tc>
          <w:tcPr>
            <w:tcW w:w="3980" w:type="dxa"/>
            <w:vAlign w:val="bottom"/>
          </w:tcPr>
          <w:p>
            <w:pPr>
              <w:ind w:left="1380"/>
              <w:spacing w:after="0"/>
              <w:rPr>
                <w:sz w:val="20"/>
                <w:szCs w:val="20"/>
                <w:color w:val="auto"/>
              </w:rPr>
            </w:pPr>
            <w:r>
              <w:rPr>
                <w:rFonts w:ascii="Arial" w:cs="Arial" w:eastAsia="Arial" w:hAnsi="Arial"/>
                <w:sz w:val="18"/>
                <w:szCs w:val="18"/>
                <w:b w:val="1"/>
                <w:bCs w:val="1"/>
                <w:color w:val="auto"/>
              </w:rPr>
              <w:t>Total liabilities</w:t>
            </w:r>
          </w:p>
        </w:tc>
        <w:tc>
          <w:tcPr>
            <w:tcW w:w="144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11,171,768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11,408,091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88"/>
              </w:rPr>
              <w:t>11,559,509</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1.3%</w:t>
            </w: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3.5%</w:t>
            </w:r>
          </w:p>
        </w:tc>
      </w:tr>
      <w:tr>
        <w:trPr>
          <w:trHeight w:val="213"/>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equity</w:t>
            </w:r>
          </w:p>
        </w:tc>
        <w:tc>
          <w:tcPr>
            <w:tcW w:w="14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2,034,557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2,120,883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1,848,784</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-12.8%</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r>
      <w:tr>
        <w:trPr>
          <w:trHeight w:val="195"/>
        </w:trPr>
        <w:tc>
          <w:tcPr>
            <w:tcW w:w="3980" w:type="dxa"/>
            <w:vAlign w:val="bottom"/>
          </w:tcPr>
          <w:p>
            <w:pPr>
              <w:spacing w:after="0" w:line="195" w:lineRule="exact"/>
              <w:rPr>
                <w:sz w:val="20"/>
                <w:szCs w:val="20"/>
                <w:color w:val="auto"/>
              </w:rPr>
            </w:pPr>
            <w:r>
              <w:rPr>
                <w:rFonts w:ascii="Arial" w:cs="Arial" w:eastAsia="Arial" w:hAnsi="Arial"/>
                <w:sz w:val="18"/>
                <w:szCs w:val="18"/>
                <w:b w:val="1"/>
                <w:bCs w:val="1"/>
                <w:color w:val="auto"/>
              </w:rPr>
              <w:t>TOTAL LIABILITIES AND NET</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44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13,206,24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13,528,974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88"/>
              </w:rPr>
              <w:t>13,408,292</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-0.9%</w:t>
            </w: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1.5%</w:t>
            </w:r>
          </w:p>
        </w:tc>
      </w:tr>
      <w:tr>
        <w:trPr>
          <w:trHeight w:val="440"/>
        </w:trPr>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4"/>
          </w:tcPr>
          <w:p>
            <w:pPr>
              <w:ind w:left="40"/>
              <w:spacing w:after="0"/>
              <w:rPr>
                <w:sz w:val="20"/>
                <w:szCs w:val="20"/>
                <w:color w:val="auto"/>
              </w:rPr>
            </w:pPr>
            <w:r>
              <w:rPr>
                <w:rFonts w:ascii="Arial" w:cs="Arial" w:eastAsia="Arial" w:hAnsi="Arial"/>
                <w:sz w:val="18"/>
                <w:szCs w:val="18"/>
                <w:b w:val="1"/>
                <w:bCs w:val="1"/>
                <w:color w:val="auto"/>
              </w:rPr>
              <w:t>Quarter</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w w:val="88"/>
              </w:rPr>
              <w:t>% change</w:t>
            </w:r>
          </w:p>
        </w:tc>
        <w:tc>
          <w:tcPr>
            <w:tcW w:w="60" w:type="dxa"/>
            <w:vAlign w:val="bottom"/>
          </w:tcPr>
          <w:p>
            <w:pPr>
              <w:spacing w:after="0"/>
              <w:rPr>
                <w:sz w:val="24"/>
                <w:szCs w:val="24"/>
                <w:color w:val="auto"/>
              </w:rPr>
            </w:pPr>
          </w:p>
        </w:tc>
        <w:tc>
          <w:tcPr>
            <w:tcW w:w="15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YTD</w:t>
            </w:r>
          </w:p>
        </w:tc>
        <w:tc>
          <w:tcPr>
            <w:tcW w:w="80" w:type="dxa"/>
            <w:vAlign w:val="bottom"/>
          </w:tcPr>
          <w:p>
            <w:pPr>
              <w:spacing w:after="0"/>
              <w:rPr>
                <w:sz w:val="24"/>
                <w:szCs w:val="24"/>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change</w:t>
            </w:r>
          </w:p>
        </w:tc>
      </w:tr>
      <w:tr>
        <w:trPr>
          <w:trHeight w:val="208"/>
        </w:trPr>
        <w:tc>
          <w:tcPr>
            <w:tcW w:w="39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1Q19</w:t>
            </w:r>
          </w:p>
        </w:tc>
        <w:tc>
          <w:tcPr>
            <w:tcW w:w="180" w:type="dxa"/>
            <w:vAlign w:val="bottom"/>
            <w:tcBorders>
              <w:top w:val="single" w:sz="8" w:color="auto"/>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4Q19</w:t>
            </w:r>
          </w:p>
        </w:tc>
        <w:tc>
          <w:tcPr>
            <w:tcW w:w="100" w:type="dxa"/>
            <w:vAlign w:val="bottom"/>
            <w:tcBorders>
              <w:top w:val="single" w:sz="8" w:color="auto"/>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1Q20</w:t>
            </w:r>
          </w:p>
        </w:tc>
        <w:tc>
          <w:tcPr>
            <w:tcW w:w="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QoQ</w:t>
            </w:r>
          </w:p>
        </w:tc>
        <w:tc>
          <w:tcPr>
            <w:tcW w:w="18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gridSpan w:val="2"/>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Jun 19</w:t>
            </w:r>
          </w:p>
        </w:tc>
        <w:tc>
          <w:tcPr>
            <w:tcW w:w="180" w:type="dxa"/>
            <w:vAlign w:val="bottom"/>
            <w:tcBorders>
              <w:top w:val="single" w:sz="8" w:color="auto"/>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89"/>
              </w:rPr>
              <w:t>June 20</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Jun 20 / Jun 19</w:t>
            </w:r>
          </w:p>
        </w:tc>
        <w:tc>
          <w:tcPr>
            <w:tcW w:w="180" w:type="dxa"/>
            <w:vAlign w:val="bottom"/>
            <w:tcBorders>
              <w:bottom w:val="single" w:sz="8" w:color="CCEEFF"/>
            </w:tcBorders>
          </w:tcPr>
          <w:p>
            <w:pPr>
              <w:spacing w:after="0"/>
              <w:rPr>
                <w:sz w:val="18"/>
                <w:szCs w:val="18"/>
                <w:color w:val="auto"/>
              </w:rPr>
            </w:pPr>
          </w:p>
        </w:tc>
      </w:tr>
      <w:tr>
        <w:trPr>
          <w:trHeight w:val="207"/>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473,889</w:t>
            </w:r>
          </w:p>
        </w:tc>
        <w:tc>
          <w:tcPr>
            <w:tcW w:w="1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485,079</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265,259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941,830</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750,338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80" w:type="dxa"/>
            <w:vAlign w:val="bottom"/>
            <w:shd w:val="clear" w:color="auto" w:fill="CCEEFF"/>
          </w:tcPr>
          <w:p>
            <w:pPr>
              <w:spacing w:after="0"/>
              <w:rPr>
                <w:sz w:val="17"/>
                <w:szCs w:val="17"/>
                <w:color w:val="auto"/>
              </w:rPr>
            </w:pPr>
          </w:p>
        </w:tc>
      </w:tr>
      <w:tr>
        <w:trPr>
          <w:trHeight w:val="213"/>
        </w:trPr>
        <w:tc>
          <w:tcPr>
            <w:tcW w:w="3980" w:type="dxa"/>
            <w:vAlign w:val="bottom"/>
          </w:tcPr>
          <w:p>
            <w:pPr>
              <w:spacing w:after="0"/>
              <w:rPr>
                <w:sz w:val="20"/>
                <w:szCs w:val="20"/>
                <w:color w:val="auto"/>
              </w:rPr>
            </w:pPr>
            <w:r>
              <w:rPr>
                <w:rFonts w:ascii="Arial" w:cs="Arial" w:eastAsia="Arial" w:hAnsi="Arial"/>
                <w:sz w:val="18"/>
                <w:szCs w:val="18"/>
                <w:color w:val="auto"/>
              </w:rPr>
              <w:t>Provision for loan losses, net of recoveries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0"/>
              </w:rPr>
              <w:t>-105,550</w:t>
            </w: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-179,839</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406,604</w:t>
            </w:r>
          </w:p>
        </w:tc>
        <w:tc>
          <w:tcPr>
            <w:tcW w:w="10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126.1%</w:t>
            </w:r>
          </w:p>
        </w:tc>
        <w:tc>
          <w:tcPr>
            <w:tcW w:w="1600" w:type="dxa"/>
            <w:vAlign w:val="bottom"/>
            <w:gridSpan w:val="6"/>
          </w:tcPr>
          <w:p>
            <w:pPr>
              <w:jc w:val="right"/>
              <w:spacing w:after="0"/>
              <w:rPr>
                <w:sz w:val="20"/>
                <w:szCs w:val="20"/>
                <w:color w:val="auto"/>
              </w:rPr>
            </w:pPr>
            <w:r>
              <w:rPr>
                <w:rFonts w:ascii="Arial" w:cs="Arial" w:eastAsia="Arial" w:hAnsi="Arial"/>
                <w:sz w:val="18"/>
                <w:szCs w:val="18"/>
                <w:color w:val="auto"/>
              </w:rPr>
              <w:t>285.2% -196,042</w:t>
            </w:r>
          </w:p>
        </w:tc>
        <w:tc>
          <w:tcPr>
            <w:tcW w:w="18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w w:val="87"/>
              </w:rPr>
              <w:t>-586,443</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199.1</w:t>
            </w:r>
          </w:p>
        </w:tc>
      </w:tr>
      <w:tr>
        <w:trPr>
          <w:trHeight w:val="213"/>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income after provisions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368,339</w:t>
            </w: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305,240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7"/>
              </w:rPr>
              <w:t>-141,346</w:t>
            </w: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-146.3%</w:t>
            </w:r>
          </w:p>
        </w:tc>
        <w:tc>
          <w:tcPr>
            <w:tcW w:w="160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-138.4% 746,788</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163,894</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-78.0</w:t>
            </w:r>
          </w:p>
        </w:tc>
      </w:tr>
      <w:tr>
        <w:trPr>
          <w:trHeight w:val="213"/>
        </w:trPr>
        <w:tc>
          <w:tcPr>
            <w:tcW w:w="3980" w:type="dxa"/>
            <w:vAlign w:val="bottom"/>
          </w:tcPr>
          <w:p>
            <w:pPr>
              <w:spacing w:after="0"/>
              <w:rPr>
                <w:sz w:val="20"/>
                <w:szCs w:val="20"/>
                <w:color w:val="auto"/>
              </w:rPr>
            </w:pPr>
            <w:r>
              <w:rPr>
                <w:rFonts w:ascii="Arial" w:cs="Arial" w:eastAsia="Arial" w:hAnsi="Arial"/>
                <w:sz w:val="18"/>
                <w:szCs w:val="18"/>
                <w:color w:val="auto"/>
              </w:rPr>
              <w:t>Non-financial income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43,884</w:t>
            </w: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40,838</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1,970</w:t>
            </w:r>
          </w:p>
        </w:tc>
        <w:tc>
          <w:tcPr>
            <w:tcW w:w="10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-95.2%</w:t>
            </w: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-95.5%</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89,530</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42,808</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-52.2</w:t>
            </w:r>
          </w:p>
        </w:tc>
      </w:tr>
      <w:tr>
        <w:trPr>
          <w:trHeight w:val="21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-273,787</w:t>
            </w: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-294,967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-258,435</w:t>
            </w: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540" w:type="dxa"/>
            <w:vAlign w:val="bottom"/>
            <w:gridSpan w:val="10"/>
            <w:shd w:val="clear" w:color="auto" w:fill="CCEEFF"/>
          </w:tcPr>
          <w:p>
            <w:pPr>
              <w:jc w:val="right"/>
              <w:ind w:right="120"/>
              <w:spacing w:after="0"/>
              <w:rPr>
                <w:sz w:val="20"/>
                <w:szCs w:val="20"/>
                <w:color w:val="auto"/>
              </w:rPr>
            </w:pPr>
            <w:r>
              <w:rPr>
                <w:rFonts w:ascii="Arial" w:cs="Arial" w:eastAsia="Arial" w:hAnsi="Arial"/>
                <w:sz w:val="18"/>
                <w:szCs w:val="18"/>
                <w:color w:val="auto"/>
              </w:rPr>
              <w:t>-56% -554,817  -553,402</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r>
      <w:tr>
        <w:trPr>
          <w:trHeight w:val="213"/>
        </w:trPr>
        <w:tc>
          <w:tcPr>
            <w:tcW w:w="3980" w:type="dxa"/>
            <w:vAlign w:val="bottom"/>
          </w:tcPr>
          <w:p>
            <w:pPr>
              <w:spacing w:after="0"/>
              <w:rPr>
                <w:sz w:val="20"/>
                <w:szCs w:val="20"/>
                <w:color w:val="auto"/>
              </w:rPr>
            </w:pPr>
            <w:r>
              <w:rPr>
                <w:rFonts w:ascii="Arial" w:cs="Arial" w:eastAsia="Arial" w:hAnsi="Arial"/>
                <w:sz w:val="18"/>
                <w:szCs w:val="18"/>
                <w:color w:val="auto"/>
              </w:rPr>
              <w:t>Translation result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0.0%</w:t>
            </w: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0.0</w:t>
            </w:r>
          </w:p>
        </w:tc>
      </w:tr>
      <w:tr>
        <w:trPr>
          <w:trHeight w:val="21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-39,294</w:t>
            </w: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-17,016</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120,108</w:t>
            </w: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-405.7%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-79,44</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103,092</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-229.8</w:t>
            </w:r>
          </w:p>
        </w:tc>
      </w:tr>
      <w:tr>
        <w:trPr>
          <w:trHeight w:val="213"/>
        </w:trPr>
        <w:tc>
          <w:tcPr>
            <w:tcW w:w="39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99,142</w:t>
            </w:r>
          </w:p>
        </w:tc>
        <w:tc>
          <w:tcPr>
            <w:tcW w:w="98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34,095</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7"/>
              </w:rPr>
              <w:t>-227,703</w:t>
            </w:r>
          </w:p>
        </w:tc>
        <w:tc>
          <w:tcPr>
            <w:tcW w:w="10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b w:val="1"/>
                <w:bCs w:val="1"/>
                <w:color w:val="auto"/>
              </w:rPr>
              <w:t>-914.5%</w:t>
            </w:r>
          </w:p>
        </w:tc>
        <w:tc>
          <w:tcPr>
            <w:tcW w:w="1600" w:type="dxa"/>
            <w:vAlign w:val="bottom"/>
            <w:gridSpan w:val="6"/>
          </w:tcPr>
          <w:p>
            <w:pPr>
              <w:jc w:val="right"/>
              <w:spacing w:after="0"/>
              <w:rPr>
                <w:sz w:val="20"/>
                <w:szCs w:val="20"/>
                <w:color w:val="auto"/>
              </w:rPr>
            </w:pPr>
            <w:r>
              <w:rPr>
                <w:rFonts w:ascii="Arial" w:cs="Arial" w:eastAsia="Arial" w:hAnsi="Arial"/>
                <w:sz w:val="18"/>
                <w:szCs w:val="18"/>
                <w:b w:val="1"/>
                <w:bCs w:val="1"/>
                <w:color w:val="auto"/>
              </w:rPr>
              <w:t>-380.1% 201,052</w:t>
            </w:r>
          </w:p>
        </w:tc>
        <w:tc>
          <w:tcPr>
            <w:tcW w:w="18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7"/>
              </w:rPr>
              <w:t>-243,608</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-221.2</w:t>
            </w:r>
          </w:p>
        </w:tc>
      </w:tr>
      <w:tr>
        <w:trPr>
          <w:trHeight w:val="21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55.6</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3810bps%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4140bps%</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53.5</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68.8</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1530bps</w:t>
            </w:r>
          </w:p>
        </w:tc>
      </w:tr>
      <w:tr>
        <w:trPr>
          <w:trHeight w:val="213"/>
        </w:trPr>
        <w:tc>
          <w:tcPr>
            <w:tcW w:w="3980" w:type="dxa"/>
            <w:vAlign w:val="bottom"/>
          </w:tcPr>
          <w:p>
            <w:pPr>
              <w:spacing w:after="0"/>
              <w:rPr>
                <w:sz w:val="20"/>
                <w:szCs w:val="20"/>
                <w:color w:val="auto"/>
              </w:rPr>
            </w:pPr>
            <w:r>
              <w:rPr>
                <w:rFonts w:ascii="Arial" w:cs="Arial" w:eastAsia="Arial" w:hAnsi="Arial"/>
                <w:sz w:val="18"/>
                <w:szCs w:val="18"/>
                <w:color w:val="auto"/>
              </w:rPr>
              <w:t>ROAE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980" w:type="dxa"/>
            <w:vAlign w:val="bottom"/>
            <w:gridSpan w:val="5"/>
          </w:tcPr>
          <w:p>
            <w:pPr>
              <w:jc w:val="right"/>
              <w:ind w:right="100"/>
              <w:spacing w:after="0"/>
              <w:rPr>
                <w:sz w:val="20"/>
                <w:szCs w:val="20"/>
                <w:color w:val="auto"/>
              </w:rPr>
            </w:pPr>
            <w:r>
              <w:rPr>
                <w:rFonts w:ascii="Arial" w:cs="Arial" w:eastAsia="Arial" w:hAnsi="Arial"/>
                <w:sz w:val="18"/>
                <w:szCs w:val="18"/>
                <w:color w:val="auto"/>
              </w:rPr>
              <w:t>6.5</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w w:val="87"/>
              </w:rPr>
              <w:t>-6240bps%</w:t>
            </w:r>
          </w:p>
        </w:tc>
        <w:tc>
          <w:tcPr>
            <w:tcW w:w="10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-7590bps%</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20.4</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-4510bps</w:t>
            </w:r>
          </w:p>
        </w:tc>
      </w:tr>
      <w:tr>
        <w:trPr>
          <w:trHeight w:val="21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ROAE incl. goowdill</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-5830bps%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-7080bps%</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19.1</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-4220bps</w:t>
            </w:r>
          </w:p>
        </w:tc>
      </w:tr>
      <w:tr>
        <w:trPr>
          <w:trHeight w:val="213"/>
        </w:trPr>
        <w:tc>
          <w:tcPr>
            <w:tcW w:w="3980" w:type="dxa"/>
            <w:vAlign w:val="bottom"/>
          </w:tcPr>
          <w:p>
            <w:pPr>
              <w:spacing w:after="0"/>
              <w:rPr>
                <w:sz w:val="20"/>
                <w:szCs w:val="20"/>
                <w:color w:val="auto"/>
              </w:rPr>
            </w:pPr>
            <w:r>
              <w:rPr>
                <w:rFonts w:ascii="Arial" w:cs="Arial" w:eastAsia="Arial" w:hAnsi="Arial"/>
                <w:sz w:val="18"/>
                <w:szCs w:val="18"/>
                <w:color w:val="auto"/>
              </w:rPr>
              <w:t>L/D ratio</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124.8</w:t>
            </w:r>
          </w:p>
        </w:tc>
        <w:tc>
          <w:tcPr>
            <w:tcW w:w="980" w:type="dxa"/>
            <w:vAlign w:val="bottom"/>
            <w:gridSpan w:val="5"/>
          </w:tcPr>
          <w:p>
            <w:pPr>
              <w:jc w:val="right"/>
              <w:ind w:right="100"/>
              <w:spacing w:after="0"/>
              <w:rPr>
                <w:sz w:val="20"/>
                <w:szCs w:val="20"/>
                <w:color w:val="auto"/>
              </w:rPr>
            </w:pPr>
            <w:r>
              <w:rPr>
                <w:rFonts w:ascii="Arial" w:cs="Arial" w:eastAsia="Arial" w:hAnsi="Arial"/>
                <w:sz w:val="18"/>
                <w:szCs w:val="18"/>
                <w:color w:val="auto"/>
              </w:rPr>
              <w:t>128.3</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18"/>
                <w:szCs w:val="18"/>
                <w:color w:val="auto"/>
              </w:rPr>
            </w:pPr>
          </w:p>
        </w:tc>
        <w:tc>
          <w:tcPr>
            <w:tcW w:w="840" w:type="dxa"/>
            <w:vAlign w:val="bottom"/>
            <w:gridSpan w:val="4"/>
          </w:tcPr>
          <w:p>
            <w:pPr>
              <w:jc w:val="right"/>
              <w:ind w:right="91"/>
              <w:spacing w:after="0"/>
              <w:rPr>
                <w:sz w:val="20"/>
                <w:szCs w:val="20"/>
                <w:color w:val="auto"/>
              </w:rPr>
            </w:pPr>
            <w:r>
              <w:rPr>
                <w:rFonts w:ascii="Arial" w:cs="Arial" w:eastAsia="Arial" w:hAnsi="Arial"/>
                <w:sz w:val="18"/>
                <w:szCs w:val="18"/>
                <w:color w:val="auto"/>
              </w:rPr>
              <w:t>410bps</w:t>
            </w:r>
          </w:p>
        </w:tc>
        <w:tc>
          <w:tcPr>
            <w:tcW w:w="10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760bps</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IOL ratio</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120bps%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130bps%</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3"/>
        </w:trPr>
        <w:tc>
          <w:tcPr>
            <w:tcW w:w="3980" w:type="dxa"/>
            <w:vAlign w:val="bottom"/>
          </w:tcPr>
          <w:p>
            <w:pPr>
              <w:spacing w:after="0"/>
              <w:rPr>
                <w:sz w:val="20"/>
                <w:szCs w:val="20"/>
                <w:color w:val="auto"/>
              </w:rPr>
            </w:pPr>
            <w:r>
              <w:rPr>
                <w:rFonts w:ascii="Arial" w:cs="Arial" w:eastAsia="Arial" w:hAnsi="Arial"/>
                <w:sz w:val="18"/>
                <w:szCs w:val="18"/>
                <w:color w:val="auto"/>
              </w:rPr>
              <w:t>NPL ratio</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980" w:type="dxa"/>
            <w:vAlign w:val="bottom"/>
            <w:gridSpan w:val="5"/>
          </w:tcPr>
          <w:p>
            <w:pPr>
              <w:jc w:val="right"/>
              <w:ind w:right="100"/>
              <w:spacing w:after="0"/>
              <w:rPr>
                <w:sz w:val="20"/>
                <w:szCs w:val="20"/>
                <w:color w:val="auto"/>
              </w:rPr>
            </w:pPr>
            <w:r>
              <w:rPr>
                <w:rFonts w:ascii="Arial" w:cs="Arial" w:eastAsia="Arial" w:hAnsi="Arial"/>
                <w:sz w:val="18"/>
                <w:szCs w:val="18"/>
                <w:color w:val="auto"/>
              </w:rPr>
              <w:t>6.3</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120bps%</w:t>
            </w:r>
          </w:p>
        </w:tc>
        <w:tc>
          <w:tcPr>
            <w:tcW w:w="10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100bps%</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Coverage of IOLs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182.9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2260bps%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3970bps%</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3"/>
        </w:trPr>
        <w:tc>
          <w:tcPr>
            <w:tcW w:w="3980" w:type="dxa"/>
            <w:vAlign w:val="bottom"/>
          </w:tcPr>
          <w:p>
            <w:pPr>
              <w:spacing w:after="0"/>
              <w:rPr>
                <w:sz w:val="20"/>
                <w:szCs w:val="20"/>
                <w:color w:val="auto"/>
              </w:rPr>
            </w:pPr>
            <w:r>
              <w:rPr>
                <w:rFonts w:ascii="Arial" w:cs="Arial" w:eastAsia="Arial" w:hAnsi="Arial"/>
                <w:sz w:val="18"/>
                <w:szCs w:val="18"/>
                <w:color w:val="auto"/>
              </w:rPr>
              <w:t>Coverage of NPLs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136.7</w:t>
            </w:r>
          </w:p>
        </w:tc>
        <w:tc>
          <w:tcPr>
            <w:tcW w:w="980" w:type="dxa"/>
            <w:vAlign w:val="bottom"/>
            <w:gridSpan w:val="5"/>
          </w:tcPr>
          <w:p>
            <w:pPr>
              <w:jc w:val="right"/>
              <w:ind w:right="100"/>
              <w:spacing w:after="0"/>
              <w:rPr>
                <w:sz w:val="20"/>
                <w:szCs w:val="20"/>
                <w:color w:val="auto"/>
              </w:rPr>
            </w:pPr>
            <w:r>
              <w:rPr>
                <w:rFonts w:ascii="Arial" w:cs="Arial" w:eastAsia="Arial" w:hAnsi="Arial"/>
                <w:sz w:val="18"/>
                <w:szCs w:val="18"/>
                <w:color w:val="auto"/>
              </w:rPr>
              <w:t>156.7</w:t>
            </w:r>
          </w:p>
        </w:tc>
        <w:tc>
          <w:tcPr>
            <w:tcW w:w="640" w:type="dxa"/>
            <w:vAlign w:val="bottom"/>
          </w:tcPr>
          <w:p>
            <w:pPr>
              <w:jc w:val="right"/>
              <w:spacing w:after="0"/>
              <w:rPr>
                <w:sz w:val="20"/>
                <w:szCs w:val="20"/>
                <w:color w:val="auto"/>
              </w:rPr>
            </w:pPr>
            <w:r>
              <w:rPr>
                <w:rFonts w:ascii="Arial" w:cs="Arial" w:eastAsia="Arial" w:hAnsi="Arial"/>
                <w:sz w:val="18"/>
                <w:szCs w:val="18"/>
                <w:color w:val="auto"/>
              </w:rPr>
              <w:t>180.3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w w:val="94"/>
              </w:rPr>
              <w:t>2360bps%</w:t>
            </w:r>
          </w:p>
        </w:tc>
        <w:tc>
          <w:tcPr>
            <w:tcW w:w="10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4360bps%</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Branches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6"/>
        </w:trPr>
        <w:tc>
          <w:tcPr>
            <w:tcW w:w="3980" w:type="dxa"/>
            <w:vAlign w:val="bottom"/>
          </w:tcPr>
          <w:p>
            <w:pPr>
              <w:spacing w:after="0"/>
              <w:rPr>
                <w:sz w:val="20"/>
                <w:szCs w:val="20"/>
                <w:color w:val="auto"/>
              </w:rPr>
            </w:pPr>
            <w:r>
              <w:rPr>
                <w:rFonts w:ascii="Arial" w:cs="Arial" w:eastAsia="Arial" w:hAnsi="Arial"/>
                <w:sz w:val="18"/>
                <w:szCs w:val="18"/>
                <w:color w:val="auto"/>
              </w:rPr>
              <w:t>Employees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11,545</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11,656</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-268%</w:t>
            </w: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6" w:lineRule="exact"/>
        <w:rPr>
          <w:sz w:val="20"/>
          <w:szCs w:val="20"/>
          <w:color w:val="auto"/>
        </w:rPr>
      </w:pPr>
    </w:p>
    <w:p>
      <w:pPr>
        <w:ind w:left="260" w:hanging="253"/>
        <w:spacing w:after="0"/>
        <w:tabs>
          <w:tab w:leader="none" w:pos="2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Figures differ than previously reported, consider the data presented in this report.</w:t>
      </w:r>
    </w:p>
    <w:p>
      <w:pPr>
        <w:spacing w:after="0" w:line="19" w:lineRule="exact"/>
        <w:rPr>
          <w:rFonts w:ascii="Arial" w:cs="Arial" w:eastAsia="Arial" w:hAnsi="Arial"/>
          <w:sz w:val="18"/>
          <w:szCs w:val="18"/>
          <w:color w:val="auto"/>
        </w:rPr>
      </w:pPr>
    </w:p>
    <w:p>
      <w:pPr>
        <w:ind w:left="260" w:hanging="253"/>
        <w:spacing w:after="0"/>
        <w:tabs>
          <w:tab w:leader="none" w:pos="2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Includes Banco de la Nacion branches, which in June 19 were 35, in March 20 were 35 and in June 20 were 34.</w:t>
      </w:r>
    </w:p>
    <w:p>
      <w:pPr>
        <w:spacing w:after="0" w:line="200" w:lineRule="exact"/>
        <w:rPr>
          <w:sz w:val="20"/>
          <w:szCs w:val="20"/>
          <w:color w:val="auto"/>
        </w:rPr>
      </w:pPr>
    </w:p>
    <w:p>
      <w:pPr>
        <w:spacing w:after="0" w:line="220"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0"/>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11.6. BCP Bolivia</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9"/>
              </w:rPr>
              <w:t>BCP BOLIVIA</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27"/>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2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91"/>
              </w:rPr>
              <w:t>(In S/ thousands, IFRS)</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1"/>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8"/>
                <w:szCs w:val="18"/>
                <w:b w:val="1"/>
                <w:bCs w:val="1"/>
                <w:color w:val="auto"/>
                <w:w w:val="88"/>
              </w:rPr>
              <w:t>As of</w:t>
            </w: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b w:val="1"/>
                <w:bCs w:val="1"/>
                <w:color w:val="auto"/>
              </w:rPr>
              <w:t>% change</w:t>
            </w:r>
          </w:p>
        </w:tc>
        <w:tc>
          <w:tcPr>
            <w:tcW w:w="9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21"/>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Jun 19</w:t>
            </w:r>
          </w:p>
        </w:tc>
        <w:tc>
          <w:tcPr>
            <w:tcW w:w="80" w:type="dxa"/>
            <w:vAlign w:val="bottom"/>
          </w:tcPr>
          <w:p>
            <w:pPr>
              <w:spacing w:after="0"/>
              <w:rPr>
                <w:sz w:val="19"/>
                <w:szCs w:val="19"/>
                <w:color w:val="auto"/>
              </w:rPr>
            </w:pPr>
          </w:p>
        </w:tc>
        <w:tc>
          <w:tcPr>
            <w:tcW w:w="156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8"/>
              </w:rPr>
              <w:t>Mar 20</w:t>
            </w:r>
          </w:p>
        </w:tc>
        <w:tc>
          <w:tcPr>
            <w:tcW w:w="1220" w:type="dxa"/>
            <w:vAlign w:val="bottom"/>
            <w:gridSpan w:val="2"/>
          </w:tcPr>
          <w:p>
            <w:pPr>
              <w:ind w:left="360"/>
              <w:spacing w:after="0"/>
              <w:rPr>
                <w:sz w:val="20"/>
                <w:szCs w:val="20"/>
                <w:color w:val="auto"/>
              </w:rPr>
            </w:pPr>
            <w:r>
              <w:rPr>
                <w:rFonts w:ascii="Arial" w:cs="Arial" w:eastAsia="Arial" w:hAnsi="Arial"/>
                <w:sz w:val="18"/>
                <w:szCs w:val="18"/>
                <w:b w:val="1"/>
                <w:bCs w:val="1"/>
                <w:color w:val="auto"/>
              </w:rPr>
              <w:t>Jun 20</w:t>
            </w:r>
          </w:p>
        </w:tc>
        <w:tc>
          <w:tcPr>
            <w:tcW w:w="320" w:type="dxa"/>
            <w:vAlign w:val="bottom"/>
          </w:tcPr>
          <w:p>
            <w:pPr>
              <w:spacing w:after="0"/>
              <w:rPr>
                <w:sz w:val="19"/>
                <w:szCs w:val="19"/>
                <w:color w:val="auto"/>
              </w:rPr>
            </w:pPr>
          </w:p>
        </w:tc>
        <w:tc>
          <w:tcPr>
            <w:tcW w:w="1940" w:type="dxa"/>
            <w:vAlign w:val="bottom"/>
            <w:gridSpan w:val="3"/>
          </w:tcPr>
          <w:p>
            <w:pPr>
              <w:ind w:left="440"/>
              <w:spacing w:after="0"/>
              <w:rPr>
                <w:sz w:val="20"/>
                <w:szCs w:val="20"/>
                <w:color w:val="auto"/>
              </w:rPr>
            </w:pPr>
            <w:r>
              <w:rPr>
                <w:rFonts w:ascii="Arial" w:cs="Arial" w:eastAsia="Arial" w:hAnsi="Arial"/>
                <w:sz w:val="18"/>
                <w:szCs w:val="18"/>
                <w:b w:val="1"/>
                <w:bCs w:val="1"/>
                <w:color w:val="auto"/>
              </w:rPr>
              <w:t>QoQ</w:t>
            </w:r>
          </w:p>
        </w:tc>
        <w:tc>
          <w:tcPr>
            <w:tcW w:w="920" w:type="dxa"/>
            <w:vAlign w:val="bottom"/>
          </w:tcPr>
          <w:p>
            <w:pPr>
              <w:jc w:val="right"/>
              <w:ind w:right="371"/>
              <w:spacing w:after="0"/>
              <w:rPr>
                <w:sz w:val="20"/>
                <w:szCs w:val="20"/>
                <w:color w:val="auto"/>
              </w:rPr>
            </w:pPr>
            <w:r>
              <w:rPr>
                <w:rFonts w:ascii="Arial" w:cs="Arial" w:eastAsia="Arial" w:hAnsi="Arial"/>
                <w:sz w:val="18"/>
                <w:szCs w:val="18"/>
                <w:b w:val="1"/>
                <w:bCs w:val="1"/>
                <w:color w:val="auto"/>
              </w:rPr>
              <w:t>YoY</w:t>
            </w:r>
          </w:p>
        </w:tc>
        <w:tc>
          <w:tcPr>
            <w:tcW w:w="180" w:type="dxa"/>
            <w:vAlign w:val="bottom"/>
          </w:tcPr>
          <w:p>
            <w:pPr>
              <w:spacing w:after="0"/>
              <w:rPr>
                <w:sz w:val="19"/>
                <w:szCs w:val="19"/>
                <w:color w:val="auto"/>
              </w:rPr>
            </w:pPr>
          </w:p>
        </w:tc>
      </w:tr>
      <w:tr>
        <w:trPr>
          <w:trHeight w:val="207"/>
        </w:trPr>
        <w:tc>
          <w:tcPr>
            <w:tcW w:w="3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r>
      <w:tr>
        <w:trPr>
          <w:trHeight w:val="213"/>
        </w:trPr>
        <w:tc>
          <w:tcPr>
            <w:tcW w:w="356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1,437,175</w:t>
            </w:r>
          </w:p>
        </w:tc>
        <w:tc>
          <w:tcPr>
            <w:tcW w:w="240" w:type="dxa"/>
            <w:vAlign w:val="bottom"/>
          </w:tcPr>
          <w:p>
            <w:pPr>
              <w:spacing w:after="0"/>
              <w:rPr>
                <w:sz w:val="18"/>
                <w:szCs w:val="18"/>
                <w:color w:val="auto"/>
              </w:rPr>
            </w:pPr>
          </w:p>
        </w:tc>
        <w:tc>
          <w:tcPr>
            <w:tcW w:w="1600" w:type="dxa"/>
            <w:vAlign w:val="bottom"/>
            <w:gridSpan w:val="4"/>
          </w:tcPr>
          <w:p>
            <w:pPr>
              <w:jc w:val="right"/>
              <w:ind w:right="280"/>
              <w:spacing w:after="0"/>
              <w:rPr>
                <w:sz w:val="20"/>
                <w:szCs w:val="20"/>
                <w:color w:val="auto"/>
              </w:rPr>
            </w:pPr>
            <w:r>
              <w:rPr>
                <w:rFonts w:ascii="Arial" w:cs="Arial" w:eastAsia="Arial" w:hAnsi="Arial"/>
                <w:sz w:val="18"/>
                <w:szCs w:val="18"/>
                <w:color w:val="auto"/>
              </w:rPr>
              <w:t>2,080,341</w:t>
            </w:r>
          </w:p>
        </w:tc>
        <w:tc>
          <w:tcPr>
            <w:tcW w:w="40" w:type="dxa"/>
            <w:vAlign w:val="bottom"/>
          </w:tcPr>
          <w:p>
            <w:pPr>
              <w:spacing w:after="0"/>
              <w:rPr>
                <w:sz w:val="18"/>
                <w:szCs w:val="18"/>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1,902,835</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32.4%</w:t>
            </w:r>
          </w:p>
        </w:tc>
      </w:tr>
      <w:tr>
        <w:trPr>
          <w:trHeight w:val="213"/>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1,214,420</w:t>
            </w:r>
          </w:p>
        </w:tc>
        <w:tc>
          <w:tcPr>
            <w:tcW w:w="24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1,406,483</w:t>
            </w:r>
          </w:p>
        </w:tc>
        <w:tc>
          <w:tcPr>
            <w:tcW w:w="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1,410,359</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r>
      <w:tr>
        <w:trPr>
          <w:trHeight w:val="213"/>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Total loans</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7,277,055</w:t>
            </w:r>
          </w:p>
        </w:tc>
        <w:tc>
          <w:tcPr>
            <w:tcW w:w="240" w:type="dxa"/>
            <w:vAlign w:val="bottom"/>
          </w:tcPr>
          <w:p>
            <w:pPr>
              <w:spacing w:after="0"/>
              <w:rPr>
                <w:sz w:val="18"/>
                <w:szCs w:val="18"/>
                <w:color w:val="auto"/>
              </w:rPr>
            </w:pPr>
          </w:p>
        </w:tc>
        <w:tc>
          <w:tcPr>
            <w:tcW w:w="16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7,945,254</w:t>
            </w:r>
          </w:p>
        </w:tc>
        <w:tc>
          <w:tcPr>
            <w:tcW w:w="40" w:type="dxa"/>
            <w:vAlign w:val="bottom"/>
          </w:tcPr>
          <w:p>
            <w:pPr>
              <w:spacing w:after="0"/>
              <w:rPr>
                <w:sz w:val="18"/>
                <w:szCs w:val="18"/>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8,374,583</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5.4%</w:t>
            </w:r>
          </w:p>
        </w:tc>
        <w:tc>
          <w:tcPr>
            <w:tcW w:w="3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15.1%</w:t>
            </w:r>
          </w:p>
        </w:tc>
      </w:tr>
      <w:tr>
        <w:trPr>
          <w:trHeight w:val="213"/>
        </w:trPr>
        <w:tc>
          <w:tcPr>
            <w:tcW w:w="3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7,115,507</w:t>
            </w:r>
          </w:p>
        </w:tc>
        <w:tc>
          <w:tcPr>
            <w:tcW w:w="24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7,775,930</w:t>
            </w:r>
          </w:p>
        </w:tc>
        <w:tc>
          <w:tcPr>
            <w:tcW w:w="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8,221,417</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r>
      <w:tr>
        <w:trPr>
          <w:trHeight w:val="213"/>
        </w:trPr>
        <w:tc>
          <w:tcPr>
            <w:tcW w:w="3560" w:type="dxa"/>
            <w:vAlign w:val="bottom"/>
            <w:gridSpan w:val="2"/>
          </w:tcPr>
          <w:p>
            <w:pPr>
              <w:ind w:left="160"/>
              <w:spacing w:after="0"/>
              <w:rPr>
                <w:sz w:val="20"/>
                <w:szCs w:val="20"/>
                <w:color w:val="auto"/>
              </w:rPr>
            </w:pPr>
            <w:r>
              <w:rPr>
                <w:rFonts w:ascii="Arial" w:cs="Arial" w:eastAsia="Arial" w:hAnsi="Arial"/>
                <w:sz w:val="18"/>
                <w:szCs w:val="18"/>
                <w:color w:val="auto"/>
              </w:rPr>
              <w:t>Internal overdue loans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139,487</w:t>
            </w:r>
          </w:p>
        </w:tc>
        <w:tc>
          <w:tcPr>
            <w:tcW w:w="240" w:type="dxa"/>
            <w:vAlign w:val="bottom"/>
          </w:tcPr>
          <w:p>
            <w:pPr>
              <w:spacing w:after="0"/>
              <w:rPr>
                <w:sz w:val="18"/>
                <w:szCs w:val="18"/>
                <w:color w:val="auto"/>
              </w:rPr>
            </w:pPr>
          </w:p>
        </w:tc>
        <w:tc>
          <w:tcPr>
            <w:tcW w:w="1600" w:type="dxa"/>
            <w:vAlign w:val="bottom"/>
            <w:gridSpan w:val="4"/>
          </w:tcPr>
          <w:p>
            <w:pPr>
              <w:jc w:val="right"/>
              <w:ind w:right="280"/>
              <w:spacing w:after="0"/>
              <w:rPr>
                <w:sz w:val="20"/>
                <w:szCs w:val="20"/>
                <w:color w:val="auto"/>
              </w:rPr>
            </w:pPr>
            <w:r>
              <w:rPr>
                <w:rFonts w:ascii="Arial" w:cs="Arial" w:eastAsia="Arial" w:hAnsi="Arial"/>
                <w:sz w:val="18"/>
                <w:szCs w:val="18"/>
                <w:color w:val="auto"/>
              </w:rPr>
              <w:t>147,421</w:t>
            </w:r>
          </w:p>
        </w:tc>
        <w:tc>
          <w:tcPr>
            <w:tcW w:w="40" w:type="dxa"/>
            <w:vAlign w:val="bottom"/>
          </w:tcPr>
          <w:p>
            <w:pPr>
              <w:spacing w:after="0"/>
              <w:rPr>
                <w:sz w:val="18"/>
                <w:szCs w:val="18"/>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128,441</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r>
      <w:tr>
        <w:trPr>
          <w:trHeight w:val="213"/>
        </w:trPr>
        <w:tc>
          <w:tcPr>
            <w:tcW w:w="3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Refinanced</w:t>
            </w: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22,061</w:t>
            </w:r>
          </w:p>
        </w:tc>
        <w:tc>
          <w:tcPr>
            <w:tcW w:w="16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21,903</w:t>
            </w:r>
          </w:p>
        </w:tc>
        <w:tc>
          <w:tcPr>
            <w:tcW w:w="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24,725</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r>
      <w:tr>
        <w:trPr>
          <w:trHeight w:val="213"/>
        </w:trPr>
        <w:tc>
          <w:tcPr>
            <w:tcW w:w="3560" w:type="dxa"/>
            <w:vAlign w:val="bottom"/>
            <w:gridSpan w:val="2"/>
          </w:tcPr>
          <w:p>
            <w:pPr>
              <w:ind w:left="160"/>
              <w:spacing w:after="0"/>
              <w:rPr>
                <w:sz w:val="20"/>
                <w:szCs w:val="20"/>
                <w:color w:val="auto"/>
              </w:rPr>
            </w:pPr>
            <w:r>
              <w:rPr>
                <w:rFonts w:ascii="Arial" w:cs="Arial" w:eastAsia="Arial" w:hAnsi="Arial"/>
                <w:sz w:val="18"/>
                <w:szCs w:val="18"/>
                <w:color w:val="auto"/>
              </w:rPr>
              <w:t>Allowance for loan losses</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(231,814)</w:t>
            </w:r>
          </w:p>
        </w:tc>
        <w:tc>
          <w:tcPr>
            <w:tcW w:w="1600" w:type="dxa"/>
            <w:vAlign w:val="bottom"/>
            <w:gridSpan w:val="4"/>
          </w:tcPr>
          <w:p>
            <w:pPr>
              <w:jc w:val="right"/>
              <w:ind w:right="220"/>
              <w:spacing w:after="0"/>
              <w:rPr>
                <w:sz w:val="20"/>
                <w:szCs w:val="20"/>
                <w:color w:val="auto"/>
              </w:rPr>
            </w:pPr>
            <w:r>
              <w:rPr>
                <w:rFonts w:ascii="Arial" w:cs="Arial" w:eastAsia="Arial" w:hAnsi="Arial"/>
                <w:sz w:val="18"/>
                <w:szCs w:val="18"/>
                <w:color w:val="auto"/>
              </w:rPr>
              <w:t>(263,746)</w:t>
            </w:r>
          </w:p>
        </w:tc>
        <w:tc>
          <w:tcPr>
            <w:tcW w:w="40" w:type="dxa"/>
            <w:vAlign w:val="bottom"/>
          </w:tcPr>
          <w:p>
            <w:pPr>
              <w:spacing w:after="0"/>
              <w:rPr>
                <w:sz w:val="18"/>
                <w:szCs w:val="18"/>
                <w:color w:val="auto"/>
              </w:rPr>
            </w:pP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(376,247)</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42.7%</w:t>
            </w:r>
          </w:p>
        </w:tc>
        <w:tc>
          <w:tcPr>
            <w:tcW w:w="3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62.3%</w:t>
            </w:r>
          </w:p>
        </w:tc>
      </w:tr>
      <w:tr>
        <w:trPr>
          <w:trHeight w:val="213"/>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loans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7,045,241</w:t>
            </w:r>
          </w:p>
        </w:tc>
        <w:tc>
          <w:tcPr>
            <w:tcW w:w="24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7,681,508</w:t>
            </w:r>
          </w:p>
        </w:tc>
        <w:tc>
          <w:tcPr>
            <w:tcW w:w="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7,998,336</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r>
      <w:tr>
        <w:trPr>
          <w:trHeight w:val="213"/>
        </w:trPr>
        <w:tc>
          <w:tcPr>
            <w:tcW w:w="356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45,862</w:t>
            </w:r>
          </w:p>
        </w:tc>
        <w:tc>
          <w:tcPr>
            <w:tcW w:w="1600" w:type="dxa"/>
            <w:vAlign w:val="bottom"/>
            <w:gridSpan w:val="4"/>
          </w:tcPr>
          <w:p>
            <w:pPr>
              <w:jc w:val="right"/>
              <w:ind w:right="280"/>
              <w:spacing w:after="0"/>
              <w:rPr>
                <w:sz w:val="20"/>
                <w:szCs w:val="20"/>
                <w:color w:val="auto"/>
              </w:rPr>
            </w:pPr>
            <w:r>
              <w:rPr>
                <w:rFonts w:ascii="Arial" w:cs="Arial" w:eastAsia="Arial" w:hAnsi="Arial"/>
                <w:sz w:val="18"/>
                <w:szCs w:val="18"/>
                <w:color w:val="auto"/>
              </w:rPr>
              <w:t>51,639</w:t>
            </w:r>
          </w:p>
        </w:tc>
        <w:tc>
          <w:tcPr>
            <w:tcW w:w="40" w:type="dxa"/>
            <w:vAlign w:val="bottom"/>
          </w:tcPr>
          <w:p>
            <w:pPr>
              <w:spacing w:after="0"/>
              <w:rPr>
                <w:sz w:val="18"/>
                <w:szCs w:val="18"/>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50,950</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r>
      <w:tr>
        <w:trPr>
          <w:trHeight w:val="213"/>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101,709</w:t>
            </w:r>
          </w:p>
        </w:tc>
        <w:tc>
          <w:tcPr>
            <w:tcW w:w="24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138,720</w:t>
            </w:r>
          </w:p>
        </w:tc>
        <w:tc>
          <w:tcPr>
            <w:tcW w:w="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175,573</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72.6%</w:t>
            </w:r>
          </w:p>
        </w:tc>
      </w:tr>
      <w:tr>
        <w:trPr>
          <w:trHeight w:val="213"/>
        </w:trPr>
        <w:tc>
          <w:tcPr>
            <w:tcW w:w="3560" w:type="dxa"/>
            <w:vAlign w:val="bottom"/>
            <w:gridSpan w:val="2"/>
          </w:tcPr>
          <w:p>
            <w:pPr>
              <w:ind w:left="1440"/>
              <w:spacing w:after="0"/>
              <w:rPr>
                <w:sz w:val="20"/>
                <w:szCs w:val="20"/>
                <w:color w:val="auto"/>
              </w:rPr>
            </w:pPr>
            <w:r>
              <w:rPr>
                <w:rFonts w:ascii="Arial" w:cs="Arial" w:eastAsia="Arial" w:hAnsi="Arial"/>
                <w:sz w:val="18"/>
                <w:szCs w:val="18"/>
                <w:b w:val="1"/>
                <w:bCs w:val="1"/>
                <w:color w:val="auto"/>
              </w:rPr>
              <w:t>Total assets</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9,844,408</w:t>
            </w:r>
          </w:p>
        </w:tc>
        <w:tc>
          <w:tcPr>
            <w:tcW w:w="240" w:type="dxa"/>
            <w:vAlign w:val="bottom"/>
          </w:tcPr>
          <w:p>
            <w:pPr>
              <w:spacing w:after="0"/>
              <w:rPr>
                <w:sz w:val="18"/>
                <w:szCs w:val="18"/>
                <w:color w:val="auto"/>
              </w:rPr>
            </w:pPr>
          </w:p>
        </w:tc>
        <w:tc>
          <w:tcPr>
            <w:tcW w:w="16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11,358,690</w:t>
            </w:r>
          </w:p>
        </w:tc>
        <w:tc>
          <w:tcPr>
            <w:tcW w:w="40" w:type="dxa"/>
            <w:vAlign w:val="bottom"/>
          </w:tcPr>
          <w:p>
            <w:pPr>
              <w:spacing w:after="0"/>
              <w:rPr>
                <w:sz w:val="18"/>
                <w:szCs w:val="18"/>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11,538,053</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w:t>
            </w:r>
          </w:p>
        </w:tc>
        <w:tc>
          <w:tcPr>
            <w:tcW w:w="3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17.2%</w:t>
            </w:r>
          </w:p>
        </w:tc>
      </w:tr>
      <w:tr>
        <w:trPr>
          <w:trHeight w:val="195"/>
        </w:trPr>
        <w:tc>
          <w:tcPr>
            <w:tcW w:w="35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LIABILITIES AND NET</w:t>
            </w: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32"/>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13"/>
        </w:trPr>
        <w:tc>
          <w:tcPr>
            <w:tcW w:w="3560" w:type="dxa"/>
            <w:vAlign w:val="bottom"/>
            <w:gridSpan w:val="2"/>
          </w:tcPr>
          <w:p>
            <w:pPr>
              <w:spacing w:after="0"/>
              <w:rPr>
                <w:sz w:val="20"/>
                <w:szCs w:val="20"/>
                <w:color w:val="auto"/>
              </w:rPr>
            </w:pPr>
            <w:r>
              <w:rPr>
                <w:rFonts w:ascii="Arial" w:cs="Arial" w:eastAsia="Arial" w:hAnsi="Arial"/>
                <w:sz w:val="18"/>
                <w:szCs w:val="18"/>
                <w:color w:val="auto"/>
              </w:rPr>
              <w:t>Deposits and obligations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8,589,045</w:t>
            </w:r>
          </w:p>
        </w:tc>
        <w:tc>
          <w:tcPr>
            <w:tcW w:w="240" w:type="dxa"/>
            <w:vAlign w:val="bottom"/>
          </w:tcPr>
          <w:p>
            <w:pPr>
              <w:spacing w:after="0"/>
              <w:rPr>
                <w:sz w:val="18"/>
                <w:szCs w:val="18"/>
                <w:color w:val="auto"/>
              </w:rPr>
            </w:pPr>
          </w:p>
        </w:tc>
        <w:tc>
          <w:tcPr>
            <w:tcW w:w="1600" w:type="dxa"/>
            <w:vAlign w:val="bottom"/>
            <w:gridSpan w:val="4"/>
          </w:tcPr>
          <w:p>
            <w:pPr>
              <w:jc w:val="right"/>
              <w:ind w:right="280"/>
              <w:spacing w:after="0"/>
              <w:rPr>
                <w:sz w:val="20"/>
                <w:szCs w:val="20"/>
                <w:color w:val="auto"/>
              </w:rPr>
            </w:pPr>
            <w:r>
              <w:rPr>
                <w:rFonts w:ascii="Arial" w:cs="Arial" w:eastAsia="Arial" w:hAnsi="Arial"/>
                <w:sz w:val="18"/>
                <w:szCs w:val="18"/>
                <w:color w:val="auto"/>
              </w:rPr>
              <w:t>9,769,903</w:t>
            </w:r>
          </w:p>
        </w:tc>
        <w:tc>
          <w:tcPr>
            <w:tcW w:w="40" w:type="dxa"/>
            <w:vAlign w:val="bottom"/>
          </w:tcPr>
          <w:p>
            <w:pPr>
              <w:spacing w:after="0"/>
              <w:rPr>
                <w:sz w:val="18"/>
                <w:szCs w:val="18"/>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9,990,773</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r>
      <w:tr>
        <w:trPr>
          <w:trHeight w:val="213"/>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27,151</w:t>
            </w:r>
          </w:p>
        </w:tc>
        <w:tc>
          <w:tcPr>
            <w:tcW w:w="16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55,691</w:t>
            </w:r>
          </w:p>
        </w:tc>
        <w:tc>
          <w:tcPr>
            <w:tcW w:w="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54,571</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101.0%</w:t>
            </w:r>
          </w:p>
        </w:tc>
      </w:tr>
      <w:tr>
        <w:trPr>
          <w:trHeight w:val="213"/>
        </w:trPr>
        <w:tc>
          <w:tcPr>
            <w:tcW w:w="3560" w:type="dxa"/>
            <w:vAlign w:val="bottom"/>
            <w:gridSpan w:val="2"/>
          </w:tcPr>
          <w:p>
            <w:pPr>
              <w:spacing w:after="0"/>
              <w:rPr>
                <w:sz w:val="20"/>
                <w:szCs w:val="20"/>
                <w:color w:val="auto"/>
              </w:rPr>
            </w:pPr>
            <w:r>
              <w:rPr>
                <w:rFonts w:ascii="Arial" w:cs="Arial" w:eastAsia="Arial" w:hAnsi="Arial"/>
                <w:sz w:val="18"/>
                <w:szCs w:val="18"/>
                <w:color w:val="auto"/>
              </w:rPr>
              <w:t>Bonds and subordinated debt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102,966</w:t>
            </w:r>
          </w:p>
        </w:tc>
        <w:tc>
          <w:tcPr>
            <w:tcW w:w="240" w:type="dxa"/>
            <w:vAlign w:val="bottom"/>
          </w:tcPr>
          <w:p>
            <w:pPr>
              <w:spacing w:after="0"/>
              <w:rPr>
                <w:sz w:val="18"/>
                <w:szCs w:val="18"/>
                <w:color w:val="auto"/>
              </w:rPr>
            </w:pPr>
          </w:p>
        </w:tc>
        <w:tc>
          <w:tcPr>
            <w:tcW w:w="1600" w:type="dxa"/>
            <w:vAlign w:val="bottom"/>
            <w:gridSpan w:val="4"/>
          </w:tcPr>
          <w:p>
            <w:pPr>
              <w:jc w:val="right"/>
              <w:ind w:right="280"/>
              <w:spacing w:after="0"/>
              <w:rPr>
                <w:sz w:val="20"/>
                <w:szCs w:val="20"/>
                <w:color w:val="auto"/>
              </w:rPr>
            </w:pPr>
            <w:r>
              <w:rPr>
                <w:rFonts w:ascii="Arial" w:cs="Arial" w:eastAsia="Arial" w:hAnsi="Arial"/>
                <w:sz w:val="18"/>
                <w:szCs w:val="18"/>
                <w:color w:val="auto"/>
              </w:rPr>
              <w:t>106,703</w:t>
            </w:r>
          </w:p>
        </w:tc>
        <w:tc>
          <w:tcPr>
            <w:tcW w:w="40" w:type="dxa"/>
            <w:vAlign w:val="bottom"/>
          </w:tcPr>
          <w:p>
            <w:pPr>
              <w:spacing w:after="0"/>
              <w:rPr>
                <w:sz w:val="18"/>
                <w:szCs w:val="18"/>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111,239</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r>
      <w:tr>
        <w:trPr>
          <w:trHeight w:val="213"/>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434,668</w:t>
            </w:r>
          </w:p>
        </w:tc>
        <w:tc>
          <w:tcPr>
            <w:tcW w:w="24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716,332</w:t>
            </w:r>
          </w:p>
        </w:tc>
        <w:tc>
          <w:tcPr>
            <w:tcW w:w="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683,892</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w:t>
            </w:r>
          </w:p>
        </w:tc>
      </w:tr>
      <w:tr>
        <w:trPr>
          <w:trHeight w:val="213"/>
        </w:trPr>
        <w:tc>
          <w:tcPr>
            <w:tcW w:w="3560" w:type="dxa"/>
            <w:vAlign w:val="bottom"/>
            <w:gridSpan w:val="2"/>
          </w:tcPr>
          <w:p>
            <w:pPr>
              <w:ind w:left="1380"/>
              <w:spacing w:after="0"/>
              <w:rPr>
                <w:sz w:val="20"/>
                <w:szCs w:val="20"/>
                <w:color w:val="auto"/>
              </w:rPr>
            </w:pPr>
            <w:r>
              <w:rPr>
                <w:rFonts w:ascii="Arial" w:cs="Arial" w:eastAsia="Arial" w:hAnsi="Arial"/>
                <w:sz w:val="18"/>
                <w:szCs w:val="18"/>
                <w:b w:val="1"/>
                <w:bCs w:val="1"/>
                <w:color w:val="auto"/>
              </w:rPr>
              <w:t>Total liabilities</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9,153,830</w:t>
            </w:r>
          </w:p>
        </w:tc>
        <w:tc>
          <w:tcPr>
            <w:tcW w:w="240" w:type="dxa"/>
            <w:vAlign w:val="bottom"/>
          </w:tcPr>
          <w:p>
            <w:pPr>
              <w:spacing w:after="0"/>
              <w:rPr>
                <w:sz w:val="18"/>
                <w:szCs w:val="18"/>
                <w:color w:val="auto"/>
              </w:rPr>
            </w:pPr>
          </w:p>
        </w:tc>
        <w:tc>
          <w:tcPr>
            <w:tcW w:w="16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10,648,630</w:t>
            </w:r>
          </w:p>
        </w:tc>
        <w:tc>
          <w:tcPr>
            <w:tcW w:w="40" w:type="dxa"/>
            <w:vAlign w:val="bottom"/>
          </w:tcPr>
          <w:p>
            <w:pPr>
              <w:spacing w:after="0"/>
              <w:rPr>
                <w:sz w:val="18"/>
                <w:szCs w:val="18"/>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10,840,474</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w:t>
            </w:r>
          </w:p>
        </w:tc>
        <w:tc>
          <w:tcPr>
            <w:tcW w:w="3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18.4%</w:t>
            </w:r>
          </w:p>
        </w:tc>
      </w:tr>
      <w:tr>
        <w:trPr>
          <w:trHeight w:val="213"/>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equity</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690,579</w:t>
            </w:r>
          </w:p>
        </w:tc>
        <w:tc>
          <w:tcPr>
            <w:tcW w:w="24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710,060</w:t>
            </w:r>
          </w:p>
        </w:tc>
        <w:tc>
          <w:tcPr>
            <w:tcW w:w="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697,579</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r>
      <w:tr>
        <w:trPr>
          <w:trHeight w:val="195"/>
        </w:trPr>
        <w:tc>
          <w:tcPr>
            <w:tcW w:w="356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TOTAL LIABILITIES AND NET</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9,844,408</w:t>
            </w:r>
          </w:p>
        </w:tc>
        <w:tc>
          <w:tcPr>
            <w:tcW w:w="240" w:type="dxa"/>
            <w:vAlign w:val="bottom"/>
          </w:tcPr>
          <w:p>
            <w:pPr>
              <w:spacing w:after="0"/>
              <w:rPr>
                <w:sz w:val="20"/>
                <w:szCs w:val="20"/>
                <w:color w:val="auto"/>
              </w:rPr>
            </w:pPr>
          </w:p>
        </w:tc>
        <w:tc>
          <w:tcPr>
            <w:tcW w:w="16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11,358,690</w:t>
            </w:r>
          </w:p>
        </w:tc>
        <w:tc>
          <w:tcPr>
            <w:tcW w:w="40" w:type="dxa"/>
            <w:vAlign w:val="bottom"/>
          </w:tcPr>
          <w:p>
            <w:pPr>
              <w:spacing w:after="0"/>
              <w:rPr>
                <w:sz w:val="20"/>
                <w:szCs w:val="20"/>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11,538,053</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17.2%</w:t>
            </w:r>
          </w:p>
        </w:tc>
      </w:tr>
      <w:tr>
        <w:trPr>
          <w:trHeight w:val="468"/>
        </w:trPr>
        <w:tc>
          <w:tcPr>
            <w:tcW w:w="3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8"/>
                <w:szCs w:val="18"/>
                <w:b w:val="1"/>
                <w:bCs w:val="1"/>
                <w:color w:val="auto"/>
                <w:w w:val="95"/>
              </w:rPr>
              <w:t>Quarter</w:t>
            </w:r>
          </w:p>
        </w:tc>
        <w:tc>
          <w:tcPr>
            <w:tcW w:w="11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b w:val="1"/>
                <w:bCs w:val="1"/>
                <w:color w:val="auto"/>
              </w:rPr>
              <w:t>% change</w:t>
            </w:r>
          </w:p>
        </w:tc>
        <w:tc>
          <w:tcPr>
            <w:tcW w:w="9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21"/>
        </w:trPr>
        <w:tc>
          <w:tcPr>
            <w:tcW w:w="34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1Q19</w:t>
            </w:r>
          </w:p>
        </w:tc>
        <w:tc>
          <w:tcPr>
            <w:tcW w:w="380" w:type="dxa"/>
            <w:vAlign w:val="bottom"/>
            <w:tcBorders>
              <w:bottom w:val="single" w:sz="8" w:color="CCEEFF"/>
            </w:tcBorders>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4Q19</w:t>
            </w:r>
          </w:p>
        </w:tc>
        <w:tc>
          <w:tcPr>
            <w:tcW w:w="380" w:type="dxa"/>
            <w:vAlign w:val="bottom"/>
            <w:tcBorders>
              <w:bottom w:val="single" w:sz="8" w:color="CCEEFF"/>
            </w:tcBorders>
            <w:gridSpan w:val="2"/>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1Q20</w:t>
            </w:r>
          </w:p>
        </w:tc>
        <w:tc>
          <w:tcPr>
            <w:tcW w:w="380" w:type="dxa"/>
            <w:vAlign w:val="bottom"/>
            <w:tcBorders>
              <w:bottom w:val="single" w:sz="8" w:color="CCEEFF"/>
            </w:tcBorders>
            <w:gridSpan w:val="2"/>
          </w:tcPr>
          <w:p>
            <w:pPr>
              <w:spacing w:after="0"/>
              <w:rPr>
                <w:sz w:val="19"/>
                <w:szCs w:val="19"/>
                <w:color w:val="auto"/>
              </w:rPr>
            </w:pPr>
          </w:p>
        </w:tc>
        <w:tc>
          <w:tcPr>
            <w:tcW w:w="122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QoQ</w:t>
            </w:r>
          </w:p>
        </w:tc>
        <w:tc>
          <w:tcPr>
            <w:tcW w:w="4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19"/>
                <w:szCs w:val="19"/>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81,048</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86,646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83,164</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r>
      <w:tr>
        <w:trPr>
          <w:trHeight w:val="213"/>
        </w:trPr>
        <w:tc>
          <w:tcPr>
            <w:tcW w:w="3560" w:type="dxa"/>
            <w:vAlign w:val="bottom"/>
            <w:gridSpan w:val="2"/>
          </w:tcPr>
          <w:p>
            <w:pPr>
              <w:spacing w:after="0"/>
              <w:rPr>
                <w:sz w:val="20"/>
                <w:szCs w:val="20"/>
                <w:color w:val="auto"/>
              </w:rPr>
            </w:pPr>
            <w:r>
              <w:rPr>
                <w:rFonts w:ascii="Arial" w:cs="Arial" w:eastAsia="Arial" w:hAnsi="Arial"/>
                <w:sz w:val="18"/>
                <w:szCs w:val="18"/>
                <w:color w:val="auto"/>
              </w:rPr>
              <w:t>Provision for loan losses, net of recoveries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(13,459)</w:t>
            </w:r>
          </w:p>
        </w:tc>
        <w:tc>
          <w:tcPr>
            <w:tcW w:w="24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(36,010)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(100,707)</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179.7%</w:t>
            </w:r>
          </w:p>
        </w:tc>
        <w:tc>
          <w:tcPr>
            <w:tcW w:w="3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r>
      <w:tr>
        <w:trPr>
          <w:trHeight w:val="213"/>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income after provisions</w:t>
            </w:r>
          </w:p>
        </w:tc>
        <w:tc>
          <w:tcPr>
            <w:tcW w:w="12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67,589</w:t>
            </w:r>
          </w:p>
        </w:tc>
        <w:tc>
          <w:tcPr>
            <w:tcW w:w="2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50,636</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-17,543</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-134.6%</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-126.0%</w:t>
            </w:r>
          </w:p>
        </w:tc>
      </w:tr>
      <w:tr>
        <w:trPr>
          <w:trHeight w:val="213"/>
        </w:trPr>
        <w:tc>
          <w:tcPr>
            <w:tcW w:w="3560" w:type="dxa"/>
            <w:vAlign w:val="bottom"/>
            <w:gridSpan w:val="2"/>
          </w:tcPr>
          <w:p>
            <w:pPr>
              <w:spacing w:after="0"/>
              <w:rPr>
                <w:sz w:val="20"/>
                <w:szCs w:val="20"/>
                <w:color w:val="auto"/>
              </w:rPr>
            </w:pPr>
            <w:r>
              <w:rPr>
                <w:rFonts w:ascii="Arial" w:cs="Arial" w:eastAsia="Arial" w:hAnsi="Arial"/>
                <w:sz w:val="18"/>
                <w:szCs w:val="18"/>
                <w:color w:val="auto"/>
              </w:rPr>
              <w:t>Non-financial income</w:t>
            </w:r>
          </w:p>
        </w:tc>
        <w:tc>
          <w:tcPr>
            <w:tcW w:w="1220" w:type="dxa"/>
            <w:vAlign w:val="bottom"/>
            <w:gridSpan w:val="2"/>
          </w:tcPr>
          <w:p>
            <w:pPr>
              <w:jc w:val="right"/>
              <w:ind w:right="31"/>
              <w:spacing w:after="0"/>
              <w:rPr>
                <w:sz w:val="20"/>
                <w:szCs w:val="20"/>
                <w:color w:val="auto"/>
              </w:rPr>
            </w:pPr>
            <w:r>
              <w:rPr>
                <w:rFonts w:ascii="Arial" w:cs="Arial" w:eastAsia="Arial" w:hAnsi="Arial"/>
                <w:sz w:val="18"/>
                <w:szCs w:val="18"/>
                <w:color w:val="auto"/>
              </w:rPr>
              <w:t>30,232</w:t>
            </w:r>
          </w:p>
        </w:tc>
        <w:tc>
          <w:tcPr>
            <w:tcW w:w="2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26,452</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24,951</w:t>
            </w:r>
          </w:p>
        </w:tc>
        <w:tc>
          <w:tcPr>
            <w:tcW w:w="32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r>
      <w:tr>
        <w:trPr>
          <w:trHeight w:val="213"/>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(60,149)</w:t>
            </w:r>
          </w:p>
        </w:tc>
        <w:tc>
          <w:tcPr>
            <w:tcW w:w="2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(64,025)</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(55,334)</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r>
      <w:tr>
        <w:trPr>
          <w:trHeight w:val="213"/>
        </w:trPr>
        <w:tc>
          <w:tcPr>
            <w:tcW w:w="3560" w:type="dxa"/>
            <w:vAlign w:val="bottom"/>
            <w:gridSpan w:val="2"/>
          </w:tcPr>
          <w:p>
            <w:pPr>
              <w:spacing w:after="0"/>
              <w:rPr>
                <w:sz w:val="20"/>
                <w:szCs w:val="20"/>
                <w:color w:val="auto"/>
              </w:rPr>
            </w:pPr>
            <w:r>
              <w:rPr>
                <w:rFonts w:ascii="Arial" w:cs="Arial" w:eastAsia="Arial" w:hAnsi="Arial"/>
                <w:sz w:val="18"/>
                <w:szCs w:val="18"/>
                <w:color w:val="auto"/>
              </w:rPr>
              <w:t>Translation result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-239.8%</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-6657.7%</w:t>
            </w:r>
          </w:p>
        </w:tc>
        <w:tc>
          <w:tcPr>
            <w:tcW w:w="180" w:type="dxa"/>
            <w:vAlign w:val="bottom"/>
          </w:tcPr>
          <w:p>
            <w:pPr>
              <w:spacing w:after="0"/>
              <w:rPr>
                <w:sz w:val="18"/>
                <w:szCs w:val="18"/>
                <w:color w:val="auto"/>
              </w:rPr>
            </w:pPr>
          </w:p>
        </w:tc>
      </w:tr>
      <w:tr>
        <w:trPr>
          <w:trHeight w:val="213"/>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(10,864)</w:t>
            </w:r>
          </w:p>
        </w:tc>
        <w:tc>
          <w:tcPr>
            <w:tcW w:w="2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(6,207)</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8,305</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-233.8%</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-176.4%</w:t>
            </w:r>
          </w:p>
        </w:tc>
      </w:tr>
      <w:tr>
        <w:trPr>
          <w:trHeight w:val="213"/>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22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rPr>
              <w:t>26,807</w:t>
            </w:r>
          </w:p>
        </w:tc>
        <w:tc>
          <w:tcPr>
            <w:tcW w:w="2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6,829</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-39,582</w:t>
            </w:r>
          </w:p>
        </w:tc>
        <w:tc>
          <w:tcPr>
            <w:tcW w:w="32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-679.6%</w:t>
            </w:r>
          </w:p>
        </w:tc>
        <w:tc>
          <w:tcPr>
            <w:tcW w:w="3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-247.7%</w:t>
            </w:r>
          </w:p>
        </w:tc>
      </w:tr>
      <w:tr>
        <w:trPr>
          <w:trHeight w:val="213"/>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61.7%</w:t>
            </w: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56.4%</w:t>
            </w:r>
          </w:p>
        </w:tc>
        <w:tc>
          <w:tcPr>
            <w:tcW w:w="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51.0%</w:t>
            </w:r>
          </w:p>
        </w:tc>
        <w:tc>
          <w:tcPr>
            <w:tcW w:w="19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-540 bps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-1070 bps</w:t>
            </w:r>
          </w:p>
        </w:tc>
      </w:tr>
      <w:tr>
        <w:trPr>
          <w:trHeight w:val="213"/>
        </w:trPr>
        <w:tc>
          <w:tcPr>
            <w:tcW w:w="3560" w:type="dxa"/>
            <w:vAlign w:val="bottom"/>
            <w:gridSpan w:val="2"/>
          </w:tcPr>
          <w:p>
            <w:pPr>
              <w:spacing w:after="0"/>
              <w:rPr>
                <w:sz w:val="20"/>
                <w:szCs w:val="20"/>
                <w:color w:val="auto"/>
              </w:rPr>
            </w:pPr>
            <w:r>
              <w:rPr>
                <w:rFonts w:ascii="Arial" w:cs="Arial" w:eastAsia="Arial" w:hAnsi="Arial"/>
                <w:sz w:val="18"/>
                <w:szCs w:val="18"/>
                <w:color w:val="auto"/>
              </w:rPr>
              <w:t>ROAE</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15.8%</w:t>
            </w: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320" w:type="dxa"/>
            <w:vAlign w:val="bottom"/>
          </w:tcPr>
          <w:p>
            <w:pPr>
              <w:spacing w:after="0"/>
              <w:rPr>
                <w:sz w:val="18"/>
                <w:szCs w:val="18"/>
                <w:color w:val="auto"/>
              </w:rPr>
            </w:pPr>
          </w:p>
        </w:tc>
        <w:tc>
          <w:tcPr>
            <w:tcW w:w="1940" w:type="dxa"/>
            <w:vAlign w:val="bottom"/>
            <w:gridSpan w:val="3"/>
          </w:tcPr>
          <w:p>
            <w:pPr>
              <w:jc w:val="right"/>
              <w:ind w:right="720"/>
              <w:spacing w:after="0"/>
              <w:rPr>
                <w:sz w:val="20"/>
                <w:szCs w:val="20"/>
                <w:color w:val="auto"/>
              </w:rPr>
            </w:pPr>
            <w:r>
              <w:rPr>
                <w:rFonts w:ascii="Arial" w:cs="Arial" w:eastAsia="Arial" w:hAnsi="Arial"/>
                <w:sz w:val="18"/>
                <w:szCs w:val="18"/>
                <w:color w:val="auto"/>
              </w:rPr>
              <w:t>-2630 bps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-3830 bps</w:t>
            </w:r>
          </w:p>
        </w:tc>
      </w:tr>
      <w:tr>
        <w:trPr>
          <w:trHeight w:val="213"/>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L/D ratio</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84.7%</w:t>
            </w: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81.3%</w:t>
            </w:r>
          </w:p>
        </w:tc>
        <w:tc>
          <w:tcPr>
            <w:tcW w:w="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83.8%</w:t>
            </w:r>
          </w:p>
        </w:tc>
        <w:tc>
          <w:tcPr>
            <w:tcW w:w="19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250 bps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 bps</w:t>
            </w:r>
          </w:p>
        </w:tc>
      </w:tr>
      <w:tr>
        <w:trPr>
          <w:trHeight w:val="213"/>
        </w:trPr>
        <w:tc>
          <w:tcPr>
            <w:tcW w:w="3560" w:type="dxa"/>
            <w:vAlign w:val="bottom"/>
            <w:gridSpan w:val="2"/>
          </w:tcPr>
          <w:p>
            <w:pPr>
              <w:spacing w:after="0"/>
              <w:rPr>
                <w:sz w:val="20"/>
                <w:szCs w:val="20"/>
                <w:color w:val="auto"/>
              </w:rPr>
            </w:pPr>
            <w:r>
              <w:rPr>
                <w:rFonts w:ascii="Arial" w:cs="Arial" w:eastAsia="Arial" w:hAnsi="Arial"/>
                <w:sz w:val="18"/>
                <w:szCs w:val="18"/>
                <w:color w:val="auto"/>
              </w:rPr>
              <w:t>IOL ratio</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1.92%</w:t>
            </w: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1.86%</w:t>
            </w:r>
          </w:p>
        </w:tc>
        <w:tc>
          <w:tcPr>
            <w:tcW w:w="40" w:type="dxa"/>
            <w:vAlign w:val="bottom"/>
          </w:tcPr>
          <w:p>
            <w:pPr>
              <w:spacing w:after="0"/>
              <w:rPr>
                <w:sz w:val="18"/>
                <w:szCs w:val="18"/>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1.53%</w:t>
            </w:r>
          </w:p>
        </w:tc>
        <w:tc>
          <w:tcPr>
            <w:tcW w:w="1940" w:type="dxa"/>
            <w:vAlign w:val="bottom"/>
            <w:gridSpan w:val="3"/>
          </w:tcPr>
          <w:p>
            <w:pPr>
              <w:jc w:val="right"/>
              <w:ind w:right="720"/>
              <w:spacing w:after="0"/>
              <w:rPr>
                <w:sz w:val="20"/>
                <w:szCs w:val="20"/>
                <w:color w:val="auto"/>
              </w:rPr>
            </w:pPr>
            <w:r>
              <w:rPr>
                <w:rFonts w:ascii="Arial" w:cs="Arial" w:eastAsia="Arial" w:hAnsi="Arial"/>
                <w:sz w:val="18"/>
                <w:szCs w:val="18"/>
                <w:color w:val="auto"/>
              </w:rPr>
              <w:t>-40 bps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-39 bps</w:t>
            </w:r>
          </w:p>
        </w:tc>
      </w:tr>
      <w:tr>
        <w:trPr>
          <w:trHeight w:val="213"/>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NPL ratio</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2.13%</w:t>
            </w:r>
          </w:p>
        </w:tc>
        <w:tc>
          <w:tcPr>
            <w:tcW w:w="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19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-30 bps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 bps</w:t>
            </w:r>
          </w:p>
        </w:tc>
      </w:tr>
      <w:tr>
        <w:trPr>
          <w:trHeight w:val="213"/>
        </w:trPr>
        <w:tc>
          <w:tcPr>
            <w:tcW w:w="3560" w:type="dxa"/>
            <w:vAlign w:val="bottom"/>
            <w:gridSpan w:val="2"/>
          </w:tcPr>
          <w:p>
            <w:pPr>
              <w:spacing w:after="0"/>
              <w:rPr>
                <w:sz w:val="20"/>
                <w:szCs w:val="20"/>
                <w:color w:val="auto"/>
              </w:rPr>
            </w:pPr>
            <w:r>
              <w:rPr>
                <w:rFonts w:ascii="Arial" w:cs="Arial" w:eastAsia="Arial" w:hAnsi="Arial"/>
                <w:sz w:val="18"/>
                <w:szCs w:val="18"/>
                <w:color w:val="auto"/>
              </w:rPr>
              <w:t>Coverage of IOLs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166.2%</w:t>
            </w: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178.9%</w:t>
            </w:r>
          </w:p>
        </w:tc>
        <w:tc>
          <w:tcPr>
            <w:tcW w:w="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292.9%</w:t>
            </w:r>
          </w:p>
        </w:tc>
        <w:tc>
          <w:tcPr>
            <w:tcW w:w="320" w:type="dxa"/>
            <w:vAlign w:val="bottom"/>
          </w:tcPr>
          <w:p>
            <w:pPr>
              <w:spacing w:after="0"/>
              <w:rPr>
                <w:sz w:val="18"/>
                <w:szCs w:val="18"/>
                <w:color w:val="auto"/>
              </w:rPr>
            </w:pPr>
          </w:p>
        </w:tc>
        <w:tc>
          <w:tcPr>
            <w:tcW w:w="1940" w:type="dxa"/>
            <w:vAlign w:val="bottom"/>
            <w:gridSpan w:val="3"/>
          </w:tcPr>
          <w:p>
            <w:pPr>
              <w:jc w:val="right"/>
              <w:ind w:right="720"/>
              <w:spacing w:after="0"/>
              <w:rPr>
                <w:sz w:val="20"/>
                <w:szCs w:val="20"/>
                <w:color w:val="auto"/>
              </w:rPr>
            </w:pPr>
            <w:r>
              <w:rPr>
                <w:rFonts w:ascii="Arial" w:cs="Arial" w:eastAsia="Arial" w:hAnsi="Arial"/>
                <w:sz w:val="18"/>
                <w:szCs w:val="18"/>
                <w:color w:val="auto"/>
              </w:rPr>
              <w:t>11400 bps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12674 bps</w:t>
            </w:r>
          </w:p>
        </w:tc>
      </w:tr>
      <w:tr>
        <w:trPr>
          <w:trHeight w:val="213"/>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of NPLs</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143.5%</w:t>
            </w: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155.8%</w:t>
            </w:r>
          </w:p>
        </w:tc>
        <w:tc>
          <w:tcPr>
            <w:tcW w:w="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245.6%</w:t>
            </w:r>
          </w:p>
        </w:tc>
        <w:tc>
          <w:tcPr>
            <w:tcW w:w="19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8980 bps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10215 bps</w:t>
            </w:r>
          </w:p>
        </w:tc>
      </w:tr>
      <w:tr>
        <w:trPr>
          <w:trHeight w:val="213"/>
        </w:trPr>
        <w:tc>
          <w:tcPr>
            <w:tcW w:w="3560" w:type="dxa"/>
            <w:vAlign w:val="bottom"/>
            <w:gridSpan w:val="2"/>
          </w:tcPr>
          <w:p>
            <w:pPr>
              <w:spacing w:after="0"/>
              <w:rPr>
                <w:sz w:val="20"/>
                <w:szCs w:val="20"/>
                <w:color w:val="auto"/>
              </w:rPr>
            </w:pPr>
            <w:r>
              <w:rPr>
                <w:rFonts w:ascii="Arial" w:cs="Arial" w:eastAsia="Arial" w:hAnsi="Arial"/>
                <w:sz w:val="18"/>
                <w:szCs w:val="18"/>
                <w:color w:val="auto"/>
              </w:rPr>
              <w:t>Branches</w:t>
            </w:r>
          </w:p>
        </w:tc>
        <w:tc>
          <w:tcPr>
            <w:tcW w:w="1220" w:type="dxa"/>
            <w:vAlign w:val="bottom"/>
            <w:gridSpan w:val="2"/>
          </w:tcPr>
          <w:p>
            <w:pPr>
              <w:jc w:val="right"/>
              <w:ind w:right="31"/>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r>
      <w:tr>
        <w:trPr>
          <w:trHeight w:val="213"/>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Agentes</w:t>
            </w:r>
          </w:p>
        </w:tc>
        <w:tc>
          <w:tcPr>
            <w:tcW w:w="12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388</w:t>
            </w:r>
          </w:p>
        </w:tc>
        <w:tc>
          <w:tcPr>
            <w:tcW w:w="2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583</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w:t>
            </w:r>
          </w:p>
        </w:tc>
      </w:tr>
      <w:tr>
        <w:trPr>
          <w:trHeight w:val="213"/>
        </w:trPr>
        <w:tc>
          <w:tcPr>
            <w:tcW w:w="3560" w:type="dxa"/>
            <w:vAlign w:val="bottom"/>
            <w:gridSpan w:val="2"/>
          </w:tcPr>
          <w:p>
            <w:pPr>
              <w:spacing w:after="0"/>
              <w:rPr>
                <w:sz w:val="20"/>
                <w:szCs w:val="20"/>
                <w:color w:val="auto"/>
              </w:rPr>
            </w:pPr>
            <w:r>
              <w:rPr>
                <w:rFonts w:ascii="Arial" w:cs="Arial" w:eastAsia="Arial" w:hAnsi="Arial"/>
                <w:sz w:val="18"/>
                <w:szCs w:val="18"/>
                <w:color w:val="auto"/>
              </w:rPr>
              <w:t>ATMs</w:t>
            </w:r>
          </w:p>
        </w:tc>
        <w:tc>
          <w:tcPr>
            <w:tcW w:w="1220" w:type="dxa"/>
            <w:vAlign w:val="bottom"/>
            <w:gridSpan w:val="2"/>
          </w:tcPr>
          <w:p>
            <w:pPr>
              <w:jc w:val="right"/>
              <w:ind w:right="31"/>
              <w:spacing w:after="0"/>
              <w:rPr>
                <w:sz w:val="20"/>
                <w:szCs w:val="20"/>
                <w:color w:val="auto"/>
              </w:rPr>
            </w:pPr>
            <w:r>
              <w:rPr>
                <w:rFonts w:ascii="Arial" w:cs="Arial" w:eastAsia="Arial" w:hAnsi="Arial"/>
                <w:sz w:val="18"/>
                <w:szCs w:val="18"/>
                <w:color w:val="auto"/>
              </w:rPr>
              <w:t>300</w:t>
            </w:r>
          </w:p>
        </w:tc>
        <w:tc>
          <w:tcPr>
            <w:tcW w:w="2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307</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308</w:t>
            </w:r>
          </w:p>
        </w:tc>
        <w:tc>
          <w:tcPr>
            <w:tcW w:w="320" w:type="dxa"/>
            <w:vAlign w:val="bottom"/>
          </w:tcPr>
          <w:p>
            <w:pPr>
              <w:spacing w:after="0"/>
              <w:rPr>
                <w:sz w:val="18"/>
                <w:szCs w:val="18"/>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r>
      <w:tr>
        <w:trPr>
          <w:trHeight w:val="213"/>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Employees</w:t>
            </w:r>
          </w:p>
        </w:tc>
        <w:tc>
          <w:tcPr>
            <w:tcW w:w="12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1,713</w:t>
            </w:r>
          </w:p>
        </w:tc>
        <w:tc>
          <w:tcPr>
            <w:tcW w:w="2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1,748</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1,692</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r>
      <w:tr>
        <w:trPr>
          <w:trHeight w:val="640"/>
        </w:trPr>
        <w:tc>
          <w:tcPr>
            <w:tcW w:w="3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68</w:t>
            </w:r>
          </w:p>
        </w:tc>
      </w:tr>
    </w:tbl>
    <w:p>
      <w:pPr>
        <w:sectPr>
          <w:pgSz w:w="11900" w:h="16838" w:orient="portrait"/>
          <w:cols w:equalWidth="0" w:num="1">
            <w:col w:w="11240"/>
          </w:cols>
          <w:pgMar w:left="320" w:top="89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11.7. Credicorp Capital</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20" w:type="dxa"/>
            <w:vAlign w:val="bottom"/>
            <w:gridSpan w:val="3"/>
          </w:tcPr>
          <w:p>
            <w:pPr>
              <w:spacing w:after="0"/>
              <w:rPr>
                <w:sz w:val="20"/>
                <w:szCs w:val="20"/>
                <w:color w:val="auto"/>
              </w:rPr>
            </w:pPr>
            <w:r>
              <w:rPr>
                <w:rFonts w:ascii="Arial" w:cs="Arial" w:eastAsia="Arial" w:hAnsi="Arial"/>
                <w:sz w:val="12"/>
                <w:szCs w:val="12"/>
                <w:b w:val="1"/>
                <w:bCs w:val="1"/>
                <w:color w:val="auto"/>
              </w:rPr>
              <w:t>Credicorp Capital</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ind w:left="160"/>
              <w:spacing w:after="0"/>
              <w:rPr>
                <w:sz w:val="20"/>
                <w:szCs w:val="20"/>
                <w:color w:val="auto"/>
              </w:rPr>
            </w:pPr>
            <w:r>
              <w:rPr>
                <w:rFonts w:ascii="Arial" w:cs="Arial" w:eastAsia="Arial" w:hAnsi="Arial"/>
                <w:sz w:val="12"/>
                <w:szCs w:val="12"/>
                <w:color w:val="auto"/>
              </w:rPr>
              <w:t>Quarter</w:t>
            </w: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gridSpan w:val="4"/>
          </w:tcPr>
          <w:p>
            <w:pPr>
              <w:ind w:left="220"/>
              <w:spacing w:after="0"/>
              <w:rPr>
                <w:sz w:val="20"/>
                <w:szCs w:val="20"/>
                <w:color w:val="auto"/>
              </w:rPr>
            </w:pPr>
            <w:r>
              <w:rPr>
                <w:rFonts w:ascii="Arial" w:cs="Arial" w:eastAsia="Arial" w:hAnsi="Arial"/>
                <w:sz w:val="12"/>
                <w:szCs w:val="12"/>
                <w:b w:val="1"/>
                <w:bCs w:val="1"/>
                <w:color w:val="auto"/>
              </w:rPr>
              <w:t>% change</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jc w:val="right"/>
              <w:ind w:right="1220"/>
              <w:spacing w:after="0"/>
              <w:rPr>
                <w:sz w:val="20"/>
                <w:szCs w:val="20"/>
                <w:color w:val="auto"/>
              </w:rPr>
            </w:pPr>
            <w:r>
              <w:rPr>
                <w:rFonts w:ascii="Arial" w:cs="Arial" w:eastAsia="Arial" w:hAnsi="Arial"/>
                <w:sz w:val="12"/>
                <w:szCs w:val="12"/>
                <w:b w:val="1"/>
                <w:bCs w:val="1"/>
                <w:color w:val="auto"/>
              </w:rPr>
              <w:t>YTD</w:t>
            </w:r>
          </w:p>
        </w:tc>
        <w:tc>
          <w:tcPr>
            <w:tcW w:w="120" w:type="dxa"/>
            <w:vAlign w:val="bottom"/>
          </w:tcPr>
          <w:p>
            <w:pPr>
              <w:spacing w:after="0"/>
              <w:rPr>
                <w:sz w:val="14"/>
                <w:szCs w:val="14"/>
                <w:color w:val="auto"/>
              </w:rPr>
            </w:pPr>
          </w:p>
        </w:tc>
        <w:tc>
          <w:tcPr>
            <w:tcW w:w="900" w:type="dxa"/>
            <w:vAlign w:val="bottom"/>
            <w:gridSpan w:val="2"/>
          </w:tcPr>
          <w:p>
            <w:pPr>
              <w:jc w:val="right"/>
              <w:ind w:right="238"/>
              <w:spacing w:after="0"/>
              <w:rPr>
                <w:sz w:val="20"/>
                <w:szCs w:val="20"/>
                <w:color w:val="auto"/>
              </w:rPr>
            </w:pPr>
            <w:r>
              <w:rPr>
                <w:rFonts w:ascii="Arial" w:cs="Arial" w:eastAsia="Arial" w:hAnsi="Arial"/>
                <w:sz w:val="12"/>
                <w:szCs w:val="12"/>
                <w:b w:val="1"/>
                <w:bCs w:val="1"/>
                <w:color w:val="auto"/>
              </w:rPr>
              <w:t>% change</w:t>
            </w:r>
          </w:p>
        </w:tc>
      </w:tr>
      <w:tr>
        <w:trPr>
          <w:trHeight w:val="140"/>
        </w:trPr>
        <w:tc>
          <w:tcPr>
            <w:tcW w:w="13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 000</w:t>
            </w:r>
          </w:p>
        </w:tc>
        <w:tc>
          <w:tcPr>
            <w:tcW w:w="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2"/>
                <w:szCs w:val="12"/>
                <w:b w:val="1"/>
                <w:bCs w:val="1"/>
                <w:color w:val="auto"/>
              </w:rPr>
              <w:t>2Q19</w:t>
            </w:r>
          </w:p>
        </w:tc>
        <w:tc>
          <w:tcPr>
            <w:tcW w:w="3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2"/>
                <w:szCs w:val="12"/>
                <w:b w:val="1"/>
                <w:bCs w:val="1"/>
                <w:color w:val="auto"/>
              </w:rPr>
              <w:t>1Q20</w:t>
            </w:r>
          </w:p>
        </w:tc>
        <w:tc>
          <w:tcPr>
            <w:tcW w:w="3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2"/>
                <w:szCs w:val="12"/>
                <w:b w:val="1"/>
                <w:bCs w:val="1"/>
                <w:color w:val="auto"/>
              </w:rPr>
              <w:t>2Q20</w:t>
            </w:r>
          </w:p>
        </w:tc>
        <w:tc>
          <w:tcPr>
            <w:tcW w:w="3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2"/>
                <w:szCs w:val="12"/>
                <w:b w:val="1"/>
                <w:bCs w:val="1"/>
                <w:color w:val="auto"/>
                <w:w w:val="92"/>
              </w:rPr>
              <w:t>QoQ</w:t>
            </w:r>
          </w:p>
        </w:tc>
        <w:tc>
          <w:tcPr>
            <w:tcW w:w="3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2"/>
                <w:szCs w:val="12"/>
                <w:b w:val="1"/>
                <w:bCs w:val="1"/>
                <w:color w:val="auto"/>
              </w:rPr>
              <w:t>YoY</w:t>
            </w:r>
          </w:p>
        </w:tc>
        <w:tc>
          <w:tcPr>
            <w:tcW w:w="300" w:type="dxa"/>
            <w:vAlign w:val="bottom"/>
            <w:tcBorders>
              <w:top w:val="single" w:sz="8" w:color="auto"/>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Jun 19</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Jun 20</w:t>
            </w:r>
          </w:p>
        </w:tc>
        <w:tc>
          <w:tcPr>
            <w:tcW w:w="3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7"/>
              </w:rPr>
              <w:t>Jun 20 / Jun 19</w:t>
            </w:r>
          </w:p>
        </w:tc>
        <w:tc>
          <w:tcPr>
            <w:tcW w:w="140" w:type="dxa"/>
            <w:vAlign w:val="bottom"/>
            <w:tcBorders>
              <w:bottom w:val="single" w:sz="8" w:color="CCEEFF"/>
            </w:tcBorders>
          </w:tcPr>
          <w:p>
            <w:pPr>
              <w:spacing w:after="0"/>
              <w:rPr>
                <w:sz w:val="12"/>
                <w:szCs w:val="12"/>
                <w:color w:val="auto"/>
              </w:rPr>
            </w:pPr>
          </w:p>
        </w:tc>
      </w:tr>
      <w:tr>
        <w:trPr>
          <w:trHeight w:val="127"/>
        </w:trPr>
        <w:tc>
          <w:tcPr>
            <w:tcW w:w="136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Net interest income</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-6,206</w:t>
            </w: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-9,443</w:t>
            </w: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-8,785</w:t>
            </w: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rPr>
              <w:t>-7.0%</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78"/>
              <w:spacing w:after="0" w:line="127" w:lineRule="exact"/>
              <w:rPr>
                <w:sz w:val="20"/>
                <w:szCs w:val="20"/>
                <w:color w:val="auto"/>
              </w:rPr>
            </w:pPr>
            <w:r>
              <w:rPr>
                <w:rFonts w:ascii="Arial" w:cs="Arial" w:eastAsia="Arial" w:hAnsi="Arial"/>
                <w:sz w:val="12"/>
                <w:szCs w:val="12"/>
                <w:color w:val="auto"/>
              </w:rPr>
              <w:t>41.6%</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-15,297</w:t>
            </w: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2"/>
                <w:szCs w:val="12"/>
                <w:color w:val="auto"/>
              </w:rPr>
              <w:t>-18,228</w:t>
            </w:r>
          </w:p>
        </w:tc>
        <w:tc>
          <w:tcPr>
            <w:tcW w:w="320" w:type="dxa"/>
            <w:vAlign w:val="bottom"/>
            <w:shd w:val="clear" w:color="auto" w:fill="CCEEFF"/>
          </w:tcPr>
          <w:p>
            <w:pPr>
              <w:spacing w:after="0"/>
              <w:rPr>
                <w:sz w:val="11"/>
                <w:szCs w:val="11"/>
                <w:color w:val="auto"/>
              </w:rPr>
            </w:pPr>
          </w:p>
        </w:tc>
        <w:tc>
          <w:tcPr>
            <w:tcW w:w="1020" w:type="dxa"/>
            <w:vAlign w:val="bottom"/>
            <w:gridSpan w:val="3"/>
            <w:shd w:val="clear" w:color="auto" w:fill="CCEEFF"/>
          </w:tcPr>
          <w:p>
            <w:pPr>
              <w:jc w:val="right"/>
              <w:spacing w:after="0" w:line="127" w:lineRule="exact"/>
              <w:rPr>
                <w:sz w:val="20"/>
                <w:szCs w:val="20"/>
                <w:color w:val="auto"/>
              </w:rPr>
            </w:pPr>
            <w:r>
              <w:rPr>
                <w:rFonts w:ascii="Arial" w:cs="Arial" w:eastAsia="Arial" w:hAnsi="Arial"/>
                <w:sz w:val="12"/>
                <w:szCs w:val="12"/>
                <w:color w:val="auto"/>
              </w:rPr>
              <w:t>19.2%</w:t>
            </w:r>
          </w:p>
        </w:tc>
      </w:tr>
      <w:tr>
        <w:trPr>
          <w:trHeight w:val="133"/>
        </w:trPr>
        <w:tc>
          <w:tcPr>
            <w:tcW w:w="1720" w:type="dxa"/>
            <w:vAlign w:val="bottom"/>
            <w:gridSpan w:val="3"/>
          </w:tcPr>
          <w:p>
            <w:pPr>
              <w:spacing w:after="0" w:line="134" w:lineRule="exact"/>
              <w:rPr>
                <w:sz w:val="20"/>
                <w:szCs w:val="20"/>
                <w:color w:val="auto"/>
              </w:rPr>
            </w:pPr>
            <w:r>
              <w:rPr>
                <w:rFonts w:ascii="Arial" w:cs="Arial" w:eastAsia="Arial" w:hAnsi="Arial"/>
                <w:sz w:val="12"/>
                <w:szCs w:val="12"/>
                <w:color w:val="auto"/>
              </w:rPr>
              <w:t>Non-financial income</w:t>
            </w:r>
          </w:p>
        </w:tc>
        <w:tc>
          <w:tcPr>
            <w:tcW w:w="780" w:type="dxa"/>
            <w:vAlign w:val="bottom"/>
          </w:tcPr>
          <w:p>
            <w:pPr>
              <w:jc w:val="right"/>
              <w:spacing w:after="0" w:line="134" w:lineRule="exact"/>
              <w:rPr>
                <w:sz w:val="20"/>
                <w:szCs w:val="20"/>
                <w:color w:val="auto"/>
              </w:rPr>
            </w:pPr>
            <w:r>
              <w:rPr>
                <w:rFonts w:ascii="Arial" w:cs="Arial" w:eastAsia="Arial" w:hAnsi="Arial"/>
                <w:sz w:val="12"/>
                <w:szCs w:val="12"/>
                <w:color w:val="auto"/>
              </w:rPr>
              <w:t>139,041</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4" w:lineRule="exact"/>
              <w:rPr>
                <w:sz w:val="20"/>
                <w:szCs w:val="20"/>
                <w:color w:val="auto"/>
              </w:rPr>
            </w:pPr>
            <w:r>
              <w:rPr>
                <w:rFonts w:ascii="Arial" w:cs="Arial" w:eastAsia="Arial" w:hAnsi="Arial"/>
                <w:sz w:val="12"/>
                <w:szCs w:val="12"/>
                <w:color w:val="auto"/>
              </w:rPr>
              <w:t>136,964</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159,421</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16.4%</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jc w:val="right"/>
              <w:ind w:right="178"/>
              <w:spacing w:after="0" w:line="134" w:lineRule="exact"/>
              <w:rPr>
                <w:sz w:val="20"/>
                <w:szCs w:val="20"/>
                <w:color w:val="auto"/>
              </w:rPr>
            </w:pPr>
            <w:r>
              <w:rPr>
                <w:rFonts w:ascii="Arial" w:cs="Arial" w:eastAsia="Arial" w:hAnsi="Arial"/>
                <w:sz w:val="12"/>
                <w:szCs w:val="12"/>
                <w:color w:val="auto"/>
              </w:rPr>
              <w:t>14.7%</w:t>
            </w:r>
          </w:p>
        </w:tc>
        <w:tc>
          <w:tcPr>
            <w:tcW w:w="120" w:type="dxa"/>
            <w:vAlign w:val="bottom"/>
          </w:tcPr>
          <w:p>
            <w:pPr>
              <w:spacing w:after="0"/>
              <w:rPr>
                <w:sz w:val="11"/>
                <w:szCs w:val="11"/>
                <w:color w:val="auto"/>
              </w:rPr>
            </w:pPr>
          </w:p>
        </w:tc>
        <w:tc>
          <w:tcPr>
            <w:tcW w:w="78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290,730</w:t>
            </w:r>
          </w:p>
        </w:tc>
        <w:tc>
          <w:tcPr>
            <w:tcW w:w="1500" w:type="dxa"/>
            <w:vAlign w:val="bottom"/>
            <w:gridSpan w:val="4"/>
          </w:tcPr>
          <w:p>
            <w:pPr>
              <w:jc w:val="right"/>
              <w:ind w:right="320"/>
              <w:spacing w:after="0" w:line="134" w:lineRule="exact"/>
              <w:rPr>
                <w:sz w:val="20"/>
                <w:szCs w:val="20"/>
                <w:color w:val="auto"/>
              </w:rPr>
            </w:pPr>
            <w:r>
              <w:rPr>
                <w:rFonts w:ascii="Arial" w:cs="Arial" w:eastAsia="Arial" w:hAnsi="Arial"/>
                <w:sz w:val="12"/>
                <w:szCs w:val="12"/>
                <w:color w:val="auto"/>
              </w:rPr>
              <w:t>296,385</w:t>
            </w:r>
          </w:p>
        </w:tc>
        <w:tc>
          <w:tcPr>
            <w:tcW w:w="102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1.9%</w:t>
            </w:r>
          </w:p>
        </w:tc>
      </w:tr>
      <w:tr>
        <w:trPr>
          <w:trHeight w:val="133"/>
        </w:trPr>
        <w:tc>
          <w:tcPr>
            <w:tcW w:w="1720" w:type="dxa"/>
            <w:vAlign w:val="bottom"/>
            <w:gridSpan w:val="3"/>
            <w:shd w:val="clear" w:color="auto" w:fill="CCEEFF"/>
          </w:tcPr>
          <w:p>
            <w:pPr>
              <w:ind w:left="160"/>
              <w:spacing w:after="0" w:line="134" w:lineRule="exact"/>
              <w:rPr>
                <w:sz w:val="20"/>
                <w:szCs w:val="20"/>
                <w:color w:val="auto"/>
              </w:rPr>
            </w:pPr>
            <w:r>
              <w:rPr>
                <w:rFonts w:ascii="Arial" w:cs="Arial" w:eastAsia="Arial" w:hAnsi="Arial"/>
                <w:sz w:val="12"/>
                <w:szCs w:val="12"/>
                <w:color w:val="auto"/>
              </w:rPr>
              <w:t>Fee income</w:t>
            </w:r>
          </w:p>
        </w:tc>
        <w:tc>
          <w:tcPr>
            <w:tcW w:w="112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90,644</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104,251</w:t>
            </w: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86,830</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2"/>
                <w:szCs w:val="12"/>
                <w:color w:val="auto"/>
              </w:rPr>
              <w:t>-16.7%</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78"/>
              <w:spacing w:after="0" w:line="134" w:lineRule="exact"/>
              <w:rPr>
                <w:sz w:val="20"/>
                <w:szCs w:val="20"/>
                <w:color w:val="auto"/>
              </w:rPr>
            </w:pPr>
            <w:r>
              <w:rPr>
                <w:rFonts w:ascii="Arial" w:cs="Arial" w:eastAsia="Arial" w:hAnsi="Arial"/>
                <w:sz w:val="12"/>
                <w:szCs w:val="12"/>
                <w:color w:val="auto"/>
              </w:rPr>
              <w:t>-4.2%</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185,294</w:t>
            </w:r>
          </w:p>
        </w:tc>
        <w:tc>
          <w:tcPr>
            <w:tcW w:w="1500" w:type="dxa"/>
            <w:vAlign w:val="bottom"/>
            <w:gridSpan w:val="4"/>
            <w:shd w:val="clear" w:color="auto" w:fill="CCEEFF"/>
          </w:tcPr>
          <w:p>
            <w:pPr>
              <w:jc w:val="right"/>
              <w:ind w:right="320"/>
              <w:spacing w:after="0" w:line="134" w:lineRule="exact"/>
              <w:rPr>
                <w:sz w:val="20"/>
                <w:szCs w:val="20"/>
                <w:color w:val="auto"/>
              </w:rPr>
            </w:pPr>
            <w:r>
              <w:rPr>
                <w:rFonts w:ascii="Arial" w:cs="Arial" w:eastAsia="Arial" w:hAnsi="Arial"/>
                <w:sz w:val="12"/>
                <w:szCs w:val="12"/>
                <w:color w:val="auto"/>
              </w:rPr>
              <w:t>191,081</w:t>
            </w:r>
          </w:p>
        </w:tc>
        <w:tc>
          <w:tcPr>
            <w:tcW w:w="102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3.1%</w:t>
            </w:r>
          </w:p>
        </w:tc>
      </w:tr>
      <w:tr>
        <w:trPr>
          <w:trHeight w:val="119"/>
        </w:trPr>
        <w:tc>
          <w:tcPr>
            <w:tcW w:w="1720" w:type="dxa"/>
            <w:vAlign w:val="bottom"/>
            <w:gridSpan w:val="3"/>
          </w:tcPr>
          <w:p>
            <w:pPr>
              <w:ind w:left="160"/>
              <w:spacing w:after="0" w:line="120" w:lineRule="exact"/>
              <w:rPr>
                <w:sz w:val="20"/>
                <w:szCs w:val="20"/>
                <w:color w:val="auto"/>
              </w:rPr>
            </w:pPr>
            <w:r>
              <w:rPr>
                <w:rFonts w:ascii="Arial" w:cs="Arial" w:eastAsia="Arial" w:hAnsi="Arial"/>
                <w:sz w:val="12"/>
                <w:szCs w:val="12"/>
                <w:color w:val="auto"/>
              </w:rPr>
              <w:t>Net gain on foreign</w:t>
            </w: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48"/>
        </w:trPr>
        <w:tc>
          <w:tcPr>
            <w:tcW w:w="1720" w:type="dxa"/>
            <w:vAlign w:val="bottom"/>
            <w:gridSpan w:val="3"/>
          </w:tcPr>
          <w:p>
            <w:pPr>
              <w:ind w:left="160"/>
              <w:spacing w:after="0"/>
              <w:rPr>
                <w:sz w:val="20"/>
                <w:szCs w:val="20"/>
                <w:color w:val="auto"/>
              </w:rPr>
            </w:pPr>
            <w:r>
              <w:rPr>
                <w:rFonts w:ascii="Arial" w:cs="Arial" w:eastAsia="Arial" w:hAnsi="Arial"/>
                <w:sz w:val="12"/>
                <w:szCs w:val="12"/>
                <w:color w:val="auto"/>
              </w:rPr>
              <w:t>exchange transactions</w:t>
            </w:r>
          </w:p>
        </w:tc>
        <w:tc>
          <w:tcPr>
            <w:tcW w:w="780" w:type="dxa"/>
            <w:vAlign w:val="bottom"/>
          </w:tcPr>
          <w:p>
            <w:pPr>
              <w:jc w:val="right"/>
              <w:spacing w:after="0"/>
              <w:rPr>
                <w:sz w:val="20"/>
                <w:szCs w:val="20"/>
                <w:color w:val="auto"/>
              </w:rPr>
            </w:pPr>
            <w:r>
              <w:rPr>
                <w:rFonts w:ascii="Arial" w:cs="Arial" w:eastAsia="Arial" w:hAnsi="Arial"/>
                <w:sz w:val="12"/>
                <w:szCs w:val="12"/>
                <w:color w:val="auto"/>
              </w:rPr>
              <w:t>9,041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1,547</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2"/>
                <w:szCs w:val="12"/>
                <w:color w:val="auto"/>
              </w:rPr>
              <w:t>3,602</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w w:val="98"/>
              </w:rPr>
              <w:t>132.8%</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gridSpan w:val="2"/>
          </w:tcPr>
          <w:p>
            <w:pPr>
              <w:jc w:val="right"/>
              <w:ind w:right="178"/>
              <w:spacing w:after="0"/>
              <w:rPr>
                <w:sz w:val="20"/>
                <w:szCs w:val="20"/>
                <w:color w:val="auto"/>
              </w:rPr>
            </w:pPr>
            <w:r>
              <w:rPr>
                <w:rFonts w:ascii="Arial" w:cs="Arial" w:eastAsia="Arial" w:hAnsi="Arial"/>
                <w:sz w:val="12"/>
                <w:szCs w:val="12"/>
                <w:color w:val="auto"/>
                <w:w w:val="99"/>
              </w:rPr>
              <w:t>-60.2%</w:t>
            </w:r>
          </w:p>
        </w:tc>
        <w:tc>
          <w:tcPr>
            <w:tcW w:w="120" w:type="dxa"/>
            <w:vAlign w:val="bottom"/>
          </w:tcPr>
          <w:p>
            <w:pPr>
              <w:spacing w:after="0"/>
              <w:rPr>
                <w:sz w:val="12"/>
                <w:szCs w:val="1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19,166</w:t>
            </w:r>
          </w:p>
        </w:tc>
        <w:tc>
          <w:tcPr>
            <w:tcW w:w="1500" w:type="dxa"/>
            <w:vAlign w:val="bottom"/>
            <w:gridSpan w:val="4"/>
          </w:tcPr>
          <w:p>
            <w:pPr>
              <w:jc w:val="right"/>
              <w:ind w:right="320"/>
              <w:spacing w:after="0"/>
              <w:rPr>
                <w:sz w:val="20"/>
                <w:szCs w:val="20"/>
                <w:color w:val="auto"/>
              </w:rPr>
            </w:pPr>
            <w:r>
              <w:rPr>
                <w:rFonts w:ascii="Arial" w:cs="Arial" w:eastAsia="Arial" w:hAnsi="Arial"/>
                <w:sz w:val="12"/>
                <w:szCs w:val="12"/>
                <w:color w:val="auto"/>
              </w:rPr>
              <w:t>5,149</w:t>
            </w:r>
          </w:p>
        </w:tc>
        <w:tc>
          <w:tcPr>
            <w:tcW w:w="1020" w:type="dxa"/>
            <w:vAlign w:val="bottom"/>
            <w:gridSpan w:val="3"/>
          </w:tcPr>
          <w:p>
            <w:pPr>
              <w:jc w:val="right"/>
              <w:spacing w:after="0"/>
              <w:rPr>
                <w:sz w:val="20"/>
                <w:szCs w:val="20"/>
                <w:color w:val="auto"/>
              </w:rPr>
            </w:pPr>
            <w:r>
              <w:rPr>
                <w:rFonts w:ascii="Arial" w:cs="Arial" w:eastAsia="Arial" w:hAnsi="Arial"/>
                <w:sz w:val="12"/>
                <w:szCs w:val="12"/>
                <w:color w:val="auto"/>
              </w:rPr>
              <w:t>-73.1%</w:t>
            </w:r>
          </w:p>
        </w:tc>
      </w:tr>
      <w:tr>
        <w:trPr>
          <w:trHeight w:val="119"/>
        </w:trPr>
        <w:tc>
          <w:tcPr>
            <w:tcW w:w="1720" w:type="dxa"/>
            <w:vAlign w:val="bottom"/>
            <w:gridSpan w:val="3"/>
            <w:shd w:val="clear" w:color="auto" w:fill="CCEEFF"/>
          </w:tcPr>
          <w:p>
            <w:pPr>
              <w:ind w:left="160"/>
              <w:spacing w:after="0" w:line="120" w:lineRule="exact"/>
              <w:rPr>
                <w:sz w:val="20"/>
                <w:szCs w:val="20"/>
                <w:color w:val="auto"/>
              </w:rPr>
            </w:pPr>
            <w:r>
              <w:rPr>
                <w:rFonts w:ascii="Arial" w:cs="Arial" w:eastAsia="Arial" w:hAnsi="Arial"/>
                <w:sz w:val="12"/>
                <w:szCs w:val="12"/>
                <w:color w:val="auto"/>
              </w:rPr>
              <w:t>Net gain on sales of</w:t>
            </w:r>
          </w:p>
        </w:tc>
        <w:tc>
          <w:tcPr>
            <w:tcW w:w="7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48"/>
        </w:trPr>
        <w:tc>
          <w:tcPr>
            <w:tcW w:w="17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securities</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47,452</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-20,475</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70,118</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98"/>
              </w:rPr>
              <w:t>442.5%</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78"/>
              <w:spacing w:after="0"/>
              <w:rPr>
                <w:sz w:val="20"/>
                <w:szCs w:val="20"/>
                <w:color w:val="auto"/>
              </w:rPr>
            </w:pPr>
            <w:r>
              <w:rPr>
                <w:rFonts w:ascii="Arial" w:cs="Arial" w:eastAsia="Arial" w:hAnsi="Arial"/>
                <w:sz w:val="12"/>
                <w:szCs w:val="12"/>
                <w:color w:val="auto"/>
              </w:rPr>
              <w:t>47.8%</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97,937</w:t>
            </w:r>
          </w:p>
        </w:tc>
        <w:tc>
          <w:tcPr>
            <w:tcW w:w="1500" w:type="dxa"/>
            <w:vAlign w:val="bottom"/>
            <w:gridSpan w:val="4"/>
            <w:shd w:val="clear" w:color="auto" w:fill="CCEEFF"/>
          </w:tcPr>
          <w:p>
            <w:pPr>
              <w:jc w:val="right"/>
              <w:ind w:right="320"/>
              <w:spacing w:after="0"/>
              <w:rPr>
                <w:sz w:val="20"/>
                <w:szCs w:val="20"/>
                <w:color w:val="auto"/>
              </w:rPr>
            </w:pPr>
            <w:r>
              <w:rPr>
                <w:rFonts w:ascii="Arial" w:cs="Arial" w:eastAsia="Arial" w:hAnsi="Arial"/>
                <w:sz w:val="12"/>
                <w:szCs w:val="12"/>
                <w:color w:val="auto"/>
              </w:rPr>
              <w:t>49,643</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-49.3%</w:t>
            </w:r>
          </w:p>
        </w:tc>
      </w:tr>
      <w:tr>
        <w:trPr>
          <w:trHeight w:val="133"/>
        </w:trPr>
        <w:tc>
          <w:tcPr>
            <w:tcW w:w="1720" w:type="dxa"/>
            <w:vAlign w:val="bottom"/>
            <w:gridSpan w:val="3"/>
          </w:tcPr>
          <w:p>
            <w:pPr>
              <w:ind w:left="160"/>
              <w:spacing w:after="0" w:line="134" w:lineRule="exact"/>
              <w:rPr>
                <w:sz w:val="20"/>
                <w:szCs w:val="20"/>
                <w:color w:val="auto"/>
              </w:rPr>
            </w:pPr>
            <w:r>
              <w:rPr>
                <w:rFonts w:ascii="Arial" w:cs="Arial" w:eastAsia="Arial" w:hAnsi="Arial"/>
                <w:sz w:val="12"/>
                <w:szCs w:val="12"/>
                <w:color w:val="auto"/>
              </w:rPr>
              <w:t>Derivative Result</w:t>
            </w:r>
          </w:p>
        </w:tc>
        <w:tc>
          <w:tcPr>
            <w:tcW w:w="112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-13,806</w:t>
            </w:r>
          </w:p>
        </w:tc>
        <w:tc>
          <w:tcPr>
            <w:tcW w:w="120" w:type="dxa"/>
            <w:vAlign w:val="bottom"/>
          </w:tcPr>
          <w:p>
            <w:pPr>
              <w:spacing w:after="0"/>
              <w:rPr>
                <w:sz w:val="11"/>
                <w:szCs w:val="11"/>
                <w:color w:val="auto"/>
              </w:rPr>
            </w:pPr>
          </w:p>
        </w:tc>
        <w:tc>
          <w:tcPr>
            <w:tcW w:w="11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43,951</w:t>
            </w:r>
          </w:p>
        </w:tc>
        <w:tc>
          <w:tcPr>
            <w:tcW w:w="120" w:type="dxa"/>
            <w:vAlign w:val="bottom"/>
          </w:tcPr>
          <w:p>
            <w:pPr>
              <w:spacing w:after="0"/>
              <w:rPr>
                <w:sz w:val="11"/>
                <w:szCs w:val="11"/>
                <w:color w:val="auto"/>
              </w:rPr>
            </w:pPr>
          </w:p>
        </w:tc>
        <w:tc>
          <w:tcPr>
            <w:tcW w:w="11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-20,388</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w w:val="89"/>
              </w:rPr>
              <w:t>-146.4%</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jc w:val="right"/>
              <w:ind w:right="178"/>
              <w:spacing w:after="0" w:line="134" w:lineRule="exact"/>
              <w:rPr>
                <w:sz w:val="20"/>
                <w:szCs w:val="20"/>
                <w:color w:val="auto"/>
              </w:rPr>
            </w:pPr>
            <w:r>
              <w:rPr>
                <w:rFonts w:ascii="Arial" w:cs="Arial" w:eastAsia="Arial" w:hAnsi="Arial"/>
                <w:sz w:val="12"/>
                <w:szCs w:val="12"/>
                <w:color w:val="auto"/>
              </w:rPr>
              <w:t>47.7%</w:t>
            </w:r>
          </w:p>
        </w:tc>
        <w:tc>
          <w:tcPr>
            <w:tcW w:w="120" w:type="dxa"/>
            <w:vAlign w:val="bottom"/>
          </w:tcPr>
          <w:p>
            <w:pPr>
              <w:spacing w:after="0"/>
              <w:rPr>
                <w:sz w:val="11"/>
                <w:szCs w:val="11"/>
                <w:color w:val="auto"/>
              </w:rPr>
            </w:pPr>
          </w:p>
        </w:tc>
        <w:tc>
          <w:tcPr>
            <w:tcW w:w="78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-29,276</w:t>
            </w:r>
          </w:p>
        </w:tc>
        <w:tc>
          <w:tcPr>
            <w:tcW w:w="1500" w:type="dxa"/>
            <w:vAlign w:val="bottom"/>
            <w:gridSpan w:val="4"/>
          </w:tcPr>
          <w:p>
            <w:pPr>
              <w:jc w:val="right"/>
              <w:ind w:right="320"/>
              <w:spacing w:after="0" w:line="134" w:lineRule="exact"/>
              <w:rPr>
                <w:sz w:val="20"/>
                <w:szCs w:val="20"/>
                <w:color w:val="auto"/>
              </w:rPr>
            </w:pPr>
            <w:r>
              <w:rPr>
                <w:rFonts w:ascii="Arial" w:cs="Arial" w:eastAsia="Arial" w:hAnsi="Arial"/>
                <w:sz w:val="12"/>
                <w:szCs w:val="12"/>
                <w:color w:val="auto"/>
              </w:rPr>
              <w:t>23,563</w:t>
            </w:r>
          </w:p>
        </w:tc>
        <w:tc>
          <w:tcPr>
            <w:tcW w:w="102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180.5%</w:t>
            </w:r>
          </w:p>
        </w:tc>
      </w:tr>
      <w:tr>
        <w:trPr>
          <w:trHeight w:val="119"/>
        </w:trPr>
        <w:tc>
          <w:tcPr>
            <w:tcW w:w="1720" w:type="dxa"/>
            <w:vAlign w:val="bottom"/>
            <w:gridSpan w:val="3"/>
            <w:shd w:val="clear" w:color="auto" w:fill="CCEEFF"/>
          </w:tcPr>
          <w:p>
            <w:pPr>
              <w:ind w:left="160"/>
              <w:spacing w:after="0" w:line="120" w:lineRule="exact"/>
              <w:rPr>
                <w:sz w:val="20"/>
                <w:szCs w:val="20"/>
                <w:color w:val="auto"/>
              </w:rPr>
            </w:pPr>
            <w:r>
              <w:rPr>
                <w:rFonts w:ascii="Arial" w:cs="Arial" w:eastAsia="Arial" w:hAnsi="Arial"/>
                <w:sz w:val="12"/>
                <w:szCs w:val="12"/>
                <w:color w:val="auto"/>
              </w:rPr>
              <w:t>Result from exposure to</w:t>
            </w:r>
          </w:p>
        </w:tc>
        <w:tc>
          <w:tcPr>
            <w:tcW w:w="7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48"/>
        </w:trPr>
        <w:tc>
          <w:tcPr>
            <w:tcW w:w="172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the exchange rate</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-1,075</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170</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15,601</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40" w:type="dxa"/>
            <w:vAlign w:val="bottom"/>
            <w:gridSpan w:val="4"/>
            <w:shd w:val="clear" w:color="auto" w:fill="CCEEFF"/>
          </w:tcPr>
          <w:p>
            <w:pPr>
              <w:ind w:left="120"/>
              <w:spacing w:after="0"/>
              <w:rPr>
                <w:sz w:val="20"/>
                <w:szCs w:val="20"/>
                <w:color w:val="auto"/>
              </w:rPr>
            </w:pPr>
            <w:r>
              <w:rPr>
                <w:rFonts w:ascii="Arial" w:cs="Arial" w:eastAsia="Arial" w:hAnsi="Arial"/>
                <w:sz w:val="12"/>
                <w:szCs w:val="12"/>
                <w:color w:val="auto"/>
              </w:rPr>
              <w:t>N/A</w:t>
            </w:r>
          </w:p>
        </w:tc>
        <w:tc>
          <w:tcPr>
            <w:tcW w:w="76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N/A</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613</w:t>
            </w:r>
          </w:p>
        </w:tc>
        <w:tc>
          <w:tcPr>
            <w:tcW w:w="1500" w:type="dxa"/>
            <w:vAlign w:val="bottom"/>
            <w:gridSpan w:val="4"/>
            <w:shd w:val="clear" w:color="auto" w:fill="CCEEFF"/>
          </w:tcPr>
          <w:p>
            <w:pPr>
              <w:jc w:val="right"/>
              <w:ind w:right="320"/>
              <w:spacing w:after="0"/>
              <w:rPr>
                <w:sz w:val="20"/>
                <w:szCs w:val="20"/>
                <w:color w:val="auto"/>
              </w:rPr>
            </w:pPr>
            <w:r>
              <w:rPr>
                <w:rFonts w:ascii="Arial" w:cs="Arial" w:eastAsia="Arial" w:hAnsi="Arial"/>
                <w:sz w:val="12"/>
                <w:szCs w:val="12"/>
                <w:color w:val="auto"/>
              </w:rPr>
              <w:t>15,771</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78"/>
              <w:spacing w:after="0"/>
              <w:rPr>
                <w:sz w:val="20"/>
                <w:szCs w:val="20"/>
                <w:color w:val="auto"/>
              </w:rPr>
            </w:pPr>
            <w:r>
              <w:rPr>
                <w:rFonts w:ascii="Arial" w:cs="Arial" w:eastAsia="Arial" w:hAnsi="Arial"/>
                <w:sz w:val="12"/>
                <w:szCs w:val="12"/>
                <w:color w:val="auto"/>
              </w:rPr>
              <w:t>N/A</w:t>
            </w:r>
          </w:p>
        </w:tc>
      </w:tr>
      <w:tr>
        <w:trPr>
          <w:trHeight w:val="133"/>
        </w:trPr>
        <w:tc>
          <w:tcPr>
            <w:tcW w:w="1720" w:type="dxa"/>
            <w:vAlign w:val="bottom"/>
            <w:gridSpan w:val="3"/>
          </w:tcPr>
          <w:p>
            <w:pPr>
              <w:ind w:left="160"/>
              <w:spacing w:after="0" w:line="134" w:lineRule="exact"/>
              <w:rPr>
                <w:sz w:val="20"/>
                <w:szCs w:val="20"/>
                <w:color w:val="auto"/>
              </w:rPr>
            </w:pPr>
            <w:r>
              <w:rPr>
                <w:rFonts w:ascii="Arial" w:cs="Arial" w:eastAsia="Arial" w:hAnsi="Arial"/>
                <w:sz w:val="12"/>
                <w:szCs w:val="12"/>
                <w:color w:val="auto"/>
              </w:rPr>
              <w:t>Other income</w:t>
            </w:r>
          </w:p>
        </w:tc>
        <w:tc>
          <w:tcPr>
            <w:tcW w:w="780" w:type="dxa"/>
            <w:vAlign w:val="bottom"/>
          </w:tcPr>
          <w:p>
            <w:pPr>
              <w:jc w:val="right"/>
              <w:spacing w:after="0" w:line="134" w:lineRule="exact"/>
              <w:rPr>
                <w:sz w:val="20"/>
                <w:szCs w:val="20"/>
                <w:color w:val="auto"/>
              </w:rPr>
            </w:pPr>
            <w:r>
              <w:rPr>
                <w:rFonts w:ascii="Arial" w:cs="Arial" w:eastAsia="Arial" w:hAnsi="Arial"/>
                <w:sz w:val="12"/>
                <w:szCs w:val="12"/>
                <w:color w:val="auto"/>
              </w:rPr>
              <w:t>6,785</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4" w:lineRule="exact"/>
              <w:rPr>
                <w:sz w:val="20"/>
                <w:szCs w:val="20"/>
                <w:color w:val="auto"/>
              </w:rPr>
            </w:pPr>
            <w:r>
              <w:rPr>
                <w:rFonts w:ascii="Arial" w:cs="Arial" w:eastAsia="Arial" w:hAnsi="Arial"/>
                <w:sz w:val="12"/>
                <w:szCs w:val="12"/>
                <w:color w:val="auto"/>
              </w:rPr>
              <w:t>7,520</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right"/>
              <w:ind w:right="340"/>
              <w:spacing w:after="0" w:line="134" w:lineRule="exact"/>
              <w:rPr>
                <w:sz w:val="20"/>
                <w:szCs w:val="20"/>
                <w:color w:val="auto"/>
              </w:rPr>
            </w:pPr>
            <w:r>
              <w:rPr>
                <w:rFonts w:ascii="Arial" w:cs="Arial" w:eastAsia="Arial" w:hAnsi="Arial"/>
                <w:sz w:val="12"/>
                <w:szCs w:val="12"/>
                <w:color w:val="auto"/>
              </w:rPr>
              <w:t>3,658</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jc w:val="right"/>
              <w:ind w:right="240"/>
              <w:spacing w:after="0" w:line="134" w:lineRule="exact"/>
              <w:rPr>
                <w:sz w:val="20"/>
                <w:szCs w:val="20"/>
                <w:color w:val="auto"/>
              </w:rPr>
            </w:pPr>
            <w:r>
              <w:rPr>
                <w:rFonts w:ascii="Arial" w:cs="Arial" w:eastAsia="Arial" w:hAnsi="Arial"/>
                <w:sz w:val="12"/>
                <w:szCs w:val="12"/>
                <w:color w:val="auto"/>
              </w:rPr>
              <w:t>-51.4%</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jc w:val="right"/>
              <w:ind w:right="178"/>
              <w:spacing w:after="0" w:line="134" w:lineRule="exact"/>
              <w:rPr>
                <w:sz w:val="20"/>
                <w:szCs w:val="20"/>
                <w:color w:val="auto"/>
              </w:rPr>
            </w:pPr>
            <w:r>
              <w:rPr>
                <w:rFonts w:ascii="Arial" w:cs="Arial" w:eastAsia="Arial" w:hAnsi="Arial"/>
                <w:sz w:val="12"/>
                <w:szCs w:val="12"/>
                <w:color w:val="auto"/>
                <w:w w:val="99"/>
              </w:rPr>
              <w:t>-46.1%</w:t>
            </w:r>
          </w:p>
        </w:tc>
        <w:tc>
          <w:tcPr>
            <w:tcW w:w="120" w:type="dxa"/>
            <w:vAlign w:val="bottom"/>
          </w:tcPr>
          <w:p>
            <w:pPr>
              <w:spacing w:after="0"/>
              <w:rPr>
                <w:sz w:val="11"/>
                <w:szCs w:val="11"/>
                <w:color w:val="auto"/>
              </w:rPr>
            </w:pPr>
          </w:p>
        </w:tc>
        <w:tc>
          <w:tcPr>
            <w:tcW w:w="78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16,996</w:t>
            </w:r>
          </w:p>
        </w:tc>
        <w:tc>
          <w:tcPr>
            <w:tcW w:w="1500" w:type="dxa"/>
            <w:vAlign w:val="bottom"/>
            <w:gridSpan w:val="4"/>
          </w:tcPr>
          <w:p>
            <w:pPr>
              <w:jc w:val="right"/>
              <w:ind w:right="320"/>
              <w:spacing w:after="0" w:line="134" w:lineRule="exact"/>
              <w:rPr>
                <w:sz w:val="20"/>
                <w:szCs w:val="20"/>
                <w:color w:val="auto"/>
              </w:rPr>
            </w:pPr>
            <w:r>
              <w:rPr>
                <w:rFonts w:ascii="Arial" w:cs="Arial" w:eastAsia="Arial" w:hAnsi="Arial"/>
                <w:sz w:val="12"/>
                <w:szCs w:val="12"/>
                <w:color w:val="auto"/>
              </w:rPr>
              <w:t>11,178</w:t>
            </w:r>
          </w:p>
        </w:tc>
        <w:tc>
          <w:tcPr>
            <w:tcW w:w="1020" w:type="dxa"/>
            <w:vAlign w:val="bottom"/>
            <w:gridSpan w:val="3"/>
          </w:tcPr>
          <w:p>
            <w:pPr>
              <w:jc w:val="right"/>
              <w:spacing w:after="0" w:line="134" w:lineRule="exact"/>
              <w:rPr>
                <w:sz w:val="20"/>
                <w:szCs w:val="20"/>
                <w:color w:val="auto"/>
              </w:rPr>
            </w:pPr>
            <w:r>
              <w:rPr>
                <w:rFonts w:ascii="Arial" w:cs="Arial" w:eastAsia="Arial" w:hAnsi="Arial"/>
                <w:sz w:val="12"/>
                <w:szCs w:val="12"/>
                <w:color w:val="auto"/>
              </w:rPr>
              <w:t>-34.2%</w:t>
            </w:r>
          </w:p>
        </w:tc>
      </w:tr>
      <w:tr>
        <w:trPr>
          <w:trHeight w:val="187"/>
        </w:trPr>
        <w:tc>
          <w:tcPr>
            <w:tcW w:w="1720" w:type="dxa"/>
            <w:vAlign w:val="bottom"/>
            <w:gridSpan w:val="3"/>
            <w:shd w:val="clear" w:color="auto" w:fill="CCEEFF"/>
          </w:tcPr>
          <w:p>
            <w:pPr>
              <w:spacing w:after="0" w:line="186" w:lineRule="exact"/>
              <w:rPr>
                <w:sz w:val="20"/>
                <w:szCs w:val="20"/>
                <w:color w:val="auto"/>
              </w:rPr>
            </w:pPr>
            <w:r>
              <w:rPr>
                <w:rFonts w:ascii="Arial" w:cs="Arial" w:eastAsia="Arial" w:hAnsi="Arial"/>
                <w:sz w:val="12"/>
                <w:szCs w:val="12"/>
                <w:color w:val="auto"/>
              </w:rPr>
              <w:t>Operating expenses</w:t>
            </w:r>
            <w:r>
              <w:rPr>
                <w:rFonts w:ascii="Arial" w:cs="Arial" w:eastAsia="Arial" w:hAnsi="Arial"/>
                <w:sz w:val="20"/>
                <w:szCs w:val="20"/>
                <w:color w:val="auto"/>
                <w:vertAlign w:val="superscript"/>
              </w:rPr>
              <w:t>(1)</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-118,246</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-124,830</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-127,665</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78"/>
              <w:spacing w:after="0"/>
              <w:rPr>
                <w:sz w:val="20"/>
                <w:szCs w:val="20"/>
                <w:color w:val="auto"/>
              </w:rPr>
            </w:pPr>
            <w:r>
              <w:rPr>
                <w:rFonts w:ascii="Arial" w:cs="Arial" w:eastAsia="Arial" w:hAnsi="Arial"/>
                <w:sz w:val="12"/>
                <w:szCs w:val="12"/>
                <w:color w:val="auto"/>
              </w:rPr>
              <w:t>8.0%</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-240,523</w:t>
            </w:r>
          </w:p>
        </w:tc>
        <w:tc>
          <w:tcPr>
            <w:tcW w:w="1500" w:type="dxa"/>
            <w:vAlign w:val="bottom"/>
            <w:gridSpan w:val="4"/>
            <w:shd w:val="clear" w:color="auto" w:fill="CCEEFF"/>
          </w:tcPr>
          <w:p>
            <w:pPr>
              <w:jc w:val="right"/>
              <w:ind w:right="320"/>
              <w:spacing w:after="0"/>
              <w:rPr>
                <w:sz w:val="20"/>
                <w:szCs w:val="20"/>
                <w:color w:val="auto"/>
              </w:rPr>
            </w:pPr>
            <w:r>
              <w:rPr>
                <w:rFonts w:ascii="Arial" w:cs="Arial" w:eastAsia="Arial" w:hAnsi="Arial"/>
                <w:sz w:val="12"/>
                <w:szCs w:val="12"/>
                <w:color w:val="auto"/>
              </w:rPr>
              <w:t>-252,495</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5.0%</w:t>
            </w:r>
          </w:p>
        </w:tc>
      </w:tr>
      <w:tr>
        <w:trPr>
          <w:trHeight w:val="127"/>
        </w:trPr>
        <w:tc>
          <w:tcPr>
            <w:tcW w:w="1720" w:type="dxa"/>
            <w:vAlign w:val="bottom"/>
            <w:tcBorders>
              <w:bottom w:val="single" w:sz="8" w:color="CCEEFF"/>
            </w:tcBorders>
            <w:gridSpan w:val="3"/>
          </w:tcPr>
          <w:p>
            <w:pPr>
              <w:spacing w:after="0" w:line="127" w:lineRule="exact"/>
              <w:rPr>
                <w:sz w:val="20"/>
                <w:szCs w:val="20"/>
                <w:color w:val="auto"/>
              </w:rPr>
            </w:pPr>
            <w:r>
              <w:rPr>
                <w:rFonts w:ascii="Arial" w:cs="Arial" w:eastAsia="Arial" w:hAnsi="Arial"/>
                <w:sz w:val="12"/>
                <w:szCs w:val="12"/>
                <w:b w:val="1"/>
                <w:bCs w:val="1"/>
                <w:color w:val="auto"/>
              </w:rPr>
              <w:t>Operating income</w:t>
            </w:r>
          </w:p>
        </w:tc>
        <w:tc>
          <w:tcPr>
            <w:tcW w:w="78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14,589</w:t>
            </w:r>
          </w:p>
        </w:tc>
        <w:tc>
          <w:tcPr>
            <w:tcW w:w="3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2,691</w:t>
            </w:r>
          </w:p>
        </w:tc>
        <w:tc>
          <w:tcPr>
            <w:tcW w:w="3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22,971</w:t>
            </w:r>
          </w:p>
        </w:tc>
        <w:tc>
          <w:tcPr>
            <w:tcW w:w="3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ind w:left="120"/>
              <w:spacing w:after="0" w:line="127" w:lineRule="exact"/>
              <w:rPr>
                <w:sz w:val="20"/>
                <w:szCs w:val="20"/>
                <w:color w:val="auto"/>
              </w:rPr>
            </w:pPr>
            <w:r>
              <w:rPr>
                <w:rFonts w:ascii="Arial" w:cs="Arial" w:eastAsia="Arial" w:hAnsi="Arial"/>
                <w:sz w:val="12"/>
                <w:szCs w:val="12"/>
                <w:b w:val="1"/>
                <w:bCs w:val="1"/>
                <w:color w:val="auto"/>
                <w:w w:val="86"/>
              </w:rPr>
              <w:t>N/A</w:t>
            </w:r>
          </w:p>
        </w:tc>
        <w:tc>
          <w:tcPr>
            <w:tcW w:w="3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57.5</w:t>
            </w:r>
          </w:p>
        </w:tc>
        <w:tc>
          <w:tcPr>
            <w:tcW w:w="340" w:type="dxa"/>
            <w:vAlign w:val="bottom"/>
            <w:tcBorders>
              <w:bottom w:val="single" w:sz="8" w:color="CCEEFF"/>
            </w:tcBorders>
          </w:tcPr>
          <w:p>
            <w:pPr>
              <w:jc w:val="right"/>
              <w:ind w:right="158"/>
              <w:spacing w:after="0" w:line="127" w:lineRule="exact"/>
              <w:rPr>
                <w:sz w:val="20"/>
                <w:szCs w:val="20"/>
                <w:color w:val="auto"/>
              </w:rPr>
            </w:pPr>
            <w:r>
              <w:rPr>
                <w:rFonts w:ascii="Arial" w:cs="Arial" w:eastAsia="Arial" w:hAnsi="Arial"/>
                <w:sz w:val="12"/>
                <w:szCs w:val="12"/>
                <w:b w:val="1"/>
                <w:bCs w:val="1"/>
                <w:color w:val="auto"/>
                <w:w w:val="93"/>
              </w:rPr>
              <w:t>%</w:t>
            </w:r>
          </w:p>
        </w:tc>
        <w:tc>
          <w:tcPr>
            <w:tcW w:w="12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34,910</w:t>
            </w:r>
          </w:p>
        </w:tc>
        <w:tc>
          <w:tcPr>
            <w:tcW w:w="2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25,662</w:t>
            </w:r>
          </w:p>
        </w:tc>
        <w:tc>
          <w:tcPr>
            <w:tcW w:w="3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7" w:lineRule="exact"/>
              <w:rPr>
                <w:sz w:val="20"/>
                <w:szCs w:val="20"/>
                <w:color w:val="auto"/>
              </w:rPr>
            </w:pPr>
            <w:r>
              <w:rPr>
                <w:rFonts w:ascii="Arial" w:cs="Arial" w:eastAsia="Arial" w:hAnsi="Arial"/>
                <w:sz w:val="12"/>
                <w:szCs w:val="12"/>
                <w:b w:val="1"/>
                <w:bCs w:val="1"/>
                <w:color w:val="auto"/>
              </w:rPr>
              <w:t>-26.5</w:t>
            </w:r>
          </w:p>
        </w:tc>
        <w:tc>
          <w:tcPr>
            <w:tcW w:w="140" w:type="dxa"/>
            <w:vAlign w:val="bottom"/>
            <w:tcBorders>
              <w:bottom w:val="single" w:sz="8" w:color="CCEEFF"/>
            </w:tcBorders>
          </w:tcPr>
          <w:p>
            <w:pPr>
              <w:jc w:val="right"/>
              <w:spacing w:after="0" w:line="127" w:lineRule="exact"/>
              <w:rPr>
                <w:sz w:val="20"/>
                <w:szCs w:val="20"/>
                <w:color w:val="auto"/>
              </w:rPr>
            </w:pPr>
            <w:r>
              <w:rPr>
                <w:rFonts w:ascii="Arial" w:cs="Arial" w:eastAsia="Arial" w:hAnsi="Arial"/>
                <w:sz w:val="12"/>
                <w:szCs w:val="12"/>
                <w:b w:val="1"/>
                <w:bCs w:val="1"/>
                <w:color w:val="auto"/>
              </w:rPr>
              <w:t>%</w:t>
            </w:r>
          </w:p>
        </w:tc>
      </w:tr>
      <w:tr>
        <w:trPr>
          <w:trHeight w:val="127"/>
        </w:trPr>
        <w:tc>
          <w:tcPr>
            <w:tcW w:w="1720" w:type="dxa"/>
            <w:vAlign w:val="bottom"/>
            <w:gridSpan w:val="3"/>
            <w:shd w:val="clear" w:color="auto" w:fill="CCEEFF"/>
          </w:tcPr>
          <w:p>
            <w:pPr>
              <w:spacing w:after="0" w:line="127" w:lineRule="exact"/>
              <w:rPr>
                <w:sz w:val="20"/>
                <w:szCs w:val="20"/>
                <w:color w:val="auto"/>
              </w:rPr>
            </w:pPr>
            <w:r>
              <w:rPr>
                <w:rFonts w:ascii="Arial" w:cs="Arial" w:eastAsia="Arial" w:hAnsi="Arial"/>
                <w:sz w:val="12"/>
                <w:szCs w:val="12"/>
                <w:color w:val="auto"/>
              </w:rPr>
              <w:t>Income taxes</w:t>
            </w:r>
          </w:p>
        </w:tc>
        <w:tc>
          <w:tcPr>
            <w:tcW w:w="7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-3,394</w:t>
            </w: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-2,301</w:t>
            </w: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-7,242</w:t>
            </w: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40"/>
              <w:spacing w:after="0" w:line="127" w:lineRule="exact"/>
              <w:rPr>
                <w:sz w:val="20"/>
                <w:szCs w:val="20"/>
                <w:color w:val="auto"/>
              </w:rPr>
            </w:pPr>
            <w:r>
              <w:rPr>
                <w:rFonts w:ascii="Arial" w:cs="Arial" w:eastAsia="Arial" w:hAnsi="Arial"/>
                <w:sz w:val="12"/>
                <w:szCs w:val="12"/>
                <w:color w:val="auto"/>
                <w:w w:val="98"/>
              </w:rPr>
              <w:t>214.7%</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78"/>
              <w:spacing w:after="0" w:line="127" w:lineRule="exact"/>
              <w:rPr>
                <w:sz w:val="20"/>
                <w:szCs w:val="20"/>
                <w:color w:val="auto"/>
              </w:rPr>
            </w:pPr>
            <w:r>
              <w:rPr>
                <w:rFonts w:ascii="Arial" w:cs="Arial" w:eastAsia="Arial" w:hAnsi="Arial"/>
                <w:sz w:val="12"/>
                <w:szCs w:val="12"/>
                <w:color w:val="auto"/>
                <w:w w:val="93"/>
              </w:rPr>
              <w:t>113.4%</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-8,144</w:t>
            </w: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-9,543</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2"/>
                <w:szCs w:val="12"/>
                <w:color w:val="auto"/>
              </w:rPr>
              <w:t>17.2%</w:t>
            </w:r>
          </w:p>
        </w:tc>
      </w:tr>
      <w:tr>
        <w:trPr>
          <w:trHeight w:val="147"/>
        </w:trPr>
        <w:tc>
          <w:tcPr>
            <w:tcW w:w="1720" w:type="dxa"/>
            <w:vAlign w:val="bottom"/>
            <w:gridSpan w:val="3"/>
          </w:tcPr>
          <w:p>
            <w:pPr>
              <w:spacing w:after="0"/>
              <w:rPr>
                <w:sz w:val="20"/>
                <w:szCs w:val="20"/>
                <w:color w:val="auto"/>
              </w:rPr>
            </w:pPr>
            <w:r>
              <w:rPr>
                <w:rFonts w:ascii="Arial" w:cs="Arial" w:eastAsia="Arial" w:hAnsi="Arial"/>
                <w:sz w:val="12"/>
                <w:szCs w:val="12"/>
                <w:color w:val="auto"/>
              </w:rPr>
              <w:t>Non-controlling interest</w:t>
            </w:r>
          </w:p>
        </w:tc>
        <w:tc>
          <w:tcPr>
            <w:tcW w:w="1120" w:type="dxa"/>
            <w:vAlign w:val="bottom"/>
            <w:gridSpan w:val="2"/>
          </w:tcPr>
          <w:p>
            <w:pPr>
              <w:jc w:val="right"/>
              <w:ind w:right="340"/>
              <w:spacing w:after="0"/>
              <w:rPr>
                <w:sz w:val="20"/>
                <w:szCs w:val="20"/>
                <w:color w:val="auto"/>
              </w:rPr>
            </w:pPr>
            <w:r>
              <w:rPr>
                <w:rFonts w:ascii="Arial" w:cs="Arial" w:eastAsia="Arial" w:hAnsi="Arial"/>
                <w:sz w:val="12"/>
                <w:szCs w:val="12"/>
                <w:color w:val="auto"/>
              </w:rPr>
              <w:t>372</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32</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2"/>
                <w:szCs w:val="12"/>
                <w:color w:val="auto"/>
              </w:rPr>
              <w:t>112</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w w:val="98"/>
              </w:rPr>
              <w:t>250.0%</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gridSpan w:val="2"/>
          </w:tcPr>
          <w:p>
            <w:pPr>
              <w:jc w:val="right"/>
              <w:ind w:right="178"/>
              <w:spacing w:after="0"/>
              <w:rPr>
                <w:sz w:val="20"/>
                <w:szCs w:val="20"/>
                <w:color w:val="auto"/>
              </w:rPr>
            </w:pPr>
            <w:r>
              <w:rPr>
                <w:rFonts w:ascii="Arial" w:cs="Arial" w:eastAsia="Arial" w:hAnsi="Arial"/>
                <w:sz w:val="12"/>
                <w:szCs w:val="12"/>
                <w:color w:val="auto"/>
                <w:w w:val="99"/>
              </w:rPr>
              <w:t>-69.9%</w:t>
            </w:r>
          </w:p>
        </w:tc>
        <w:tc>
          <w:tcPr>
            <w:tcW w:w="120" w:type="dxa"/>
            <w:vAlign w:val="bottom"/>
          </w:tcPr>
          <w:p>
            <w:pPr>
              <w:spacing w:after="0"/>
              <w:rPr>
                <w:sz w:val="12"/>
                <w:szCs w:val="1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524</w:t>
            </w:r>
          </w:p>
        </w:tc>
        <w:tc>
          <w:tcPr>
            <w:tcW w:w="1500" w:type="dxa"/>
            <w:vAlign w:val="bottom"/>
            <w:gridSpan w:val="4"/>
          </w:tcPr>
          <w:p>
            <w:pPr>
              <w:jc w:val="right"/>
              <w:ind w:right="320"/>
              <w:spacing w:after="0"/>
              <w:rPr>
                <w:sz w:val="20"/>
                <w:szCs w:val="20"/>
                <w:color w:val="auto"/>
              </w:rPr>
            </w:pPr>
            <w:r>
              <w:rPr>
                <w:rFonts w:ascii="Arial" w:cs="Arial" w:eastAsia="Arial" w:hAnsi="Arial"/>
                <w:sz w:val="12"/>
                <w:szCs w:val="12"/>
                <w:color w:val="auto"/>
              </w:rPr>
              <w:t>144</w:t>
            </w:r>
          </w:p>
        </w:tc>
        <w:tc>
          <w:tcPr>
            <w:tcW w:w="1020" w:type="dxa"/>
            <w:vAlign w:val="bottom"/>
            <w:gridSpan w:val="3"/>
          </w:tcPr>
          <w:p>
            <w:pPr>
              <w:jc w:val="right"/>
              <w:spacing w:after="0"/>
              <w:rPr>
                <w:sz w:val="20"/>
                <w:szCs w:val="20"/>
                <w:color w:val="auto"/>
              </w:rPr>
            </w:pPr>
            <w:r>
              <w:rPr>
                <w:rFonts w:ascii="Arial" w:cs="Arial" w:eastAsia="Arial" w:hAnsi="Arial"/>
                <w:sz w:val="12"/>
                <w:szCs w:val="12"/>
                <w:color w:val="auto"/>
              </w:rPr>
              <w:t>-72.5%</w:t>
            </w:r>
          </w:p>
        </w:tc>
      </w:tr>
      <w:tr>
        <w:trPr>
          <w:trHeight w:val="127"/>
        </w:trPr>
        <w:tc>
          <w:tcPr>
            <w:tcW w:w="1720" w:type="dxa"/>
            <w:vAlign w:val="bottom"/>
            <w:tcBorders>
              <w:top w:val="single" w:sz="8" w:color="CCEEFF"/>
            </w:tcBorders>
            <w:gridSpan w:val="3"/>
            <w:shd w:val="clear" w:color="auto" w:fill="CCEEFF"/>
          </w:tcPr>
          <w:p>
            <w:pPr>
              <w:spacing w:after="0" w:line="127" w:lineRule="exact"/>
              <w:rPr>
                <w:sz w:val="20"/>
                <w:szCs w:val="20"/>
                <w:color w:val="auto"/>
              </w:rPr>
            </w:pPr>
            <w:r>
              <w:rPr>
                <w:rFonts w:ascii="Arial" w:cs="Arial" w:eastAsia="Arial" w:hAnsi="Arial"/>
                <w:sz w:val="12"/>
                <w:szCs w:val="12"/>
                <w:b w:val="1"/>
                <w:bCs w:val="1"/>
                <w:color w:val="auto"/>
              </w:rPr>
              <w:t>Net income</w:t>
            </w:r>
          </w:p>
        </w:tc>
        <w:tc>
          <w:tcPr>
            <w:tcW w:w="78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10,823</w:t>
            </w: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358</w:t>
            </w: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15,617</w:t>
            </w: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ind w:left="120"/>
              <w:spacing w:after="0" w:line="127" w:lineRule="exact"/>
              <w:rPr>
                <w:sz w:val="20"/>
                <w:szCs w:val="20"/>
                <w:color w:val="auto"/>
              </w:rPr>
            </w:pPr>
            <w:r>
              <w:rPr>
                <w:rFonts w:ascii="Arial" w:cs="Arial" w:eastAsia="Arial" w:hAnsi="Arial"/>
                <w:sz w:val="12"/>
                <w:szCs w:val="12"/>
                <w:b w:val="1"/>
                <w:bCs w:val="1"/>
                <w:color w:val="auto"/>
                <w:w w:val="86"/>
              </w:rPr>
              <w:t>N/A</w:t>
            </w: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44.3</w:t>
            </w:r>
          </w:p>
        </w:tc>
        <w:tc>
          <w:tcPr>
            <w:tcW w:w="340" w:type="dxa"/>
            <w:vAlign w:val="bottom"/>
            <w:tcBorders>
              <w:top w:val="single" w:sz="8" w:color="CCEEFF"/>
            </w:tcBorders>
            <w:shd w:val="clear" w:color="auto" w:fill="CCEEFF"/>
          </w:tcPr>
          <w:p>
            <w:pPr>
              <w:jc w:val="right"/>
              <w:ind w:right="158"/>
              <w:spacing w:after="0" w:line="127" w:lineRule="exact"/>
              <w:rPr>
                <w:sz w:val="20"/>
                <w:szCs w:val="20"/>
                <w:color w:val="auto"/>
              </w:rPr>
            </w:pPr>
            <w:r>
              <w:rPr>
                <w:rFonts w:ascii="Arial" w:cs="Arial" w:eastAsia="Arial" w:hAnsi="Arial"/>
                <w:sz w:val="12"/>
                <w:szCs w:val="12"/>
                <w:b w:val="1"/>
                <w:bCs w:val="1"/>
                <w:color w:val="auto"/>
                <w:w w:val="93"/>
              </w:rPr>
              <w:t>%</w:t>
            </w: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26,242</w:t>
            </w:r>
          </w:p>
        </w:tc>
        <w:tc>
          <w:tcPr>
            <w:tcW w:w="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15,975</w:t>
            </w:r>
          </w:p>
        </w:tc>
        <w:tc>
          <w:tcPr>
            <w:tcW w:w="3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-39.1</w:t>
            </w:r>
          </w:p>
        </w:tc>
        <w:tc>
          <w:tcPr>
            <w:tcW w:w="140" w:type="dxa"/>
            <w:vAlign w:val="bottom"/>
            <w:tcBorders>
              <w:top w:val="single" w:sz="8" w:color="CCEEFF"/>
            </w:tcBorders>
            <w:shd w:val="clear" w:color="auto" w:fill="CCEEFF"/>
          </w:tcPr>
          <w:p>
            <w:pPr>
              <w:jc w:val="right"/>
              <w:spacing w:after="0" w:line="127" w:lineRule="exact"/>
              <w:rPr>
                <w:sz w:val="20"/>
                <w:szCs w:val="20"/>
                <w:color w:val="auto"/>
              </w:rPr>
            </w:pPr>
            <w:r>
              <w:rPr>
                <w:rFonts w:ascii="Arial" w:cs="Arial" w:eastAsia="Arial" w:hAnsi="Arial"/>
                <w:sz w:val="12"/>
                <w:szCs w:val="12"/>
                <w:b w:val="1"/>
                <w:bCs w:val="1"/>
                <w:color w:val="auto"/>
              </w:rPr>
              <w:t>%</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2"/>
          <w:szCs w:val="12"/>
          <w:color w:val="auto"/>
        </w:rPr>
        <w:t>* Unaudited results.</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(1) Includes: Salaries and employee’s benefits + Administrative expenses + Assigned expenses + Depreciation and amortization + Tax and contributions + Other expenses.</w:t>
      </w:r>
    </w:p>
    <w:p>
      <w:pPr>
        <w:spacing w:after="0" w:line="200" w:lineRule="exact"/>
        <w:rPr>
          <w:sz w:val="20"/>
          <w:szCs w:val="20"/>
          <w:color w:val="auto"/>
        </w:rPr>
      </w:pPr>
    </w:p>
    <w:p>
      <w:pPr>
        <w:spacing w:after="0" w:line="212"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0"/>
        </w:trPr>
        <w:tc>
          <w:tcPr>
            <w:tcW w:w="3880" w:type="dxa"/>
            <w:vAlign w:val="bottom"/>
            <w:gridSpan w:val="6"/>
          </w:tcPr>
          <w:p>
            <w:pPr>
              <w:spacing w:after="0"/>
              <w:rPr>
                <w:sz w:val="20"/>
                <w:szCs w:val="20"/>
                <w:color w:val="auto"/>
              </w:rPr>
            </w:pPr>
            <w:r>
              <w:rPr>
                <w:rFonts w:ascii="Arial" w:cs="Arial" w:eastAsia="Arial" w:hAnsi="Arial"/>
                <w:sz w:val="18"/>
                <w:szCs w:val="18"/>
                <w:b w:val="1"/>
                <w:bCs w:val="1"/>
                <w:color w:val="auto"/>
              </w:rPr>
              <w:t>11.8. Atlantic Security Bank</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1"/>
        </w:trPr>
        <w:tc>
          <w:tcPr>
            <w:tcW w:w="3880" w:type="dxa"/>
            <w:vAlign w:val="bottom"/>
            <w:gridSpan w:val="6"/>
          </w:tcPr>
          <w:p>
            <w:pPr>
              <w:spacing w:after="0"/>
              <w:rPr>
                <w:sz w:val="20"/>
                <w:szCs w:val="20"/>
                <w:color w:val="auto"/>
              </w:rPr>
            </w:pPr>
            <w:r>
              <w:rPr>
                <w:rFonts w:ascii="Arial" w:cs="Arial" w:eastAsia="Arial" w:hAnsi="Arial"/>
                <w:sz w:val="18"/>
                <w:szCs w:val="18"/>
                <w:b w:val="1"/>
                <w:bCs w:val="1"/>
                <w:color w:val="auto"/>
              </w:rPr>
              <w:t>ASB</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5"/>
          </w:tcPr>
          <w:p>
            <w:pPr>
              <w:ind w:left="200"/>
              <w:spacing w:after="0"/>
              <w:rPr>
                <w:sz w:val="20"/>
                <w:szCs w:val="20"/>
                <w:color w:val="auto"/>
              </w:rPr>
            </w:pPr>
            <w:r>
              <w:rPr>
                <w:rFonts w:ascii="Arial" w:cs="Arial" w:eastAsia="Arial" w:hAnsi="Arial"/>
                <w:sz w:val="18"/>
                <w:szCs w:val="18"/>
                <w:b w:val="1"/>
                <w:bCs w:val="1"/>
                <w:color w:val="auto"/>
              </w:rPr>
              <w:t>Quarter</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gridSpan w:val="5"/>
          </w:tcPr>
          <w:p>
            <w:pPr>
              <w:ind w:left="240"/>
              <w:spacing w:after="0"/>
              <w:rPr>
                <w:sz w:val="20"/>
                <w:szCs w:val="20"/>
                <w:color w:val="auto"/>
              </w:rPr>
            </w:pPr>
            <w:r>
              <w:rPr>
                <w:rFonts w:ascii="Arial" w:cs="Arial" w:eastAsia="Arial" w:hAnsi="Arial"/>
                <w:sz w:val="18"/>
                <w:szCs w:val="18"/>
                <w:b w:val="1"/>
                <w:bCs w:val="1"/>
                <w:color w:val="auto"/>
              </w:rPr>
              <w:t>% change</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1"/>
        </w:trPr>
        <w:tc>
          <w:tcPr>
            <w:tcW w:w="3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US$ Millions</w:t>
            </w:r>
          </w:p>
        </w:tc>
        <w:tc>
          <w:tcPr>
            <w:tcW w:w="220" w:type="dxa"/>
            <w:vAlign w:val="bottom"/>
            <w:tcBorders>
              <w:bottom w:val="single" w:sz="8" w:color="CCEEFF"/>
            </w:tcBorders>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2Q19</w:t>
            </w:r>
          </w:p>
        </w:tc>
        <w:tc>
          <w:tcPr>
            <w:tcW w:w="320" w:type="dxa"/>
            <w:vAlign w:val="bottom"/>
            <w:tcBorders>
              <w:top w:val="single" w:sz="8" w:color="auto"/>
              <w:bottom w:val="single" w:sz="8" w:color="CCEEFF"/>
            </w:tcBorders>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1Q20</w:t>
            </w:r>
          </w:p>
        </w:tc>
        <w:tc>
          <w:tcPr>
            <w:tcW w:w="320" w:type="dxa"/>
            <w:vAlign w:val="bottom"/>
            <w:tcBorders>
              <w:top w:val="single" w:sz="8" w:color="auto"/>
              <w:bottom w:val="single" w:sz="8" w:color="CCEEFF"/>
            </w:tcBorders>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2Q20</w:t>
            </w:r>
          </w:p>
        </w:tc>
        <w:tc>
          <w:tcPr>
            <w:tcW w:w="3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QoQ</w:t>
            </w:r>
          </w:p>
        </w:tc>
        <w:tc>
          <w:tcPr>
            <w:tcW w:w="36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gridSpan w:val="2"/>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YoY</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07"/>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loans</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736.2</w:t>
            </w: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765.0</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722.1</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13"/>
        </w:trPr>
        <w:tc>
          <w:tcPr>
            <w:tcW w:w="3880" w:type="dxa"/>
            <w:vAlign w:val="bottom"/>
            <w:gridSpan w:val="6"/>
          </w:tcPr>
          <w:p>
            <w:pPr>
              <w:spacing w:after="0"/>
              <w:rPr>
                <w:sz w:val="20"/>
                <w:szCs w:val="20"/>
                <w:color w:val="auto"/>
              </w:rPr>
            </w:pPr>
            <w:r>
              <w:rPr>
                <w:rFonts w:ascii="Arial" w:cs="Arial" w:eastAsia="Arial" w:hAnsi="Arial"/>
                <w:sz w:val="18"/>
                <w:szCs w:val="18"/>
                <w:color w:val="auto"/>
              </w:rPr>
              <w:t>Total investments</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808.4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782.7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1,093.2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35.2%</w:t>
            </w:r>
          </w:p>
        </w:tc>
      </w:tr>
      <w:tr>
        <w:trPr>
          <w:trHeight w:val="213"/>
        </w:trPr>
        <w:tc>
          <w:tcPr>
            <w:tcW w:w="3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1,919.9</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1,903.4</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2,880.0</w:t>
            </w: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r>
      <w:tr>
        <w:trPr>
          <w:trHeight w:val="213"/>
        </w:trPr>
        <w:tc>
          <w:tcPr>
            <w:tcW w:w="3880" w:type="dxa"/>
            <w:vAlign w:val="bottom"/>
            <w:gridSpan w:val="6"/>
          </w:tcPr>
          <w:p>
            <w:pPr>
              <w:spacing w:after="0"/>
              <w:rPr>
                <w:sz w:val="20"/>
                <w:szCs w:val="20"/>
                <w:color w:val="auto"/>
              </w:rPr>
            </w:pPr>
            <w:r>
              <w:rPr>
                <w:rFonts w:ascii="Arial" w:cs="Arial" w:eastAsia="Arial" w:hAnsi="Arial"/>
                <w:sz w:val="18"/>
                <w:szCs w:val="18"/>
                <w:color w:val="auto"/>
              </w:rPr>
              <w:t>Total deposits</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1,267.4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1,418.3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2,097.2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65.5%</w:t>
            </w:r>
          </w:p>
        </w:tc>
      </w:tr>
      <w:tr>
        <w:trPr>
          <w:trHeight w:val="227"/>
        </w:trPr>
        <w:tc>
          <w:tcPr>
            <w:tcW w:w="3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248.4</w:t>
            </w:r>
          </w:p>
        </w:tc>
        <w:tc>
          <w:tcPr>
            <w:tcW w:w="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161.9</w:t>
            </w:r>
          </w:p>
        </w:tc>
        <w:tc>
          <w:tcPr>
            <w:tcW w:w="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233.7</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r>
      <w:tr>
        <w:trPr>
          <w:trHeight w:val="207"/>
        </w:trPr>
        <w:tc>
          <w:tcPr>
            <w:tcW w:w="3680" w:type="dxa"/>
            <w:vAlign w:val="bottom"/>
            <w:gridSpan w:val="5"/>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15.2</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-0.1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36.2</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N/A</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137.5</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419"/>
        </w:trPr>
        <w:tc>
          <w:tcPr>
            <w:tcW w:w="3880" w:type="dxa"/>
            <w:vAlign w:val="bottom"/>
            <w:gridSpan w:val="6"/>
          </w:tcPr>
          <w:p>
            <w:pPr>
              <w:spacing w:after="0"/>
              <w:rPr>
                <w:sz w:val="20"/>
                <w:szCs w:val="20"/>
                <w:color w:val="auto"/>
              </w:rPr>
            </w:pPr>
            <w:r>
              <w:rPr>
                <w:rFonts w:ascii="Arial" w:cs="Arial" w:eastAsia="Arial" w:hAnsi="Arial"/>
                <w:sz w:val="18"/>
                <w:szCs w:val="18"/>
                <w:b w:val="1"/>
                <w:bCs w:val="1"/>
                <w:color w:val="auto"/>
              </w:rPr>
              <w:t>Interest earning assets</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1"/>
        </w:trPr>
        <w:tc>
          <w:tcPr>
            <w:tcW w:w="3880" w:type="dxa"/>
            <w:vAlign w:val="bottom"/>
            <w:gridSpan w:val="6"/>
          </w:tcPr>
          <w:p>
            <w:pPr>
              <w:spacing w:after="0"/>
              <w:rPr>
                <w:sz w:val="20"/>
                <w:szCs w:val="20"/>
                <w:color w:val="auto"/>
              </w:rPr>
            </w:pPr>
            <w:r>
              <w:rPr>
                <w:rFonts w:ascii="Arial" w:cs="Arial" w:eastAsia="Arial" w:hAnsi="Arial"/>
                <w:sz w:val="18"/>
                <w:szCs w:val="18"/>
                <w:b w:val="1"/>
                <w:bCs w:val="1"/>
                <w:color w:val="auto"/>
              </w:rPr>
              <w:t>Interest earning assets*</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5"/>
          </w:tcPr>
          <w:p>
            <w:pPr>
              <w:jc w:val="center"/>
              <w:ind w:right="600"/>
              <w:spacing w:after="0"/>
              <w:rPr>
                <w:sz w:val="20"/>
                <w:szCs w:val="20"/>
                <w:color w:val="auto"/>
              </w:rPr>
            </w:pPr>
            <w:r>
              <w:rPr>
                <w:rFonts w:ascii="Arial" w:cs="Arial" w:eastAsia="Arial" w:hAnsi="Arial"/>
                <w:sz w:val="18"/>
                <w:szCs w:val="18"/>
                <w:b w:val="1"/>
                <w:bCs w:val="1"/>
                <w:color w:val="auto"/>
                <w:w w:val="95"/>
              </w:rPr>
              <w:t>Quarter</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gridSpan w:val="5"/>
          </w:tcPr>
          <w:p>
            <w:pPr>
              <w:ind w:left="220"/>
              <w:spacing w:after="0"/>
              <w:rPr>
                <w:sz w:val="20"/>
                <w:szCs w:val="20"/>
                <w:color w:val="auto"/>
              </w:rPr>
            </w:pPr>
            <w:r>
              <w:rPr>
                <w:rFonts w:ascii="Arial" w:cs="Arial" w:eastAsia="Arial" w:hAnsi="Arial"/>
                <w:sz w:val="18"/>
                <w:szCs w:val="18"/>
                <w:b w:val="1"/>
                <w:bCs w:val="1"/>
                <w:color w:val="auto"/>
              </w:rPr>
              <w:t>% change</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1"/>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220" w:type="dxa"/>
            <w:vAlign w:val="bottom"/>
            <w:tcBorders>
              <w:bottom w:val="single" w:sz="8" w:color="CCEEFF"/>
            </w:tcBorders>
            <w:gridSpan w:val="2"/>
          </w:tcPr>
          <w:p>
            <w:pPr>
              <w:spacing w:after="0"/>
              <w:rPr>
                <w:sz w:val="19"/>
                <w:szCs w:val="19"/>
                <w:color w:val="auto"/>
              </w:rPr>
            </w:pPr>
          </w:p>
        </w:tc>
        <w:tc>
          <w:tcPr>
            <w:tcW w:w="320" w:type="dxa"/>
            <w:vAlign w:val="bottom"/>
            <w:tcBorders>
              <w:top w:val="single" w:sz="8" w:color="auto"/>
              <w:bottom w:val="single" w:sz="8" w:color="auto"/>
            </w:tcBorders>
            <w:gridSpan w:val="3"/>
          </w:tcPr>
          <w:p>
            <w:pPr>
              <w:spacing w:after="0"/>
              <w:rPr>
                <w:sz w:val="19"/>
                <w:szCs w:val="19"/>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2Q19</w:t>
            </w:r>
          </w:p>
        </w:tc>
        <w:tc>
          <w:tcPr>
            <w:tcW w:w="320" w:type="dxa"/>
            <w:vAlign w:val="bottom"/>
            <w:tcBorders>
              <w:top w:val="single" w:sz="8" w:color="auto"/>
              <w:bottom w:val="single" w:sz="8" w:color="CCEEFF"/>
            </w:tcBorders>
            <w:gridSpan w:val="2"/>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19"/>
                <w:szCs w:val="19"/>
                <w:color w:val="auto"/>
              </w:rPr>
            </w:pPr>
          </w:p>
        </w:tc>
        <w:tc>
          <w:tcPr>
            <w:tcW w:w="1100" w:type="dxa"/>
            <w:vAlign w:val="bottom"/>
            <w:tcBorders>
              <w:top w:val="single" w:sz="8" w:color="auto"/>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0"/>
              </w:rPr>
              <w:t>1Q20</w:t>
            </w:r>
          </w:p>
        </w:tc>
        <w:tc>
          <w:tcPr>
            <w:tcW w:w="320" w:type="dxa"/>
            <w:vAlign w:val="bottom"/>
            <w:tcBorders>
              <w:top w:val="single" w:sz="8" w:color="auto"/>
              <w:bottom w:val="single" w:sz="8" w:color="CCEEFF"/>
            </w:tcBorders>
            <w:gridSpan w:val="2"/>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19"/>
                <w:szCs w:val="19"/>
                <w:color w:val="auto"/>
              </w:rPr>
            </w:pPr>
          </w:p>
        </w:tc>
        <w:tc>
          <w:tcPr>
            <w:tcW w:w="11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2Q20</w:t>
            </w:r>
          </w:p>
        </w:tc>
        <w:tc>
          <w:tcPr>
            <w:tcW w:w="320" w:type="dxa"/>
            <w:vAlign w:val="bottom"/>
            <w:tcBorders>
              <w:bottom w:val="single" w:sz="8" w:color="CCEEFF"/>
            </w:tcBorders>
            <w:gridSpan w:val="2"/>
          </w:tcPr>
          <w:p>
            <w:pPr>
              <w:spacing w:after="0"/>
              <w:rPr>
                <w:sz w:val="19"/>
                <w:szCs w:val="19"/>
                <w:color w:val="auto"/>
              </w:rPr>
            </w:pPr>
          </w:p>
        </w:tc>
        <w:tc>
          <w:tcPr>
            <w:tcW w:w="82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QoQ</w:t>
            </w:r>
          </w:p>
        </w:tc>
        <w:tc>
          <w:tcPr>
            <w:tcW w:w="4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YoY</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0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Due from banks</w:t>
            </w:r>
          </w:p>
        </w:tc>
        <w:tc>
          <w:tcPr>
            <w:tcW w:w="220" w:type="dxa"/>
            <w:vAlign w:val="bottom"/>
            <w:gridSpan w:val="2"/>
            <w:shd w:val="clear" w:color="auto" w:fill="CCEEFF"/>
          </w:tcPr>
          <w:p>
            <w:pPr>
              <w:spacing w:after="0"/>
              <w:rPr>
                <w:sz w:val="17"/>
                <w:szCs w:val="17"/>
                <w:color w:val="auto"/>
              </w:rPr>
            </w:pPr>
          </w:p>
        </w:tc>
        <w:tc>
          <w:tcPr>
            <w:tcW w:w="320" w:type="dxa"/>
            <w:vAlign w:val="bottom"/>
            <w:gridSpan w:val="3"/>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-80.8%</w:t>
            </w:r>
          </w:p>
        </w:tc>
      </w:tr>
      <w:tr>
        <w:trPr>
          <w:trHeight w:val="213"/>
        </w:trPr>
        <w:tc>
          <w:tcPr>
            <w:tcW w:w="3880" w:type="dxa"/>
            <w:vAlign w:val="bottom"/>
            <w:gridSpan w:val="6"/>
          </w:tcPr>
          <w:p>
            <w:pPr>
              <w:spacing w:after="0"/>
              <w:rPr>
                <w:sz w:val="20"/>
                <w:szCs w:val="20"/>
                <w:color w:val="auto"/>
              </w:rPr>
            </w:pPr>
            <w:r>
              <w:rPr>
                <w:rFonts w:ascii="Arial" w:cs="Arial" w:eastAsia="Arial" w:hAnsi="Arial"/>
                <w:sz w:val="18"/>
                <w:szCs w:val="18"/>
                <w:color w:val="auto"/>
              </w:rPr>
              <w:t>Total loans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736</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765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722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r>
      <w:tr>
        <w:trPr>
          <w:trHeight w:val="227"/>
        </w:trPr>
        <w:tc>
          <w:tcPr>
            <w:tcW w:w="3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Investments</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w:t>
            </w: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1051</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-28.4%</w:t>
            </w:r>
          </w:p>
        </w:tc>
      </w:tr>
      <w:tr>
        <w:trPr>
          <w:trHeight w:val="207"/>
        </w:trPr>
        <w:tc>
          <w:tcPr>
            <w:tcW w:w="3680" w:type="dxa"/>
            <w:vAlign w:val="bottom"/>
            <w:gridSpan w:val="5"/>
          </w:tcPr>
          <w:p>
            <w:pPr>
              <w:spacing w:after="0"/>
              <w:rPr>
                <w:sz w:val="20"/>
                <w:szCs w:val="20"/>
                <w:color w:val="auto"/>
              </w:rPr>
            </w:pPr>
            <w:r>
              <w:rPr>
                <w:rFonts w:ascii="Arial" w:cs="Arial" w:eastAsia="Arial" w:hAnsi="Arial"/>
                <w:sz w:val="18"/>
                <w:szCs w:val="18"/>
                <w:b w:val="1"/>
                <w:bCs w:val="1"/>
                <w:color w:val="auto"/>
              </w:rPr>
              <w:t>Total interest earning assets</w:t>
            </w: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1,631</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1,606</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2,509</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419"/>
        </w:trPr>
        <w:tc>
          <w:tcPr>
            <w:tcW w:w="3880" w:type="dxa"/>
            <w:vAlign w:val="bottom"/>
            <w:gridSpan w:val="6"/>
          </w:tcPr>
          <w:p>
            <w:pPr>
              <w:spacing w:after="0"/>
              <w:rPr>
                <w:sz w:val="20"/>
                <w:szCs w:val="20"/>
                <w:color w:val="auto"/>
              </w:rPr>
            </w:pPr>
            <w:r>
              <w:rPr>
                <w:rFonts w:ascii="Arial" w:cs="Arial" w:eastAsia="Arial" w:hAnsi="Arial"/>
                <w:sz w:val="18"/>
                <w:szCs w:val="18"/>
                <w:color w:val="auto"/>
                <w:w w:val="91"/>
              </w:rPr>
              <w:t>* Excludes investments in equities and mutual funds.</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7"/>
        </w:trPr>
        <w:tc>
          <w:tcPr>
            <w:tcW w:w="3880" w:type="dxa"/>
            <w:vAlign w:val="bottom"/>
            <w:gridSpan w:val="6"/>
          </w:tcPr>
          <w:p>
            <w:pPr>
              <w:spacing w:after="0"/>
              <w:rPr>
                <w:sz w:val="20"/>
                <w:szCs w:val="20"/>
                <w:color w:val="auto"/>
              </w:rPr>
            </w:pPr>
            <w:r>
              <w:rPr>
                <w:rFonts w:ascii="Arial" w:cs="Arial" w:eastAsia="Arial" w:hAnsi="Arial"/>
                <w:sz w:val="18"/>
                <w:szCs w:val="18"/>
                <w:b w:val="1"/>
                <w:bCs w:val="1"/>
                <w:color w:val="auto"/>
              </w:rPr>
              <w:t>Liabilities</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1"/>
        </w:trPr>
        <w:tc>
          <w:tcPr>
            <w:tcW w:w="3880" w:type="dxa"/>
            <w:vAlign w:val="bottom"/>
            <w:gridSpan w:val="6"/>
          </w:tcPr>
          <w:p>
            <w:pPr>
              <w:spacing w:after="0"/>
              <w:rPr>
                <w:sz w:val="20"/>
                <w:szCs w:val="20"/>
                <w:color w:val="auto"/>
              </w:rPr>
            </w:pPr>
            <w:r>
              <w:rPr>
                <w:rFonts w:ascii="Arial" w:cs="Arial" w:eastAsia="Arial" w:hAnsi="Arial"/>
                <w:sz w:val="18"/>
                <w:szCs w:val="18"/>
                <w:b w:val="1"/>
                <w:bCs w:val="1"/>
                <w:color w:val="auto"/>
              </w:rPr>
              <w:t>Liabilities</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5"/>
          </w:tcPr>
          <w:p>
            <w:pPr>
              <w:jc w:val="center"/>
              <w:ind w:right="600"/>
              <w:spacing w:after="0"/>
              <w:rPr>
                <w:sz w:val="20"/>
                <w:szCs w:val="20"/>
                <w:color w:val="auto"/>
              </w:rPr>
            </w:pPr>
            <w:r>
              <w:rPr>
                <w:rFonts w:ascii="Arial" w:cs="Arial" w:eastAsia="Arial" w:hAnsi="Arial"/>
                <w:sz w:val="18"/>
                <w:szCs w:val="18"/>
                <w:b w:val="1"/>
                <w:bCs w:val="1"/>
                <w:color w:val="auto"/>
                <w:w w:val="95"/>
              </w:rPr>
              <w:t>Quarter</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gridSpan w:val="5"/>
          </w:tcPr>
          <w:p>
            <w:pPr>
              <w:ind w:left="220"/>
              <w:spacing w:after="0"/>
              <w:rPr>
                <w:sz w:val="20"/>
                <w:szCs w:val="20"/>
                <w:color w:val="auto"/>
              </w:rPr>
            </w:pPr>
            <w:r>
              <w:rPr>
                <w:rFonts w:ascii="Arial" w:cs="Arial" w:eastAsia="Arial" w:hAnsi="Arial"/>
                <w:sz w:val="18"/>
                <w:szCs w:val="18"/>
                <w:b w:val="1"/>
                <w:bCs w:val="1"/>
                <w:color w:val="auto"/>
              </w:rPr>
              <w:t>% change</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1"/>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220" w:type="dxa"/>
            <w:vAlign w:val="bottom"/>
            <w:tcBorders>
              <w:bottom w:val="single" w:sz="8" w:color="CCEEFF"/>
            </w:tcBorders>
            <w:gridSpan w:val="2"/>
          </w:tcPr>
          <w:p>
            <w:pPr>
              <w:spacing w:after="0"/>
              <w:rPr>
                <w:sz w:val="19"/>
                <w:szCs w:val="19"/>
                <w:color w:val="auto"/>
              </w:rPr>
            </w:pPr>
          </w:p>
        </w:tc>
        <w:tc>
          <w:tcPr>
            <w:tcW w:w="320" w:type="dxa"/>
            <w:vAlign w:val="bottom"/>
            <w:tcBorders>
              <w:top w:val="single" w:sz="8" w:color="auto"/>
              <w:bottom w:val="single" w:sz="8" w:color="auto"/>
            </w:tcBorders>
            <w:gridSpan w:val="3"/>
          </w:tcPr>
          <w:p>
            <w:pPr>
              <w:spacing w:after="0"/>
              <w:rPr>
                <w:sz w:val="19"/>
                <w:szCs w:val="19"/>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2Q19</w:t>
            </w:r>
          </w:p>
        </w:tc>
        <w:tc>
          <w:tcPr>
            <w:tcW w:w="320" w:type="dxa"/>
            <w:vAlign w:val="bottom"/>
            <w:tcBorders>
              <w:top w:val="single" w:sz="8" w:color="auto"/>
              <w:bottom w:val="single" w:sz="8" w:color="CCEEFF"/>
            </w:tcBorders>
            <w:gridSpan w:val="2"/>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19"/>
                <w:szCs w:val="19"/>
                <w:color w:val="auto"/>
              </w:rPr>
            </w:pPr>
          </w:p>
        </w:tc>
        <w:tc>
          <w:tcPr>
            <w:tcW w:w="1100" w:type="dxa"/>
            <w:vAlign w:val="bottom"/>
            <w:tcBorders>
              <w:top w:val="single" w:sz="8" w:color="auto"/>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0"/>
              </w:rPr>
              <w:t>1Q20</w:t>
            </w:r>
          </w:p>
        </w:tc>
        <w:tc>
          <w:tcPr>
            <w:tcW w:w="320" w:type="dxa"/>
            <w:vAlign w:val="bottom"/>
            <w:tcBorders>
              <w:top w:val="single" w:sz="8" w:color="auto"/>
              <w:bottom w:val="single" w:sz="8" w:color="CCEEFF"/>
            </w:tcBorders>
            <w:gridSpan w:val="2"/>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19"/>
                <w:szCs w:val="19"/>
                <w:color w:val="auto"/>
              </w:rPr>
            </w:pPr>
          </w:p>
        </w:tc>
        <w:tc>
          <w:tcPr>
            <w:tcW w:w="11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2Q20</w:t>
            </w:r>
          </w:p>
        </w:tc>
        <w:tc>
          <w:tcPr>
            <w:tcW w:w="320" w:type="dxa"/>
            <w:vAlign w:val="bottom"/>
            <w:tcBorders>
              <w:bottom w:val="single" w:sz="8" w:color="CCEEFF"/>
            </w:tcBorders>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w w:val="92"/>
              </w:rPr>
              <w:t>QoQ</w:t>
            </w:r>
          </w:p>
        </w:tc>
        <w:tc>
          <w:tcPr>
            <w:tcW w:w="4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gridSpan w:val="2"/>
          </w:tcPr>
          <w:p>
            <w:pPr>
              <w:spacing w:after="0"/>
              <w:rPr>
                <w:sz w:val="19"/>
                <w:szCs w:val="19"/>
                <w:color w:val="auto"/>
              </w:rPr>
            </w:pPr>
          </w:p>
        </w:tc>
      </w:tr>
      <w:tr>
        <w:trPr>
          <w:trHeight w:val="20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220" w:type="dxa"/>
            <w:vAlign w:val="bottom"/>
            <w:gridSpan w:val="2"/>
            <w:shd w:val="clear" w:color="auto" w:fill="CCEEFF"/>
          </w:tcPr>
          <w:p>
            <w:pPr>
              <w:spacing w:after="0"/>
              <w:rPr>
                <w:sz w:val="17"/>
                <w:szCs w:val="17"/>
                <w:color w:val="auto"/>
              </w:rPr>
            </w:pPr>
          </w:p>
        </w:tc>
        <w:tc>
          <w:tcPr>
            <w:tcW w:w="320" w:type="dxa"/>
            <w:vAlign w:val="bottom"/>
            <w:gridSpan w:val="3"/>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4"/>
              </w:rPr>
              <w:t>-10.6%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-39.6%</w:t>
            </w:r>
          </w:p>
        </w:tc>
      </w:tr>
      <w:tr>
        <w:trPr>
          <w:trHeight w:val="213"/>
        </w:trPr>
        <w:tc>
          <w:tcPr>
            <w:tcW w:w="3880" w:type="dxa"/>
            <w:vAlign w:val="bottom"/>
            <w:gridSpan w:val="6"/>
          </w:tcPr>
          <w:p>
            <w:pPr>
              <w:spacing w:after="0"/>
              <w:rPr>
                <w:sz w:val="20"/>
                <w:szCs w:val="20"/>
                <w:color w:val="auto"/>
              </w:rPr>
            </w:pPr>
            <w:r>
              <w:rPr>
                <w:rFonts w:ascii="Arial" w:cs="Arial" w:eastAsia="Arial" w:hAnsi="Arial"/>
                <w:sz w:val="18"/>
                <w:szCs w:val="18"/>
                <w:color w:val="auto"/>
              </w:rPr>
              <w:t>Borrowed Funds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w w:val="88"/>
              </w:rPr>
              <w:t>156.9%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100.0%</w:t>
            </w:r>
          </w:p>
        </w:tc>
      </w:tr>
      <w:tr>
        <w:trPr>
          <w:trHeight w:val="227"/>
        </w:trPr>
        <w:tc>
          <w:tcPr>
            <w:tcW w:w="3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4"/>
              </w:rPr>
              <w:t>-24.8%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-56.1%</w:t>
            </w:r>
          </w:p>
        </w:tc>
      </w:tr>
      <w:tr>
        <w:trPr>
          <w:trHeight w:val="207"/>
        </w:trPr>
        <w:tc>
          <w:tcPr>
            <w:tcW w:w="3680" w:type="dxa"/>
            <w:vAlign w:val="bottom"/>
            <w:gridSpan w:val="5"/>
          </w:tcPr>
          <w:p>
            <w:pPr>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1,672</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1,741</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2,646</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-36.8</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33"/>
        </w:trPr>
        <w:tc>
          <w:tcPr>
            <w:tcW w:w="3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70</w:t>
            </w:r>
          </w:p>
        </w:tc>
      </w:tr>
    </w:tbl>
    <w:p>
      <w:pPr>
        <w:sectPr>
          <w:pgSz w:w="11900" w:h="16838" w:orient="portrait"/>
          <w:cols w:equalWidth="0" w:num="1">
            <w:col w:w="11240"/>
          </w:cols>
          <w:pgMar w:left="320" w:top="895" w:right="339" w:bottom="1440" w:gutter="0" w:footer="0" w:header="0"/>
        </w:sectPr>
      </w:pPr>
    </w:p>
    <w:bookmarkStart w:id="73" w:name="page74"/>
    <w:bookmarkEnd w:id="73"/>
    <w:p>
      <w:pPr>
        <w:jc w:val="center"/>
        <w:ind w:right="1060"/>
        <w:spacing w:after="0"/>
        <w:rPr>
          <w:sz w:val="20"/>
          <w:szCs w:val="20"/>
          <w:color w:val="auto"/>
        </w:rPr>
      </w:pPr>
      <w:r>
        <w:rPr>
          <w:rFonts w:ascii="Arial" w:cs="Arial" w:eastAsia="Arial" w:hAnsi="Arial"/>
          <w:sz w:val="14"/>
          <w:szCs w:val="14"/>
          <w:b w:val="1"/>
          <w:bCs w:val="1"/>
          <w:color w:val="auto"/>
        </w:rPr>
        <w:t>Assets under management and Deposits</w:t>
      </w:r>
    </w:p>
    <w:p>
      <w:pPr>
        <w:spacing w:after="0" w:line="69"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140335</wp:posOffset>
            </wp:positionV>
            <wp:extent cx="4346575" cy="2948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46575" cy="2948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Portfolio distribution as of June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987425</wp:posOffset>
            </wp:positionH>
            <wp:positionV relativeFrom="paragraph">
              <wp:posOffset>151130</wp:posOffset>
            </wp:positionV>
            <wp:extent cx="3710940" cy="2567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710940" cy="256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13335</wp:posOffset>
            </wp:positionV>
            <wp:extent cx="71342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080"/>
          </w:cols>
          <w:pgMar w:left="1440" w:top="895" w:right="37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11.9. Grupo Pacifico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GRUPO PACIFICO *</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in thousands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300"/>
              <w:spacing w:after="0"/>
              <w:rPr>
                <w:sz w:val="20"/>
                <w:szCs w:val="20"/>
                <w:color w:val="auto"/>
              </w:rPr>
            </w:pPr>
            <w:r>
              <w:rPr>
                <w:rFonts w:ascii="Arial" w:cs="Arial" w:eastAsia="Arial" w:hAnsi="Arial"/>
                <w:sz w:val="16"/>
                <w:szCs w:val="16"/>
                <w:b w:val="1"/>
                <w:bCs w:val="1"/>
                <w:color w:val="auto"/>
              </w:rPr>
              <w:t>As of</w:t>
            </w:r>
          </w:p>
        </w:tc>
        <w:tc>
          <w:tcPr>
            <w:tcW w:w="10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w w:val="99"/>
              </w:rPr>
              <w:t>% change</w:t>
            </w:r>
          </w:p>
        </w:tc>
        <w:tc>
          <w:tcPr>
            <w:tcW w:w="7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9"/>
        </w:trPr>
        <w:tc>
          <w:tcPr>
            <w:tcW w:w="51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Jun 19</w:t>
            </w: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Mar 20</w:t>
            </w: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Jun 20</w:t>
            </w:r>
          </w:p>
        </w:tc>
        <w:tc>
          <w:tcPr>
            <w:tcW w:w="2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QoQ</w:t>
            </w: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YoY</w:t>
            </w:r>
          </w:p>
        </w:tc>
        <w:tc>
          <w:tcPr>
            <w:tcW w:w="140" w:type="dxa"/>
            <w:vAlign w:val="bottom"/>
            <w:tcBorders>
              <w:bottom w:val="single" w:sz="8" w:color="CCEEFF"/>
            </w:tcBorders>
          </w:tcPr>
          <w:p>
            <w:pPr>
              <w:spacing w:after="0"/>
              <w:rPr>
                <w:sz w:val="17"/>
                <w:szCs w:val="17"/>
                <w:color w:val="auto"/>
              </w:rPr>
            </w:pPr>
          </w:p>
        </w:tc>
      </w:tr>
      <w:tr>
        <w:trPr>
          <w:trHeight w:val="193"/>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13,154,757</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13,729,726</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14,509,571</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5.7%</w:t>
            </w:r>
          </w:p>
        </w:tc>
        <w:tc>
          <w:tcPr>
            <w:tcW w:w="3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00"/>
        </w:trPr>
        <w:tc>
          <w:tcPr>
            <w:tcW w:w="5180" w:type="dxa"/>
            <w:vAlign w:val="bottom"/>
          </w:tcPr>
          <w:p>
            <w:pPr>
              <w:spacing w:after="0"/>
              <w:rPr>
                <w:sz w:val="20"/>
                <w:szCs w:val="20"/>
                <w:color w:val="auto"/>
              </w:rPr>
            </w:pPr>
            <w:r>
              <w:rPr>
                <w:rFonts w:ascii="Arial" w:cs="Arial" w:eastAsia="Arial" w:hAnsi="Arial"/>
                <w:sz w:val="16"/>
                <w:szCs w:val="16"/>
                <w:color w:val="auto"/>
              </w:rPr>
              <w:t>Investment on securities (1)</w:t>
            </w:r>
          </w:p>
        </w:tc>
        <w:tc>
          <w:tcPr>
            <w:tcW w:w="1040" w:type="dxa"/>
            <w:vAlign w:val="bottom"/>
          </w:tcPr>
          <w:p>
            <w:pPr>
              <w:jc w:val="right"/>
              <w:spacing w:after="0"/>
              <w:rPr>
                <w:sz w:val="20"/>
                <w:szCs w:val="20"/>
                <w:color w:val="auto"/>
              </w:rPr>
            </w:pPr>
            <w:r>
              <w:rPr>
                <w:rFonts w:ascii="Arial" w:cs="Arial" w:eastAsia="Arial" w:hAnsi="Arial"/>
                <w:sz w:val="16"/>
                <w:szCs w:val="16"/>
                <w:color w:val="auto"/>
              </w:rPr>
              <w:t>9,642,535</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10,586,838</w:t>
            </w:r>
          </w:p>
        </w:tc>
        <w:tc>
          <w:tcPr>
            <w:tcW w:w="22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11,089,545</w:t>
            </w:r>
          </w:p>
        </w:tc>
        <w:tc>
          <w:tcPr>
            <w:tcW w:w="720" w:type="dxa"/>
            <w:vAlign w:val="bottom"/>
          </w:tcPr>
          <w:p>
            <w:pPr>
              <w:spacing w:after="0"/>
              <w:rPr>
                <w:sz w:val="17"/>
                <w:szCs w:val="17"/>
                <w:color w:val="auto"/>
              </w:rPr>
            </w:pPr>
          </w:p>
        </w:tc>
        <w:tc>
          <w:tcPr>
            <w:tcW w:w="520" w:type="dxa"/>
            <w:vAlign w:val="bottom"/>
            <w:gridSpan w:val="2"/>
          </w:tcPr>
          <w:p>
            <w:pPr>
              <w:ind w:left="80"/>
              <w:spacing w:after="0"/>
              <w:rPr>
                <w:sz w:val="20"/>
                <w:szCs w:val="20"/>
                <w:color w:val="auto"/>
              </w:rPr>
            </w:pPr>
            <w:r>
              <w:rPr>
                <w:rFonts w:ascii="Arial" w:cs="Arial" w:eastAsia="Arial" w:hAnsi="Arial"/>
                <w:sz w:val="16"/>
                <w:szCs w:val="16"/>
                <w:color w:val="auto"/>
              </w:rPr>
              <w:t>4.7%</w:t>
            </w:r>
          </w:p>
        </w:tc>
        <w:tc>
          <w:tcPr>
            <w:tcW w:w="3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15.0%</w:t>
            </w:r>
          </w:p>
        </w:tc>
      </w:tr>
      <w:tr>
        <w:trPr>
          <w:trHeight w:val="200"/>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Technical reserves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8,946,136</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9,980,047</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10,635,795</w:t>
            </w:r>
          </w:p>
        </w:tc>
        <w:tc>
          <w:tcPr>
            <w:tcW w:w="7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6.6%</w:t>
            </w: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05"/>
        </w:trPr>
        <w:tc>
          <w:tcPr>
            <w:tcW w:w="5180" w:type="dxa"/>
            <w:vAlign w:val="bottom"/>
          </w:tcPr>
          <w:p>
            <w:pPr>
              <w:spacing w:after="0"/>
              <w:rPr>
                <w:sz w:val="20"/>
                <w:szCs w:val="20"/>
                <w:color w:val="auto"/>
              </w:rPr>
            </w:pPr>
            <w:r>
              <w:rPr>
                <w:rFonts w:ascii="Arial" w:cs="Arial" w:eastAsia="Arial" w:hAnsi="Arial"/>
                <w:sz w:val="16"/>
                <w:szCs w:val="16"/>
                <w:color w:val="auto"/>
              </w:rPr>
              <w:t>Net equity</w:t>
            </w:r>
          </w:p>
        </w:tc>
        <w:tc>
          <w:tcPr>
            <w:tcW w:w="1040" w:type="dxa"/>
            <w:vAlign w:val="bottom"/>
          </w:tcPr>
          <w:p>
            <w:pPr>
              <w:jc w:val="right"/>
              <w:spacing w:after="0"/>
              <w:rPr>
                <w:sz w:val="20"/>
                <w:szCs w:val="20"/>
                <w:color w:val="auto"/>
              </w:rPr>
            </w:pPr>
            <w:r>
              <w:rPr>
                <w:rFonts w:ascii="Arial" w:cs="Arial" w:eastAsia="Arial" w:hAnsi="Arial"/>
                <w:sz w:val="16"/>
                <w:szCs w:val="16"/>
                <w:color w:val="auto"/>
              </w:rPr>
              <w:t>3,097,078</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2,724,095</w:t>
            </w:r>
          </w:p>
        </w:tc>
        <w:tc>
          <w:tcPr>
            <w:tcW w:w="22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2,821,972</w:t>
            </w:r>
          </w:p>
        </w:tc>
        <w:tc>
          <w:tcPr>
            <w:tcW w:w="720" w:type="dxa"/>
            <w:vAlign w:val="bottom"/>
          </w:tcPr>
          <w:p>
            <w:pPr>
              <w:spacing w:after="0"/>
              <w:rPr>
                <w:sz w:val="17"/>
                <w:szCs w:val="17"/>
                <w:color w:val="auto"/>
              </w:rPr>
            </w:pPr>
          </w:p>
        </w:tc>
        <w:tc>
          <w:tcPr>
            <w:tcW w:w="520" w:type="dxa"/>
            <w:vAlign w:val="bottom"/>
            <w:gridSpan w:val="2"/>
          </w:tcPr>
          <w:p>
            <w:pPr>
              <w:ind w:left="80"/>
              <w:spacing w:after="0"/>
              <w:rPr>
                <w:sz w:val="20"/>
                <w:szCs w:val="20"/>
                <w:color w:val="auto"/>
              </w:rPr>
            </w:pPr>
            <w:r>
              <w:rPr>
                <w:rFonts w:ascii="Arial" w:cs="Arial" w:eastAsia="Arial" w:hAnsi="Arial"/>
                <w:sz w:val="16"/>
                <w:szCs w:val="16"/>
                <w:color w:val="auto"/>
              </w:rPr>
              <w:t>3.6%</w:t>
            </w:r>
          </w:p>
        </w:tc>
        <w:tc>
          <w:tcPr>
            <w:tcW w:w="3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-8.9%</w:t>
            </w: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3"/>
          </w:tcPr>
          <w:p>
            <w:pPr>
              <w:ind w:left="620"/>
              <w:spacing w:after="0"/>
              <w:rPr>
                <w:sz w:val="20"/>
                <w:szCs w:val="20"/>
                <w:color w:val="auto"/>
              </w:rPr>
            </w:pPr>
            <w:r>
              <w:rPr>
                <w:rFonts w:ascii="Arial" w:cs="Arial" w:eastAsia="Arial" w:hAnsi="Arial"/>
                <w:sz w:val="14"/>
                <w:szCs w:val="14"/>
                <w:b w:val="1"/>
                <w:bCs w:val="1"/>
                <w:color w:val="auto"/>
                <w:w w:val="97"/>
              </w:rPr>
              <w:t>% change</w:t>
            </w: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YTD</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74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2Q19</w:t>
            </w:r>
          </w:p>
        </w:tc>
        <w:tc>
          <w:tcPr>
            <w:tcW w:w="200" w:type="dxa"/>
            <w:vAlign w:val="bottom"/>
            <w:vMerge w:val="restart"/>
          </w:tcPr>
          <w:p>
            <w:pPr>
              <w:spacing w:after="0" w:line="20" w:lineRule="exact"/>
              <w:rPr>
                <w:sz w:val="1"/>
                <w:szCs w:val="1"/>
                <w:color w:val="auto"/>
              </w:rPr>
            </w:pPr>
          </w:p>
        </w:tc>
        <w:tc>
          <w:tcPr>
            <w:tcW w:w="74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1Q20</w:t>
            </w:r>
          </w:p>
        </w:tc>
        <w:tc>
          <w:tcPr>
            <w:tcW w:w="220" w:type="dxa"/>
            <w:vAlign w:val="bottom"/>
            <w:vMerge w:val="restart"/>
          </w:tcPr>
          <w:p>
            <w:pPr>
              <w:spacing w:after="0" w:line="20" w:lineRule="exact"/>
              <w:rPr>
                <w:sz w:val="1"/>
                <w:szCs w:val="1"/>
                <w:color w:val="auto"/>
              </w:rPr>
            </w:pPr>
          </w:p>
        </w:tc>
        <w:tc>
          <w:tcPr>
            <w:tcW w:w="74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2Q20</w:t>
            </w:r>
          </w:p>
        </w:tc>
        <w:tc>
          <w:tcPr>
            <w:tcW w:w="200" w:type="dxa"/>
            <w:vAlign w:val="bottom"/>
            <w:vMerge w:val="restart"/>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6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Jun 19</w:t>
            </w:r>
          </w:p>
        </w:tc>
        <w:tc>
          <w:tcPr>
            <w:tcW w:w="2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4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w w:val="99"/>
              </w:rPr>
              <w:t>Jun 20</w:t>
            </w:r>
          </w:p>
        </w:tc>
        <w:tc>
          <w:tcPr>
            <w:tcW w:w="22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98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CCEEFF"/>
            </w:tcBorders>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CCEEFF"/>
            </w:tcBorders>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CCEEFF"/>
            </w:tcBorders>
            <w:vMerge w:val="continue"/>
          </w:tcPr>
          <w:p>
            <w:pPr>
              <w:spacing w:after="0"/>
              <w:rPr>
                <w:sz w:val="11"/>
                <w:szCs w:val="11"/>
                <w:color w:val="auto"/>
              </w:rPr>
            </w:pPr>
          </w:p>
        </w:tc>
        <w:tc>
          <w:tcPr>
            <w:tcW w:w="720" w:type="dxa"/>
            <w:vAlign w:val="bottom"/>
            <w:tcBorders>
              <w:bottom w:val="single" w:sz="8" w:color="auto"/>
            </w:tcBorders>
          </w:tcPr>
          <w:p>
            <w:pPr>
              <w:ind w:left="220"/>
              <w:spacing w:after="0" w:line="127" w:lineRule="exact"/>
              <w:rPr>
                <w:sz w:val="20"/>
                <w:szCs w:val="20"/>
                <w:color w:val="auto"/>
              </w:rPr>
            </w:pPr>
            <w:r>
              <w:rPr>
                <w:rFonts w:ascii="Arial" w:cs="Arial" w:eastAsia="Arial" w:hAnsi="Arial"/>
                <w:sz w:val="14"/>
                <w:szCs w:val="14"/>
                <w:b w:val="1"/>
                <w:bCs w:val="1"/>
                <w:color w:val="auto"/>
              </w:rPr>
              <w:t>QoQ</w:t>
            </w:r>
          </w:p>
        </w:tc>
        <w:tc>
          <w:tcPr>
            <w:tcW w:w="4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ind w:left="60"/>
              <w:spacing w:after="0" w:line="127" w:lineRule="exact"/>
              <w:rPr>
                <w:sz w:val="20"/>
                <w:szCs w:val="20"/>
                <w:color w:val="auto"/>
              </w:rPr>
            </w:pPr>
            <w:r>
              <w:rPr>
                <w:rFonts w:ascii="Arial" w:cs="Arial" w:eastAsia="Arial" w:hAnsi="Arial"/>
                <w:sz w:val="14"/>
                <w:szCs w:val="14"/>
                <w:b w:val="1"/>
                <w:bCs w:val="1"/>
                <w:color w:val="auto"/>
              </w:rPr>
              <w:t>YoY</w:t>
            </w:r>
          </w:p>
        </w:tc>
        <w:tc>
          <w:tcPr>
            <w:tcW w:w="400" w:type="dxa"/>
            <w:vAlign w:val="bottom"/>
            <w:tcBorders>
              <w:bottom w:val="single" w:sz="8" w:color="CCEEFF"/>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CCEEFF"/>
            </w:tcBorders>
            <w:vMerge w:val="continue"/>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CCEEFF"/>
            </w:tcBorders>
            <w:vMerge w:val="continue"/>
          </w:tcPr>
          <w:p>
            <w:pPr>
              <w:spacing w:after="0"/>
              <w:rPr>
                <w:sz w:val="11"/>
                <w:szCs w:val="11"/>
                <w:color w:val="auto"/>
              </w:rPr>
            </w:pPr>
          </w:p>
        </w:tc>
        <w:tc>
          <w:tcPr>
            <w:tcW w:w="940" w:type="dxa"/>
            <w:vAlign w:val="bottom"/>
            <w:tcBorders>
              <w:bottom w:val="single" w:sz="8" w:color="auto"/>
            </w:tcBorders>
          </w:tcPr>
          <w:p>
            <w:pPr>
              <w:jc w:val="center"/>
              <w:spacing w:after="0" w:line="127" w:lineRule="exact"/>
              <w:rPr>
                <w:sz w:val="20"/>
                <w:szCs w:val="20"/>
                <w:color w:val="auto"/>
              </w:rPr>
            </w:pPr>
            <w:r>
              <w:rPr>
                <w:rFonts w:ascii="Arial" w:cs="Arial" w:eastAsia="Arial" w:hAnsi="Arial"/>
                <w:sz w:val="14"/>
                <w:szCs w:val="14"/>
                <w:b w:val="1"/>
                <w:bCs w:val="1"/>
                <w:color w:val="auto"/>
                <w:w w:val="91"/>
              </w:rPr>
              <w:t>Jun 20 / Jun 19</w:t>
            </w:r>
          </w:p>
        </w:tc>
        <w:tc>
          <w:tcPr>
            <w:tcW w:w="28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9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Net earned premiums</w:t>
            </w:r>
          </w:p>
        </w:tc>
        <w:tc>
          <w:tcPr>
            <w:tcW w:w="74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592,546</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640,707</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560,754</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line="140" w:lineRule="exact"/>
              <w:rPr>
                <w:sz w:val="20"/>
                <w:szCs w:val="20"/>
                <w:color w:val="auto"/>
              </w:rPr>
            </w:pPr>
            <w:r>
              <w:rPr>
                <w:rFonts w:ascii="Arial" w:cs="Arial" w:eastAsia="Arial" w:hAnsi="Arial"/>
                <w:sz w:val="14"/>
                <w:szCs w:val="14"/>
                <w:color w:val="auto"/>
              </w:rPr>
              <w:t>-12.5%</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0" w:lineRule="exact"/>
              <w:rPr>
                <w:sz w:val="20"/>
                <w:szCs w:val="20"/>
                <w:color w:val="auto"/>
              </w:rPr>
            </w:pPr>
            <w:r>
              <w:rPr>
                <w:rFonts w:ascii="Arial" w:cs="Arial" w:eastAsia="Arial" w:hAnsi="Arial"/>
                <w:sz w:val="14"/>
                <w:szCs w:val="14"/>
                <w:color w:val="auto"/>
              </w:rPr>
              <w:t>-5.4%</w:t>
            </w:r>
          </w:p>
        </w:tc>
        <w:tc>
          <w:tcPr>
            <w:tcW w:w="76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1,181,488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w w:val="99"/>
              </w:rPr>
              <w:t>1,201,461</w:t>
            </w: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7"/>
        </w:trPr>
        <w:tc>
          <w:tcPr>
            <w:tcW w:w="2980" w:type="dxa"/>
            <w:vAlign w:val="bottom"/>
          </w:tcPr>
          <w:p>
            <w:pPr>
              <w:spacing w:after="0" w:line="147" w:lineRule="exact"/>
              <w:rPr>
                <w:sz w:val="20"/>
                <w:szCs w:val="20"/>
                <w:color w:val="auto"/>
              </w:rPr>
            </w:pPr>
            <w:r>
              <w:rPr>
                <w:rFonts w:ascii="Arial" w:cs="Arial" w:eastAsia="Arial" w:hAnsi="Arial"/>
                <w:sz w:val="14"/>
                <w:szCs w:val="14"/>
                <w:color w:val="auto"/>
              </w:rPr>
              <w:t>Net claims</w:t>
            </w:r>
          </w:p>
        </w:tc>
        <w:tc>
          <w:tcPr>
            <w:tcW w:w="94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(379,718)</w:t>
            </w:r>
          </w:p>
        </w:tc>
        <w:tc>
          <w:tcPr>
            <w:tcW w:w="96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(383,525)</w:t>
            </w:r>
          </w:p>
        </w:tc>
        <w:tc>
          <w:tcPr>
            <w:tcW w:w="94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(335,152)</w:t>
            </w:r>
          </w:p>
        </w:tc>
        <w:tc>
          <w:tcPr>
            <w:tcW w:w="112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-12.6%</w:t>
            </w: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-11.7%</w:t>
            </w:r>
          </w:p>
        </w:tc>
        <w:tc>
          <w:tcPr>
            <w:tcW w:w="98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(766,239)</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(718,677)</w:t>
            </w:r>
          </w:p>
        </w:tc>
        <w:tc>
          <w:tcPr>
            <w:tcW w:w="122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7"/>
        </w:trPr>
        <w:tc>
          <w:tcPr>
            <w:tcW w:w="29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Net fees</w:t>
            </w:r>
          </w:p>
        </w:tc>
        <w:tc>
          <w:tcPr>
            <w:tcW w:w="94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(138,357)</w:t>
            </w:r>
          </w:p>
        </w:tc>
        <w:tc>
          <w:tcPr>
            <w:tcW w:w="9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(156,165)</w:t>
            </w:r>
          </w:p>
        </w:tc>
        <w:tc>
          <w:tcPr>
            <w:tcW w:w="94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(118,750)</w:t>
            </w:r>
          </w:p>
        </w:tc>
        <w:tc>
          <w:tcPr>
            <w:tcW w:w="112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-24.0%</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-14.2%</w:t>
            </w:r>
          </w:p>
        </w:tc>
        <w:tc>
          <w:tcPr>
            <w:tcW w:w="98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(272,864)</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(274,916)</w:t>
            </w:r>
          </w:p>
        </w:tc>
        <w:tc>
          <w:tcPr>
            <w:tcW w:w="122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7"/>
        </w:trPr>
        <w:tc>
          <w:tcPr>
            <w:tcW w:w="2980" w:type="dxa"/>
            <w:vAlign w:val="bottom"/>
          </w:tcPr>
          <w:p>
            <w:pPr>
              <w:spacing w:after="0" w:line="147" w:lineRule="exact"/>
              <w:rPr>
                <w:sz w:val="20"/>
                <w:szCs w:val="20"/>
                <w:color w:val="auto"/>
              </w:rPr>
            </w:pPr>
            <w:r>
              <w:rPr>
                <w:rFonts w:ascii="Arial" w:cs="Arial" w:eastAsia="Arial" w:hAnsi="Arial"/>
                <w:sz w:val="14"/>
                <w:szCs w:val="14"/>
                <w:color w:val="auto"/>
              </w:rPr>
              <w:t>Net underwriting expenses</w:t>
            </w:r>
          </w:p>
        </w:tc>
        <w:tc>
          <w:tcPr>
            <w:tcW w:w="94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(33,761)</w:t>
            </w:r>
          </w:p>
        </w:tc>
        <w:tc>
          <w:tcPr>
            <w:tcW w:w="96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(50,159)</w:t>
            </w:r>
          </w:p>
        </w:tc>
        <w:tc>
          <w:tcPr>
            <w:tcW w:w="94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(40,105)</w:t>
            </w:r>
          </w:p>
        </w:tc>
        <w:tc>
          <w:tcPr>
            <w:tcW w:w="112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-20.0%</w:t>
            </w: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18.8%</w:t>
            </w:r>
          </w:p>
        </w:tc>
        <w:tc>
          <w:tcPr>
            <w:tcW w:w="98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(70,772)</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(90,264)</w:t>
            </w:r>
          </w:p>
        </w:tc>
        <w:tc>
          <w:tcPr>
            <w:tcW w:w="122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47"/>
        </w:trPr>
        <w:tc>
          <w:tcPr>
            <w:tcW w:w="298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Underwriting result</w:t>
            </w:r>
          </w:p>
        </w:tc>
        <w:tc>
          <w:tcPr>
            <w:tcW w:w="94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b w:val="1"/>
                <w:bCs w:val="1"/>
                <w:color w:val="auto"/>
              </w:rPr>
              <w:t>40,710</w:t>
            </w:r>
          </w:p>
        </w:tc>
        <w:tc>
          <w:tcPr>
            <w:tcW w:w="9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b w:val="1"/>
                <w:bCs w:val="1"/>
                <w:color w:val="auto"/>
              </w:rPr>
              <w:t>50,858</w:t>
            </w:r>
          </w:p>
        </w:tc>
        <w:tc>
          <w:tcPr>
            <w:tcW w:w="94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b w:val="1"/>
                <w:bCs w:val="1"/>
                <w:color w:val="auto"/>
              </w:rPr>
              <w:t>66,746</w:t>
            </w:r>
          </w:p>
        </w:tc>
        <w:tc>
          <w:tcPr>
            <w:tcW w:w="112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b w:val="1"/>
                <w:bCs w:val="1"/>
                <w:color w:val="auto"/>
              </w:rPr>
              <w:t>31.2%</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b w:val="1"/>
                <w:bCs w:val="1"/>
                <w:color w:val="auto"/>
              </w:rPr>
              <w:t>64.0%</w:t>
            </w:r>
          </w:p>
        </w:tc>
        <w:tc>
          <w:tcPr>
            <w:tcW w:w="98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b w:val="1"/>
                <w:bCs w:val="1"/>
                <w:color w:val="auto"/>
              </w:rPr>
              <w:t>71,612</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b w:val="1"/>
                <w:bCs w:val="1"/>
                <w:color w:val="auto"/>
              </w:rPr>
              <w:t>117,604</w:t>
            </w:r>
          </w:p>
        </w:tc>
        <w:tc>
          <w:tcPr>
            <w:tcW w:w="12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b w:val="1"/>
                <w:bCs w:val="1"/>
                <w:color w:val="auto"/>
              </w:rPr>
              <w:t>64.2%</w:t>
            </w:r>
          </w:p>
        </w:tc>
        <w:tc>
          <w:tcPr>
            <w:tcW w:w="0" w:type="dxa"/>
            <w:vAlign w:val="bottom"/>
          </w:tcPr>
          <w:p>
            <w:pPr>
              <w:spacing w:after="0"/>
              <w:rPr>
                <w:sz w:val="1"/>
                <w:szCs w:val="1"/>
                <w:color w:val="auto"/>
              </w:rPr>
            </w:pPr>
          </w:p>
        </w:tc>
      </w:tr>
      <w:tr>
        <w:trPr>
          <w:trHeight w:val="147"/>
        </w:trPr>
        <w:tc>
          <w:tcPr>
            <w:tcW w:w="2980" w:type="dxa"/>
            <w:vAlign w:val="bottom"/>
          </w:tcPr>
          <w:p>
            <w:pPr>
              <w:spacing w:after="0" w:line="147" w:lineRule="exact"/>
              <w:rPr>
                <w:sz w:val="20"/>
                <w:szCs w:val="20"/>
                <w:color w:val="auto"/>
              </w:rPr>
            </w:pPr>
            <w:r>
              <w:rPr>
                <w:rFonts w:ascii="Arial" w:cs="Arial" w:eastAsia="Arial" w:hAnsi="Arial"/>
                <w:sz w:val="14"/>
                <w:szCs w:val="14"/>
                <w:color w:val="auto"/>
              </w:rPr>
              <w:t>Net financial income</w:t>
            </w:r>
          </w:p>
        </w:tc>
        <w:tc>
          <w:tcPr>
            <w:tcW w:w="94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150,249</w:t>
            </w:r>
          </w:p>
        </w:tc>
        <w:tc>
          <w:tcPr>
            <w:tcW w:w="9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135,099</w:t>
            </w:r>
          </w:p>
        </w:tc>
        <w:tc>
          <w:tcPr>
            <w:tcW w:w="94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137,648</w:t>
            </w:r>
          </w:p>
        </w:tc>
        <w:tc>
          <w:tcPr>
            <w:tcW w:w="112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1.9%</w:t>
            </w: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-8.4%</w:t>
            </w:r>
          </w:p>
        </w:tc>
        <w:tc>
          <w:tcPr>
            <w:tcW w:w="98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293,605</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272,747</w:t>
            </w:r>
          </w:p>
        </w:tc>
        <w:tc>
          <w:tcPr>
            <w:tcW w:w="122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7"/>
        </w:trPr>
        <w:tc>
          <w:tcPr>
            <w:tcW w:w="29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Total expenses</w:t>
            </w:r>
          </w:p>
        </w:tc>
        <w:tc>
          <w:tcPr>
            <w:tcW w:w="94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(107,614)</w:t>
            </w:r>
          </w:p>
        </w:tc>
        <w:tc>
          <w:tcPr>
            <w:tcW w:w="9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(105,254)</w:t>
            </w:r>
          </w:p>
        </w:tc>
        <w:tc>
          <w:tcPr>
            <w:tcW w:w="94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(112,832)</w:t>
            </w:r>
          </w:p>
        </w:tc>
        <w:tc>
          <w:tcPr>
            <w:tcW w:w="112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7.2%</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4.8%</w:t>
            </w:r>
          </w:p>
        </w:tc>
        <w:tc>
          <w:tcPr>
            <w:tcW w:w="98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(215,064)</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(218,086)</w:t>
            </w:r>
          </w:p>
        </w:tc>
        <w:tc>
          <w:tcPr>
            <w:tcW w:w="122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7"/>
        </w:trPr>
        <w:tc>
          <w:tcPr>
            <w:tcW w:w="2980" w:type="dxa"/>
            <w:vAlign w:val="bottom"/>
          </w:tcPr>
          <w:p>
            <w:pPr>
              <w:spacing w:after="0" w:line="147" w:lineRule="exact"/>
              <w:rPr>
                <w:sz w:val="20"/>
                <w:szCs w:val="20"/>
                <w:color w:val="auto"/>
              </w:rPr>
            </w:pPr>
            <w:r>
              <w:rPr>
                <w:rFonts w:ascii="Arial" w:cs="Arial" w:eastAsia="Arial" w:hAnsi="Arial"/>
                <w:sz w:val="14"/>
                <w:szCs w:val="14"/>
                <w:color w:val="auto"/>
              </w:rPr>
              <w:t>Other income</w:t>
            </w:r>
          </w:p>
        </w:tc>
        <w:tc>
          <w:tcPr>
            <w:tcW w:w="94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8,772</w:t>
            </w:r>
          </w:p>
        </w:tc>
        <w:tc>
          <w:tcPr>
            <w:tcW w:w="9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8,339</w:t>
            </w:r>
          </w:p>
        </w:tc>
        <w:tc>
          <w:tcPr>
            <w:tcW w:w="94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11,435</w:t>
            </w:r>
          </w:p>
        </w:tc>
        <w:tc>
          <w:tcPr>
            <w:tcW w:w="112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37.1%</w:t>
            </w: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30.3%</w:t>
            </w:r>
          </w:p>
        </w:tc>
        <w:tc>
          <w:tcPr>
            <w:tcW w:w="98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15,870</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19,774</w:t>
            </w:r>
          </w:p>
        </w:tc>
        <w:tc>
          <w:tcPr>
            <w:tcW w:w="122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47"/>
        </w:trPr>
        <w:tc>
          <w:tcPr>
            <w:tcW w:w="29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Traslations results</w:t>
            </w:r>
          </w:p>
        </w:tc>
        <w:tc>
          <w:tcPr>
            <w:tcW w:w="94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(478)</w:t>
            </w:r>
          </w:p>
        </w:tc>
        <w:tc>
          <w:tcPr>
            <w:tcW w:w="9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1,590</w:t>
            </w: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151</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-90.5%</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-131.7%</w:t>
            </w:r>
          </w:p>
        </w:tc>
        <w:tc>
          <w:tcPr>
            <w:tcW w:w="98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(978)</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1,741</w:t>
            </w:r>
          </w:p>
        </w:tc>
        <w:tc>
          <w:tcPr>
            <w:tcW w:w="122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-277.9%</w:t>
            </w:r>
          </w:p>
        </w:tc>
        <w:tc>
          <w:tcPr>
            <w:tcW w:w="0" w:type="dxa"/>
            <w:vAlign w:val="bottom"/>
          </w:tcPr>
          <w:p>
            <w:pPr>
              <w:spacing w:after="0"/>
              <w:rPr>
                <w:sz w:val="1"/>
                <w:szCs w:val="1"/>
                <w:color w:val="auto"/>
              </w:rPr>
            </w:pPr>
          </w:p>
        </w:tc>
      </w:tr>
      <w:tr>
        <w:trPr>
          <w:trHeight w:val="128"/>
        </w:trPr>
        <w:tc>
          <w:tcPr>
            <w:tcW w:w="2980" w:type="dxa"/>
            <w:vAlign w:val="bottom"/>
          </w:tcPr>
          <w:p>
            <w:pPr>
              <w:spacing w:after="0" w:line="128" w:lineRule="exact"/>
              <w:rPr>
                <w:sz w:val="20"/>
                <w:szCs w:val="20"/>
                <w:color w:val="auto"/>
              </w:rPr>
            </w:pPr>
            <w:r>
              <w:rPr>
                <w:rFonts w:ascii="Arial" w:cs="Arial" w:eastAsia="Arial" w:hAnsi="Arial"/>
                <w:sz w:val="14"/>
                <w:szCs w:val="14"/>
                <w:color w:val="auto"/>
                <w:w w:val="92"/>
              </w:rPr>
              <w:t>Net gain on associates - EPS business and medical</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980" w:type="dxa"/>
            <w:vAlign w:val="bottom"/>
          </w:tcPr>
          <w:p>
            <w:pPr>
              <w:spacing w:after="0"/>
              <w:rPr>
                <w:sz w:val="20"/>
                <w:szCs w:val="20"/>
                <w:color w:val="auto"/>
              </w:rPr>
            </w:pPr>
            <w:r>
              <w:rPr>
                <w:rFonts w:ascii="Arial" w:cs="Arial" w:eastAsia="Arial" w:hAnsi="Arial"/>
                <w:sz w:val="14"/>
                <w:szCs w:val="14"/>
                <w:color w:val="auto"/>
              </w:rPr>
              <w:t>services</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12,758</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17,186</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16,806</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-2.2%</w:t>
            </w:r>
          </w:p>
        </w:tc>
        <w:tc>
          <w:tcPr>
            <w:tcW w:w="16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31.7%</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14,194</w:t>
            </w:r>
          </w:p>
        </w:tc>
        <w:tc>
          <w:tcPr>
            <w:tcW w:w="12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9,617</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47"/>
        </w:trPr>
        <w:tc>
          <w:tcPr>
            <w:tcW w:w="29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Medical Assistance insurance deduction</w:t>
            </w:r>
          </w:p>
        </w:tc>
        <w:tc>
          <w:tcPr>
            <w:tcW w:w="94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(4,746)</w:t>
            </w:r>
          </w:p>
        </w:tc>
        <w:tc>
          <w:tcPr>
            <w:tcW w:w="9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(6,430)</w:t>
            </w:r>
          </w:p>
        </w:tc>
        <w:tc>
          <w:tcPr>
            <w:tcW w:w="94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(17,944)</w:t>
            </w:r>
          </w:p>
        </w:tc>
        <w:tc>
          <w:tcPr>
            <w:tcW w:w="112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179.0%</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278.1%</w:t>
            </w:r>
          </w:p>
        </w:tc>
        <w:tc>
          <w:tcPr>
            <w:tcW w:w="98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(7,482)</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(24,374)</w:t>
            </w:r>
          </w:p>
        </w:tc>
        <w:tc>
          <w:tcPr>
            <w:tcW w:w="122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225.8%</w:t>
            </w:r>
          </w:p>
        </w:tc>
        <w:tc>
          <w:tcPr>
            <w:tcW w:w="0" w:type="dxa"/>
            <w:vAlign w:val="bottom"/>
          </w:tcPr>
          <w:p>
            <w:pPr>
              <w:spacing w:after="0"/>
              <w:rPr>
                <w:sz w:val="1"/>
                <w:szCs w:val="1"/>
                <w:color w:val="auto"/>
              </w:rPr>
            </w:pPr>
          </w:p>
        </w:tc>
      </w:tr>
      <w:tr>
        <w:trPr>
          <w:trHeight w:val="147"/>
        </w:trPr>
        <w:tc>
          <w:tcPr>
            <w:tcW w:w="2980" w:type="dxa"/>
            <w:vAlign w:val="bottom"/>
          </w:tcPr>
          <w:p>
            <w:pPr>
              <w:spacing w:after="0" w:line="147" w:lineRule="exact"/>
              <w:rPr>
                <w:sz w:val="20"/>
                <w:szCs w:val="20"/>
                <w:color w:val="auto"/>
              </w:rPr>
            </w:pPr>
            <w:r>
              <w:rPr>
                <w:rFonts w:ascii="Arial" w:cs="Arial" w:eastAsia="Arial" w:hAnsi="Arial"/>
                <w:sz w:val="14"/>
                <w:szCs w:val="14"/>
                <w:color w:val="auto"/>
              </w:rPr>
              <w:t>Income tax</w:t>
            </w:r>
          </w:p>
        </w:tc>
        <w:tc>
          <w:tcPr>
            <w:tcW w:w="94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(1,359)</w:t>
            </w:r>
          </w:p>
        </w:tc>
        <w:tc>
          <w:tcPr>
            <w:tcW w:w="96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(1,550)</w:t>
            </w:r>
          </w:p>
        </w:tc>
        <w:tc>
          <w:tcPr>
            <w:tcW w:w="94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(1,125)</w:t>
            </w:r>
          </w:p>
        </w:tc>
        <w:tc>
          <w:tcPr>
            <w:tcW w:w="112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-27.4%</w:t>
            </w: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-17.2%</w:t>
            </w:r>
          </w:p>
        </w:tc>
        <w:tc>
          <w:tcPr>
            <w:tcW w:w="98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(2,875)</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(2,674)</w:t>
            </w:r>
          </w:p>
        </w:tc>
        <w:tc>
          <w:tcPr>
            <w:tcW w:w="122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7"/>
        </w:trPr>
        <w:tc>
          <w:tcPr>
            <w:tcW w:w="298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Income before minority interest</w:t>
            </w:r>
          </w:p>
        </w:tc>
        <w:tc>
          <w:tcPr>
            <w:tcW w:w="94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b w:val="1"/>
                <w:bCs w:val="1"/>
                <w:color w:val="auto"/>
              </w:rPr>
              <w:t>98,293</w:t>
            </w:r>
          </w:p>
        </w:tc>
        <w:tc>
          <w:tcPr>
            <w:tcW w:w="9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b w:val="1"/>
                <w:bCs w:val="1"/>
                <w:color w:val="auto"/>
              </w:rPr>
              <w:t>99,838</w:t>
            </w:r>
          </w:p>
        </w:tc>
        <w:tc>
          <w:tcPr>
            <w:tcW w:w="94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b w:val="1"/>
                <w:bCs w:val="1"/>
                <w:color w:val="auto"/>
              </w:rPr>
              <w:t>100,884</w:t>
            </w:r>
          </w:p>
        </w:tc>
        <w:tc>
          <w:tcPr>
            <w:tcW w:w="112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b w:val="1"/>
                <w:bCs w:val="1"/>
                <w:color w:val="auto"/>
              </w:rPr>
              <w:t>1.0%</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b w:val="1"/>
                <w:bCs w:val="1"/>
                <w:color w:val="auto"/>
              </w:rPr>
              <w:t>2.6%</w:t>
            </w:r>
          </w:p>
        </w:tc>
        <w:tc>
          <w:tcPr>
            <w:tcW w:w="98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b w:val="1"/>
                <w:bCs w:val="1"/>
                <w:color w:val="auto"/>
              </w:rPr>
              <w:t>176,363</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b w:val="1"/>
                <w:bCs w:val="1"/>
                <w:color w:val="auto"/>
              </w:rPr>
              <w:t>200,723</w:t>
            </w:r>
          </w:p>
        </w:tc>
        <w:tc>
          <w:tcPr>
            <w:tcW w:w="12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b w:val="1"/>
                <w:bCs w:val="1"/>
                <w:color w:val="auto"/>
              </w:rPr>
              <w:t>13.8%</w:t>
            </w:r>
          </w:p>
        </w:tc>
        <w:tc>
          <w:tcPr>
            <w:tcW w:w="0" w:type="dxa"/>
            <w:vAlign w:val="bottom"/>
          </w:tcPr>
          <w:p>
            <w:pPr>
              <w:spacing w:after="0"/>
              <w:rPr>
                <w:sz w:val="1"/>
                <w:szCs w:val="1"/>
                <w:color w:val="auto"/>
              </w:rPr>
            </w:pPr>
          </w:p>
        </w:tc>
      </w:tr>
      <w:tr>
        <w:trPr>
          <w:trHeight w:val="147"/>
        </w:trPr>
        <w:tc>
          <w:tcPr>
            <w:tcW w:w="2980" w:type="dxa"/>
            <w:vAlign w:val="bottom"/>
          </w:tcPr>
          <w:p>
            <w:pPr>
              <w:spacing w:after="0" w:line="147" w:lineRule="exact"/>
              <w:rPr>
                <w:sz w:val="20"/>
                <w:szCs w:val="20"/>
                <w:color w:val="auto"/>
              </w:rPr>
            </w:pPr>
            <w:r>
              <w:rPr>
                <w:rFonts w:ascii="Arial" w:cs="Arial" w:eastAsia="Arial" w:hAnsi="Arial"/>
                <w:sz w:val="14"/>
                <w:szCs w:val="14"/>
                <w:color w:val="auto"/>
              </w:rPr>
              <w:t>Non-controlling interest</w:t>
            </w:r>
          </w:p>
        </w:tc>
        <w:tc>
          <w:tcPr>
            <w:tcW w:w="94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(2,454)</w:t>
            </w:r>
          </w:p>
        </w:tc>
        <w:tc>
          <w:tcPr>
            <w:tcW w:w="96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(2,523)</w:t>
            </w:r>
          </w:p>
        </w:tc>
        <w:tc>
          <w:tcPr>
            <w:tcW w:w="94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(1,848)</w:t>
            </w:r>
          </w:p>
        </w:tc>
        <w:tc>
          <w:tcPr>
            <w:tcW w:w="112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-26.7%</w:t>
            </w: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-24.7%</w:t>
            </w:r>
          </w:p>
        </w:tc>
        <w:tc>
          <w:tcPr>
            <w:tcW w:w="98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(5,046)</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(4,371)</w:t>
            </w:r>
          </w:p>
        </w:tc>
        <w:tc>
          <w:tcPr>
            <w:tcW w:w="122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47"/>
        </w:trPr>
        <w:tc>
          <w:tcPr>
            <w:tcW w:w="298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Net income</w:t>
            </w:r>
          </w:p>
        </w:tc>
        <w:tc>
          <w:tcPr>
            <w:tcW w:w="94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b w:val="1"/>
                <w:bCs w:val="1"/>
                <w:color w:val="auto"/>
              </w:rPr>
              <w:t>95,839</w:t>
            </w:r>
          </w:p>
        </w:tc>
        <w:tc>
          <w:tcPr>
            <w:tcW w:w="9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b w:val="1"/>
                <w:bCs w:val="1"/>
                <w:color w:val="auto"/>
              </w:rPr>
              <w:t>97,315</w:t>
            </w:r>
          </w:p>
        </w:tc>
        <w:tc>
          <w:tcPr>
            <w:tcW w:w="94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b w:val="1"/>
                <w:bCs w:val="1"/>
                <w:color w:val="auto"/>
              </w:rPr>
              <w:t>99,036</w:t>
            </w:r>
          </w:p>
        </w:tc>
        <w:tc>
          <w:tcPr>
            <w:tcW w:w="112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b w:val="1"/>
                <w:bCs w:val="1"/>
                <w:color w:val="auto"/>
              </w:rPr>
              <w:t>1.8%</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b w:val="1"/>
                <w:bCs w:val="1"/>
                <w:color w:val="auto"/>
              </w:rPr>
              <w:t>3.3%</w:t>
            </w:r>
          </w:p>
        </w:tc>
        <w:tc>
          <w:tcPr>
            <w:tcW w:w="98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b w:val="1"/>
                <w:bCs w:val="1"/>
                <w:color w:val="auto"/>
              </w:rPr>
              <w:t>171,317</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b w:val="1"/>
                <w:bCs w:val="1"/>
                <w:color w:val="auto"/>
              </w:rPr>
              <w:t>196,351</w:t>
            </w:r>
          </w:p>
        </w:tc>
        <w:tc>
          <w:tcPr>
            <w:tcW w:w="12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b w:val="1"/>
                <w:bCs w:val="1"/>
                <w:color w:val="auto"/>
              </w:rPr>
              <w:t>14.6%</w:t>
            </w:r>
          </w:p>
        </w:tc>
        <w:tc>
          <w:tcPr>
            <w:tcW w:w="0" w:type="dxa"/>
            <w:vAlign w:val="bottom"/>
          </w:tcPr>
          <w:p>
            <w:pPr>
              <w:spacing w:after="0"/>
              <w:rPr>
                <w:sz w:val="1"/>
                <w:szCs w:val="1"/>
                <w:color w:val="auto"/>
              </w:rPr>
            </w:pPr>
          </w:p>
        </w:tc>
      </w:tr>
      <w:tr>
        <w:trPr>
          <w:trHeight w:val="147"/>
        </w:trPr>
        <w:tc>
          <w:tcPr>
            <w:tcW w:w="2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8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Ratios</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80" w:type="dxa"/>
            <w:vAlign w:val="bottom"/>
          </w:tcPr>
          <w:p>
            <w:pPr>
              <w:spacing w:after="0" w:line="147" w:lineRule="exact"/>
              <w:rPr>
                <w:sz w:val="20"/>
                <w:szCs w:val="20"/>
                <w:color w:val="auto"/>
              </w:rPr>
            </w:pPr>
            <w:r>
              <w:rPr>
                <w:rFonts w:ascii="Arial" w:cs="Arial" w:eastAsia="Arial" w:hAnsi="Arial"/>
                <w:sz w:val="14"/>
                <w:szCs w:val="14"/>
                <w:color w:val="auto"/>
              </w:rPr>
              <w:t>Ceded</w:t>
            </w:r>
          </w:p>
        </w:tc>
        <w:tc>
          <w:tcPr>
            <w:tcW w:w="94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18.5%</w:t>
            </w:r>
          </w:p>
        </w:tc>
        <w:tc>
          <w:tcPr>
            <w:tcW w:w="9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13.0%</w:t>
            </w:r>
          </w:p>
        </w:tc>
        <w:tc>
          <w:tcPr>
            <w:tcW w:w="9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17.8%</w:t>
            </w:r>
          </w:p>
        </w:tc>
        <w:tc>
          <w:tcPr>
            <w:tcW w:w="1280" w:type="dxa"/>
            <w:vAlign w:val="bottom"/>
            <w:gridSpan w:val="3"/>
          </w:tcPr>
          <w:p>
            <w:pPr>
              <w:jc w:val="right"/>
              <w:ind w:right="320"/>
              <w:spacing w:after="0" w:line="147" w:lineRule="exact"/>
              <w:rPr>
                <w:sz w:val="20"/>
                <w:szCs w:val="20"/>
                <w:color w:val="auto"/>
              </w:rPr>
            </w:pPr>
            <w:r>
              <w:rPr>
                <w:rFonts w:ascii="Arial" w:cs="Arial" w:eastAsia="Arial" w:hAnsi="Arial"/>
                <w:sz w:val="14"/>
                <w:szCs w:val="14"/>
                <w:color w:val="auto"/>
              </w:rPr>
              <w:t>480 bps</w:t>
            </w:r>
          </w:p>
        </w:tc>
        <w:tc>
          <w:tcPr>
            <w:tcW w:w="96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-70 bps</w:t>
            </w:r>
          </w:p>
        </w:tc>
        <w:tc>
          <w:tcPr>
            <w:tcW w:w="98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12.2%</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15.5%</w:t>
            </w:r>
          </w:p>
        </w:tc>
        <w:tc>
          <w:tcPr>
            <w:tcW w:w="122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330 bps</w:t>
            </w:r>
          </w:p>
        </w:tc>
        <w:tc>
          <w:tcPr>
            <w:tcW w:w="0" w:type="dxa"/>
            <w:vAlign w:val="bottom"/>
          </w:tcPr>
          <w:p>
            <w:pPr>
              <w:spacing w:after="0"/>
              <w:rPr>
                <w:sz w:val="1"/>
                <w:szCs w:val="1"/>
                <w:color w:val="auto"/>
              </w:rPr>
            </w:pPr>
          </w:p>
        </w:tc>
      </w:tr>
      <w:tr>
        <w:trPr>
          <w:trHeight w:val="187"/>
        </w:trPr>
        <w:tc>
          <w:tcPr>
            <w:tcW w:w="2980" w:type="dxa"/>
            <w:vAlign w:val="bottom"/>
            <w:shd w:val="clear" w:color="auto" w:fill="CCEEFF"/>
          </w:tcPr>
          <w:p>
            <w:pPr>
              <w:spacing w:after="0" w:line="187" w:lineRule="exact"/>
              <w:rPr>
                <w:sz w:val="20"/>
                <w:szCs w:val="20"/>
                <w:color w:val="auto"/>
              </w:rPr>
            </w:pPr>
            <w:r>
              <w:rPr>
                <w:rFonts w:ascii="Arial" w:cs="Arial" w:eastAsia="Arial" w:hAnsi="Arial"/>
                <w:sz w:val="13"/>
                <w:szCs w:val="13"/>
                <w:color w:val="auto"/>
              </w:rPr>
              <w:t xml:space="preserve">Loss ratio </w:t>
            </w:r>
            <w:r>
              <w:rPr>
                <w:rFonts w:ascii="Arial" w:cs="Arial" w:eastAsia="Arial" w:hAnsi="Arial"/>
                <w:sz w:val="21"/>
                <w:szCs w:val="21"/>
                <w:color w:val="auto"/>
                <w:vertAlign w:val="superscript"/>
              </w:rPr>
              <w:t>(2)</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64.1%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59.8%</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-10 bps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-430 bps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64.9%</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-510 bps</w:t>
            </w:r>
          </w:p>
        </w:tc>
        <w:tc>
          <w:tcPr>
            <w:tcW w:w="0" w:type="dxa"/>
            <w:vAlign w:val="bottom"/>
          </w:tcPr>
          <w:p>
            <w:pPr>
              <w:spacing w:after="0"/>
              <w:rPr>
                <w:sz w:val="1"/>
                <w:szCs w:val="1"/>
                <w:color w:val="auto"/>
              </w:rPr>
            </w:pPr>
          </w:p>
        </w:tc>
      </w:tr>
      <w:tr>
        <w:trPr>
          <w:trHeight w:val="128"/>
        </w:trPr>
        <w:tc>
          <w:tcPr>
            <w:tcW w:w="2980" w:type="dxa"/>
            <w:vAlign w:val="bottom"/>
          </w:tcPr>
          <w:p>
            <w:pPr>
              <w:spacing w:after="0" w:line="128" w:lineRule="exact"/>
              <w:rPr>
                <w:sz w:val="20"/>
                <w:szCs w:val="20"/>
                <w:color w:val="auto"/>
              </w:rPr>
            </w:pPr>
            <w:r>
              <w:rPr>
                <w:rFonts w:ascii="Arial" w:cs="Arial" w:eastAsia="Arial" w:hAnsi="Arial"/>
                <w:sz w:val="14"/>
                <w:szCs w:val="14"/>
                <w:color w:val="auto"/>
              </w:rPr>
              <w:t>Fees + underwriting expenses, net / net earned</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980" w:type="dxa"/>
            <w:vAlign w:val="bottom"/>
          </w:tcPr>
          <w:p>
            <w:pPr>
              <w:spacing w:after="0"/>
              <w:rPr>
                <w:sz w:val="20"/>
                <w:szCs w:val="20"/>
                <w:color w:val="auto"/>
              </w:rPr>
            </w:pPr>
            <w:r>
              <w:rPr>
                <w:rFonts w:ascii="Arial" w:cs="Arial" w:eastAsia="Arial" w:hAnsi="Arial"/>
                <w:sz w:val="14"/>
                <w:szCs w:val="14"/>
                <w:color w:val="auto"/>
              </w:rPr>
              <w:t>premiums</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29.0%</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32.2%</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28.3%</w:t>
            </w:r>
          </w:p>
        </w:tc>
        <w:tc>
          <w:tcPr>
            <w:tcW w:w="1280" w:type="dxa"/>
            <w:vAlign w:val="bottom"/>
            <w:gridSpan w:val="3"/>
          </w:tcPr>
          <w:p>
            <w:pPr>
              <w:jc w:val="right"/>
              <w:ind w:right="320"/>
              <w:spacing w:after="0"/>
              <w:rPr>
                <w:sz w:val="20"/>
                <w:szCs w:val="20"/>
                <w:color w:val="auto"/>
              </w:rPr>
            </w:pPr>
            <w:r>
              <w:rPr>
                <w:rFonts w:ascii="Arial" w:cs="Arial" w:eastAsia="Arial" w:hAnsi="Arial"/>
                <w:sz w:val="14"/>
                <w:szCs w:val="14"/>
                <w:color w:val="auto"/>
              </w:rPr>
              <w:t>-390 bps</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-70 bps</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30.4%</w:t>
            </w: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130 bps</w:t>
            </w:r>
          </w:p>
        </w:tc>
        <w:tc>
          <w:tcPr>
            <w:tcW w:w="0" w:type="dxa"/>
            <w:vAlign w:val="bottom"/>
          </w:tcPr>
          <w:p>
            <w:pPr>
              <w:spacing w:after="0"/>
              <w:rPr>
                <w:sz w:val="1"/>
                <w:szCs w:val="1"/>
                <w:color w:val="auto"/>
              </w:rPr>
            </w:pPr>
          </w:p>
        </w:tc>
      </w:tr>
      <w:tr>
        <w:trPr>
          <w:trHeight w:val="147"/>
        </w:trPr>
        <w:tc>
          <w:tcPr>
            <w:tcW w:w="29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Operating expenses / net earned premiums</w:t>
            </w:r>
          </w:p>
        </w:tc>
        <w:tc>
          <w:tcPr>
            <w:tcW w:w="94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18.2%</w:t>
            </w:r>
          </w:p>
        </w:tc>
        <w:tc>
          <w:tcPr>
            <w:tcW w:w="9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16.4%</w:t>
            </w:r>
          </w:p>
        </w:tc>
        <w:tc>
          <w:tcPr>
            <w:tcW w:w="9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20.1%</w:t>
            </w:r>
          </w:p>
        </w:tc>
        <w:tc>
          <w:tcPr>
            <w:tcW w:w="1280" w:type="dxa"/>
            <w:vAlign w:val="bottom"/>
            <w:gridSpan w:val="3"/>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370 bps</w:t>
            </w:r>
          </w:p>
        </w:tc>
        <w:tc>
          <w:tcPr>
            <w:tcW w:w="9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190 bps</w:t>
            </w:r>
          </w:p>
        </w:tc>
        <w:tc>
          <w:tcPr>
            <w:tcW w:w="98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18.2%</w:t>
            </w:r>
          </w:p>
        </w:tc>
        <w:tc>
          <w:tcPr>
            <w:tcW w:w="122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0 bps</w:t>
            </w:r>
          </w:p>
        </w:tc>
        <w:tc>
          <w:tcPr>
            <w:tcW w:w="0" w:type="dxa"/>
            <w:vAlign w:val="bottom"/>
          </w:tcPr>
          <w:p>
            <w:pPr>
              <w:spacing w:after="0"/>
              <w:rPr>
                <w:sz w:val="1"/>
                <w:szCs w:val="1"/>
                <w:color w:val="auto"/>
              </w:rPr>
            </w:pPr>
          </w:p>
        </w:tc>
      </w:tr>
      <w:tr>
        <w:trPr>
          <w:trHeight w:val="147"/>
        </w:trPr>
        <w:tc>
          <w:tcPr>
            <w:tcW w:w="2980" w:type="dxa"/>
            <w:vAlign w:val="bottom"/>
          </w:tcPr>
          <w:p>
            <w:pPr>
              <w:spacing w:after="0" w:line="147" w:lineRule="exact"/>
              <w:rPr>
                <w:sz w:val="20"/>
                <w:szCs w:val="20"/>
                <w:color w:val="auto"/>
              </w:rPr>
            </w:pPr>
            <w:r>
              <w:rPr>
                <w:rFonts w:ascii="Arial" w:cs="Arial" w:eastAsia="Arial" w:hAnsi="Arial"/>
                <w:sz w:val="14"/>
                <w:szCs w:val="14"/>
                <w:color w:val="auto"/>
              </w:rPr>
              <w:t>ROAE (3)(4)</w:t>
            </w:r>
          </w:p>
        </w:tc>
        <w:tc>
          <w:tcPr>
            <w:tcW w:w="94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13.7%</w:t>
            </w:r>
          </w:p>
        </w:tc>
        <w:tc>
          <w:tcPr>
            <w:tcW w:w="9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14.5%</w:t>
            </w:r>
          </w:p>
        </w:tc>
        <w:tc>
          <w:tcPr>
            <w:tcW w:w="9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14.6%</w:t>
            </w:r>
          </w:p>
        </w:tc>
        <w:tc>
          <w:tcPr>
            <w:tcW w:w="1280" w:type="dxa"/>
            <w:vAlign w:val="bottom"/>
            <w:gridSpan w:val="3"/>
          </w:tcPr>
          <w:p>
            <w:pPr>
              <w:jc w:val="right"/>
              <w:ind w:right="320"/>
              <w:spacing w:after="0" w:line="147" w:lineRule="exact"/>
              <w:rPr>
                <w:sz w:val="20"/>
                <w:szCs w:val="20"/>
                <w:color w:val="auto"/>
              </w:rPr>
            </w:pPr>
            <w:r>
              <w:rPr>
                <w:rFonts w:ascii="Arial" w:cs="Arial" w:eastAsia="Arial" w:hAnsi="Arial"/>
                <w:sz w:val="14"/>
                <w:szCs w:val="14"/>
                <w:color w:val="auto"/>
              </w:rPr>
              <w:t>10 bps</w:t>
            </w:r>
          </w:p>
        </w:tc>
        <w:tc>
          <w:tcPr>
            <w:tcW w:w="96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90 bps</w:t>
            </w:r>
          </w:p>
        </w:tc>
        <w:tc>
          <w:tcPr>
            <w:tcW w:w="98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12.9%</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14.1%</w:t>
            </w:r>
          </w:p>
        </w:tc>
        <w:tc>
          <w:tcPr>
            <w:tcW w:w="122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120 bps</w:t>
            </w:r>
          </w:p>
        </w:tc>
        <w:tc>
          <w:tcPr>
            <w:tcW w:w="0" w:type="dxa"/>
            <w:vAlign w:val="bottom"/>
          </w:tcPr>
          <w:p>
            <w:pPr>
              <w:spacing w:after="0"/>
              <w:rPr>
                <w:sz w:val="1"/>
                <w:szCs w:val="1"/>
                <w:color w:val="auto"/>
              </w:rPr>
            </w:pPr>
          </w:p>
        </w:tc>
      </w:tr>
      <w:tr>
        <w:trPr>
          <w:trHeight w:val="147"/>
        </w:trPr>
        <w:tc>
          <w:tcPr>
            <w:tcW w:w="29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Return on written premiums</w:t>
            </w:r>
          </w:p>
        </w:tc>
        <w:tc>
          <w:tcPr>
            <w:tcW w:w="94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10.2%</w:t>
            </w:r>
          </w:p>
        </w:tc>
        <w:tc>
          <w:tcPr>
            <w:tcW w:w="9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10.6%</w:t>
            </w:r>
          </w:p>
        </w:tc>
        <w:tc>
          <w:tcPr>
            <w:tcW w:w="9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12.3%</w:t>
            </w:r>
          </w:p>
        </w:tc>
        <w:tc>
          <w:tcPr>
            <w:tcW w:w="1280" w:type="dxa"/>
            <w:vAlign w:val="bottom"/>
            <w:gridSpan w:val="3"/>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170 bps</w:t>
            </w:r>
          </w:p>
        </w:tc>
        <w:tc>
          <w:tcPr>
            <w:tcW w:w="9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210 bps</w:t>
            </w:r>
          </w:p>
        </w:tc>
        <w:tc>
          <w:tcPr>
            <w:tcW w:w="98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10.1%</w:t>
            </w:r>
          </w:p>
        </w:tc>
        <w:tc>
          <w:tcPr>
            <w:tcW w:w="122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170 bps</w:t>
            </w:r>
          </w:p>
        </w:tc>
        <w:tc>
          <w:tcPr>
            <w:tcW w:w="0" w:type="dxa"/>
            <w:vAlign w:val="bottom"/>
          </w:tcPr>
          <w:p>
            <w:pPr>
              <w:spacing w:after="0"/>
              <w:rPr>
                <w:sz w:val="1"/>
                <w:szCs w:val="1"/>
                <w:color w:val="auto"/>
              </w:rPr>
            </w:pPr>
          </w:p>
        </w:tc>
      </w:tr>
      <w:tr>
        <w:trPr>
          <w:trHeight w:val="187"/>
        </w:trPr>
        <w:tc>
          <w:tcPr>
            <w:tcW w:w="2980" w:type="dxa"/>
            <w:vAlign w:val="bottom"/>
          </w:tcPr>
          <w:p>
            <w:pPr>
              <w:spacing w:after="0" w:line="187" w:lineRule="exact"/>
              <w:rPr>
                <w:sz w:val="20"/>
                <w:szCs w:val="20"/>
                <w:color w:val="auto"/>
              </w:rPr>
            </w:pPr>
            <w:r>
              <w:rPr>
                <w:rFonts w:ascii="Arial" w:cs="Arial" w:eastAsia="Arial" w:hAnsi="Arial"/>
                <w:sz w:val="13"/>
                <w:szCs w:val="13"/>
                <w:color w:val="auto"/>
              </w:rPr>
              <w:t xml:space="preserve">Combined ratio of Life </w:t>
            </w:r>
            <w:r>
              <w:rPr>
                <w:rFonts w:ascii="Arial" w:cs="Arial" w:eastAsia="Arial" w:hAnsi="Arial"/>
                <w:sz w:val="21"/>
                <w:szCs w:val="21"/>
                <w:color w:val="auto"/>
                <w:vertAlign w:val="superscript"/>
              </w:rPr>
              <w:t>(5)</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115.1%</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87.6%</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122.1%</w:t>
            </w:r>
          </w:p>
        </w:tc>
        <w:tc>
          <w:tcPr>
            <w:tcW w:w="1280" w:type="dxa"/>
            <w:vAlign w:val="bottom"/>
            <w:gridSpan w:val="3"/>
          </w:tcPr>
          <w:p>
            <w:pPr>
              <w:jc w:val="right"/>
              <w:ind w:right="320"/>
              <w:spacing w:after="0"/>
              <w:rPr>
                <w:sz w:val="20"/>
                <w:szCs w:val="20"/>
                <w:color w:val="auto"/>
              </w:rPr>
            </w:pPr>
            <w:r>
              <w:rPr>
                <w:rFonts w:ascii="Arial" w:cs="Arial" w:eastAsia="Arial" w:hAnsi="Arial"/>
                <w:sz w:val="14"/>
                <w:szCs w:val="14"/>
                <w:color w:val="auto"/>
              </w:rPr>
              <w:t>3450 bps</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700 bps</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115.1%</w:t>
            </w:r>
          </w:p>
        </w:tc>
        <w:tc>
          <w:tcPr>
            <w:tcW w:w="12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122.1%</w:t>
            </w: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700 bps</w:t>
            </w:r>
          </w:p>
        </w:tc>
        <w:tc>
          <w:tcPr>
            <w:tcW w:w="0" w:type="dxa"/>
            <w:vAlign w:val="bottom"/>
          </w:tcPr>
          <w:p>
            <w:pPr>
              <w:spacing w:after="0"/>
              <w:rPr>
                <w:sz w:val="1"/>
                <w:szCs w:val="1"/>
                <w:color w:val="auto"/>
              </w:rPr>
            </w:pPr>
          </w:p>
        </w:tc>
      </w:tr>
      <w:tr>
        <w:trPr>
          <w:trHeight w:val="187"/>
        </w:trPr>
        <w:tc>
          <w:tcPr>
            <w:tcW w:w="2980" w:type="dxa"/>
            <w:vAlign w:val="bottom"/>
            <w:shd w:val="clear" w:color="auto" w:fill="CCEEFF"/>
          </w:tcPr>
          <w:p>
            <w:pPr>
              <w:spacing w:after="0" w:line="187" w:lineRule="exact"/>
              <w:rPr>
                <w:sz w:val="20"/>
                <w:szCs w:val="20"/>
                <w:color w:val="auto"/>
              </w:rPr>
            </w:pPr>
            <w:r>
              <w:rPr>
                <w:rFonts w:ascii="Arial" w:cs="Arial" w:eastAsia="Arial" w:hAnsi="Arial"/>
                <w:sz w:val="13"/>
                <w:szCs w:val="13"/>
                <w:color w:val="auto"/>
              </w:rPr>
              <w:t xml:space="preserve">Combined ratio of P&amp;C </w:t>
            </w:r>
            <w:r>
              <w:rPr>
                <w:rFonts w:ascii="Arial" w:cs="Arial" w:eastAsia="Arial" w:hAnsi="Arial"/>
                <w:sz w:val="21"/>
                <w:szCs w:val="21"/>
                <w:color w:val="auto"/>
                <w:vertAlign w:val="superscript"/>
              </w:rPr>
              <w:t>(6)</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97.5%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79.8%</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-1460 bps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-1770 bps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97.5%</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79.8%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-1770 bps</w:t>
            </w:r>
          </w:p>
        </w:tc>
        <w:tc>
          <w:tcPr>
            <w:tcW w:w="0" w:type="dxa"/>
            <w:vAlign w:val="bottom"/>
          </w:tcPr>
          <w:p>
            <w:pPr>
              <w:spacing w:after="0"/>
              <w:rPr>
                <w:sz w:val="1"/>
                <w:szCs w:val="1"/>
                <w:color w:val="auto"/>
              </w:rPr>
            </w:pPr>
          </w:p>
        </w:tc>
      </w:tr>
      <w:tr>
        <w:trPr>
          <w:trHeight w:val="308"/>
        </w:trPr>
        <w:tc>
          <w:tcPr>
            <w:tcW w:w="2980" w:type="dxa"/>
            <w:vAlign w:val="bottom"/>
          </w:tcPr>
          <w:p>
            <w:pPr>
              <w:spacing w:after="0"/>
              <w:rPr>
                <w:sz w:val="20"/>
                <w:szCs w:val="20"/>
                <w:color w:val="auto"/>
              </w:rPr>
            </w:pPr>
            <w:r>
              <w:rPr>
                <w:rFonts w:ascii="Arial" w:cs="Arial" w:eastAsia="Arial" w:hAnsi="Arial"/>
                <w:sz w:val="14"/>
                <w:szCs w:val="14"/>
                <w:color w:val="auto"/>
              </w:rPr>
              <w:t xml:space="preserve">Equity requirement ratio </w:t>
            </w:r>
            <w:r>
              <w:rPr>
                <w:rFonts w:ascii="Arial" w:cs="Arial" w:eastAsia="Arial" w:hAnsi="Arial"/>
                <w:sz w:val="23"/>
                <w:szCs w:val="23"/>
                <w:color w:val="auto"/>
                <w:vertAlign w:val="superscript"/>
              </w:rPr>
              <w:t>(7)</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1.45x</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1.27x</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1.35x</w:t>
            </w:r>
          </w:p>
        </w:tc>
        <w:tc>
          <w:tcPr>
            <w:tcW w:w="1280" w:type="dxa"/>
            <w:vAlign w:val="bottom"/>
            <w:gridSpan w:val="3"/>
          </w:tcPr>
          <w:p>
            <w:pPr>
              <w:ind w:left="480"/>
              <w:spacing w:after="0"/>
              <w:rPr>
                <w:sz w:val="20"/>
                <w:szCs w:val="20"/>
                <w:color w:val="auto"/>
              </w:rPr>
            </w:pPr>
            <w:r>
              <w:rPr>
                <w:rFonts w:ascii="Arial" w:cs="Arial" w:eastAsia="Arial" w:hAnsi="Arial"/>
                <w:sz w:val="14"/>
                <w:szCs w:val="14"/>
                <w:color w:val="auto"/>
              </w:rPr>
              <w:t>0.08x</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-0.10x</w:t>
            </w:r>
          </w:p>
        </w:tc>
        <w:tc>
          <w:tcPr>
            <w:tcW w:w="1100" w:type="dxa"/>
            <w:vAlign w:val="bottom"/>
            <w:gridSpan w:val="3"/>
          </w:tcPr>
          <w:p>
            <w:pPr>
              <w:ind w:left="500"/>
              <w:spacing w:after="0"/>
              <w:rPr>
                <w:sz w:val="20"/>
                <w:szCs w:val="20"/>
                <w:color w:val="auto"/>
              </w:rPr>
            </w:pPr>
            <w:r>
              <w:rPr>
                <w:rFonts w:ascii="Arial" w:cs="Arial" w:eastAsia="Arial" w:hAnsi="Arial"/>
                <w:sz w:val="14"/>
                <w:szCs w:val="14"/>
                <w:color w:val="auto"/>
              </w:rPr>
              <w:t>1.45x</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1.35x</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-0.10x</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*Financial statements without consolidation adjustments.</w:t>
      </w:r>
    </w:p>
    <w:p>
      <w:pPr>
        <w:ind w:left="200" w:hanging="193"/>
        <w:spacing w:after="0" w:line="218" w:lineRule="auto"/>
        <w:tabs>
          <w:tab w:leader="none" w:pos="2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Excluding investments in real estate.</w:t>
      </w:r>
    </w:p>
    <w:p>
      <w:pPr>
        <w:ind w:left="200" w:hanging="193"/>
        <w:spacing w:after="0" w:line="218" w:lineRule="auto"/>
        <w:tabs>
          <w:tab w:leader="none" w:pos="2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Net claims / Net earned premiums.</w:t>
      </w:r>
    </w:p>
    <w:p>
      <w:pPr>
        <w:ind w:left="200" w:hanging="193"/>
        <w:spacing w:after="0" w:line="218" w:lineRule="auto"/>
        <w:tabs>
          <w:tab w:leader="none" w:pos="2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Includes unrealized gains.</w:t>
      </w:r>
    </w:p>
    <w:p>
      <w:pPr>
        <w:ind w:left="200" w:hanging="193"/>
        <w:spacing w:after="0" w:line="218" w:lineRule="auto"/>
        <w:tabs>
          <w:tab w:leader="none" w:pos="2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Annualized and average are determined as the average of period beginning and period ending.</w:t>
      </w:r>
    </w:p>
    <w:p>
      <w:pPr>
        <w:ind w:firstLine="7"/>
        <w:spacing w:after="0" w:line="218" w:lineRule="auto"/>
        <w:tabs>
          <w:tab w:leader="none" w:pos="203" w:val="left"/>
        </w:tabs>
        <w:numPr>
          <w:ilvl w:val="0"/>
          <w:numId w:val="92"/>
        </w:numPr>
        <w:rPr>
          <w:rFonts w:ascii="Arial" w:cs="Arial" w:eastAsia="Arial" w:hAnsi="Arial"/>
          <w:sz w:val="14"/>
          <w:szCs w:val="14"/>
          <w:color w:val="auto"/>
        </w:rPr>
      </w:pPr>
      <w:r>
        <w:rPr>
          <w:rFonts w:ascii="Arial" w:cs="Arial" w:eastAsia="Arial" w:hAnsi="Arial"/>
          <w:sz w:val="14"/>
          <w:szCs w:val="14"/>
          <w:color w:val="auto"/>
        </w:rPr>
        <w:t>(Net claims / Net earned premiums) + Reserves / Net earned premiums) + [(Acquisition cost + total expenses) / Net earned premiums] - (Net Financial Income without real state sales, securities sales, impairment loss and fluctuation / Net earned premiums).</w:t>
      </w:r>
    </w:p>
    <w:p>
      <w:pPr>
        <w:spacing w:after="0" w:line="1" w:lineRule="exact"/>
        <w:rPr>
          <w:rFonts w:ascii="Arial" w:cs="Arial" w:eastAsia="Arial" w:hAnsi="Arial"/>
          <w:sz w:val="14"/>
          <w:szCs w:val="14"/>
          <w:color w:val="auto"/>
        </w:rPr>
      </w:pPr>
    </w:p>
    <w:p>
      <w:pPr>
        <w:ind w:left="200" w:hanging="193"/>
        <w:spacing w:after="0" w:line="218" w:lineRule="auto"/>
        <w:tabs>
          <w:tab w:leader="none" w:pos="2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(Net claims / Net earned premiums) + [(Acquisition cost + total expenses) / Net earned premiums].</w:t>
      </w:r>
    </w:p>
    <w:p>
      <w:pPr>
        <w:ind w:left="200" w:hanging="193"/>
        <w:spacing w:after="0"/>
        <w:tabs>
          <w:tab w:leader="none" w:pos="2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Support to cover credit risk, market risk and operational risk.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From 1Q15 and on, Grupo Pacifico’s financial statements reflect the association with Banmedica. This partnership includes:</w:t>
      </w:r>
    </w:p>
    <w:p>
      <w:pPr>
        <w:spacing w:after="0" w:line="220" w:lineRule="exact"/>
        <w:rPr>
          <w:sz w:val="20"/>
          <w:szCs w:val="20"/>
          <w:color w:val="auto"/>
        </w:rPr>
      </w:pPr>
    </w:p>
    <w:p>
      <w:pPr>
        <w:ind w:left="880" w:right="20" w:hanging="500"/>
        <w:spacing w:after="0" w:line="270" w:lineRule="auto"/>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private health insurance business, which is managed by Grupo Pacifico and incorporated in each line of Grupo Pacifico’s financial statements;</w:t>
      </w:r>
    </w:p>
    <w:p>
      <w:pPr>
        <w:spacing w:after="0" w:line="174" w:lineRule="exact"/>
        <w:rPr>
          <w:rFonts w:ascii="Arial" w:cs="Arial" w:eastAsia="Arial" w:hAnsi="Arial"/>
          <w:sz w:val="18"/>
          <w:szCs w:val="18"/>
          <w:color w:val="auto"/>
        </w:rPr>
      </w:pPr>
    </w:p>
    <w:p>
      <w:pPr>
        <w:ind w:left="880" w:hanging="500"/>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corporate health insurance for payroll employees; and</w:t>
      </w:r>
    </w:p>
    <w:p>
      <w:pPr>
        <w:spacing w:after="0" w:line="219" w:lineRule="exact"/>
        <w:rPr>
          <w:rFonts w:ascii="Arial" w:cs="Arial" w:eastAsia="Arial" w:hAnsi="Arial"/>
          <w:sz w:val="18"/>
          <w:szCs w:val="18"/>
          <w:color w:val="auto"/>
        </w:rPr>
      </w:pPr>
    </w:p>
    <w:p>
      <w:pPr>
        <w:ind w:left="880" w:hanging="500"/>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medical services.</w:t>
      </w:r>
    </w:p>
    <w:p>
      <w:pPr>
        <w:spacing w:after="0" w:line="220" w:lineRule="exact"/>
        <w:rPr>
          <w:sz w:val="20"/>
          <w:szCs w:val="20"/>
          <w:color w:val="auto"/>
        </w:rPr>
      </w:pPr>
    </w:p>
    <w:p>
      <w:pPr>
        <w:ind w:left="60"/>
        <w:spacing w:after="0" w:line="300" w:lineRule="auto"/>
        <w:rPr>
          <w:sz w:val="20"/>
          <w:szCs w:val="20"/>
          <w:color w:val="auto"/>
        </w:rPr>
      </w:pPr>
      <w:r>
        <w:rPr>
          <w:rFonts w:ascii="Arial" w:cs="Arial" w:eastAsia="Arial" w:hAnsi="Arial"/>
          <w:sz w:val="17"/>
          <w:szCs w:val="17"/>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48" w:lineRule="exact"/>
        <w:rPr>
          <w:sz w:val="20"/>
          <w:szCs w:val="20"/>
          <w:color w:val="auto"/>
        </w:rPr>
      </w:pPr>
    </w:p>
    <w:p>
      <w:pPr>
        <w:ind w:left="60"/>
        <w:spacing w:after="0" w:line="274" w:lineRule="auto"/>
        <w:rPr>
          <w:sz w:val="20"/>
          <w:szCs w:val="20"/>
          <w:color w:val="auto"/>
        </w:rPr>
      </w:pPr>
      <w:r>
        <w:rPr>
          <w:rFonts w:ascii="Arial" w:cs="Arial" w:eastAsia="Arial" w:hAnsi="Arial"/>
          <w:sz w:val="18"/>
          <w:szCs w:val="18"/>
          <w:color w:val="auto"/>
        </w:rPr>
        <w:t xml:space="preserve">As explained before, </w:t>
      </w:r>
      <w:r>
        <w:rPr>
          <w:rFonts w:ascii="Arial" w:cs="Arial" w:eastAsia="Arial" w:hAnsi="Arial"/>
          <w:sz w:val="18"/>
          <w:szCs w:val="18"/>
          <w:b w:val="1"/>
          <w:bCs w:val="1"/>
          <w:color w:val="auto"/>
        </w:rPr>
        <w:t>corporate health insurance</w:t>
      </w:r>
      <w:r>
        <w:rPr>
          <w:rFonts w:ascii="Arial" w:cs="Arial" w:eastAsia="Arial" w:hAnsi="Arial"/>
          <w:sz w:val="18"/>
          <w:szCs w:val="18"/>
          <w:color w:val="auto"/>
        </w:rPr>
        <w:t xml:space="preserve"> and </w:t>
      </w:r>
      <w:r>
        <w:rPr>
          <w:rFonts w:ascii="Arial" w:cs="Arial" w:eastAsia="Arial" w:hAnsi="Arial"/>
          <w:sz w:val="18"/>
          <w:szCs w:val="18"/>
          <w:b w:val="1"/>
          <w:bCs w:val="1"/>
          <w:color w:val="auto"/>
        </w:rPr>
        <w:t>medical services</w:t>
      </w:r>
      <w:r>
        <w:rPr>
          <w:rFonts w:ascii="Arial" w:cs="Arial" w:eastAsia="Arial" w:hAnsi="Arial"/>
          <w:sz w:val="18"/>
          <w:szCs w:val="18"/>
          <w:color w:val="auto"/>
        </w:rPr>
        <w:t xml:space="preserve"> businesses are consolidated by Banmedica. The following table reflects the consolidated results from which Grupo Pacifico receives the 50% net income.</w:t>
      </w:r>
    </w:p>
    <w:p>
      <w:pPr>
        <w:spacing w:after="0" w:line="385"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5" w:name="page76"/>
    <w:bookmarkEnd w:id="75"/>
    <w:p>
      <w:pPr>
        <w:jc w:val="center"/>
        <w:ind w:right="-59"/>
        <w:spacing w:after="0"/>
        <w:rPr>
          <w:sz w:val="20"/>
          <w:szCs w:val="20"/>
          <w:color w:val="auto"/>
        </w:rPr>
      </w:pPr>
      <w:r>
        <w:rPr>
          <w:rFonts w:ascii="Arial" w:cs="Arial" w:eastAsia="Arial" w:hAnsi="Arial"/>
          <w:sz w:val="18"/>
          <w:szCs w:val="18"/>
          <w:b w:val="1"/>
          <w:bCs w:val="1"/>
          <w:color w:val="auto"/>
        </w:rPr>
        <w:t>Corporate Health Insurance and Medical Services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 change</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ind w:left="740"/>
              <w:spacing w:after="0"/>
              <w:rPr>
                <w:sz w:val="20"/>
                <w:szCs w:val="20"/>
                <w:color w:val="auto"/>
              </w:rPr>
            </w:pPr>
            <w:r>
              <w:rPr>
                <w:rFonts w:ascii="Arial" w:cs="Arial" w:eastAsia="Arial" w:hAnsi="Arial"/>
                <w:sz w:val="14"/>
                <w:szCs w:val="14"/>
                <w:b w:val="1"/>
                <w:bCs w:val="1"/>
                <w:color w:val="auto"/>
              </w:rPr>
              <w:t>YTD</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 change</w:t>
            </w:r>
          </w:p>
        </w:tc>
      </w:tr>
      <w:tr>
        <w:trPr>
          <w:trHeight w:val="153"/>
        </w:trPr>
        <w:tc>
          <w:tcPr>
            <w:tcW w:w="3160" w:type="dxa"/>
            <w:vAlign w:val="bottom"/>
          </w:tcPr>
          <w:p>
            <w:pPr>
              <w:spacing w:after="0"/>
              <w:rPr>
                <w:sz w:val="13"/>
                <w:szCs w:val="13"/>
                <w:color w:val="auto"/>
              </w:rPr>
            </w:pPr>
          </w:p>
        </w:tc>
        <w:tc>
          <w:tcPr>
            <w:tcW w:w="1000" w:type="dxa"/>
            <w:vAlign w:val="bottom"/>
            <w:tcBorders>
              <w:top w:val="single" w:sz="8" w:color="auto"/>
            </w:tcBorders>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2Q19</w:t>
            </w:r>
          </w:p>
        </w:tc>
        <w:tc>
          <w:tcPr>
            <w:tcW w:w="980" w:type="dxa"/>
            <w:vAlign w:val="bottom"/>
            <w:tcBorders>
              <w:top w:val="single" w:sz="8" w:color="auto"/>
            </w:tcBorders>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1Q20</w:t>
            </w:r>
          </w:p>
        </w:tc>
        <w:tc>
          <w:tcPr>
            <w:tcW w:w="780" w:type="dxa"/>
            <w:vAlign w:val="bottom"/>
            <w:tcBorders>
              <w:top w:val="single" w:sz="8" w:color="auto"/>
            </w:tcBorders>
          </w:tcPr>
          <w:p>
            <w:pPr>
              <w:jc w:val="right"/>
              <w:ind w:right="149"/>
              <w:spacing w:after="0" w:line="153" w:lineRule="exact"/>
              <w:rPr>
                <w:sz w:val="20"/>
                <w:szCs w:val="20"/>
                <w:color w:val="auto"/>
              </w:rPr>
            </w:pPr>
            <w:r>
              <w:rPr>
                <w:rFonts w:ascii="Arial" w:cs="Arial" w:eastAsia="Arial" w:hAnsi="Arial"/>
                <w:sz w:val="14"/>
                <w:szCs w:val="14"/>
                <w:b w:val="1"/>
                <w:bCs w:val="1"/>
                <w:color w:val="auto"/>
              </w:rPr>
              <w:t>2Q20</w:t>
            </w:r>
          </w:p>
        </w:tc>
        <w:tc>
          <w:tcPr>
            <w:tcW w:w="220" w:type="dxa"/>
            <w:vAlign w:val="bottom"/>
          </w:tcPr>
          <w:p>
            <w:pPr>
              <w:spacing w:after="0"/>
              <w:rPr>
                <w:sz w:val="13"/>
                <w:szCs w:val="13"/>
                <w:color w:val="auto"/>
              </w:rPr>
            </w:pPr>
          </w:p>
        </w:tc>
        <w:tc>
          <w:tcPr>
            <w:tcW w:w="1240" w:type="dxa"/>
            <w:vAlign w:val="bottom"/>
            <w:tcBorders>
              <w:top w:val="single" w:sz="8" w:color="auto"/>
            </w:tcBorders>
            <w:gridSpan w:val="3"/>
          </w:tcPr>
          <w:p>
            <w:pPr>
              <w:ind w:left="240"/>
              <w:spacing w:after="0" w:line="153" w:lineRule="exact"/>
              <w:rPr>
                <w:sz w:val="20"/>
                <w:szCs w:val="20"/>
                <w:color w:val="auto"/>
              </w:rPr>
            </w:pPr>
            <w:r>
              <w:rPr>
                <w:rFonts w:ascii="Arial" w:cs="Arial" w:eastAsia="Arial" w:hAnsi="Arial"/>
                <w:sz w:val="14"/>
                <w:szCs w:val="14"/>
                <w:b w:val="1"/>
                <w:bCs w:val="1"/>
                <w:color w:val="auto"/>
              </w:rPr>
              <w:t>QoQ</w:t>
            </w:r>
          </w:p>
        </w:tc>
        <w:tc>
          <w:tcPr>
            <w:tcW w:w="560" w:type="dxa"/>
            <w:vAlign w:val="bottom"/>
            <w:tcBorders>
              <w:top w:val="single" w:sz="8" w:color="auto"/>
            </w:tcBorders>
          </w:tcPr>
          <w:p>
            <w:pPr>
              <w:jc w:val="right"/>
              <w:ind w:right="189"/>
              <w:spacing w:after="0" w:line="153" w:lineRule="exact"/>
              <w:rPr>
                <w:sz w:val="20"/>
                <w:szCs w:val="20"/>
                <w:color w:val="auto"/>
              </w:rPr>
            </w:pPr>
            <w:r>
              <w:rPr>
                <w:rFonts w:ascii="Arial" w:cs="Arial" w:eastAsia="Arial" w:hAnsi="Arial"/>
                <w:sz w:val="14"/>
                <w:szCs w:val="14"/>
                <w:b w:val="1"/>
                <w:bCs w:val="1"/>
                <w:color w:val="auto"/>
              </w:rPr>
              <w:t>YoY</w:t>
            </w:r>
          </w:p>
        </w:tc>
        <w:tc>
          <w:tcPr>
            <w:tcW w:w="240" w:type="dxa"/>
            <w:vAlign w:val="bottom"/>
          </w:tcPr>
          <w:p>
            <w:pPr>
              <w:spacing w:after="0"/>
              <w:rPr>
                <w:sz w:val="13"/>
                <w:szCs w:val="13"/>
                <w:color w:val="auto"/>
              </w:rPr>
            </w:pPr>
          </w:p>
        </w:tc>
        <w:tc>
          <w:tcPr>
            <w:tcW w:w="1120" w:type="dxa"/>
            <w:vAlign w:val="bottom"/>
            <w:tcBorders>
              <w:top w:val="single" w:sz="8" w:color="auto"/>
            </w:tcBorders>
            <w:gridSpan w:val="3"/>
          </w:tcPr>
          <w:p>
            <w:pPr>
              <w:ind w:left="200"/>
              <w:spacing w:after="0" w:line="153" w:lineRule="exact"/>
              <w:rPr>
                <w:sz w:val="20"/>
                <w:szCs w:val="20"/>
                <w:color w:val="auto"/>
              </w:rPr>
            </w:pPr>
            <w:r>
              <w:rPr>
                <w:rFonts w:ascii="Arial" w:cs="Arial" w:eastAsia="Arial" w:hAnsi="Arial"/>
                <w:sz w:val="14"/>
                <w:szCs w:val="14"/>
                <w:b w:val="1"/>
                <w:bCs w:val="1"/>
                <w:color w:val="auto"/>
              </w:rPr>
              <w:t>Jun19</w:t>
            </w:r>
          </w:p>
        </w:tc>
        <w:tc>
          <w:tcPr>
            <w:tcW w:w="640" w:type="dxa"/>
            <w:vAlign w:val="bottom"/>
            <w:tcBorders>
              <w:top w:val="single" w:sz="8" w:color="auto"/>
            </w:tcBorders>
          </w:tcPr>
          <w:p>
            <w:pPr>
              <w:jc w:val="right"/>
              <w:ind w:right="129"/>
              <w:spacing w:after="0" w:line="153" w:lineRule="exact"/>
              <w:rPr>
                <w:sz w:val="20"/>
                <w:szCs w:val="20"/>
                <w:color w:val="auto"/>
              </w:rPr>
            </w:pPr>
            <w:r>
              <w:rPr>
                <w:rFonts w:ascii="Arial" w:cs="Arial" w:eastAsia="Arial" w:hAnsi="Arial"/>
                <w:sz w:val="14"/>
                <w:szCs w:val="14"/>
                <w:b w:val="1"/>
                <w:bCs w:val="1"/>
                <w:color w:val="auto"/>
              </w:rPr>
              <w:t>Jun20</w:t>
            </w:r>
          </w:p>
        </w:tc>
        <w:tc>
          <w:tcPr>
            <w:tcW w:w="220" w:type="dxa"/>
            <w:vAlign w:val="bottom"/>
          </w:tcPr>
          <w:p>
            <w:pPr>
              <w:spacing w:after="0"/>
              <w:rPr>
                <w:sz w:val="13"/>
                <w:szCs w:val="13"/>
                <w:color w:val="auto"/>
              </w:rPr>
            </w:pPr>
          </w:p>
        </w:tc>
        <w:tc>
          <w:tcPr>
            <w:tcW w:w="9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Jun 20 / Jun 19</w:t>
            </w:r>
          </w:p>
        </w:tc>
        <w:tc>
          <w:tcPr>
            <w:tcW w:w="140" w:type="dxa"/>
            <w:vAlign w:val="bottom"/>
          </w:tcPr>
          <w:p>
            <w:pPr>
              <w:spacing w:after="0"/>
              <w:rPr>
                <w:sz w:val="13"/>
                <w:szCs w:val="13"/>
                <w:color w:val="auto"/>
              </w:rPr>
            </w:pPr>
          </w:p>
        </w:tc>
      </w:tr>
      <w:tr>
        <w:trPr>
          <w:trHeight w:val="140"/>
        </w:trPr>
        <w:tc>
          <w:tcPr>
            <w:tcW w:w="316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Results</w:t>
            </w: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r>
      <w:tr>
        <w:trPr>
          <w:trHeight w:val="147"/>
        </w:trPr>
        <w:tc>
          <w:tcPr>
            <w:tcW w:w="3160" w:type="dxa"/>
            <w:vAlign w:val="bottom"/>
          </w:tcPr>
          <w:p>
            <w:pPr>
              <w:spacing w:after="0" w:line="147" w:lineRule="exact"/>
              <w:rPr>
                <w:sz w:val="20"/>
                <w:szCs w:val="20"/>
                <w:color w:val="auto"/>
              </w:rPr>
            </w:pPr>
            <w:r>
              <w:rPr>
                <w:rFonts w:ascii="Arial" w:cs="Arial" w:eastAsia="Arial" w:hAnsi="Arial"/>
                <w:sz w:val="14"/>
                <w:szCs w:val="14"/>
                <w:color w:val="auto"/>
              </w:rPr>
              <w:t>Net earned premiums</w:t>
            </w:r>
          </w:p>
        </w:tc>
        <w:tc>
          <w:tcPr>
            <w:tcW w:w="100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264,725</w:t>
            </w:r>
          </w:p>
        </w:tc>
        <w:tc>
          <w:tcPr>
            <w:tcW w:w="9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278,256</w:t>
            </w:r>
          </w:p>
        </w:tc>
        <w:tc>
          <w:tcPr>
            <w:tcW w:w="100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266,614</w:t>
            </w:r>
          </w:p>
        </w:tc>
        <w:tc>
          <w:tcPr>
            <w:tcW w:w="102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-4.2%</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0.7%</w:t>
            </w:r>
          </w:p>
        </w:tc>
        <w:tc>
          <w:tcPr>
            <w:tcW w:w="100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523,181</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544,871</w:t>
            </w:r>
          </w:p>
        </w:tc>
        <w:tc>
          <w:tcPr>
            <w:tcW w:w="108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4.1%</w:t>
            </w:r>
          </w:p>
        </w:tc>
      </w:tr>
      <w:tr>
        <w:trPr>
          <w:trHeight w:val="147"/>
        </w:trPr>
        <w:tc>
          <w:tcPr>
            <w:tcW w:w="31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Net claims</w:t>
            </w:r>
          </w:p>
        </w:tc>
        <w:tc>
          <w:tcPr>
            <w:tcW w:w="100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(225,704)</w:t>
            </w:r>
          </w:p>
        </w:tc>
        <w:tc>
          <w:tcPr>
            <w:tcW w:w="98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(213,978)</w:t>
            </w: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(173,711)</w:t>
            </w:r>
          </w:p>
        </w:tc>
        <w:tc>
          <w:tcPr>
            <w:tcW w:w="10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-18.8%</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-23.0%</w:t>
            </w: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(459,301)</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(387,689)</w:t>
            </w:r>
          </w:p>
        </w:tc>
        <w:tc>
          <w:tcPr>
            <w:tcW w:w="108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-15.6%</w:t>
            </w:r>
          </w:p>
        </w:tc>
      </w:tr>
      <w:tr>
        <w:trPr>
          <w:trHeight w:val="147"/>
        </w:trPr>
        <w:tc>
          <w:tcPr>
            <w:tcW w:w="3160" w:type="dxa"/>
            <w:vAlign w:val="bottom"/>
          </w:tcPr>
          <w:p>
            <w:pPr>
              <w:spacing w:after="0" w:line="147" w:lineRule="exact"/>
              <w:rPr>
                <w:sz w:val="20"/>
                <w:szCs w:val="20"/>
                <w:color w:val="auto"/>
              </w:rPr>
            </w:pPr>
            <w:r>
              <w:rPr>
                <w:rFonts w:ascii="Arial" w:cs="Arial" w:eastAsia="Arial" w:hAnsi="Arial"/>
                <w:sz w:val="14"/>
                <w:szCs w:val="14"/>
                <w:color w:val="auto"/>
              </w:rPr>
              <w:t>Net fees</w:t>
            </w:r>
          </w:p>
        </w:tc>
        <w:tc>
          <w:tcPr>
            <w:tcW w:w="100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(11,697)</w:t>
            </w:r>
          </w:p>
        </w:tc>
        <w:tc>
          <w:tcPr>
            <w:tcW w:w="98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(12,118)</w:t>
            </w: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(11,455)</w:t>
            </w:r>
          </w:p>
        </w:tc>
        <w:tc>
          <w:tcPr>
            <w:tcW w:w="102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-5.5%</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-2.1%</w:t>
            </w: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(23,576)</w:t>
            </w:r>
          </w:p>
        </w:tc>
        <w:tc>
          <w:tcPr>
            <w:tcW w:w="120" w:type="dxa"/>
            <w:vAlign w:val="bottom"/>
          </w:tcPr>
          <w:p>
            <w:pPr>
              <w:spacing w:after="0"/>
              <w:rPr>
                <w:sz w:val="12"/>
                <w:szCs w:val="12"/>
                <w:color w:val="auto"/>
              </w:rPr>
            </w:pPr>
          </w:p>
        </w:tc>
        <w:tc>
          <w:tcPr>
            <w:tcW w:w="86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(23,573)</w:t>
            </w:r>
          </w:p>
        </w:tc>
        <w:tc>
          <w:tcPr>
            <w:tcW w:w="108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0.0%</w:t>
            </w:r>
          </w:p>
        </w:tc>
      </w:tr>
      <w:tr>
        <w:trPr>
          <w:trHeight w:val="147"/>
        </w:trPr>
        <w:tc>
          <w:tcPr>
            <w:tcW w:w="31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Net underwriting expenses</w:t>
            </w:r>
          </w:p>
        </w:tc>
        <w:tc>
          <w:tcPr>
            <w:tcW w:w="100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(2,492)</w:t>
            </w:r>
          </w:p>
        </w:tc>
        <w:tc>
          <w:tcPr>
            <w:tcW w:w="98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(2,845)</w:t>
            </w: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(2,929)</w:t>
            </w:r>
          </w:p>
        </w:tc>
        <w:tc>
          <w:tcPr>
            <w:tcW w:w="10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2.9%</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17.5%</w:t>
            </w: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(5,404)</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(5,775)</w:t>
            </w:r>
          </w:p>
        </w:tc>
        <w:tc>
          <w:tcPr>
            <w:tcW w:w="108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6.9%</w:t>
            </w:r>
          </w:p>
        </w:tc>
      </w:tr>
      <w:tr>
        <w:trPr>
          <w:trHeight w:val="147"/>
        </w:trPr>
        <w:tc>
          <w:tcPr>
            <w:tcW w:w="3160" w:type="dxa"/>
            <w:vAlign w:val="bottom"/>
          </w:tcPr>
          <w:p>
            <w:pPr>
              <w:spacing w:after="0" w:line="147" w:lineRule="exact"/>
              <w:rPr>
                <w:sz w:val="20"/>
                <w:szCs w:val="20"/>
                <w:color w:val="auto"/>
              </w:rPr>
            </w:pPr>
            <w:r>
              <w:rPr>
                <w:rFonts w:ascii="Arial" w:cs="Arial" w:eastAsia="Arial" w:hAnsi="Arial"/>
                <w:sz w:val="14"/>
                <w:szCs w:val="14"/>
                <w:b w:val="1"/>
                <w:bCs w:val="1"/>
                <w:color w:val="auto"/>
              </w:rPr>
              <w:t>Underwriting result</w:t>
            </w:r>
          </w:p>
        </w:tc>
        <w:tc>
          <w:tcPr>
            <w:tcW w:w="1000" w:type="dxa"/>
            <w:vAlign w:val="bottom"/>
            <w:gridSpan w:val="2"/>
          </w:tcPr>
          <w:p>
            <w:pPr>
              <w:jc w:val="right"/>
              <w:ind w:right="220"/>
              <w:spacing w:after="0" w:line="147" w:lineRule="exact"/>
              <w:rPr>
                <w:sz w:val="20"/>
                <w:szCs w:val="20"/>
                <w:color w:val="auto"/>
              </w:rPr>
            </w:pPr>
            <w:r>
              <w:rPr>
                <w:rFonts w:ascii="Arial" w:cs="Arial" w:eastAsia="Arial" w:hAnsi="Arial"/>
                <w:sz w:val="14"/>
                <w:szCs w:val="14"/>
                <w:b w:val="1"/>
                <w:bCs w:val="1"/>
                <w:color w:val="auto"/>
              </w:rPr>
              <w:t>24,832</w:t>
            </w:r>
          </w:p>
        </w:tc>
        <w:tc>
          <w:tcPr>
            <w:tcW w:w="980" w:type="dxa"/>
            <w:vAlign w:val="bottom"/>
            <w:gridSpan w:val="2"/>
          </w:tcPr>
          <w:p>
            <w:pPr>
              <w:jc w:val="right"/>
              <w:ind w:right="200"/>
              <w:spacing w:after="0" w:line="147" w:lineRule="exact"/>
              <w:rPr>
                <w:sz w:val="20"/>
                <w:szCs w:val="20"/>
                <w:color w:val="auto"/>
              </w:rPr>
            </w:pPr>
            <w:r>
              <w:rPr>
                <w:rFonts w:ascii="Arial" w:cs="Arial" w:eastAsia="Arial" w:hAnsi="Arial"/>
                <w:sz w:val="14"/>
                <w:szCs w:val="14"/>
                <w:b w:val="1"/>
                <w:bCs w:val="1"/>
                <w:color w:val="auto"/>
              </w:rPr>
              <w:t>49,315</w:t>
            </w:r>
          </w:p>
        </w:tc>
        <w:tc>
          <w:tcPr>
            <w:tcW w:w="1000" w:type="dxa"/>
            <w:vAlign w:val="bottom"/>
            <w:gridSpan w:val="2"/>
          </w:tcPr>
          <w:p>
            <w:pPr>
              <w:jc w:val="right"/>
              <w:ind w:right="220"/>
              <w:spacing w:after="0" w:line="147" w:lineRule="exact"/>
              <w:rPr>
                <w:sz w:val="20"/>
                <w:szCs w:val="20"/>
                <w:color w:val="auto"/>
              </w:rPr>
            </w:pPr>
            <w:r>
              <w:rPr>
                <w:rFonts w:ascii="Arial" w:cs="Arial" w:eastAsia="Arial" w:hAnsi="Arial"/>
                <w:sz w:val="14"/>
                <w:szCs w:val="14"/>
                <w:b w:val="1"/>
                <w:bCs w:val="1"/>
                <w:color w:val="auto"/>
              </w:rPr>
              <w:t>78,520</w:t>
            </w:r>
          </w:p>
        </w:tc>
        <w:tc>
          <w:tcPr>
            <w:tcW w:w="1020" w:type="dxa"/>
            <w:vAlign w:val="bottom"/>
            <w:gridSpan w:val="2"/>
          </w:tcPr>
          <w:p>
            <w:pPr>
              <w:jc w:val="right"/>
              <w:ind w:right="120"/>
              <w:spacing w:after="0" w:line="147" w:lineRule="exact"/>
              <w:rPr>
                <w:sz w:val="20"/>
                <w:szCs w:val="20"/>
                <w:color w:val="auto"/>
              </w:rPr>
            </w:pPr>
            <w:r>
              <w:rPr>
                <w:rFonts w:ascii="Arial" w:cs="Arial" w:eastAsia="Arial" w:hAnsi="Arial"/>
                <w:sz w:val="14"/>
                <w:szCs w:val="14"/>
                <w:b w:val="1"/>
                <w:bCs w:val="1"/>
                <w:color w:val="auto"/>
              </w:rPr>
              <w:t>59.2%</w:t>
            </w:r>
          </w:p>
        </w:tc>
        <w:tc>
          <w:tcPr>
            <w:tcW w:w="220" w:type="dxa"/>
            <w:vAlign w:val="bottom"/>
          </w:tcPr>
          <w:p>
            <w:pPr>
              <w:spacing w:after="0"/>
              <w:rPr>
                <w:sz w:val="12"/>
                <w:szCs w:val="12"/>
                <w:color w:val="auto"/>
              </w:rPr>
            </w:pPr>
          </w:p>
        </w:tc>
        <w:tc>
          <w:tcPr>
            <w:tcW w:w="800" w:type="dxa"/>
            <w:vAlign w:val="bottom"/>
            <w:gridSpan w:val="2"/>
          </w:tcPr>
          <w:p>
            <w:pPr>
              <w:jc w:val="right"/>
              <w:ind w:right="100"/>
              <w:spacing w:after="0" w:line="147" w:lineRule="exact"/>
              <w:rPr>
                <w:sz w:val="20"/>
                <w:szCs w:val="20"/>
                <w:color w:val="auto"/>
              </w:rPr>
            </w:pPr>
            <w:r>
              <w:rPr>
                <w:rFonts w:ascii="Arial" w:cs="Arial" w:eastAsia="Arial" w:hAnsi="Arial"/>
                <w:sz w:val="14"/>
                <w:szCs w:val="14"/>
                <w:b w:val="1"/>
                <w:bCs w:val="1"/>
                <w:color w:val="auto"/>
              </w:rPr>
              <w:t>216.2%</w:t>
            </w:r>
          </w:p>
        </w:tc>
        <w:tc>
          <w:tcPr>
            <w:tcW w:w="1000" w:type="dxa"/>
            <w:vAlign w:val="bottom"/>
            <w:gridSpan w:val="2"/>
          </w:tcPr>
          <w:p>
            <w:pPr>
              <w:jc w:val="right"/>
              <w:ind w:right="220"/>
              <w:spacing w:after="0" w:line="147" w:lineRule="exact"/>
              <w:rPr>
                <w:sz w:val="20"/>
                <w:szCs w:val="20"/>
                <w:color w:val="auto"/>
              </w:rPr>
            </w:pPr>
            <w:r>
              <w:rPr>
                <w:rFonts w:ascii="Arial" w:cs="Arial" w:eastAsia="Arial" w:hAnsi="Arial"/>
                <w:sz w:val="14"/>
                <w:szCs w:val="14"/>
                <w:b w:val="1"/>
                <w:bCs w:val="1"/>
                <w:color w:val="auto"/>
              </w:rPr>
              <w:t>34,900</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7" w:lineRule="exact"/>
              <w:rPr>
                <w:sz w:val="20"/>
                <w:szCs w:val="20"/>
                <w:color w:val="auto"/>
              </w:rPr>
            </w:pPr>
            <w:r>
              <w:rPr>
                <w:rFonts w:ascii="Arial" w:cs="Arial" w:eastAsia="Arial" w:hAnsi="Arial"/>
                <w:sz w:val="14"/>
                <w:szCs w:val="14"/>
                <w:b w:val="1"/>
                <w:bCs w:val="1"/>
                <w:color w:val="auto"/>
              </w:rPr>
              <w:t>127,835</w:t>
            </w:r>
          </w:p>
        </w:tc>
        <w:tc>
          <w:tcPr>
            <w:tcW w:w="108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266.3%</w:t>
            </w:r>
          </w:p>
        </w:tc>
      </w:tr>
      <w:tr>
        <w:trPr>
          <w:trHeight w:val="147"/>
        </w:trPr>
        <w:tc>
          <w:tcPr>
            <w:tcW w:w="31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Net financial income</w:t>
            </w:r>
          </w:p>
        </w:tc>
        <w:tc>
          <w:tcPr>
            <w:tcW w:w="10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1,070</w:t>
            </w:r>
          </w:p>
        </w:tc>
        <w:tc>
          <w:tcPr>
            <w:tcW w:w="9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532</w:t>
            </w:r>
          </w:p>
        </w:tc>
        <w:tc>
          <w:tcPr>
            <w:tcW w:w="10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1,990</w:t>
            </w:r>
          </w:p>
        </w:tc>
        <w:tc>
          <w:tcPr>
            <w:tcW w:w="10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274.0%</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86.0%</w:t>
            </w:r>
          </w:p>
        </w:tc>
        <w:tc>
          <w:tcPr>
            <w:tcW w:w="10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2,575</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2,522</w:t>
            </w:r>
          </w:p>
        </w:tc>
        <w:tc>
          <w:tcPr>
            <w:tcW w:w="108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-2.0%</w:t>
            </w:r>
          </w:p>
        </w:tc>
      </w:tr>
      <w:tr>
        <w:trPr>
          <w:trHeight w:val="147"/>
        </w:trPr>
        <w:tc>
          <w:tcPr>
            <w:tcW w:w="3160" w:type="dxa"/>
            <w:vAlign w:val="bottom"/>
          </w:tcPr>
          <w:p>
            <w:pPr>
              <w:spacing w:after="0" w:line="147" w:lineRule="exact"/>
              <w:rPr>
                <w:sz w:val="20"/>
                <w:szCs w:val="20"/>
                <w:color w:val="auto"/>
              </w:rPr>
            </w:pPr>
            <w:r>
              <w:rPr>
                <w:rFonts w:ascii="Arial" w:cs="Arial" w:eastAsia="Arial" w:hAnsi="Arial"/>
                <w:sz w:val="14"/>
                <w:szCs w:val="14"/>
                <w:color w:val="auto"/>
              </w:rPr>
              <w:t>Total expenses</w:t>
            </w:r>
          </w:p>
        </w:tc>
        <w:tc>
          <w:tcPr>
            <w:tcW w:w="100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(18,203)</w:t>
            </w:r>
          </w:p>
        </w:tc>
        <w:tc>
          <w:tcPr>
            <w:tcW w:w="98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(19,659)</w:t>
            </w: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(19,767)</w:t>
            </w:r>
          </w:p>
        </w:tc>
        <w:tc>
          <w:tcPr>
            <w:tcW w:w="102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0.5%</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8.6%</w:t>
            </w: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(35,739)</w:t>
            </w:r>
          </w:p>
        </w:tc>
        <w:tc>
          <w:tcPr>
            <w:tcW w:w="120" w:type="dxa"/>
            <w:vAlign w:val="bottom"/>
          </w:tcPr>
          <w:p>
            <w:pPr>
              <w:spacing w:after="0"/>
              <w:rPr>
                <w:sz w:val="12"/>
                <w:szCs w:val="12"/>
                <w:color w:val="auto"/>
              </w:rPr>
            </w:pPr>
          </w:p>
        </w:tc>
        <w:tc>
          <w:tcPr>
            <w:tcW w:w="86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(39,426)</w:t>
            </w:r>
          </w:p>
        </w:tc>
        <w:tc>
          <w:tcPr>
            <w:tcW w:w="108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10.3%</w:t>
            </w:r>
          </w:p>
        </w:tc>
      </w:tr>
      <w:tr>
        <w:trPr>
          <w:trHeight w:val="147"/>
        </w:trPr>
        <w:tc>
          <w:tcPr>
            <w:tcW w:w="31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Other income</w:t>
            </w:r>
          </w:p>
        </w:tc>
        <w:tc>
          <w:tcPr>
            <w:tcW w:w="7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621</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244</w:t>
            </w:r>
          </w:p>
        </w:tc>
        <w:tc>
          <w:tcPr>
            <w:tcW w:w="10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162</w:t>
            </w:r>
          </w:p>
        </w:tc>
        <w:tc>
          <w:tcPr>
            <w:tcW w:w="10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-33.6%</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-73.9%</w:t>
            </w:r>
          </w:p>
        </w:tc>
        <w:tc>
          <w:tcPr>
            <w:tcW w:w="10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1,633</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406</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-75.2%</w:t>
            </w:r>
          </w:p>
        </w:tc>
      </w:tr>
      <w:tr>
        <w:trPr>
          <w:trHeight w:val="147"/>
        </w:trPr>
        <w:tc>
          <w:tcPr>
            <w:tcW w:w="3160" w:type="dxa"/>
            <w:vAlign w:val="bottom"/>
          </w:tcPr>
          <w:p>
            <w:pPr>
              <w:spacing w:after="0" w:line="147" w:lineRule="exact"/>
              <w:rPr>
                <w:sz w:val="20"/>
                <w:szCs w:val="20"/>
                <w:color w:val="auto"/>
              </w:rPr>
            </w:pPr>
            <w:r>
              <w:rPr>
                <w:rFonts w:ascii="Arial" w:cs="Arial" w:eastAsia="Arial" w:hAnsi="Arial"/>
                <w:sz w:val="14"/>
                <w:szCs w:val="14"/>
                <w:color w:val="auto"/>
              </w:rPr>
              <w:t>Traslations results</w:t>
            </w:r>
          </w:p>
        </w:tc>
        <w:tc>
          <w:tcPr>
            <w:tcW w:w="100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(197)</w:t>
            </w:r>
          </w:p>
        </w:tc>
        <w:tc>
          <w:tcPr>
            <w:tcW w:w="9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919</w:t>
            </w:r>
          </w:p>
        </w:tc>
        <w:tc>
          <w:tcPr>
            <w:tcW w:w="100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1,386</w:t>
            </w:r>
          </w:p>
        </w:tc>
        <w:tc>
          <w:tcPr>
            <w:tcW w:w="102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50.8%</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-803.8%</w:t>
            </w:r>
          </w:p>
        </w:tc>
        <w:tc>
          <w:tcPr>
            <w:tcW w:w="10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(214)</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2,305</w:t>
            </w:r>
          </w:p>
        </w:tc>
        <w:tc>
          <w:tcPr>
            <w:tcW w:w="108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-1179.0%</w:t>
            </w:r>
          </w:p>
        </w:tc>
      </w:tr>
      <w:tr>
        <w:trPr>
          <w:trHeight w:val="147"/>
        </w:trPr>
        <w:tc>
          <w:tcPr>
            <w:tcW w:w="31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Income tax</w:t>
            </w:r>
          </w:p>
        </w:tc>
        <w:tc>
          <w:tcPr>
            <w:tcW w:w="100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(2,670)</w:t>
            </w:r>
          </w:p>
        </w:tc>
        <w:tc>
          <w:tcPr>
            <w:tcW w:w="98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(9,825)</w:t>
            </w: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(19,699)</w:t>
            </w:r>
          </w:p>
        </w:tc>
        <w:tc>
          <w:tcPr>
            <w:tcW w:w="10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100.5%</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(1,055)</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(29,524)</w:t>
            </w:r>
          </w:p>
        </w:tc>
        <w:tc>
          <w:tcPr>
            <w:tcW w:w="108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2697.8%</w:t>
            </w:r>
          </w:p>
        </w:tc>
      </w:tr>
      <w:tr>
        <w:trPr>
          <w:trHeight w:val="147"/>
        </w:trPr>
        <w:tc>
          <w:tcPr>
            <w:tcW w:w="3160" w:type="dxa"/>
            <w:vAlign w:val="bottom"/>
          </w:tcPr>
          <w:p>
            <w:pPr>
              <w:spacing w:after="0" w:line="147" w:lineRule="exact"/>
              <w:rPr>
                <w:sz w:val="20"/>
                <w:szCs w:val="20"/>
                <w:color w:val="auto"/>
              </w:rPr>
            </w:pPr>
            <w:r>
              <w:rPr>
                <w:rFonts w:ascii="Arial" w:cs="Arial" w:eastAsia="Arial" w:hAnsi="Arial"/>
                <w:sz w:val="14"/>
                <w:szCs w:val="14"/>
                <w:b w:val="1"/>
                <w:bCs w:val="1"/>
                <w:color w:val="auto"/>
              </w:rPr>
              <w:t>Net income before Medical services</w:t>
            </w:r>
          </w:p>
        </w:tc>
        <w:tc>
          <w:tcPr>
            <w:tcW w:w="1000" w:type="dxa"/>
            <w:vAlign w:val="bottom"/>
            <w:gridSpan w:val="2"/>
          </w:tcPr>
          <w:p>
            <w:pPr>
              <w:jc w:val="right"/>
              <w:ind w:right="220"/>
              <w:spacing w:after="0" w:line="147" w:lineRule="exact"/>
              <w:rPr>
                <w:sz w:val="20"/>
                <w:szCs w:val="20"/>
                <w:color w:val="auto"/>
              </w:rPr>
            </w:pPr>
            <w:r>
              <w:rPr>
                <w:rFonts w:ascii="Arial" w:cs="Arial" w:eastAsia="Arial" w:hAnsi="Arial"/>
                <w:sz w:val="14"/>
                <w:szCs w:val="14"/>
                <w:b w:val="1"/>
                <w:bCs w:val="1"/>
                <w:color w:val="auto"/>
              </w:rPr>
              <w:t>5,452</w:t>
            </w:r>
          </w:p>
        </w:tc>
        <w:tc>
          <w:tcPr>
            <w:tcW w:w="980" w:type="dxa"/>
            <w:vAlign w:val="bottom"/>
            <w:gridSpan w:val="2"/>
          </w:tcPr>
          <w:p>
            <w:pPr>
              <w:jc w:val="right"/>
              <w:ind w:right="200"/>
              <w:spacing w:after="0" w:line="147" w:lineRule="exact"/>
              <w:rPr>
                <w:sz w:val="20"/>
                <w:szCs w:val="20"/>
                <w:color w:val="auto"/>
              </w:rPr>
            </w:pPr>
            <w:r>
              <w:rPr>
                <w:rFonts w:ascii="Arial" w:cs="Arial" w:eastAsia="Arial" w:hAnsi="Arial"/>
                <w:sz w:val="14"/>
                <w:szCs w:val="14"/>
                <w:b w:val="1"/>
                <w:bCs w:val="1"/>
                <w:color w:val="auto"/>
              </w:rPr>
              <w:t>21,526</w:t>
            </w:r>
          </w:p>
        </w:tc>
        <w:tc>
          <w:tcPr>
            <w:tcW w:w="1000" w:type="dxa"/>
            <w:vAlign w:val="bottom"/>
            <w:gridSpan w:val="2"/>
          </w:tcPr>
          <w:p>
            <w:pPr>
              <w:jc w:val="right"/>
              <w:ind w:right="220"/>
              <w:spacing w:after="0" w:line="147" w:lineRule="exact"/>
              <w:rPr>
                <w:sz w:val="20"/>
                <w:szCs w:val="20"/>
                <w:color w:val="auto"/>
              </w:rPr>
            </w:pPr>
            <w:r>
              <w:rPr>
                <w:rFonts w:ascii="Arial" w:cs="Arial" w:eastAsia="Arial" w:hAnsi="Arial"/>
                <w:sz w:val="14"/>
                <w:szCs w:val="14"/>
                <w:b w:val="1"/>
                <w:bCs w:val="1"/>
                <w:color w:val="auto"/>
              </w:rPr>
              <w:t>42,592</w:t>
            </w:r>
          </w:p>
        </w:tc>
        <w:tc>
          <w:tcPr>
            <w:tcW w:w="1020" w:type="dxa"/>
            <w:vAlign w:val="bottom"/>
            <w:gridSpan w:val="2"/>
          </w:tcPr>
          <w:p>
            <w:pPr>
              <w:jc w:val="right"/>
              <w:ind w:right="120"/>
              <w:spacing w:after="0" w:line="147" w:lineRule="exact"/>
              <w:rPr>
                <w:sz w:val="20"/>
                <w:szCs w:val="20"/>
                <w:color w:val="auto"/>
              </w:rPr>
            </w:pPr>
            <w:r>
              <w:rPr>
                <w:rFonts w:ascii="Arial" w:cs="Arial" w:eastAsia="Arial" w:hAnsi="Arial"/>
                <w:sz w:val="14"/>
                <w:szCs w:val="14"/>
                <w:b w:val="1"/>
                <w:bCs w:val="1"/>
                <w:color w:val="auto"/>
              </w:rPr>
              <w:t>97.9%</w:t>
            </w:r>
          </w:p>
        </w:tc>
        <w:tc>
          <w:tcPr>
            <w:tcW w:w="220" w:type="dxa"/>
            <w:vAlign w:val="bottom"/>
          </w:tcPr>
          <w:p>
            <w:pPr>
              <w:spacing w:after="0"/>
              <w:rPr>
                <w:sz w:val="12"/>
                <w:szCs w:val="12"/>
                <w:color w:val="auto"/>
              </w:rPr>
            </w:pPr>
          </w:p>
        </w:tc>
        <w:tc>
          <w:tcPr>
            <w:tcW w:w="800" w:type="dxa"/>
            <w:vAlign w:val="bottom"/>
            <w:gridSpan w:val="2"/>
          </w:tcPr>
          <w:p>
            <w:pPr>
              <w:jc w:val="right"/>
              <w:ind w:right="240"/>
              <w:spacing w:after="0" w:line="147" w:lineRule="exact"/>
              <w:rPr>
                <w:sz w:val="20"/>
                <w:szCs w:val="20"/>
                <w:color w:val="auto"/>
              </w:rPr>
            </w:pPr>
            <w:r>
              <w:rPr>
                <w:rFonts w:ascii="Arial" w:cs="Arial" w:eastAsia="Arial" w:hAnsi="Arial"/>
                <w:sz w:val="14"/>
                <w:szCs w:val="14"/>
                <w:b w:val="1"/>
                <w:bCs w:val="1"/>
                <w:color w:val="auto"/>
              </w:rPr>
              <w:t>N/A</w:t>
            </w:r>
          </w:p>
        </w:tc>
        <w:tc>
          <w:tcPr>
            <w:tcW w:w="1000" w:type="dxa"/>
            <w:vAlign w:val="bottom"/>
            <w:gridSpan w:val="2"/>
          </w:tcPr>
          <w:p>
            <w:pPr>
              <w:jc w:val="right"/>
              <w:ind w:right="220"/>
              <w:spacing w:after="0" w:line="147" w:lineRule="exact"/>
              <w:rPr>
                <w:sz w:val="20"/>
                <w:szCs w:val="20"/>
                <w:color w:val="auto"/>
              </w:rPr>
            </w:pPr>
            <w:r>
              <w:rPr>
                <w:rFonts w:ascii="Arial" w:cs="Arial" w:eastAsia="Arial" w:hAnsi="Arial"/>
                <w:sz w:val="14"/>
                <w:szCs w:val="14"/>
                <w:b w:val="1"/>
                <w:bCs w:val="1"/>
                <w:color w:val="auto"/>
              </w:rPr>
              <w:t>2,100</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7" w:lineRule="exact"/>
              <w:rPr>
                <w:sz w:val="20"/>
                <w:szCs w:val="20"/>
                <w:color w:val="auto"/>
              </w:rPr>
            </w:pPr>
            <w:r>
              <w:rPr>
                <w:rFonts w:ascii="Arial" w:cs="Arial" w:eastAsia="Arial" w:hAnsi="Arial"/>
                <w:sz w:val="14"/>
                <w:szCs w:val="14"/>
                <w:b w:val="1"/>
                <w:bCs w:val="1"/>
                <w:color w:val="auto"/>
              </w:rPr>
              <w:t>64,118</w:t>
            </w:r>
          </w:p>
        </w:tc>
        <w:tc>
          <w:tcPr>
            <w:tcW w:w="108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2953.7%</w:t>
            </w:r>
          </w:p>
        </w:tc>
      </w:tr>
      <w:tr>
        <w:trPr>
          <w:trHeight w:val="147"/>
        </w:trPr>
        <w:tc>
          <w:tcPr>
            <w:tcW w:w="316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Net income of Medical services</w:t>
            </w:r>
          </w:p>
        </w:tc>
        <w:tc>
          <w:tcPr>
            <w:tcW w:w="10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b w:val="1"/>
                <w:bCs w:val="1"/>
                <w:color w:val="auto"/>
              </w:rPr>
              <w:t>19,983</w:t>
            </w:r>
          </w:p>
        </w:tc>
        <w:tc>
          <w:tcPr>
            <w:tcW w:w="9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b w:val="1"/>
                <w:bCs w:val="1"/>
                <w:color w:val="auto"/>
              </w:rPr>
              <w:t>12,765</w:t>
            </w:r>
          </w:p>
        </w:tc>
        <w:tc>
          <w:tcPr>
            <w:tcW w:w="10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b w:val="1"/>
                <w:bCs w:val="1"/>
                <w:color w:val="auto"/>
              </w:rPr>
              <w:t>-9,169</w:t>
            </w:r>
          </w:p>
        </w:tc>
        <w:tc>
          <w:tcPr>
            <w:tcW w:w="102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b w:val="1"/>
                <w:bCs w:val="1"/>
                <w:color w:val="auto"/>
              </w:rPr>
              <w:t>-171.8%</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b w:val="1"/>
                <w:bCs w:val="1"/>
                <w:color w:val="auto"/>
              </w:rPr>
              <w:t>-145.9%</w:t>
            </w:r>
          </w:p>
        </w:tc>
        <w:tc>
          <w:tcPr>
            <w:tcW w:w="100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b w:val="1"/>
                <w:bCs w:val="1"/>
                <w:color w:val="auto"/>
              </w:rPr>
              <w:t>41,091</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b w:val="1"/>
                <w:bCs w:val="1"/>
                <w:color w:val="auto"/>
              </w:rPr>
              <w:t>3,596</w:t>
            </w:r>
          </w:p>
        </w:tc>
        <w:tc>
          <w:tcPr>
            <w:tcW w:w="10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b w:val="1"/>
                <w:bCs w:val="1"/>
                <w:color w:val="auto"/>
              </w:rPr>
              <w:t>-91.2%</w:t>
            </w:r>
          </w:p>
        </w:tc>
      </w:tr>
      <w:tr>
        <w:trPr>
          <w:trHeight w:val="185"/>
        </w:trPr>
        <w:tc>
          <w:tcPr>
            <w:tcW w:w="316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25,435</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34,290</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33,424</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-2.5%</w:t>
            </w:r>
          </w:p>
        </w:tc>
        <w:tc>
          <w:tcPr>
            <w:tcW w:w="22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31.4%</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43,191</w:t>
            </w:r>
          </w:p>
        </w:tc>
        <w:tc>
          <w:tcPr>
            <w:tcW w:w="1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67,714</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56.8%</w:t>
            </w:r>
          </w:p>
        </w:tc>
      </w:tr>
    </w:tbl>
    <w:p>
      <w:pPr>
        <w:spacing w:after="0" w:line="375"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11.10. Prima AFP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29"/>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5"/>
          </w:tcPr>
          <w:p>
            <w:pPr>
              <w:ind w:left="600"/>
              <w:spacing w:after="0"/>
              <w:rPr>
                <w:sz w:val="20"/>
                <w:szCs w:val="20"/>
                <w:color w:val="auto"/>
              </w:rPr>
            </w:pPr>
            <w:r>
              <w:rPr>
                <w:rFonts w:ascii="Arial" w:cs="Arial" w:eastAsia="Arial" w:hAnsi="Arial"/>
                <w:sz w:val="14"/>
                <w:szCs w:val="14"/>
                <w:b w:val="1"/>
                <w:bCs w:val="1"/>
                <w:color w:val="auto"/>
                <w:w w:val="94"/>
              </w:rPr>
              <w:t>% change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4"/>
                <w:szCs w:val="14"/>
                <w:b w:val="1"/>
                <w:bCs w:val="1"/>
                <w:color w:val="auto"/>
              </w:rPr>
              <w:t>YTD</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ind w:left="180"/>
              <w:spacing w:after="0"/>
              <w:rPr>
                <w:sz w:val="20"/>
                <w:szCs w:val="20"/>
                <w:color w:val="auto"/>
              </w:rPr>
            </w:pPr>
            <w:r>
              <w:rPr>
                <w:rFonts w:ascii="Arial" w:cs="Arial" w:eastAsia="Arial" w:hAnsi="Arial"/>
                <w:sz w:val="14"/>
                <w:szCs w:val="14"/>
                <w:b w:val="1"/>
                <w:bCs w:val="1"/>
                <w:color w:val="auto"/>
              </w:rPr>
              <w:t>% change</w:t>
            </w:r>
          </w:p>
        </w:tc>
      </w:tr>
      <w:tr>
        <w:trPr>
          <w:trHeight w:val="153"/>
        </w:trPr>
        <w:tc>
          <w:tcPr>
            <w:tcW w:w="290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49"/>
              <w:spacing w:after="0" w:line="153" w:lineRule="exact"/>
              <w:rPr>
                <w:sz w:val="20"/>
                <w:szCs w:val="20"/>
                <w:color w:val="auto"/>
              </w:rPr>
            </w:pPr>
            <w:r>
              <w:rPr>
                <w:rFonts w:ascii="Arial" w:cs="Arial" w:eastAsia="Arial" w:hAnsi="Arial"/>
                <w:sz w:val="14"/>
                <w:szCs w:val="14"/>
                <w:b w:val="1"/>
                <w:bCs w:val="1"/>
                <w:color w:val="auto"/>
              </w:rPr>
              <w:t>2Q19</w:t>
            </w:r>
          </w:p>
        </w:tc>
        <w:tc>
          <w:tcPr>
            <w:tcW w:w="2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40"/>
              <w:spacing w:after="0" w:line="153" w:lineRule="exact"/>
              <w:rPr>
                <w:sz w:val="20"/>
                <w:szCs w:val="20"/>
                <w:color w:val="auto"/>
              </w:rPr>
            </w:pPr>
            <w:r>
              <w:rPr>
                <w:rFonts w:ascii="Arial" w:cs="Arial" w:eastAsia="Arial" w:hAnsi="Arial"/>
                <w:sz w:val="14"/>
                <w:szCs w:val="14"/>
                <w:b w:val="1"/>
                <w:bCs w:val="1"/>
                <w:color w:val="auto"/>
              </w:rPr>
              <w:t>1Q20</w:t>
            </w:r>
          </w:p>
        </w:tc>
        <w:tc>
          <w:tcPr>
            <w:tcW w:w="26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gridSpan w:val="3"/>
          </w:tcPr>
          <w:p>
            <w:pPr>
              <w:jc w:val="right"/>
              <w:ind w:right="240"/>
              <w:spacing w:after="0" w:line="153" w:lineRule="exact"/>
              <w:rPr>
                <w:sz w:val="20"/>
                <w:szCs w:val="20"/>
                <w:color w:val="auto"/>
              </w:rPr>
            </w:pPr>
            <w:r>
              <w:rPr>
                <w:rFonts w:ascii="Arial" w:cs="Arial" w:eastAsia="Arial" w:hAnsi="Arial"/>
                <w:sz w:val="14"/>
                <w:szCs w:val="14"/>
                <w:b w:val="1"/>
                <w:bCs w:val="1"/>
                <w:color w:val="auto"/>
              </w:rPr>
              <w:t>2Q20</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gridSpan w:val="2"/>
          </w:tcPr>
          <w:p>
            <w:pPr>
              <w:jc w:val="right"/>
              <w:ind w:right="240"/>
              <w:spacing w:after="0" w:line="153" w:lineRule="exact"/>
              <w:rPr>
                <w:sz w:val="20"/>
                <w:szCs w:val="20"/>
                <w:color w:val="auto"/>
              </w:rPr>
            </w:pPr>
            <w:r>
              <w:rPr>
                <w:rFonts w:ascii="Arial" w:cs="Arial" w:eastAsia="Arial" w:hAnsi="Arial"/>
                <w:sz w:val="14"/>
                <w:szCs w:val="14"/>
                <w:b w:val="1"/>
                <w:bCs w:val="1"/>
                <w:color w:val="auto"/>
              </w:rPr>
              <w:t>QoQ</w:t>
            </w:r>
          </w:p>
        </w:tc>
        <w:tc>
          <w:tcPr>
            <w:tcW w:w="260" w:type="dxa"/>
            <w:vAlign w:val="bottom"/>
            <w:tcBorders>
              <w:top w:val="single" w:sz="8" w:color="auto"/>
              <w:bottom w:val="single" w:sz="8" w:color="CCEEFF"/>
            </w:tcBorders>
            <w:gridSpan w:val="2"/>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ind w:left="40"/>
              <w:spacing w:after="0" w:line="153" w:lineRule="exact"/>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jc w:val="right"/>
              <w:ind w:right="120"/>
              <w:spacing w:after="0" w:line="153" w:lineRule="exact"/>
              <w:rPr>
                <w:sz w:val="20"/>
                <w:szCs w:val="20"/>
                <w:color w:val="auto"/>
              </w:rPr>
            </w:pPr>
            <w:r>
              <w:rPr>
                <w:rFonts w:ascii="Arial" w:cs="Arial" w:eastAsia="Arial" w:hAnsi="Arial"/>
                <w:sz w:val="14"/>
                <w:szCs w:val="14"/>
                <w:b w:val="1"/>
                <w:bCs w:val="1"/>
                <w:color w:val="auto"/>
                <w:w w:val="94"/>
              </w:rPr>
              <w:t>Jun 19</w:t>
            </w:r>
          </w:p>
        </w:tc>
        <w:tc>
          <w:tcPr>
            <w:tcW w:w="2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gridSpan w:val="2"/>
          </w:tcPr>
          <w:p>
            <w:pPr>
              <w:jc w:val="right"/>
              <w:ind w:right="180"/>
              <w:spacing w:after="0" w:line="153" w:lineRule="exact"/>
              <w:rPr>
                <w:sz w:val="20"/>
                <w:szCs w:val="20"/>
                <w:color w:val="auto"/>
              </w:rPr>
            </w:pPr>
            <w:r>
              <w:rPr>
                <w:rFonts w:ascii="Arial" w:cs="Arial" w:eastAsia="Arial" w:hAnsi="Arial"/>
                <w:sz w:val="14"/>
                <w:szCs w:val="14"/>
                <w:b w:val="1"/>
                <w:bCs w:val="1"/>
                <w:color w:val="auto"/>
              </w:rPr>
              <w:t>Jun 20</w:t>
            </w:r>
          </w:p>
        </w:tc>
        <w:tc>
          <w:tcPr>
            <w:tcW w:w="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gridSpan w:val="2"/>
          </w:tcPr>
          <w:p>
            <w:pPr>
              <w:ind w:left="20"/>
              <w:spacing w:after="0" w:line="153" w:lineRule="exact"/>
              <w:rPr>
                <w:sz w:val="20"/>
                <w:szCs w:val="20"/>
                <w:color w:val="auto"/>
              </w:rPr>
            </w:pPr>
            <w:r>
              <w:rPr>
                <w:rFonts w:ascii="Arial" w:cs="Arial" w:eastAsia="Arial" w:hAnsi="Arial"/>
                <w:sz w:val="14"/>
                <w:szCs w:val="14"/>
                <w:b w:val="1"/>
                <w:bCs w:val="1"/>
                <w:color w:val="auto"/>
                <w:w w:val="93"/>
              </w:rPr>
              <w:t>Jun 20 / Jun 19</w:t>
            </w:r>
          </w:p>
        </w:tc>
        <w:tc>
          <w:tcPr>
            <w:tcW w:w="140" w:type="dxa"/>
            <w:vAlign w:val="bottom"/>
            <w:tcBorders>
              <w:bottom w:val="single" w:sz="8" w:color="CCEEFF"/>
            </w:tcBorders>
          </w:tcPr>
          <w:p>
            <w:pPr>
              <w:spacing w:after="0"/>
              <w:rPr>
                <w:sz w:val="13"/>
                <w:szCs w:val="13"/>
                <w:color w:val="auto"/>
              </w:rPr>
            </w:pPr>
          </w:p>
        </w:tc>
      </w:tr>
      <w:tr>
        <w:trPr>
          <w:trHeight w:val="140"/>
        </w:trPr>
        <w:tc>
          <w:tcPr>
            <w:tcW w:w="29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Income from commissions</w:t>
            </w:r>
          </w:p>
        </w:tc>
        <w:tc>
          <w:tcPr>
            <w:tcW w:w="78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105,867</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103,233</w:t>
            </w:r>
          </w:p>
        </w:tc>
        <w:tc>
          <w:tcPr>
            <w:tcW w:w="2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0" w:lineRule="exact"/>
              <w:rPr>
                <w:sz w:val="20"/>
                <w:szCs w:val="20"/>
                <w:color w:val="auto"/>
              </w:rPr>
            </w:pPr>
            <w:r>
              <w:rPr>
                <w:rFonts w:ascii="Arial" w:cs="Arial" w:eastAsia="Arial" w:hAnsi="Arial"/>
                <w:sz w:val="14"/>
                <w:szCs w:val="14"/>
                <w:color w:val="auto"/>
              </w:rPr>
              <w:t>72,296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4"/>
                <w:szCs w:val="14"/>
                <w:color w:val="auto"/>
              </w:rPr>
              <w:t>-31.7%</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205,624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175,529</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20"/>
              <w:spacing w:after="0" w:line="140" w:lineRule="exact"/>
              <w:rPr>
                <w:sz w:val="20"/>
                <w:szCs w:val="20"/>
                <w:color w:val="auto"/>
              </w:rPr>
            </w:pPr>
            <w:r>
              <w:rPr>
                <w:rFonts w:ascii="Arial" w:cs="Arial" w:eastAsia="Arial" w:hAnsi="Arial"/>
                <w:sz w:val="14"/>
                <w:szCs w:val="14"/>
                <w:color w:val="auto"/>
              </w:rPr>
              <w:t>-14.6%</w:t>
            </w:r>
          </w:p>
        </w:tc>
      </w:tr>
      <w:tr>
        <w:trPr>
          <w:trHeight w:val="147"/>
        </w:trPr>
        <w:tc>
          <w:tcPr>
            <w:tcW w:w="2900" w:type="dxa"/>
            <w:vAlign w:val="bottom"/>
          </w:tcPr>
          <w:p>
            <w:pPr>
              <w:spacing w:after="0" w:line="147" w:lineRule="exact"/>
              <w:rPr>
                <w:sz w:val="20"/>
                <w:szCs w:val="20"/>
                <w:color w:val="auto"/>
              </w:rPr>
            </w:pPr>
            <w:r>
              <w:rPr>
                <w:rFonts w:ascii="Arial" w:cs="Arial" w:eastAsia="Arial" w:hAnsi="Arial"/>
                <w:sz w:val="14"/>
                <w:szCs w:val="14"/>
                <w:color w:val="auto"/>
              </w:rPr>
              <w:t>Administrative and sale expenses</w:t>
            </w:r>
          </w:p>
        </w:tc>
        <w:tc>
          <w:tcPr>
            <w:tcW w:w="1020" w:type="dxa"/>
            <w:vAlign w:val="bottom"/>
            <w:gridSpan w:val="2"/>
          </w:tcPr>
          <w:p>
            <w:pPr>
              <w:jc w:val="right"/>
              <w:ind w:right="129"/>
              <w:spacing w:after="0" w:line="147" w:lineRule="exact"/>
              <w:rPr>
                <w:sz w:val="20"/>
                <w:szCs w:val="20"/>
                <w:color w:val="auto"/>
              </w:rPr>
            </w:pPr>
            <w:r>
              <w:rPr>
                <w:rFonts w:ascii="Arial" w:cs="Arial" w:eastAsia="Arial" w:hAnsi="Arial"/>
                <w:sz w:val="14"/>
                <w:szCs w:val="14"/>
                <w:color w:val="auto"/>
              </w:rPr>
              <w:t>(38,358)</w:t>
            </w:r>
          </w:p>
        </w:tc>
        <w:tc>
          <w:tcPr>
            <w:tcW w:w="1040" w:type="dxa"/>
            <w:vAlign w:val="bottom"/>
            <w:gridSpan w:val="3"/>
          </w:tcPr>
          <w:p>
            <w:pPr>
              <w:jc w:val="right"/>
              <w:ind w:right="129"/>
              <w:spacing w:after="0" w:line="147" w:lineRule="exact"/>
              <w:rPr>
                <w:sz w:val="20"/>
                <w:szCs w:val="20"/>
                <w:color w:val="auto"/>
              </w:rPr>
            </w:pPr>
            <w:r>
              <w:rPr>
                <w:rFonts w:ascii="Arial" w:cs="Arial" w:eastAsia="Arial" w:hAnsi="Arial"/>
                <w:sz w:val="14"/>
                <w:szCs w:val="14"/>
                <w:color w:val="auto"/>
              </w:rPr>
              <w:t>(35,807)</w:t>
            </w:r>
          </w:p>
        </w:tc>
        <w:tc>
          <w:tcPr>
            <w:tcW w:w="920" w:type="dxa"/>
            <w:vAlign w:val="bottom"/>
            <w:gridSpan w:val="4"/>
          </w:tcPr>
          <w:p>
            <w:pPr>
              <w:jc w:val="right"/>
              <w:ind w:right="29"/>
              <w:spacing w:after="0" w:line="147" w:lineRule="exact"/>
              <w:rPr>
                <w:sz w:val="20"/>
                <w:szCs w:val="20"/>
                <w:color w:val="auto"/>
              </w:rPr>
            </w:pPr>
            <w:r>
              <w:rPr>
                <w:rFonts w:ascii="Arial" w:cs="Arial" w:eastAsia="Arial" w:hAnsi="Arial"/>
                <w:sz w:val="14"/>
                <w:szCs w:val="14"/>
                <w:color w:val="auto"/>
              </w:rPr>
              <w:t>(30,129)</w:t>
            </w:r>
          </w:p>
        </w:tc>
        <w:tc>
          <w:tcPr>
            <w:tcW w:w="1040" w:type="dxa"/>
            <w:vAlign w:val="bottom"/>
            <w:gridSpan w:val="4"/>
          </w:tcPr>
          <w:p>
            <w:pPr>
              <w:jc w:val="right"/>
              <w:ind w:right="40"/>
              <w:spacing w:after="0" w:line="147" w:lineRule="exact"/>
              <w:rPr>
                <w:sz w:val="20"/>
                <w:szCs w:val="20"/>
                <w:color w:val="auto"/>
              </w:rPr>
            </w:pPr>
            <w:r>
              <w:rPr>
                <w:rFonts w:ascii="Arial" w:cs="Arial" w:eastAsia="Arial" w:hAnsi="Arial"/>
                <w:sz w:val="14"/>
                <w:szCs w:val="14"/>
                <w:color w:val="auto"/>
              </w:rPr>
              <w:t>-15.9%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-21.5%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jc w:val="right"/>
              <w:ind w:right="129"/>
              <w:spacing w:after="0" w:line="147" w:lineRule="exact"/>
              <w:rPr>
                <w:sz w:val="20"/>
                <w:szCs w:val="20"/>
                <w:color w:val="auto"/>
              </w:rPr>
            </w:pPr>
            <w:r>
              <w:rPr>
                <w:rFonts w:ascii="Arial" w:cs="Arial" w:eastAsia="Arial" w:hAnsi="Arial"/>
                <w:sz w:val="14"/>
                <w:szCs w:val="14"/>
                <w:color w:val="auto"/>
              </w:rPr>
              <w:t>(75,650)</w:t>
            </w:r>
          </w:p>
        </w:tc>
        <w:tc>
          <w:tcPr>
            <w:tcW w:w="120" w:type="dxa"/>
            <w:vAlign w:val="bottom"/>
          </w:tcPr>
          <w:p>
            <w:pPr>
              <w:spacing w:after="0"/>
              <w:rPr>
                <w:sz w:val="12"/>
                <w:szCs w:val="12"/>
                <w:color w:val="auto"/>
              </w:rPr>
            </w:pPr>
          </w:p>
        </w:tc>
        <w:tc>
          <w:tcPr>
            <w:tcW w:w="920" w:type="dxa"/>
            <w:vAlign w:val="bottom"/>
            <w:gridSpan w:val="4"/>
          </w:tcPr>
          <w:p>
            <w:pPr>
              <w:jc w:val="right"/>
              <w:ind w:right="220"/>
              <w:spacing w:after="0" w:line="147" w:lineRule="exact"/>
              <w:rPr>
                <w:sz w:val="20"/>
                <w:szCs w:val="20"/>
                <w:color w:val="auto"/>
              </w:rPr>
            </w:pPr>
            <w:r>
              <w:rPr>
                <w:rFonts w:ascii="Arial" w:cs="Arial" w:eastAsia="Arial" w:hAnsi="Arial"/>
                <w:sz w:val="14"/>
                <w:szCs w:val="14"/>
                <w:color w:val="auto"/>
              </w:rPr>
              <w:t>(65,936)</w:t>
            </w:r>
          </w:p>
        </w:tc>
        <w:tc>
          <w:tcPr>
            <w:tcW w:w="20" w:type="dxa"/>
            <w:vAlign w:val="bottom"/>
          </w:tcPr>
          <w:p>
            <w:pPr>
              <w:spacing w:after="0"/>
              <w:rPr>
                <w:sz w:val="12"/>
                <w:szCs w:val="12"/>
                <w:color w:val="auto"/>
              </w:rPr>
            </w:pPr>
          </w:p>
        </w:tc>
        <w:tc>
          <w:tcPr>
            <w:tcW w:w="1120" w:type="dxa"/>
            <w:vAlign w:val="bottom"/>
            <w:gridSpan w:val="3"/>
          </w:tcPr>
          <w:p>
            <w:pPr>
              <w:jc w:val="right"/>
              <w:ind w:right="20"/>
              <w:spacing w:after="0" w:line="147" w:lineRule="exact"/>
              <w:rPr>
                <w:sz w:val="20"/>
                <w:szCs w:val="20"/>
                <w:color w:val="auto"/>
              </w:rPr>
            </w:pPr>
            <w:r>
              <w:rPr>
                <w:rFonts w:ascii="Arial" w:cs="Arial" w:eastAsia="Arial" w:hAnsi="Arial"/>
                <w:sz w:val="14"/>
                <w:szCs w:val="14"/>
                <w:color w:val="auto"/>
              </w:rPr>
              <w:t>-12.8%</w:t>
            </w:r>
          </w:p>
        </w:tc>
      </w:tr>
      <w:tr>
        <w:trPr>
          <w:trHeight w:val="147"/>
        </w:trPr>
        <w:tc>
          <w:tcPr>
            <w:tcW w:w="29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Depreciation and amortization</w:t>
            </w:r>
          </w:p>
        </w:tc>
        <w:tc>
          <w:tcPr>
            <w:tcW w:w="1020" w:type="dxa"/>
            <w:vAlign w:val="bottom"/>
            <w:gridSpan w:val="2"/>
            <w:shd w:val="clear" w:color="auto" w:fill="CCEEFF"/>
          </w:tcPr>
          <w:p>
            <w:pPr>
              <w:jc w:val="right"/>
              <w:ind w:right="129"/>
              <w:spacing w:after="0" w:line="147" w:lineRule="exact"/>
              <w:rPr>
                <w:sz w:val="20"/>
                <w:szCs w:val="20"/>
                <w:color w:val="auto"/>
              </w:rPr>
            </w:pPr>
            <w:r>
              <w:rPr>
                <w:rFonts w:ascii="Arial" w:cs="Arial" w:eastAsia="Arial" w:hAnsi="Arial"/>
                <w:sz w:val="14"/>
                <w:szCs w:val="14"/>
                <w:color w:val="auto"/>
              </w:rPr>
              <w:t>(4,725)</w:t>
            </w:r>
          </w:p>
        </w:tc>
        <w:tc>
          <w:tcPr>
            <w:tcW w:w="1040" w:type="dxa"/>
            <w:vAlign w:val="bottom"/>
            <w:gridSpan w:val="3"/>
            <w:shd w:val="clear" w:color="auto" w:fill="CCEEFF"/>
          </w:tcPr>
          <w:p>
            <w:pPr>
              <w:jc w:val="right"/>
              <w:ind w:right="129"/>
              <w:spacing w:after="0" w:line="147" w:lineRule="exact"/>
              <w:rPr>
                <w:sz w:val="20"/>
                <w:szCs w:val="20"/>
                <w:color w:val="auto"/>
              </w:rPr>
            </w:pPr>
            <w:r>
              <w:rPr>
                <w:rFonts w:ascii="Arial" w:cs="Arial" w:eastAsia="Arial" w:hAnsi="Arial"/>
                <w:sz w:val="14"/>
                <w:szCs w:val="14"/>
                <w:color w:val="auto"/>
              </w:rPr>
              <w:t>(6,100)</w:t>
            </w:r>
          </w:p>
        </w:tc>
        <w:tc>
          <w:tcPr>
            <w:tcW w:w="920" w:type="dxa"/>
            <w:vAlign w:val="bottom"/>
            <w:gridSpan w:val="4"/>
            <w:shd w:val="clear" w:color="auto" w:fill="CCEEFF"/>
          </w:tcPr>
          <w:p>
            <w:pPr>
              <w:jc w:val="right"/>
              <w:ind w:right="29"/>
              <w:spacing w:after="0" w:line="147" w:lineRule="exact"/>
              <w:rPr>
                <w:sz w:val="20"/>
                <w:szCs w:val="20"/>
                <w:color w:val="auto"/>
              </w:rPr>
            </w:pPr>
            <w:r>
              <w:rPr>
                <w:rFonts w:ascii="Arial" w:cs="Arial" w:eastAsia="Arial" w:hAnsi="Arial"/>
                <w:sz w:val="14"/>
                <w:szCs w:val="14"/>
                <w:color w:val="auto"/>
              </w:rPr>
              <w:t>(6,126)</w:t>
            </w:r>
          </w:p>
        </w:tc>
        <w:tc>
          <w:tcPr>
            <w:tcW w:w="1040" w:type="dxa"/>
            <w:vAlign w:val="bottom"/>
            <w:gridSpan w:val="4"/>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29"/>
              <w:spacing w:after="0" w:line="147" w:lineRule="exact"/>
              <w:rPr>
                <w:sz w:val="20"/>
                <w:szCs w:val="20"/>
                <w:color w:val="auto"/>
              </w:rPr>
            </w:pPr>
            <w:r>
              <w:rPr>
                <w:rFonts w:ascii="Arial" w:cs="Arial" w:eastAsia="Arial" w:hAnsi="Arial"/>
                <w:sz w:val="14"/>
                <w:szCs w:val="14"/>
                <w:color w:val="auto"/>
              </w:rPr>
              <w:t>(9,198)</w:t>
            </w:r>
          </w:p>
        </w:tc>
        <w:tc>
          <w:tcPr>
            <w:tcW w:w="120" w:type="dxa"/>
            <w:vAlign w:val="bottom"/>
            <w:shd w:val="clear" w:color="auto" w:fill="CCEEFF"/>
          </w:tcPr>
          <w:p>
            <w:pPr>
              <w:spacing w:after="0"/>
              <w:rPr>
                <w:sz w:val="12"/>
                <w:szCs w:val="12"/>
                <w:color w:val="auto"/>
              </w:rPr>
            </w:pPr>
          </w:p>
        </w:tc>
        <w:tc>
          <w:tcPr>
            <w:tcW w:w="920" w:type="dxa"/>
            <w:vAlign w:val="bottom"/>
            <w:gridSpan w:val="4"/>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(12,226)</w:t>
            </w:r>
          </w:p>
        </w:tc>
        <w:tc>
          <w:tcPr>
            <w:tcW w:w="2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32.9%</w:t>
            </w:r>
          </w:p>
        </w:tc>
      </w:tr>
      <w:tr>
        <w:trPr>
          <w:trHeight w:val="147"/>
        </w:trPr>
        <w:tc>
          <w:tcPr>
            <w:tcW w:w="2900" w:type="dxa"/>
            <w:vAlign w:val="bottom"/>
          </w:tcPr>
          <w:p>
            <w:pPr>
              <w:spacing w:after="0" w:line="147" w:lineRule="exact"/>
              <w:rPr>
                <w:sz w:val="20"/>
                <w:szCs w:val="20"/>
                <w:color w:val="auto"/>
              </w:rPr>
            </w:pPr>
            <w:r>
              <w:rPr>
                <w:rFonts w:ascii="Arial" w:cs="Arial" w:eastAsia="Arial" w:hAnsi="Arial"/>
                <w:sz w:val="14"/>
                <w:szCs w:val="14"/>
                <w:b w:val="1"/>
                <w:bCs w:val="1"/>
                <w:color w:val="auto"/>
              </w:rPr>
              <w:t>Operating income</w:t>
            </w:r>
          </w:p>
        </w:tc>
        <w:tc>
          <w:tcPr>
            <w:tcW w:w="1020" w:type="dxa"/>
            <w:vAlign w:val="bottom"/>
            <w:gridSpan w:val="2"/>
          </w:tcPr>
          <w:p>
            <w:pPr>
              <w:jc w:val="right"/>
              <w:ind w:right="169"/>
              <w:spacing w:after="0" w:line="147" w:lineRule="exact"/>
              <w:rPr>
                <w:sz w:val="20"/>
                <w:szCs w:val="20"/>
                <w:color w:val="auto"/>
              </w:rPr>
            </w:pPr>
            <w:r>
              <w:rPr>
                <w:rFonts w:ascii="Arial" w:cs="Arial" w:eastAsia="Arial" w:hAnsi="Arial"/>
                <w:sz w:val="14"/>
                <w:szCs w:val="14"/>
                <w:b w:val="1"/>
                <w:bCs w:val="1"/>
                <w:color w:val="auto"/>
              </w:rPr>
              <w:t>62,783</w:t>
            </w:r>
          </w:p>
        </w:tc>
        <w:tc>
          <w:tcPr>
            <w:tcW w:w="1040" w:type="dxa"/>
            <w:vAlign w:val="bottom"/>
            <w:gridSpan w:val="3"/>
          </w:tcPr>
          <w:p>
            <w:pPr>
              <w:jc w:val="right"/>
              <w:ind w:right="189"/>
              <w:spacing w:after="0" w:line="147" w:lineRule="exact"/>
              <w:rPr>
                <w:sz w:val="20"/>
                <w:szCs w:val="20"/>
                <w:color w:val="auto"/>
              </w:rPr>
            </w:pPr>
            <w:r>
              <w:rPr>
                <w:rFonts w:ascii="Arial" w:cs="Arial" w:eastAsia="Arial" w:hAnsi="Arial"/>
                <w:sz w:val="14"/>
                <w:szCs w:val="14"/>
                <w:b w:val="1"/>
                <w:bCs w:val="1"/>
                <w:color w:val="auto"/>
              </w:rPr>
              <w:t>61,326</w:t>
            </w:r>
          </w:p>
        </w:tc>
        <w:tc>
          <w:tcPr>
            <w:tcW w:w="920" w:type="dxa"/>
            <w:vAlign w:val="bottom"/>
            <w:gridSpan w:val="4"/>
          </w:tcPr>
          <w:p>
            <w:pPr>
              <w:jc w:val="right"/>
              <w:ind w:right="69"/>
              <w:spacing w:after="0" w:line="147" w:lineRule="exact"/>
              <w:rPr>
                <w:sz w:val="20"/>
                <w:szCs w:val="20"/>
                <w:color w:val="auto"/>
              </w:rPr>
            </w:pPr>
            <w:r>
              <w:rPr>
                <w:rFonts w:ascii="Arial" w:cs="Arial" w:eastAsia="Arial" w:hAnsi="Arial"/>
                <w:sz w:val="14"/>
                <w:szCs w:val="14"/>
                <w:b w:val="1"/>
                <w:bCs w:val="1"/>
                <w:color w:val="auto"/>
              </w:rPr>
              <w:t>36,041</w:t>
            </w:r>
          </w:p>
        </w:tc>
        <w:tc>
          <w:tcPr>
            <w:tcW w:w="1040" w:type="dxa"/>
            <w:vAlign w:val="bottom"/>
            <w:gridSpan w:val="4"/>
          </w:tcPr>
          <w:p>
            <w:pPr>
              <w:jc w:val="right"/>
              <w:ind w:right="20"/>
              <w:spacing w:after="0" w:line="147" w:lineRule="exact"/>
              <w:rPr>
                <w:sz w:val="20"/>
                <w:szCs w:val="20"/>
                <w:color w:val="auto"/>
              </w:rPr>
            </w:pPr>
            <w:r>
              <w:rPr>
                <w:rFonts w:ascii="Arial" w:cs="Arial" w:eastAsia="Arial" w:hAnsi="Arial"/>
                <w:sz w:val="14"/>
                <w:szCs w:val="14"/>
                <w:b w:val="1"/>
                <w:bCs w:val="1"/>
                <w:color w:val="auto"/>
              </w:rPr>
              <w:t>-41.2%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20"/>
              <w:spacing w:after="0" w:line="147" w:lineRule="exact"/>
              <w:rPr>
                <w:sz w:val="20"/>
                <w:szCs w:val="20"/>
                <w:color w:val="auto"/>
              </w:rPr>
            </w:pPr>
            <w:r>
              <w:rPr>
                <w:rFonts w:ascii="Arial" w:cs="Arial" w:eastAsia="Arial" w:hAnsi="Arial"/>
                <w:sz w:val="14"/>
                <w:szCs w:val="14"/>
                <w:b w:val="1"/>
                <w:bCs w:val="1"/>
                <w:color w:val="auto"/>
              </w:rPr>
              <w:t>-42.6%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jc w:val="right"/>
              <w:ind w:right="169"/>
              <w:spacing w:after="0" w:line="147" w:lineRule="exact"/>
              <w:rPr>
                <w:sz w:val="20"/>
                <w:szCs w:val="20"/>
                <w:color w:val="auto"/>
              </w:rPr>
            </w:pPr>
            <w:r>
              <w:rPr>
                <w:rFonts w:ascii="Arial" w:cs="Arial" w:eastAsia="Arial" w:hAnsi="Arial"/>
                <w:sz w:val="14"/>
                <w:szCs w:val="14"/>
                <w:b w:val="1"/>
                <w:bCs w:val="1"/>
                <w:color w:val="auto"/>
              </w:rPr>
              <w:t>120,776</w:t>
            </w:r>
          </w:p>
        </w:tc>
        <w:tc>
          <w:tcPr>
            <w:tcW w:w="120" w:type="dxa"/>
            <w:vAlign w:val="bottom"/>
          </w:tcPr>
          <w:p>
            <w:pPr>
              <w:spacing w:after="0"/>
              <w:rPr>
                <w:sz w:val="12"/>
                <w:szCs w:val="12"/>
                <w:color w:val="auto"/>
              </w:rPr>
            </w:pPr>
          </w:p>
        </w:tc>
        <w:tc>
          <w:tcPr>
            <w:tcW w:w="680" w:type="dxa"/>
            <w:vAlign w:val="bottom"/>
            <w:gridSpan w:val="3"/>
          </w:tcPr>
          <w:p>
            <w:pPr>
              <w:jc w:val="right"/>
              <w:spacing w:after="0" w:line="147" w:lineRule="exact"/>
              <w:rPr>
                <w:sz w:val="20"/>
                <w:szCs w:val="20"/>
                <w:color w:val="auto"/>
              </w:rPr>
            </w:pPr>
            <w:r>
              <w:rPr>
                <w:rFonts w:ascii="Arial" w:cs="Arial" w:eastAsia="Arial" w:hAnsi="Arial"/>
                <w:sz w:val="14"/>
                <w:szCs w:val="14"/>
                <w:b w:val="1"/>
                <w:bCs w:val="1"/>
                <w:color w:val="auto"/>
              </w:rPr>
              <w:t>97,367</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jc w:val="right"/>
              <w:spacing w:after="0" w:line="147" w:lineRule="exact"/>
              <w:rPr>
                <w:sz w:val="20"/>
                <w:szCs w:val="20"/>
                <w:color w:val="auto"/>
              </w:rPr>
            </w:pPr>
            <w:r>
              <w:rPr>
                <w:rFonts w:ascii="Arial" w:cs="Arial" w:eastAsia="Arial" w:hAnsi="Arial"/>
                <w:sz w:val="14"/>
                <w:szCs w:val="14"/>
                <w:b w:val="1"/>
                <w:bCs w:val="1"/>
                <w:color w:val="auto"/>
              </w:rPr>
              <w:t>-19.4%</w:t>
            </w:r>
          </w:p>
        </w:tc>
      </w:tr>
      <w:tr>
        <w:trPr>
          <w:trHeight w:val="128"/>
        </w:trPr>
        <w:tc>
          <w:tcPr>
            <w:tcW w:w="290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w w:val="98"/>
              </w:rPr>
              <w:t>Other income and expenses, net (profitability of</w:t>
            </w: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65"/>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lace)</w:t>
            </w:r>
          </w:p>
        </w:tc>
        <w:tc>
          <w:tcPr>
            <w:tcW w:w="1020" w:type="dxa"/>
            <w:vAlign w:val="bottom"/>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8,108</w:t>
            </w:r>
          </w:p>
        </w:tc>
        <w:tc>
          <w:tcPr>
            <w:tcW w:w="1040" w:type="dxa"/>
            <w:vAlign w:val="bottom"/>
            <w:gridSpan w:val="3"/>
            <w:shd w:val="clear" w:color="auto" w:fill="CCEEFF"/>
          </w:tcPr>
          <w:p>
            <w:pPr>
              <w:jc w:val="right"/>
              <w:ind w:right="129"/>
              <w:spacing w:after="0"/>
              <w:rPr>
                <w:sz w:val="20"/>
                <w:szCs w:val="20"/>
                <w:color w:val="auto"/>
              </w:rPr>
            </w:pPr>
            <w:r>
              <w:rPr>
                <w:rFonts w:ascii="Arial" w:cs="Arial" w:eastAsia="Arial" w:hAnsi="Arial"/>
                <w:sz w:val="14"/>
                <w:szCs w:val="14"/>
                <w:color w:val="auto"/>
              </w:rPr>
              <w:t>(44,933)</w:t>
            </w:r>
          </w:p>
        </w:tc>
        <w:tc>
          <w:tcPr>
            <w:tcW w:w="920" w:type="dxa"/>
            <w:vAlign w:val="bottom"/>
            <w:gridSpan w:val="4"/>
            <w:shd w:val="clear" w:color="auto" w:fill="CCEEFF"/>
          </w:tcPr>
          <w:p>
            <w:pPr>
              <w:jc w:val="right"/>
              <w:ind w:right="69"/>
              <w:spacing w:after="0"/>
              <w:rPr>
                <w:sz w:val="20"/>
                <w:szCs w:val="20"/>
                <w:color w:val="auto"/>
              </w:rPr>
            </w:pPr>
            <w:r>
              <w:rPr>
                <w:rFonts w:ascii="Arial" w:cs="Arial" w:eastAsia="Arial" w:hAnsi="Arial"/>
                <w:sz w:val="14"/>
                <w:szCs w:val="14"/>
                <w:color w:val="auto"/>
              </w:rPr>
              <w:t>24,020</w:t>
            </w: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-153.5%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196.3%</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169"/>
              <w:spacing w:after="0"/>
              <w:rPr>
                <w:sz w:val="20"/>
                <w:szCs w:val="20"/>
                <w:color w:val="auto"/>
              </w:rPr>
            </w:pPr>
            <w:r>
              <w:rPr>
                <w:rFonts w:ascii="Arial" w:cs="Arial" w:eastAsia="Arial" w:hAnsi="Arial"/>
                <w:sz w:val="14"/>
                <w:szCs w:val="14"/>
                <w:color w:val="auto"/>
              </w:rPr>
              <w:t>25,820</w:t>
            </w:r>
          </w:p>
        </w:tc>
        <w:tc>
          <w:tcPr>
            <w:tcW w:w="120" w:type="dxa"/>
            <w:vAlign w:val="bottom"/>
            <w:shd w:val="clear" w:color="auto" w:fill="CCEEFF"/>
          </w:tcPr>
          <w:p>
            <w:pPr>
              <w:spacing w:after="0"/>
              <w:rPr>
                <w:sz w:val="14"/>
                <w:szCs w:val="14"/>
                <w:color w:val="auto"/>
              </w:rPr>
            </w:pPr>
          </w:p>
        </w:tc>
        <w:tc>
          <w:tcPr>
            <w:tcW w:w="92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(20,913)</w:t>
            </w:r>
          </w:p>
        </w:tc>
        <w:tc>
          <w:tcPr>
            <w:tcW w:w="2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-181.0%</w:t>
            </w:r>
          </w:p>
        </w:tc>
      </w:tr>
      <w:tr>
        <w:trPr>
          <w:trHeight w:val="147"/>
        </w:trPr>
        <w:tc>
          <w:tcPr>
            <w:tcW w:w="2900" w:type="dxa"/>
            <w:vAlign w:val="bottom"/>
          </w:tcPr>
          <w:p>
            <w:pPr>
              <w:spacing w:after="0" w:line="147" w:lineRule="exact"/>
              <w:rPr>
                <w:sz w:val="20"/>
                <w:szCs w:val="20"/>
                <w:color w:val="auto"/>
              </w:rPr>
            </w:pPr>
            <w:r>
              <w:rPr>
                <w:rFonts w:ascii="Arial" w:cs="Arial" w:eastAsia="Arial" w:hAnsi="Arial"/>
                <w:sz w:val="14"/>
                <w:szCs w:val="14"/>
                <w:color w:val="auto"/>
              </w:rPr>
              <w:t>Income tax</w:t>
            </w:r>
          </w:p>
        </w:tc>
        <w:tc>
          <w:tcPr>
            <w:tcW w:w="1020" w:type="dxa"/>
            <w:vAlign w:val="bottom"/>
            <w:gridSpan w:val="2"/>
          </w:tcPr>
          <w:p>
            <w:pPr>
              <w:jc w:val="right"/>
              <w:ind w:right="129"/>
              <w:spacing w:after="0" w:line="147" w:lineRule="exact"/>
              <w:rPr>
                <w:sz w:val="20"/>
                <w:szCs w:val="20"/>
                <w:color w:val="auto"/>
              </w:rPr>
            </w:pPr>
            <w:r>
              <w:rPr>
                <w:rFonts w:ascii="Arial" w:cs="Arial" w:eastAsia="Arial" w:hAnsi="Arial"/>
                <w:sz w:val="14"/>
                <w:szCs w:val="14"/>
                <w:color w:val="auto"/>
              </w:rPr>
              <w:t>(20,495)</w:t>
            </w:r>
          </w:p>
        </w:tc>
        <w:tc>
          <w:tcPr>
            <w:tcW w:w="1040" w:type="dxa"/>
            <w:vAlign w:val="bottom"/>
            <w:gridSpan w:val="3"/>
          </w:tcPr>
          <w:p>
            <w:pPr>
              <w:jc w:val="right"/>
              <w:ind w:right="129"/>
              <w:spacing w:after="0" w:line="147" w:lineRule="exact"/>
              <w:rPr>
                <w:sz w:val="20"/>
                <w:szCs w:val="20"/>
                <w:color w:val="auto"/>
              </w:rPr>
            </w:pPr>
            <w:r>
              <w:rPr>
                <w:rFonts w:ascii="Arial" w:cs="Arial" w:eastAsia="Arial" w:hAnsi="Arial"/>
                <w:sz w:val="14"/>
                <w:szCs w:val="14"/>
                <w:color w:val="auto"/>
              </w:rPr>
              <w:t>(20,155)</w:t>
            </w:r>
          </w:p>
        </w:tc>
        <w:tc>
          <w:tcPr>
            <w:tcW w:w="920" w:type="dxa"/>
            <w:vAlign w:val="bottom"/>
            <w:gridSpan w:val="4"/>
          </w:tcPr>
          <w:p>
            <w:pPr>
              <w:jc w:val="right"/>
              <w:ind w:right="29"/>
              <w:spacing w:after="0" w:line="147" w:lineRule="exact"/>
              <w:rPr>
                <w:sz w:val="20"/>
                <w:szCs w:val="20"/>
                <w:color w:val="auto"/>
              </w:rPr>
            </w:pPr>
            <w:r>
              <w:rPr>
                <w:rFonts w:ascii="Arial" w:cs="Arial" w:eastAsia="Arial" w:hAnsi="Arial"/>
                <w:sz w:val="14"/>
                <w:szCs w:val="14"/>
                <w:color w:val="auto"/>
              </w:rPr>
              <w:t>(8,759)</w:t>
            </w:r>
          </w:p>
        </w:tc>
        <w:tc>
          <w:tcPr>
            <w:tcW w:w="1040" w:type="dxa"/>
            <w:vAlign w:val="bottom"/>
            <w:gridSpan w:val="4"/>
          </w:tcPr>
          <w:p>
            <w:pPr>
              <w:jc w:val="right"/>
              <w:ind w:right="40"/>
              <w:spacing w:after="0" w:line="147" w:lineRule="exact"/>
              <w:rPr>
                <w:sz w:val="20"/>
                <w:szCs w:val="20"/>
                <w:color w:val="auto"/>
              </w:rPr>
            </w:pPr>
            <w:r>
              <w:rPr>
                <w:rFonts w:ascii="Arial" w:cs="Arial" w:eastAsia="Arial" w:hAnsi="Arial"/>
                <w:sz w:val="14"/>
                <w:szCs w:val="14"/>
                <w:color w:val="auto"/>
              </w:rPr>
              <w:t>-56.5%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-57.3%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jc w:val="right"/>
              <w:ind w:right="129"/>
              <w:spacing w:after="0" w:line="147" w:lineRule="exact"/>
              <w:rPr>
                <w:sz w:val="20"/>
                <w:szCs w:val="20"/>
                <w:color w:val="auto"/>
              </w:rPr>
            </w:pPr>
            <w:r>
              <w:rPr>
                <w:rFonts w:ascii="Arial" w:cs="Arial" w:eastAsia="Arial" w:hAnsi="Arial"/>
                <w:sz w:val="14"/>
                <w:szCs w:val="14"/>
                <w:color w:val="auto"/>
              </w:rPr>
              <w:t>(39,324)</w:t>
            </w:r>
          </w:p>
        </w:tc>
        <w:tc>
          <w:tcPr>
            <w:tcW w:w="120" w:type="dxa"/>
            <w:vAlign w:val="bottom"/>
          </w:tcPr>
          <w:p>
            <w:pPr>
              <w:spacing w:after="0"/>
              <w:rPr>
                <w:sz w:val="12"/>
                <w:szCs w:val="12"/>
                <w:color w:val="auto"/>
              </w:rPr>
            </w:pPr>
          </w:p>
        </w:tc>
        <w:tc>
          <w:tcPr>
            <w:tcW w:w="920" w:type="dxa"/>
            <w:vAlign w:val="bottom"/>
            <w:gridSpan w:val="4"/>
          </w:tcPr>
          <w:p>
            <w:pPr>
              <w:jc w:val="right"/>
              <w:ind w:right="220"/>
              <w:spacing w:after="0" w:line="147" w:lineRule="exact"/>
              <w:rPr>
                <w:sz w:val="20"/>
                <w:szCs w:val="20"/>
                <w:color w:val="auto"/>
              </w:rPr>
            </w:pPr>
            <w:r>
              <w:rPr>
                <w:rFonts w:ascii="Arial" w:cs="Arial" w:eastAsia="Arial" w:hAnsi="Arial"/>
                <w:sz w:val="14"/>
                <w:szCs w:val="14"/>
                <w:color w:val="auto"/>
              </w:rPr>
              <w:t>(28,914)</w:t>
            </w:r>
          </w:p>
        </w:tc>
        <w:tc>
          <w:tcPr>
            <w:tcW w:w="20" w:type="dxa"/>
            <w:vAlign w:val="bottom"/>
          </w:tcPr>
          <w:p>
            <w:pPr>
              <w:spacing w:after="0"/>
              <w:rPr>
                <w:sz w:val="12"/>
                <w:szCs w:val="12"/>
                <w:color w:val="auto"/>
              </w:rPr>
            </w:pPr>
          </w:p>
        </w:tc>
        <w:tc>
          <w:tcPr>
            <w:tcW w:w="1120" w:type="dxa"/>
            <w:vAlign w:val="bottom"/>
            <w:gridSpan w:val="3"/>
          </w:tcPr>
          <w:p>
            <w:pPr>
              <w:jc w:val="right"/>
              <w:ind w:right="20"/>
              <w:spacing w:after="0" w:line="147" w:lineRule="exact"/>
              <w:rPr>
                <w:sz w:val="20"/>
                <w:szCs w:val="20"/>
                <w:color w:val="auto"/>
              </w:rPr>
            </w:pPr>
            <w:r>
              <w:rPr>
                <w:rFonts w:ascii="Arial" w:cs="Arial" w:eastAsia="Arial" w:hAnsi="Arial"/>
                <w:sz w:val="14"/>
                <w:szCs w:val="14"/>
                <w:color w:val="auto"/>
              </w:rPr>
              <w:t>-26.5%</w:t>
            </w:r>
          </w:p>
        </w:tc>
      </w:tr>
      <w:tr>
        <w:trPr>
          <w:trHeight w:val="147"/>
        </w:trPr>
        <w:tc>
          <w:tcPr>
            <w:tcW w:w="290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Net income before translation results</w:t>
            </w:r>
          </w:p>
        </w:tc>
        <w:tc>
          <w:tcPr>
            <w:tcW w:w="1020" w:type="dxa"/>
            <w:vAlign w:val="bottom"/>
            <w:gridSpan w:val="2"/>
            <w:shd w:val="clear" w:color="auto" w:fill="CCEEFF"/>
          </w:tcPr>
          <w:p>
            <w:pPr>
              <w:jc w:val="right"/>
              <w:ind w:right="169"/>
              <w:spacing w:after="0" w:line="147" w:lineRule="exact"/>
              <w:rPr>
                <w:sz w:val="20"/>
                <w:szCs w:val="20"/>
                <w:color w:val="auto"/>
              </w:rPr>
            </w:pPr>
            <w:r>
              <w:rPr>
                <w:rFonts w:ascii="Arial" w:cs="Arial" w:eastAsia="Arial" w:hAnsi="Arial"/>
                <w:sz w:val="14"/>
                <w:szCs w:val="14"/>
                <w:b w:val="1"/>
                <w:bCs w:val="1"/>
                <w:color w:val="auto"/>
              </w:rPr>
              <w:t>50,396</w:t>
            </w:r>
          </w:p>
        </w:tc>
        <w:tc>
          <w:tcPr>
            <w:tcW w:w="1040" w:type="dxa"/>
            <w:vAlign w:val="bottom"/>
            <w:gridSpan w:val="3"/>
            <w:shd w:val="clear" w:color="auto" w:fill="CCEEFF"/>
          </w:tcPr>
          <w:p>
            <w:pPr>
              <w:jc w:val="right"/>
              <w:ind w:right="129"/>
              <w:spacing w:after="0" w:line="147" w:lineRule="exact"/>
              <w:rPr>
                <w:sz w:val="20"/>
                <w:szCs w:val="20"/>
                <w:color w:val="auto"/>
              </w:rPr>
            </w:pPr>
            <w:r>
              <w:rPr>
                <w:rFonts w:ascii="Arial" w:cs="Arial" w:eastAsia="Arial" w:hAnsi="Arial"/>
                <w:sz w:val="14"/>
                <w:szCs w:val="14"/>
                <w:b w:val="1"/>
                <w:bCs w:val="1"/>
                <w:color w:val="auto"/>
              </w:rPr>
              <w:t>(3,762)</w:t>
            </w:r>
          </w:p>
        </w:tc>
        <w:tc>
          <w:tcPr>
            <w:tcW w:w="920" w:type="dxa"/>
            <w:vAlign w:val="bottom"/>
            <w:gridSpan w:val="4"/>
            <w:shd w:val="clear" w:color="auto" w:fill="CCEEFF"/>
          </w:tcPr>
          <w:p>
            <w:pPr>
              <w:jc w:val="right"/>
              <w:ind w:right="69"/>
              <w:spacing w:after="0" w:line="147" w:lineRule="exact"/>
              <w:rPr>
                <w:sz w:val="20"/>
                <w:szCs w:val="20"/>
                <w:color w:val="auto"/>
              </w:rPr>
            </w:pPr>
            <w:r>
              <w:rPr>
                <w:rFonts w:ascii="Arial" w:cs="Arial" w:eastAsia="Arial" w:hAnsi="Arial"/>
                <w:sz w:val="14"/>
                <w:szCs w:val="14"/>
                <w:b w:val="1"/>
                <w:bCs w:val="1"/>
                <w:color w:val="auto"/>
              </w:rPr>
              <w:t>51,302</w:t>
            </w:r>
          </w:p>
        </w:tc>
        <w:tc>
          <w:tcPr>
            <w:tcW w:w="1040" w:type="dxa"/>
            <w:vAlign w:val="bottom"/>
            <w:gridSpan w:val="4"/>
            <w:shd w:val="clear" w:color="auto" w:fill="CCEEFF"/>
          </w:tcPr>
          <w:p>
            <w:pPr>
              <w:jc w:val="right"/>
              <w:ind w:right="20"/>
              <w:spacing w:after="0" w:line="147" w:lineRule="exact"/>
              <w:rPr>
                <w:sz w:val="20"/>
                <w:szCs w:val="20"/>
                <w:color w:val="auto"/>
              </w:rPr>
            </w:pPr>
            <w:r>
              <w:rPr>
                <w:rFonts w:ascii="Arial" w:cs="Arial" w:eastAsia="Arial" w:hAnsi="Arial"/>
                <w:sz w:val="14"/>
                <w:szCs w:val="14"/>
                <w:b w:val="1"/>
                <w:bCs w:val="1"/>
                <w:color w:val="auto"/>
              </w:rPr>
              <w:t>-1463.6%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b w:val="1"/>
                <w:bCs w:val="1"/>
                <w:color w:val="auto"/>
              </w:rPr>
              <w:t>1.8%</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69"/>
              <w:spacing w:after="0" w:line="147" w:lineRule="exact"/>
              <w:rPr>
                <w:sz w:val="20"/>
                <w:szCs w:val="20"/>
                <w:color w:val="auto"/>
              </w:rPr>
            </w:pPr>
            <w:r>
              <w:rPr>
                <w:rFonts w:ascii="Arial" w:cs="Arial" w:eastAsia="Arial" w:hAnsi="Arial"/>
                <w:sz w:val="14"/>
                <w:szCs w:val="14"/>
                <w:b w:val="1"/>
                <w:bCs w:val="1"/>
                <w:color w:val="auto"/>
              </w:rPr>
              <w:t>107,272</w:t>
            </w: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7" w:lineRule="exact"/>
              <w:rPr>
                <w:sz w:val="20"/>
                <w:szCs w:val="20"/>
                <w:color w:val="auto"/>
              </w:rPr>
            </w:pPr>
            <w:r>
              <w:rPr>
                <w:rFonts w:ascii="Arial" w:cs="Arial" w:eastAsia="Arial" w:hAnsi="Arial"/>
                <w:sz w:val="14"/>
                <w:szCs w:val="14"/>
                <w:b w:val="1"/>
                <w:bCs w:val="1"/>
                <w:color w:val="auto"/>
              </w:rPr>
              <w:t>47,540</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spacing w:after="0" w:line="147" w:lineRule="exact"/>
              <w:rPr>
                <w:sz w:val="20"/>
                <w:szCs w:val="20"/>
                <w:color w:val="auto"/>
              </w:rPr>
            </w:pPr>
            <w:r>
              <w:rPr>
                <w:rFonts w:ascii="Arial" w:cs="Arial" w:eastAsia="Arial" w:hAnsi="Arial"/>
                <w:sz w:val="14"/>
                <w:szCs w:val="14"/>
                <w:b w:val="1"/>
                <w:bCs w:val="1"/>
                <w:color w:val="auto"/>
              </w:rPr>
              <w:t>-55.7%</w:t>
            </w:r>
          </w:p>
        </w:tc>
      </w:tr>
      <w:tr>
        <w:trPr>
          <w:trHeight w:val="147"/>
        </w:trPr>
        <w:tc>
          <w:tcPr>
            <w:tcW w:w="2900" w:type="dxa"/>
            <w:vAlign w:val="bottom"/>
          </w:tcPr>
          <w:p>
            <w:pPr>
              <w:spacing w:after="0" w:line="147" w:lineRule="exact"/>
              <w:rPr>
                <w:sz w:val="20"/>
                <w:szCs w:val="20"/>
                <w:color w:val="auto"/>
              </w:rPr>
            </w:pPr>
            <w:r>
              <w:rPr>
                <w:rFonts w:ascii="Arial" w:cs="Arial" w:eastAsia="Arial" w:hAnsi="Arial"/>
                <w:sz w:val="14"/>
                <w:szCs w:val="14"/>
                <w:color w:val="auto"/>
              </w:rPr>
              <w:t>Translations results</w:t>
            </w:r>
          </w:p>
        </w:tc>
        <w:tc>
          <w:tcPr>
            <w:tcW w:w="1020" w:type="dxa"/>
            <w:vAlign w:val="bottom"/>
            <w:gridSpan w:val="2"/>
          </w:tcPr>
          <w:p>
            <w:pPr>
              <w:jc w:val="right"/>
              <w:ind w:right="129"/>
              <w:spacing w:after="0" w:line="147" w:lineRule="exact"/>
              <w:rPr>
                <w:sz w:val="20"/>
                <w:szCs w:val="20"/>
                <w:color w:val="auto"/>
              </w:rPr>
            </w:pPr>
            <w:r>
              <w:rPr>
                <w:rFonts w:ascii="Arial" w:cs="Arial" w:eastAsia="Arial" w:hAnsi="Arial"/>
                <w:sz w:val="14"/>
                <w:szCs w:val="14"/>
                <w:color w:val="auto"/>
              </w:rPr>
              <w:t>(29)</w:t>
            </w:r>
          </w:p>
        </w:tc>
        <w:tc>
          <w:tcPr>
            <w:tcW w:w="1040" w:type="dxa"/>
            <w:vAlign w:val="bottom"/>
            <w:gridSpan w:val="3"/>
          </w:tcPr>
          <w:p>
            <w:pPr>
              <w:jc w:val="right"/>
              <w:ind w:right="129"/>
              <w:spacing w:after="0" w:line="147" w:lineRule="exact"/>
              <w:rPr>
                <w:sz w:val="20"/>
                <w:szCs w:val="20"/>
                <w:color w:val="auto"/>
              </w:rPr>
            </w:pPr>
            <w:r>
              <w:rPr>
                <w:rFonts w:ascii="Arial" w:cs="Arial" w:eastAsia="Arial" w:hAnsi="Arial"/>
                <w:sz w:val="14"/>
                <w:szCs w:val="14"/>
                <w:color w:val="auto"/>
              </w:rPr>
              <w:t>(317)</w:t>
            </w:r>
          </w:p>
        </w:tc>
        <w:tc>
          <w:tcPr>
            <w:tcW w:w="920" w:type="dxa"/>
            <w:vAlign w:val="bottom"/>
            <w:gridSpan w:val="4"/>
          </w:tcPr>
          <w:p>
            <w:pPr>
              <w:jc w:val="right"/>
              <w:ind w:right="29"/>
              <w:spacing w:after="0" w:line="147" w:lineRule="exact"/>
              <w:rPr>
                <w:sz w:val="20"/>
                <w:szCs w:val="20"/>
                <w:color w:val="auto"/>
              </w:rPr>
            </w:pPr>
            <w:r>
              <w:rPr>
                <w:rFonts w:ascii="Arial" w:cs="Arial" w:eastAsia="Arial" w:hAnsi="Arial"/>
                <w:sz w:val="14"/>
                <w:szCs w:val="14"/>
                <w:color w:val="auto"/>
              </w:rPr>
              <w:t>(70)</w:t>
            </w:r>
          </w:p>
        </w:tc>
        <w:tc>
          <w:tcPr>
            <w:tcW w:w="1040" w:type="dxa"/>
            <w:vAlign w:val="bottom"/>
            <w:gridSpan w:val="4"/>
          </w:tcPr>
          <w:p>
            <w:pPr>
              <w:jc w:val="right"/>
              <w:ind w:right="40"/>
              <w:spacing w:after="0" w:line="147" w:lineRule="exact"/>
              <w:rPr>
                <w:sz w:val="20"/>
                <w:szCs w:val="20"/>
                <w:color w:val="auto"/>
              </w:rPr>
            </w:pPr>
            <w:r>
              <w:rPr>
                <w:rFonts w:ascii="Arial" w:cs="Arial" w:eastAsia="Arial" w:hAnsi="Arial"/>
                <w:sz w:val="14"/>
                <w:szCs w:val="14"/>
                <w:color w:val="auto"/>
              </w:rPr>
              <w:t>-77.8%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145.5%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jc w:val="right"/>
              <w:ind w:right="169"/>
              <w:spacing w:after="0" w:line="147" w:lineRule="exact"/>
              <w:rPr>
                <w:sz w:val="20"/>
                <w:szCs w:val="20"/>
                <w:color w:val="auto"/>
              </w:rPr>
            </w:pPr>
            <w:r>
              <w:rPr>
                <w:rFonts w:ascii="Arial" w:cs="Arial" w:eastAsia="Arial" w:hAnsi="Arial"/>
                <w:sz w:val="14"/>
                <w:szCs w:val="14"/>
                <w:color w:val="auto"/>
              </w:rPr>
              <w:t>95</w:t>
            </w:r>
          </w:p>
        </w:tc>
        <w:tc>
          <w:tcPr>
            <w:tcW w:w="120" w:type="dxa"/>
            <w:vAlign w:val="bottom"/>
          </w:tcPr>
          <w:p>
            <w:pPr>
              <w:spacing w:after="0"/>
              <w:rPr>
                <w:sz w:val="12"/>
                <w:szCs w:val="12"/>
                <w:color w:val="auto"/>
              </w:rPr>
            </w:pPr>
          </w:p>
        </w:tc>
        <w:tc>
          <w:tcPr>
            <w:tcW w:w="920" w:type="dxa"/>
            <w:vAlign w:val="bottom"/>
            <w:gridSpan w:val="4"/>
          </w:tcPr>
          <w:p>
            <w:pPr>
              <w:jc w:val="right"/>
              <w:ind w:right="220"/>
              <w:spacing w:after="0" w:line="147" w:lineRule="exact"/>
              <w:rPr>
                <w:sz w:val="20"/>
                <w:szCs w:val="20"/>
                <w:color w:val="auto"/>
              </w:rPr>
            </w:pPr>
            <w:r>
              <w:rPr>
                <w:rFonts w:ascii="Arial" w:cs="Arial" w:eastAsia="Arial" w:hAnsi="Arial"/>
                <w:sz w:val="14"/>
                <w:szCs w:val="14"/>
                <w:color w:val="auto"/>
              </w:rPr>
              <w:t>(387)</w:t>
            </w:r>
          </w:p>
        </w:tc>
        <w:tc>
          <w:tcPr>
            <w:tcW w:w="20" w:type="dxa"/>
            <w:vAlign w:val="bottom"/>
          </w:tcPr>
          <w:p>
            <w:pPr>
              <w:spacing w:after="0"/>
              <w:rPr>
                <w:sz w:val="12"/>
                <w:szCs w:val="12"/>
                <w:color w:val="auto"/>
              </w:rPr>
            </w:pPr>
          </w:p>
        </w:tc>
        <w:tc>
          <w:tcPr>
            <w:tcW w:w="1120" w:type="dxa"/>
            <w:vAlign w:val="bottom"/>
            <w:gridSpan w:val="3"/>
          </w:tcPr>
          <w:p>
            <w:pPr>
              <w:jc w:val="right"/>
              <w:ind w:right="20"/>
              <w:spacing w:after="0" w:line="147" w:lineRule="exact"/>
              <w:rPr>
                <w:sz w:val="20"/>
                <w:szCs w:val="20"/>
                <w:color w:val="auto"/>
              </w:rPr>
            </w:pPr>
            <w:r>
              <w:rPr>
                <w:rFonts w:ascii="Arial" w:cs="Arial" w:eastAsia="Arial" w:hAnsi="Arial"/>
                <w:sz w:val="14"/>
                <w:szCs w:val="14"/>
                <w:color w:val="auto"/>
              </w:rPr>
              <w:t>-507.5%</w:t>
            </w:r>
          </w:p>
        </w:tc>
      </w:tr>
      <w:tr>
        <w:trPr>
          <w:trHeight w:val="160"/>
        </w:trPr>
        <w:tc>
          <w:tcPr>
            <w:tcW w:w="2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1020" w:type="dxa"/>
            <w:vAlign w:val="bottom"/>
            <w:gridSpan w:val="2"/>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50,367</w:t>
            </w:r>
          </w:p>
        </w:tc>
        <w:tc>
          <w:tcPr>
            <w:tcW w:w="1040" w:type="dxa"/>
            <w:vAlign w:val="bottom"/>
            <w:gridSpan w:val="3"/>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(4,079)</w:t>
            </w:r>
          </w:p>
        </w:tc>
        <w:tc>
          <w:tcPr>
            <w:tcW w:w="920" w:type="dxa"/>
            <w:vAlign w:val="bottom"/>
            <w:gridSpan w:val="4"/>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51,232</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-1356.0%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1.7%</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107,367</w:t>
            </w:r>
          </w:p>
        </w:tc>
        <w:tc>
          <w:tcPr>
            <w:tcW w:w="12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47,153</w:t>
            </w: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-56.1%</w:t>
            </w:r>
          </w:p>
        </w:tc>
      </w:tr>
      <w:tr>
        <w:trPr>
          <w:trHeight w:val="153"/>
        </w:trPr>
        <w:tc>
          <w:tcPr>
            <w:tcW w:w="2900" w:type="dxa"/>
            <w:vAlign w:val="bottom"/>
          </w:tcPr>
          <w:p>
            <w:pPr>
              <w:spacing w:after="0" w:line="153" w:lineRule="exact"/>
              <w:rPr>
                <w:sz w:val="20"/>
                <w:szCs w:val="20"/>
                <w:color w:val="auto"/>
              </w:rPr>
            </w:pPr>
            <w:r>
              <w:rPr>
                <w:rFonts w:ascii="Arial" w:cs="Arial" w:eastAsia="Arial" w:hAnsi="Arial"/>
                <w:sz w:val="14"/>
                <w:szCs w:val="14"/>
                <w:b w:val="1"/>
                <w:bCs w:val="1"/>
                <w:color w:val="auto"/>
              </w:rPr>
              <w:t>ROAE</w:t>
            </w:r>
          </w:p>
        </w:tc>
        <w:tc>
          <w:tcPr>
            <w:tcW w:w="7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33.3</w:t>
            </w:r>
          </w:p>
        </w:tc>
        <w:tc>
          <w:tcPr>
            <w:tcW w:w="240" w:type="dxa"/>
            <w:vAlign w:val="bottom"/>
          </w:tcPr>
          <w:p>
            <w:pPr>
              <w:jc w:val="right"/>
              <w:ind w:right="29"/>
              <w:spacing w:after="0" w:line="153"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Arial" w:cs="Arial" w:eastAsia="Arial" w:hAnsi="Arial"/>
                <w:sz w:val="14"/>
                <w:szCs w:val="14"/>
                <w:b w:val="1"/>
                <w:bCs w:val="1"/>
                <w:color w:val="auto"/>
              </w:rPr>
              <w:t>-2.6</w:t>
            </w:r>
          </w:p>
        </w:tc>
        <w:tc>
          <w:tcPr>
            <w:tcW w:w="260" w:type="dxa"/>
            <w:vAlign w:val="bottom"/>
          </w:tcPr>
          <w:p>
            <w:pPr>
              <w:spacing w:after="0" w:line="153"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gridSpan w:val="3"/>
          </w:tcPr>
          <w:p>
            <w:pPr>
              <w:jc w:val="right"/>
              <w:spacing w:after="0" w:line="153" w:lineRule="exact"/>
              <w:rPr>
                <w:sz w:val="20"/>
                <w:szCs w:val="20"/>
                <w:color w:val="auto"/>
              </w:rPr>
            </w:pPr>
            <w:r>
              <w:rPr>
                <w:rFonts w:ascii="Arial" w:cs="Arial" w:eastAsia="Arial" w:hAnsi="Arial"/>
                <w:sz w:val="14"/>
                <w:szCs w:val="14"/>
                <w:b w:val="1"/>
                <w:bCs w:val="1"/>
                <w:color w:val="auto"/>
              </w:rPr>
              <w:t>35.8</w:t>
            </w:r>
          </w:p>
        </w:tc>
        <w:tc>
          <w:tcPr>
            <w:tcW w:w="1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6"/>
              </w:rPr>
              <w:t>%</w:t>
            </w:r>
          </w:p>
        </w:tc>
        <w:tc>
          <w:tcPr>
            <w:tcW w:w="100" w:type="dxa"/>
            <w:vAlign w:val="bottom"/>
          </w:tcPr>
          <w:p>
            <w:pPr>
              <w:spacing w:after="0"/>
              <w:rPr>
                <w:sz w:val="13"/>
                <w:szCs w:val="13"/>
                <w:color w:val="auto"/>
              </w:rPr>
            </w:pPr>
          </w:p>
        </w:tc>
        <w:tc>
          <w:tcPr>
            <w:tcW w:w="78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Arial" w:cs="Arial" w:eastAsia="Arial" w:hAnsi="Arial"/>
                <w:sz w:val="14"/>
                <w:szCs w:val="14"/>
                <w:b w:val="1"/>
                <w:bCs w:val="1"/>
                <w:color w:val="auto"/>
              </w:rPr>
              <w:t>3839 pbs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ind w:left="100"/>
              <w:spacing w:after="0" w:line="153" w:lineRule="exact"/>
              <w:rPr>
                <w:sz w:val="20"/>
                <w:szCs w:val="20"/>
                <w:color w:val="auto"/>
              </w:rPr>
            </w:pPr>
            <w:r>
              <w:rPr>
                <w:rFonts w:ascii="Arial" w:cs="Arial" w:eastAsia="Arial" w:hAnsi="Arial"/>
                <w:sz w:val="14"/>
                <w:szCs w:val="14"/>
                <w:b w:val="1"/>
                <w:bCs w:val="1"/>
                <w:color w:val="auto"/>
                <w:w w:val="84"/>
              </w:rPr>
              <w:t>246 pbs</w:t>
            </w: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Arial" w:cs="Arial" w:eastAsia="Arial" w:hAnsi="Arial"/>
                <w:sz w:val="14"/>
                <w:szCs w:val="14"/>
                <w:b w:val="1"/>
                <w:bCs w:val="1"/>
                <w:color w:val="auto"/>
              </w:rPr>
              <w:t>34.0</w:t>
            </w:r>
          </w:p>
        </w:tc>
        <w:tc>
          <w:tcPr>
            <w:tcW w:w="240" w:type="dxa"/>
            <w:vAlign w:val="bottom"/>
          </w:tcPr>
          <w:p>
            <w:pPr>
              <w:jc w:val="right"/>
              <w:ind w:right="29"/>
              <w:spacing w:after="0" w:line="153" w:lineRule="exact"/>
              <w:rPr>
                <w:sz w:val="20"/>
                <w:szCs w:val="20"/>
                <w:color w:val="auto"/>
              </w:rPr>
            </w:pPr>
            <w:r>
              <w:rPr>
                <w:rFonts w:ascii="Arial" w:cs="Arial" w:eastAsia="Arial" w:hAnsi="Arial"/>
                <w:sz w:val="14"/>
                <w:szCs w:val="14"/>
                <w:b w:val="1"/>
                <w:bCs w:val="1"/>
                <w:color w:val="auto"/>
                <w:w w:val="96"/>
              </w:rPr>
              <w:t>%</w:t>
            </w: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Arial" w:cs="Arial" w:eastAsia="Arial" w:hAnsi="Arial"/>
                <w:sz w:val="14"/>
                <w:szCs w:val="14"/>
                <w:b w:val="1"/>
                <w:bCs w:val="1"/>
                <w:color w:val="auto"/>
              </w:rPr>
              <w:t>14.5</w:t>
            </w:r>
          </w:p>
        </w:tc>
        <w:tc>
          <w:tcPr>
            <w:tcW w:w="260" w:type="dxa"/>
            <w:vAlign w:val="bottom"/>
            <w:gridSpan w:val="2"/>
          </w:tcPr>
          <w:p>
            <w:pPr>
              <w:jc w:val="right"/>
              <w:ind w:right="120"/>
              <w:spacing w:after="0" w:line="153" w:lineRule="exact"/>
              <w:rPr>
                <w:sz w:val="20"/>
                <w:szCs w:val="20"/>
                <w:color w:val="auto"/>
              </w:rPr>
            </w:pPr>
            <w:r>
              <w:rPr>
                <w:rFonts w:ascii="Arial" w:cs="Arial" w:eastAsia="Arial" w:hAnsi="Arial"/>
                <w:sz w:val="14"/>
                <w:szCs w:val="14"/>
                <w:b w:val="1"/>
                <w:bCs w:val="1"/>
                <w:color w:val="auto"/>
                <w:w w:val="96"/>
              </w:rPr>
              <w:t>%</w:t>
            </w:r>
          </w:p>
        </w:tc>
        <w:tc>
          <w:tcPr>
            <w:tcW w:w="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gridSpan w:val="2"/>
          </w:tcPr>
          <w:p>
            <w:pPr>
              <w:ind w:left="400"/>
              <w:spacing w:after="0" w:line="153" w:lineRule="exact"/>
              <w:rPr>
                <w:sz w:val="20"/>
                <w:szCs w:val="20"/>
                <w:color w:val="auto"/>
              </w:rPr>
            </w:pPr>
            <w:r>
              <w:rPr>
                <w:rFonts w:ascii="Arial" w:cs="Arial" w:eastAsia="Arial" w:hAnsi="Arial"/>
                <w:sz w:val="14"/>
                <w:szCs w:val="14"/>
                <w:b w:val="1"/>
                <w:bCs w:val="1"/>
                <w:color w:val="auto"/>
                <w:w w:val="86"/>
              </w:rPr>
              <w:t>-1945 pbs</w:t>
            </w:r>
          </w:p>
        </w:tc>
        <w:tc>
          <w:tcPr>
            <w:tcW w:w="140" w:type="dxa"/>
            <w:vAlign w:val="bottom"/>
          </w:tcPr>
          <w:p>
            <w:pPr>
              <w:spacing w:after="0"/>
              <w:rPr>
                <w:sz w:val="13"/>
                <w:szCs w:val="13"/>
                <w:color w:val="auto"/>
              </w:rPr>
            </w:pPr>
          </w:p>
        </w:tc>
      </w:tr>
      <w:tr>
        <w:trPr>
          <w:trHeight w:val="460"/>
        </w:trPr>
        <w:tc>
          <w:tcPr>
            <w:tcW w:w="2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As of</w:t>
            </w: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w w:val="90"/>
              </w:rPr>
              <w:t>% change</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1"/>
        </w:trPr>
        <w:tc>
          <w:tcPr>
            <w:tcW w:w="29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8"/>
                <w:szCs w:val="18"/>
                <w:b w:val="1"/>
                <w:bCs w:val="1"/>
                <w:color w:val="auto"/>
              </w:rPr>
              <w:t>2Q19</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329"/>
              <w:spacing w:after="0"/>
              <w:rPr>
                <w:sz w:val="20"/>
                <w:szCs w:val="20"/>
                <w:color w:val="auto"/>
              </w:rPr>
            </w:pPr>
            <w:r>
              <w:rPr>
                <w:rFonts w:ascii="Arial" w:cs="Arial" w:eastAsia="Arial" w:hAnsi="Arial"/>
                <w:sz w:val="18"/>
                <w:szCs w:val="18"/>
                <w:b w:val="1"/>
                <w:bCs w:val="1"/>
                <w:color w:val="auto"/>
                <w:w w:val="90"/>
              </w:rPr>
              <w:t>1Q20</w:t>
            </w:r>
          </w:p>
        </w:tc>
        <w:tc>
          <w:tcPr>
            <w:tcW w:w="220" w:type="dxa"/>
            <w:vAlign w:val="bottom"/>
            <w:tcBorders>
              <w:bottom w:val="single" w:sz="8" w:color="CCEEFF"/>
            </w:tcBorders>
            <w:gridSpan w:val="2"/>
          </w:tcPr>
          <w:p>
            <w:pPr>
              <w:spacing w:after="0"/>
              <w:rPr>
                <w:sz w:val="19"/>
                <w:szCs w:val="19"/>
                <w:color w:val="auto"/>
              </w:rPr>
            </w:pPr>
          </w:p>
        </w:tc>
        <w:tc>
          <w:tcPr>
            <w:tcW w:w="300" w:type="dxa"/>
            <w:vAlign w:val="bottom"/>
            <w:tcBorders>
              <w:bottom w:val="single" w:sz="8" w:color="auto"/>
            </w:tcBorders>
            <w:gridSpan w:val="2"/>
          </w:tcPr>
          <w:p>
            <w:pPr>
              <w:spacing w:after="0"/>
              <w:rPr>
                <w:sz w:val="19"/>
                <w:szCs w:val="19"/>
                <w:color w:val="auto"/>
              </w:rPr>
            </w:pPr>
          </w:p>
        </w:tc>
        <w:tc>
          <w:tcPr>
            <w:tcW w:w="9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2Q20</w:t>
            </w: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w w:val="92"/>
              </w:rPr>
              <w:t>QoQ</w:t>
            </w:r>
          </w:p>
        </w:tc>
        <w:tc>
          <w:tcPr>
            <w:tcW w:w="40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EEFF"/>
            </w:tcBorders>
            <w:gridSpan w:val="2"/>
          </w:tcPr>
          <w:p>
            <w:pPr>
              <w:spacing w:after="0"/>
              <w:rPr>
                <w:sz w:val="19"/>
                <w:szCs w:val="19"/>
                <w:color w:val="auto"/>
              </w:rPr>
            </w:pPr>
          </w:p>
        </w:tc>
      </w:tr>
      <w:tr>
        <w:trPr>
          <w:trHeight w:val="207"/>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w w:val="86"/>
              </w:rPr>
              <w:t>868,192</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973,862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951,560</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r>
      <w:tr>
        <w:trPr>
          <w:trHeight w:val="213"/>
        </w:trPr>
        <w:tc>
          <w:tcPr>
            <w:tcW w:w="2900" w:type="dxa"/>
            <w:vAlign w:val="bottom"/>
          </w:tcPr>
          <w:p>
            <w:pPr>
              <w:spacing w:after="0"/>
              <w:rPr>
                <w:sz w:val="20"/>
                <w:szCs w:val="20"/>
                <w:color w:val="auto"/>
              </w:rPr>
            </w:pPr>
            <w:r>
              <w:rPr>
                <w:rFonts w:ascii="Arial" w:cs="Arial" w:eastAsia="Arial" w:hAnsi="Arial"/>
                <w:sz w:val="18"/>
                <w:szCs w:val="18"/>
                <w:color w:val="auto"/>
              </w:rPr>
              <w:t>Total liabilities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5"/>
          </w:tcPr>
          <w:p>
            <w:pPr>
              <w:ind w:left="760"/>
              <w:spacing w:after="0"/>
              <w:rPr>
                <w:sz w:val="20"/>
                <w:szCs w:val="20"/>
                <w:color w:val="auto"/>
              </w:rPr>
            </w:pPr>
            <w:r>
              <w:rPr>
                <w:rFonts w:ascii="Arial" w:cs="Arial" w:eastAsia="Arial" w:hAnsi="Arial"/>
                <w:sz w:val="18"/>
                <w:szCs w:val="18"/>
                <w:color w:val="auto"/>
              </w:rPr>
              <w:t>238,247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426,510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353,019</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-17.2%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48.2%</w:t>
            </w:r>
          </w:p>
        </w:tc>
      </w:tr>
      <w:tr>
        <w:trPr>
          <w:trHeight w:val="254"/>
        </w:trPr>
        <w:tc>
          <w:tcPr>
            <w:tcW w:w="290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 xml:space="preserve">Net shareholders' equity </w:t>
            </w:r>
            <w:r>
              <w:rPr>
                <w:rFonts w:ascii="Arial" w:cs="Arial" w:eastAsia="Arial" w:hAnsi="Arial"/>
                <w:sz w:val="29"/>
                <w:szCs w:val="29"/>
                <w:color w:val="auto"/>
                <w:vertAlign w:val="superscript"/>
              </w:rPr>
              <w:t>(1)</w:t>
            </w:r>
          </w:p>
        </w:tc>
        <w:tc>
          <w:tcPr>
            <w:tcW w:w="7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60" w:type="dxa"/>
            <w:vAlign w:val="bottom"/>
            <w:gridSpan w:val="5"/>
            <w:shd w:val="clear" w:color="auto" w:fill="CCEEFF"/>
          </w:tcPr>
          <w:p>
            <w:pPr>
              <w:ind w:left="760"/>
              <w:spacing w:after="0"/>
              <w:rPr>
                <w:sz w:val="20"/>
                <w:szCs w:val="20"/>
                <w:color w:val="auto"/>
              </w:rPr>
            </w:pPr>
            <w:r>
              <w:rPr>
                <w:rFonts w:ascii="Arial" w:cs="Arial" w:eastAsia="Arial" w:hAnsi="Arial"/>
                <w:sz w:val="18"/>
                <w:szCs w:val="18"/>
                <w:color w:val="auto"/>
              </w:rPr>
              <w:t>629,945</w:t>
            </w: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547,352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598,541</w:t>
            </w:r>
          </w:p>
        </w:tc>
        <w:tc>
          <w:tcPr>
            <w:tcW w:w="1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(1) Net shareholders' equity includes unrealized gains from Prima's investment portfolio.</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Funds under management</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Funds under management</w:t>
            </w:r>
          </w:p>
        </w:tc>
        <w:tc>
          <w:tcPr>
            <w:tcW w:w="8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Mar 20</w:t>
            </w:r>
          </w:p>
        </w:tc>
        <w:tc>
          <w:tcPr>
            <w:tcW w:w="16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 share</w:t>
            </w:r>
          </w:p>
        </w:tc>
        <w:tc>
          <w:tcPr>
            <w:tcW w:w="24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Jun 20</w:t>
            </w:r>
          </w:p>
        </w:tc>
        <w:tc>
          <w:tcPr>
            <w:tcW w:w="16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 share</w:t>
            </w:r>
          </w:p>
        </w:tc>
        <w:tc>
          <w:tcPr>
            <w:tcW w:w="160" w:type="dxa"/>
            <w:vAlign w:val="bottom"/>
            <w:tcBorders>
              <w:bottom w:val="single" w:sz="8" w:color="CCEEFF"/>
            </w:tcBorders>
          </w:tcPr>
          <w:p>
            <w:pPr>
              <w:spacing w:after="0"/>
              <w:rPr>
                <w:sz w:val="24"/>
                <w:szCs w:val="24"/>
                <w:color w:val="auto"/>
              </w:rPr>
            </w:pPr>
          </w:p>
        </w:tc>
      </w:tr>
      <w:tr>
        <w:trPr>
          <w:trHeight w:val="208"/>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Fund 0</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3"/>
        </w:trPr>
        <w:tc>
          <w:tcPr>
            <w:tcW w:w="4360" w:type="dxa"/>
            <w:vAlign w:val="bottom"/>
            <w:gridSpan w:val="2"/>
          </w:tcPr>
          <w:p>
            <w:pPr>
              <w:spacing w:after="0"/>
              <w:rPr>
                <w:sz w:val="20"/>
                <w:szCs w:val="20"/>
                <w:color w:val="auto"/>
              </w:rPr>
            </w:pPr>
            <w:r>
              <w:rPr>
                <w:rFonts w:ascii="Arial" w:cs="Arial" w:eastAsia="Arial" w:hAnsi="Arial"/>
                <w:sz w:val="18"/>
                <w:szCs w:val="18"/>
                <w:color w:val="auto"/>
              </w:rPr>
              <w:t>Fund 1</w:t>
            </w:r>
          </w:p>
        </w:tc>
        <w:tc>
          <w:tcPr>
            <w:tcW w:w="980" w:type="dxa"/>
            <w:vAlign w:val="bottom"/>
          </w:tcPr>
          <w:p>
            <w:pPr>
              <w:jc w:val="right"/>
              <w:spacing w:after="0"/>
              <w:rPr>
                <w:sz w:val="20"/>
                <w:szCs w:val="20"/>
                <w:color w:val="auto"/>
              </w:rPr>
            </w:pPr>
            <w:r>
              <w:rPr>
                <w:rFonts w:ascii="Arial" w:cs="Arial" w:eastAsia="Arial" w:hAnsi="Arial"/>
                <w:sz w:val="18"/>
                <w:szCs w:val="18"/>
                <w:color w:val="auto"/>
              </w:rPr>
              <w:t>5,842</w:t>
            </w:r>
          </w:p>
        </w:tc>
        <w:tc>
          <w:tcPr>
            <w:tcW w:w="160" w:type="dxa"/>
            <w:vAlign w:val="bottom"/>
          </w:tcPr>
          <w:p>
            <w:pPr>
              <w:spacing w:after="0"/>
              <w:rPr>
                <w:sz w:val="18"/>
                <w:szCs w:val="18"/>
                <w:color w:val="auto"/>
              </w:rPr>
            </w:pPr>
          </w:p>
        </w:tc>
        <w:tc>
          <w:tcPr>
            <w:tcW w:w="1220" w:type="dxa"/>
            <w:vAlign w:val="bottom"/>
            <w:gridSpan w:val="2"/>
          </w:tcPr>
          <w:p>
            <w:pPr>
              <w:jc w:val="right"/>
              <w:ind w:right="11"/>
              <w:spacing w:after="0"/>
              <w:rPr>
                <w:sz w:val="20"/>
                <w:szCs w:val="20"/>
                <w:color w:val="auto"/>
              </w:rPr>
            </w:pPr>
            <w:r>
              <w:rPr>
                <w:rFonts w:ascii="Arial" w:cs="Arial" w:eastAsia="Arial" w:hAnsi="Arial"/>
                <w:sz w:val="18"/>
                <w:szCs w:val="18"/>
                <w:color w:val="auto"/>
              </w:rPr>
              <w:t>12.5%</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7,278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15.7%</w:t>
            </w:r>
          </w:p>
        </w:tc>
      </w:tr>
      <w:tr>
        <w:trPr>
          <w:trHeight w:val="213"/>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 2</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35,336</w:t>
            </w:r>
          </w:p>
        </w:tc>
        <w:tc>
          <w:tcPr>
            <w:tcW w:w="12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75.4%</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33,353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27"/>
        </w:trPr>
        <w:tc>
          <w:tcPr>
            <w:tcW w:w="4360" w:type="dxa"/>
            <w:vAlign w:val="bottom"/>
            <w:gridSpan w:val="2"/>
          </w:tcPr>
          <w:p>
            <w:pPr>
              <w:spacing w:after="0"/>
              <w:rPr>
                <w:sz w:val="20"/>
                <w:szCs w:val="20"/>
                <w:color w:val="auto"/>
              </w:rPr>
            </w:pPr>
            <w:r>
              <w:rPr>
                <w:rFonts w:ascii="Arial" w:cs="Arial" w:eastAsia="Arial" w:hAnsi="Arial"/>
                <w:sz w:val="18"/>
                <w:szCs w:val="18"/>
                <w:color w:val="auto"/>
              </w:rPr>
              <w:t>Fund 3</w:t>
            </w:r>
          </w:p>
        </w:tc>
        <w:tc>
          <w:tcPr>
            <w:tcW w:w="980" w:type="dxa"/>
            <w:vAlign w:val="bottom"/>
          </w:tcPr>
          <w:p>
            <w:pPr>
              <w:jc w:val="right"/>
              <w:spacing w:after="0"/>
              <w:rPr>
                <w:sz w:val="20"/>
                <w:szCs w:val="20"/>
                <w:color w:val="auto"/>
              </w:rPr>
            </w:pPr>
            <w:r>
              <w:rPr>
                <w:rFonts w:ascii="Arial" w:cs="Arial" w:eastAsia="Arial" w:hAnsi="Arial"/>
                <w:sz w:val="18"/>
                <w:szCs w:val="18"/>
                <w:color w:val="auto"/>
              </w:rPr>
              <w:t>4,910</w:t>
            </w:r>
          </w:p>
        </w:tc>
        <w:tc>
          <w:tcPr>
            <w:tcW w:w="160" w:type="dxa"/>
            <w:vAlign w:val="bottom"/>
          </w:tcPr>
          <w:p>
            <w:pPr>
              <w:spacing w:after="0"/>
              <w:rPr>
                <w:sz w:val="19"/>
                <w:szCs w:val="19"/>
                <w:color w:val="auto"/>
              </w:rPr>
            </w:pPr>
          </w:p>
        </w:tc>
        <w:tc>
          <w:tcPr>
            <w:tcW w:w="1220" w:type="dxa"/>
            <w:vAlign w:val="bottom"/>
            <w:gridSpan w:val="2"/>
          </w:tcPr>
          <w:p>
            <w:pPr>
              <w:jc w:val="right"/>
              <w:ind w:right="11"/>
              <w:spacing w:after="0"/>
              <w:rPr>
                <w:sz w:val="20"/>
                <w:szCs w:val="20"/>
                <w:color w:val="auto"/>
              </w:rPr>
            </w:pPr>
            <w:r>
              <w:rPr>
                <w:rFonts w:ascii="Arial" w:cs="Arial" w:eastAsia="Arial" w:hAnsi="Arial"/>
                <w:sz w:val="18"/>
                <w:szCs w:val="18"/>
                <w:color w:val="auto"/>
              </w:rPr>
              <w:t>10.5%</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4,769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220"/>
        </w:trPr>
        <w:tc>
          <w:tcPr>
            <w:tcW w:w="4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 Millions</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46,864</w:t>
            </w:r>
          </w:p>
        </w:tc>
        <w:tc>
          <w:tcPr>
            <w:tcW w:w="1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46,331</w:t>
            </w:r>
          </w:p>
        </w:tc>
        <w:tc>
          <w:tcPr>
            <w:tcW w:w="16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Pr>
          <w:p>
            <w:pPr>
              <w:spacing w:after="0"/>
              <w:rPr>
                <w:sz w:val="20"/>
                <w:szCs w:val="20"/>
                <w:color w:val="auto"/>
              </w:rPr>
            </w:pPr>
            <w:r>
              <w:rPr>
                <w:rFonts w:ascii="Arial" w:cs="Arial" w:eastAsia="Arial" w:hAnsi="Arial"/>
                <w:sz w:val="18"/>
                <w:szCs w:val="18"/>
                <w:i w:val="1"/>
                <w:iCs w:val="1"/>
                <w:color w:val="auto"/>
              </w:rPr>
              <w:t>Source: SBS</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5180" w:type="dxa"/>
            <w:vAlign w:val="bottom"/>
            <w:gridSpan w:val="7"/>
          </w:tcPr>
          <w:p>
            <w:pPr>
              <w:spacing w:after="0"/>
              <w:rPr>
                <w:sz w:val="20"/>
                <w:szCs w:val="20"/>
                <w:color w:val="auto"/>
              </w:rPr>
            </w:pPr>
            <w:r>
              <w:rPr>
                <w:rFonts w:ascii="Arial" w:cs="Arial" w:eastAsia="Arial" w:hAnsi="Arial"/>
                <w:sz w:val="18"/>
                <w:szCs w:val="18"/>
                <w:b w:val="1"/>
                <w:bCs w:val="1"/>
                <w:color w:val="auto"/>
              </w:rPr>
              <w:t>Nominal profitability over the last 12 months</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40" w:type="dxa"/>
            <w:vAlign w:val="bottom"/>
            <w:gridSpan w:val="10"/>
          </w:tcPr>
          <w:p>
            <w:pPr>
              <w:jc w:val="right"/>
              <w:ind w:right="500"/>
              <w:spacing w:after="0"/>
              <w:rPr>
                <w:sz w:val="20"/>
                <w:szCs w:val="20"/>
                <w:color w:val="auto"/>
              </w:rPr>
            </w:pPr>
            <w:r>
              <w:rPr>
                <w:rFonts w:ascii="Arial" w:cs="Arial" w:eastAsia="Arial" w:hAnsi="Arial"/>
                <w:sz w:val="18"/>
                <w:szCs w:val="18"/>
                <w:b w:val="1"/>
                <w:bCs w:val="1"/>
                <w:color w:val="auto"/>
                <w:w w:val="95"/>
              </w:rPr>
              <w:t>Mar 20 / Mar 19   Jun 20 / Jun 19</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Fund 0</w:t>
            </w:r>
          </w:p>
        </w:tc>
        <w:tc>
          <w:tcPr>
            <w:tcW w:w="7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18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80" w:type="dxa"/>
            <w:vAlign w:val="bottom"/>
          </w:tcPr>
          <w:p>
            <w:pPr>
              <w:spacing w:after="0"/>
              <w:rPr>
                <w:sz w:val="20"/>
                <w:szCs w:val="20"/>
                <w:color w:val="auto"/>
              </w:rPr>
            </w:pPr>
            <w:r>
              <w:rPr>
                <w:rFonts w:ascii="Arial" w:cs="Arial" w:eastAsia="Arial" w:hAnsi="Arial"/>
                <w:sz w:val="18"/>
                <w:szCs w:val="18"/>
                <w:color w:val="auto"/>
              </w:rPr>
              <w:t>Fund 1</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Fund 2</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180" w:type="dxa"/>
            <w:vAlign w:val="bottom"/>
          </w:tcPr>
          <w:p>
            <w:pPr>
              <w:spacing w:after="0"/>
              <w:rPr>
                <w:sz w:val="20"/>
                <w:szCs w:val="20"/>
                <w:color w:val="auto"/>
              </w:rPr>
            </w:pPr>
            <w:r>
              <w:rPr>
                <w:rFonts w:ascii="Arial" w:cs="Arial" w:eastAsia="Arial" w:hAnsi="Arial"/>
                <w:sz w:val="18"/>
                <w:szCs w:val="18"/>
                <w:color w:val="auto"/>
              </w:rPr>
              <w:t>Fund 3</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180" w:type="dxa"/>
            <w:vAlign w:val="bottom"/>
          </w:tcPr>
          <w:p>
            <w:pPr>
              <w:spacing w:after="0"/>
              <w:rPr>
                <w:sz w:val="20"/>
                <w:szCs w:val="20"/>
                <w:color w:val="auto"/>
              </w:rPr>
            </w:pPr>
            <w:r>
              <w:rPr>
                <w:rFonts w:ascii="Arial" w:cs="Arial" w:eastAsia="Arial" w:hAnsi="Arial"/>
                <w:sz w:val="18"/>
                <w:szCs w:val="18"/>
                <w:b w:val="1"/>
                <w:bCs w:val="1"/>
                <w:color w:val="auto"/>
              </w:rPr>
              <w:t>AFP fees</w:t>
            </w: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18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Fee based on</w:t>
            </w:r>
          </w:p>
        </w:tc>
        <w:tc>
          <w:tcPr>
            <w:tcW w:w="7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flow</w:t>
            </w: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1.60%</w:t>
            </w:r>
          </w:p>
        </w:tc>
        <w:tc>
          <w:tcPr>
            <w:tcW w:w="3480" w:type="dxa"/>
            <w:vAlign w:val="bottom"/>
            <w:gridSpan w:val="9"/>
            <w:shd w:val="clear" w:color="auto" w:fill="CCEEFF"/>
          </w:tcPr>
          <w:p>
            <w:pPr>
              <w:ind w:left="40"/>
              <w:spacing w:after="0"/>
              <w:rPr>
                <w:sz w:val="20"/>
                <w:szCs w:val="20"/>
                <w:color w:val="auto"/>
              </w:rPr>
            </w:pPr>
            <w:r>
              <w:rPr>
                <w:rFonts w:ascii="Arial" w:cs="Arial" w:eastAsia="Arial" w:hAnsi="Arial"/>
                <w:sz w:val="18"/>
                <w:szCs w:val="18"/>
                <w:color w:val="auto"/>
                <w:w w:val="92"/>
              </w:rPr>
              <w:t>Applied to the affiliates' monthly remuneration.</w:t>
            </w: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180" w:type="dxa"/>
            <w:vAlign w:val="bottom"/>
          </w:tcPr>
          <w:p>
            <w:pPr>
              <w:spacing w:after="0"/>
              <w:rPr>
                <w:sz w:val="20"/>
                <w:szCs w:val="20"/>
                <w:color w:val="auto"/>
              </w:rPr>
            </w:pPr>
            <w:r>
              <w:rPr>
                <w:rFonts w:ascii="Arial" w:cs="Arial" w:eastAsia="Arial" w:hAnsi="Arial"/>
                <w:sz w:val="18"/>
                <w:szCs w:val="18"/>
                <w:b w:val="1"/>
                <w:bCs w:val="1"/>
                <w:color w:val="auto"/>
              </w:rPr>
              <w:t>Mixed fee</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Flow</w:t>
            </w: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0.18%</w:t>
            </w:r>
          </w:p>
        </w:tc>
        <w:tc>
          <w:tcPr>
            <w:tcW w:w="7180" w:type="dxa"/>
            <w:vAlign w:val="bottom"/>
            <w:gridSpan w:val="17"/>
            <w:shd w:val="clear" w:color="auto" w:fill="CCEEFF"/>
          </w:tcPr>
          <w:p>
            <w:pPr>
              <w:ind w:left="40"/>
              <w:spacing w:after="0"/>
              <w:rPr>
                <w:sz w:val="20"/>
                <w:szCs w:val="20"/>
                <w:color w:val="auto"/>
              </w:rPr>
            </w:pPr>
            <w:r>
              <w:rPr>
                <w:rFonts w:ascii="Arial" w:cs="Arial" w:eastAsia="Arial" w:hAnsi="Arial"/>
                <w:sz w:val="18"/>
                <w:szCs w:val="18"/>
                <w:color w:val="auto"/>
              </w:rPr>
              <w:t>Applied to the affiliates' monthly remuneration since June 2017. Feb 17- may 17 =0.87%.</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180" w:type="dxa"/>
            <w:vAlign w:val="bottom"/>
          </w:tcPr>
          <w:p>
            <w:pPr>
              <w:spacing w:after="0" w:line="199" w:lineRule="exact"/>
              <w:rPr>
                <w:sz w:val="20"/>
                <w:szCs w:val="20"/>
                <w:color w:val="auto"/>
              </w:rPr>
            </w:pPr>
            <w:r>
              <w:rPr>
                <w:rFonts w:ascii="Arial" w:cs="Arial" w:eastAsia="Arial" w:hAnsi="Arial"/>
                <w:sz w:val="18"/>
                <w:szCs w:val="18"/>
                <w:color w:val="auto"/>
              </w:rPr>
              <w:t>Balance</w:t>
            </w:r>
          </w:p>
        </w:tc>
        <w:tc>
          <w:tcPr>
            <w:tcW w:w="720" w:type="dxa"/>
            <w:vAlign w:val="bottom"/>
          </w:tcPr>
          <w:p>
            <w:pPr>
              <w:spacing w:after="0"/>
              <w:rPr>
                <w:sz w:val="17"/>
                <w:szCs w:val="17"/>
                <w:color w:val="auto"/>
              </w:rPr>
            </w:pPr>
          </w:p>
        </w:tc>
        <w:tc>
          <w:tcPr>
            <w:tcW w:w="8340" w:type="dxa"/>
            <w:vAlign w:val="bottom"/>
            <w:gridSpan w:val="19"/>
          </w:tcPr>
          <w:p>
            <w:pPr>
              <w:ind w:left="40"/>
              <w:spacing w:after="0" w:line="199" w:lineRule="exact"/>
              <w:rPr>
                <w:sz w:val="20"/>
                <w:szCs w:val="20"/>
                <w:color w:val="auto"/>
              </w:rPr>
            </w:pPr>
            <w:r>
              <w:rPr>
                <w:rFonts w:ascii="Arial" w:cs="Arial" w:eastAsia="Arial" w:hAnsi="Arial"/>
                <w:sz w:val="18"/>
                <w:szCs w:val="18"/>
                <w:color w:val="auto"/>
                <w:w w:val="93"/>
              </w:rPr>
              <w:t>Applies annualy to the new balance since February 2013 for new affiliates to the system and beginning on June</w:t>
            </w:r>
          </w:p>
        </w:tc>
        <w:tc>
          <w:tcPr>
            <w:tcW w:w="0" w:type="dxa"/>
            <w:vAlign w:val="bottom"/>
          </w:tcPr>
          <w:p>
            <w:pPr>
              <w:spacing w:after="0"/>
              <w:rPr>
                <w:sz w:val="1"/>
                <w:szCs w:val="1"/>
                <w:color w:val="auto"/>
              </w:rPr>
            </w:pPr>
          </w:p>
        </w:tc>
      </w:tr>
      <w:tr>
        <w:trPr>
          <w:trHeight w:val="226"/>
        </w:trPr>
        <w:tc>
          <w:tcPr>
            <w:tcW w:w="2180" w:type="dxa"/>
            <w:vAlign w:val="bottom"/>
          </w:tcPr>
          <w:p>
            <w:pPr>
              <w:spacing w:after="0"/>
              <w:rPr>
                <w:sz w:val="19"/>
                <w:szCs w:val="19"/>
                <w:color w:val="auto"/>
              </w:rPr>
            </w:pPr>
          </w:p>
        </w:tc>
        <w:tc>
          <w:tcPr>
            <w:tcW w:w="5480" w:type="dxa"/>
            <w:vAlign w:val="bottom"/>
            <w:gridSpan w:val="14"/>
          </w:tcPr>
          <w:p>
            <w:pPr>
              <w:ind w:left="180"/>
              <w:spacing w:after="0"/>
              <w:rPr>
                <w:sz w:val="20"/>
                <w:szCs w:val="20"/>
                <w:color w:val="auto"/>
              </w:rPr>
            </w:pPr>
            <w:r>
              <w:rPr>
                <w:rFonts w:ascii="Arial" w:cs="Arial" w:eastAsia="Arial" w:hAnsi="Arial"/>
                <w:sz w:val="18"/>
                <w:szCs w:val="18"/>
                <w:color w:val="auto"/>
                <w:w w:val="91"/>
              </w:rPr>
              <w:t>1.25%  2013 for old affiliates who have chosen this commission scheme.</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180" w:type="dxa"/>
            <w:vAlign w:val="bottom"/>
          </w:tcPr>
          <w:p>
            <w:pPr>
              <w:spacing w:after="0"/>
              <w:rPr>
                <w:sz w:val="20"/>
                <w:szCs w:val="20"/>
                <w:color w:val="auto"/>
              </w:rPr>
            </w:pPr>
            <w:r>
              <w:rPr>
                <w:rFonts w:ascii="Arial" w:cs="Arial" w:eastAsia="Arial" w:hAnsi="Arial"/>
                <w:sz w:val="18"/>
                <w:szCs w:val="18"/>
                <w:b w:val="1"/>
                <w:bCs w:val="1"/>
                <w:color w:val="auto"/>
              </w:rPr>
              <w:t>Main indicators</w:t>
            </w: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ind w:left="260"/>
              <w:spacing w:after="0"/>
              <w:rPr>
                <w:sz w:val="20"/>
                <w:szCs w:val="20"/>
                <w:color w:val="auto"/>
              </w:rPr>
            </w:pPr>
            <w:r>
              <w:rPr>
                <w:rFonts w:ascii="Arial" w:cs="Arial" w:eastAsia="Arial" w:hAnsi="Arial"/>
                <w:sz w:val="18"/>
                <w:szCs w:val="18"/>
                <w:b w:val="1"/>
                <w:bCs w:val="1"/>
                <w:color w:val="auto"/>
              </w:rPr>
              <w:t>Prima</w:t>
            </w:r>
          </w:p>
        </w:tc>
        <w:tc>
          <w:tcPr>
            <w:tcW w:w="1200" w:type="dxa"/>
            <w:vAlign w:val="bottom"/>
            <w:gridSpan w:val="4"/>
          </w:tcPr>
          <w:p>
            <w:pPr>
              <w:ind w:left="220"/>
              <w:spacing w:after="0"/>
              <w:rPr>
                <w:sz w:val="20"/>
                <w:szCs w:val="20"/>
                <w:color w:val="auto"/>
              </w:rPr>
            </w:pPr>
            <w:r>
              <w:rPr>
                <w:rFonts w:ascii="Arial" w:cs="Arial" w:eastAsia="Arial" w:hAnsi="Arial"/>
                <w:sz w:val="18"/>
                <w:szCs w:val="18"/>
                <w:b w:val="1"/>
                <w:bCs w:val="1"/>
                <w:color w:val="auto"/>
              </w:rPr>
              <w:t>System</w:t>
            </w:r>
          </w:p>
        </w:tc>
        <w:tc>
          <w:tcPr>
            <w:tcW w:w="128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2"/>
              </w:rPr>
              <w:t>% share</w:t>
            </w:r>
          </w:p>
        </w:tc>
        <w:tc>
          <w:tcPr>
            <w:tcW w:w="1200" w:type="dxa"/>
            <w:vAlign w:val="bottom"/>
            <w:gridSpan w:val="2"/>
          </w:tcPr>
          <w:p>
            <w:pPr>
              <w:ind w:left="260"/>
              <w:spacing w:after="0"/>
              <w:rPr>
                <w:sz w:val="20"/>
                <w:szCs w:val="20"/>
                <w:color w:val="auto"/>
              </w:rPr>
            </w:pPr>
            <w:r>
              <w:rPr>
                <w:rFonts w:ascii="Arial" w:cs="Arial" w:eastAsia="Arial" w:hAnsi="Arial"/>
                <w:sz w:val="18"/>
                <w:szCs w:val="18"/>
                <w:b w:val="1"/>
                <w:bCs w:val="1"/>
                <w:color w:val="auto"/>
              </w:rPr>
              <w:t>Prima</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System</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 share</w:t>
            </w:r>
          </w:p>
        </w:tc>
        <w:tc>
          <w:tcPr>
            <w:tcW w:w="0" w:type="dxa"/>
            <w:vAlign w:val="bottom"/>
          </w:tcPr>
          <w:p>
            <w:pPr>
              <w:spacing w:after="0"/>
              <w:rPr>
                <w:sz w:val="1"/>
                <w:szCs w:val="1"/>
                <w:color w:val="auto"/>
              </w:rPr>
            </w:pPr>
          </w:p>
        </w:tc>
      </w:tr>
      <w:tr>
        <w:trPr>
          <w:trHeight w:val="231"/>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Main indicators and market share</w:t>
            </w: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jc w:val="right"/>
              <w:ind w:right="211"/>
              <w:spacing w:after="0"/>
              <w:rPr>
                <w:sz w:val="20"/>
                <w:szCs w:val="20"/>
                <w:color w:val="auto"/>
              </w:rPr>
            </w:pPr>
            <w:r>
              <w:rPr>
                <w:rFonts w:ascii="Arial" w:cs="Arial" w:eastAsia="Arial" w:hAnsi="Arial"/>
                <w:sz w:val="18"/>
                <w:szCs w:val="18"/>
                <w:b w:val="1"/>
                <w:bCs w:val="1"/>
                <w:color w:val="auto"/>
              </w:rPr>
              <w:t>1Q20</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rPr>
              <w:t>1Q20</w:t>
            </w:r>
          </w:p>
        </w:tc>
        <w:tc>
          <w:tcPr>
            <w:tcW w:w="2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1Q20</w:t>
            </w:r>
          </w:p>
        </w:tc>
        <w:tc>
          <w:tcPr>
            <w:tcW w:w="2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2Q20</w:t>
            </w:r>
          </w:p>
        </w:tc>
        <w:tc>
          <w:tcPr>
            <w:tcW w:w="2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2Q20</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2Q20</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Affiliates</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2,365,347</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7,521,916</w:t>
            </w:r>
          </w:p>
        </w:tc>
        <w:tc>
          <w:tcPr>
            <w:tcW w:w="2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31.4%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2,364,850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4"/>
              </w:rPr>
              <w:t>7,576,582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54"/>
        </w:trPr>
        <w:tc>
          <w:tcPr>
            <w:tcW w:w="2180" w:type="dxa"/>
            <w:vAlign w:val="bottom"/>
          </w:tcPr>
          <w:p>
            <w:pPr>
              <w:spacing w:after="0" w:line="253" w:lineRule="exact"/>
              <w:rPr>
                <w:sz w:val="20"/>
                <w:szCs w:val="20"/>
                <w:color w:val="auto"/>
              </w:rPr>
            </w:pPr>
            <w:r>
              <w:rPr>
                <w:rFonts w:ascii="Arial" w:cs="Arial" w:eastAsia="Arial" w:hAnsi="Arial"/>
                <w:sz w:val="18"/>
                <w:szCs w:val="18"/>
                <w:color w:val="auto"/>
              </w:rPr>
              <w:t xml:space="preserve">New affiliations </w:t>
            </w:r>
            <w:r>
              <w:rPr>
                <w:rFonts w:ascii="Arial" w:cs="Arial" w:eastAsia="Arial" w:hAnsi="Arial"/>
                <w:sz w:val="29"/>
                <w:szCs w:val="29"/>
                <w:color w:val="auto"/>
                <w:vertAlign w:val="superscript"/>
              </w:rPr>
              <w:t>(1)</w:t>
            </w:r>
          </w:p>
        </w:tc>
        <w:tc>
          <w:tcPr>
            <w:tcW w:w="720" w:type="dxa"/>
            <w:vAlign w:val="bottom"/>
          </w:tcPr>
          <w:p>
            <w:pPr>
              <w:spacing w:after="0"/>
              <w:rPr>
                <w:sz w:val="22"/>
                <w:szCs w:val="22"/>
                <w:color w:val="auto"/>
              </w:rPr>
            </w:pPr>
          </w:p>
        </w:tc>
        <w:tc>
          <w:tcPr>
            <w:tcW w:w="20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100,553</w:t>
            </w:r>
          </w:p>
        </w:tc>
        <w:tc>
          <w:tcPr>
            <w:tcW w:w="1280" w:type="dxa"/>
            <w:vAlign w:val="bottom"/>
            <w:gridSpan w:val="4"/>
          </w:tcPr>
          <w:p>
            <w:pPr>
              <w:jc w:val="right"/>
              <w:ind w:right="120"/>
              <w:spacing w:after="0"/>
              <w:rPr>
                <w:sz w:val="20"/>
                <w:szCs w:val="20"/>
                <w:color w:val="auto"/>
              </w:rPr>
            </w:pPr>
            <w:r>
              <w:rPr>
                <w:rFonts w:ascii="Arial" w:cs="Arial" w:eastAsia="Arial" w:hAnsi="Arial"/>
                <w:sz w:val="18"/>
                <w:szCs w:val="18"/>
                <w:color w:val="auto"/>
              </w:rPr>
              <w:t>0.0%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55,288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3"/>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Funds under management (S/ Millions)</w:t>
            </w:r>
          </w:p>
        </w:tc>
        <w:tc>
          <w:tcPr>
            <w:tcW w:w="22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46,864</w:t>
            </w:r>
          </w:p>
        </w:tc>
        <w:tc>
          <w:tcPr>
            <w:tcW w:w="12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154,044</w:t>
            </w:r>
          </w:p>
        </w:tc>
        <w:tc>
          <w:tcPr>
            <w:tcW w:w="12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30.4%</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46,331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152,384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54"/>
        </w:trPr>
        <w:tc>
          <w:tcPr>
            <w:tcW w:w="2180" w:type="dxa"/>
            <w:vAlign w:val="bottom"/>
          </w:tcPr>
          <w:p>
            <w:pPr>
              <w:spacing w:after="0" w:line="253" w:lineRule="exact"/>
              <w:rPr>
                <w:sz w:val="20"/>
                <w:szCs w:val="20"/>
                <w:color w:val="auto"/>
              </w:rPr>
            </w:pPr>
            <w:r>
              <w:rPr>
                <w:rFonts w:ascii="Arial" w:cs="Arial" w:eastAsia="Arial" w:hAnsi="Arial"/>
                <w:sz w:val="18"/>
                <w:szCs w:val="18"/>
                <w:color w:val="auto"/>
              </w:rPr>
              <w:t xml:space="preserve">Collections (S/ Millions) </w:t>
            </w:r>
            <w:r>
              <w:rPr>
                <w:rFonts w:ascii="Arial" w:cs="Arial" w:eastAsia="Arial" w:hAnsi="Arial"/>
                <w:sz w:val="29"/>
                <w:szCs w:val="29"/>
                <w:color w:val="auto"/>
                <w:vertAlign w:val="superscript"/>
              </w:rPr>
              <w:t>(2)</w:t>
            </w:r>
          </w:p>
        </w:tc>
        <w:tc>
          <w:tcPr>
            <w:tcW w:w="720" w:type="dxa"/>
            <w:vAlign w:val="bottom"/>
          </w:tcPr>
          <w:p>
            <w:pPr>
              <w:spacing w:after="0"/>
              <w:rPr>
                <w:sz w:val="22"/>
                <w:szCs w:val="22"/>
                <w:color w:val="auto"/>
              </w:rPr>
            </w:pPr>
          </w:p>
        </w:tc>
        <w:tc>
          <w:tcPr>
            <w:tcW w:w="2280" w:type="dxa"/>
            <w:vAlign w:val="bottom"/>
            <w:gridSpan w:val="5"/>
          </w:tcPr>
          <w:p>
            <w:pPr>
              <w:jc w:val="right"/>
              <w:ind w:right="220"/>
              <w:spacing w:after="0"/>
              <w:rPr>
                <w:sz w:val="20"/>
                <w:szCs w:val="20"/>
                <w:color w:val="auto"/>
              </w:rPr>
            </w:pPr>
            <w:r>
              <w:rPr>
                <w:rFonts w:ascii="Arial" w:cs="Arial" w:eastAsia="Arial" w:hAnsi="Arial"/>
                <w:sz w:val="18"/>
                <w:szCs w:val="18"/>
                <w:color w:val="auto"/>
              </w:rPr>
              <w:t>1,002</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3,089</w:t>
            </w:r>
          </w:p>
        </w:tc>
        <w:tc>
          <w:tcPr>
            <w:tcW w:w="1280" w:type="dxa"/>
            <w:vAlign w:val="bottom"/>
            <w:gridSpan w:val="4"/>
          </w:tcPr>
          <w:p>
            <w:pPr>
              <w:jc w:val="right"/>
              <w:ind w:right="120"/>
              <w:spacing w:after="0"/>
              <w:rPr>
                <w:sz w:val="20"/>
                <w:szCs w:val="20"/>
                <w:color w:val="auto"/>
              </w:rPr>
            </w:pPr>
            <w:r>
              <w:rPr>
                <w:rFonts w:ascii="Arial" w:cs="Arial" w:eastAsia="Arial" w:hAnsi="Arial"/>
                <w:sz w:val="18"/>
                <w:szCs w:val="18"/>
                <w:color w:val="auto"/>
              </w:rPr>
              <w:t>32.4%</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349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1,072</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54"/>
        </w:trPr>
        <w:tc>
          <w:tcPr>
            <w:tcW w:w="290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w w:val="92"/>
              </w:rPr>
              <w:t xml:space="preserve">Voluntary contributions (S/ Millions) </w:t>
            </w:r>
            <w:r>
              <w:rPr>
                <w:rFonts w:ascii="Arial" w:cs="Arial" w:eastAsia="Arial" w:hAnsi="Arial"/>
                <w:sz w:val="29"/>
                <w:szCs w:val="29"/>
                <w:color w:val="auto"/>
                <w:w w:val="92"/>
                <w:vertAlign w:val="superscript"/>
              </w:rPr>
              <w:t>(2)</w:t>
            </w:r>
          </w:p>
        </w:tc>
        <w:tc>
          <w:tcPr>
            <w:tcW w:w="22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977</w:t>
            </w:r>
          </w:p>
        </w:tc>
        <w:tc>
          <w:tcPr>
            <w:tcW w:w="12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2,057</w:t>
            </w:r>
          </w:p>
        </w:tc>
        <w:tc>
          <w:tcPr>
            <w:tcW w:w="12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47.5%</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386"/>
        </w:trPr>
        <w:tc>
          <w:tcPr>
            <w:tcW w:w="2180" w:type="dxa"/>
            <w:vAlign w:val="bottom"/>
          </w:tcPr>
          <w:p>
            <w:pPr>
              <w:spacing w:after="0"/>
              <w:rPr>
                <w:sz w:val="20"/>
                <w:szCs w:val="20"/>
                <w:color w:val="auto"/>
              </w:rPr>
            </w:pPr>
            <w:r>
              <w:rPr>
                <w:rFonts w:ascii="Arial" w:cs="Arial" w:eastAsia="Arial" w:hAnsi="Arial"/>
                <w:sz w:val="18"/>
                <w:szCs w:val="18"/>
                <w:color w:val="auto"/>
              </w:rPr>
              <w:t xml:space="preserve">RAM (S/ Millions) </w:t>
            </w:r>
            <w:r>
              <w:rPr>
                <w:rFonts w:ascii="Arial" w:cs="Arial" w:eastAsia="Arial" w:hAnsi="Arial"/>
                <w:sz w:val="29"/>
                <w:szCs w:val="29"/>
                <w:color w:val="auto"/>
                <w:vertAlign w:val="superscript"/>
              </w:rPr>
              <w:t>(2) (3)</w:t>
            </w:r>
          </w:p>
        </w:tc>
        <w:tc>
          <w:tcPr>
            <w:tcW w:w="720" w:type="dxa"/>
            <w:vAlign w:val="bottom"/>
          </w:tcPr>
          <w:p>
            <w:pPr>
              <w:spacing w:after="0"/>
              <w:rPr>
                <w:sz w:val="24"/>
                <w:szCs w:val="24"/>
                <w:color w:val="auto"/>
              </w:rPr>
            </w:pPr>
          </w:p>
        </w:tc>
        <w:tc>
          <w:tcPr>
            <w:tcW w:w="2280" w:type="dxa"/>
            <w:vAlign w:val="bottom"/>
            <w:gridSpan w:val="5"/>
          </w:tcPr>
          <w:p>
            <w:pPr>
              <w:jc w:val="right"/>
              <w:ind w:right="220"/>
              <w:spacing w:after="0"/>
              <w:rPr>
                <w:sz w:val="20"/>
                <w:szCs w:val="20"/>
                <w:color w:val="auto"/>
              </w:rPr>
            </w:pPr>
            <w:r>
              <w:rPr>
                <w:rFonts w:ascii="Arial" w:cs="Arial" w:eastAsia="Arial" w:hAnsi="Arial"/>
                <w:sz w:val="18"/>
                <w:szCs w:val="18"/>
                <w:color w:val="auto"/>
              </w:rPr>
              <w:t>1,419</w:t>
            </w: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rPr>
              <w:t>4,482</w:t>
            </w:r>
          </w:p>
        </w:tc>
        <w:tc>
          <w:tcPr>
            <w:tcW w:w="1280" w:type="dxa"/>
            <w:vAlign w:val="bottom"/>
            <w:gridSpan w:val="4"/>
          </w:tcPr>
          <w:p>
            <w:pPr>
              <w:jc w:val="right"/>
              <w:ind w:right="120"/>
              <w:spacing w:after="0"/>
              <w:rPr>
                <w:sz w:val="20"/>
                <w:szCs w:val="20"/>
                <w:color w:val="auto"/>
              </w:rPr>
            </w:pPr>
            <w:r>
              <w:rPr>
                <w:rFonts w:ascii="Arial" w:cs="Arial" w:eastAsia="Arial" w:hAnsi="Arial"/>
                <w:sz w:val="18"/>
                <w:szCs w:val="18"/>
                <w:color w:val="auto"/>
              </w:rPr>
              <w:t>31.7%</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1,058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3,235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SBS</w:t>
      </w:r>
    </w:p>
    <w:p>
      <w:pPr>
        <w:spacing w:after="0" w:line="220" w:lineRule="exact"/>
        <w:rPr>
          <w:sz w:val="20"/>
          <w:szCs w:val="20"/>
          <w:color w:val="auto"/>
        </w:rPr>
      </w:pPr>
    </w:p>
    <w:p>
      <w:pPr>
        <w:ind w:left="260" w:hanging="253"/>
        <w:spacing w:after="0"/>
        <w:tabs>
          <w:tab w:leader="none" w:pos="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 of June 2019, another AFP has the exclusivity of affiliations.</w:t>
      </w:r>
    </w:p>
    <w:p>
      <w:pPr>
        <w:spacing w:after="0" w:line="19" w:lineRule="exact"/>
        <w:rPr>
          <w:rFonts w:ascii="Arial" w:cs="Arial" w:eastAsia="Arial" w:hAnsi="Arial"/>
          <w:sz w:val="18"/>
          <w:szCs w:val="18"/>
          <w:color w:val="auto"/>
        </w:rPr>
      </w:pPr>
    </w:p>
    <w:p>
      <w:pPr>
        <w:ind w:left="260" w:hanging="253"/>
        <w:spacing w:after="0"/>
        <w:tabs>
          <w:tab w:leader="none" w:pos="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Information available as of May 2020.</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Prima AFP estimate: Average of aggregated income for flow during the last 4 months, excluding special collections and voluntary contribution fees.</w:t>
      </w:r>
    </w:p>
    <w:p>
      <w:pPr>
        <w:spacing w:after="0" w:line="200" w:lineRule="exact"/>
        <w:rPr>
          <w:sz w:val="20"/>
          <w:szCs w:val="20"/>
          <w:color w:val="auto"/>
        </w:rPr>
      </w:pPr>
    </w:p>
    <w:p>
      <w:pPr>
        <w:spacing w:after="0" w:line="243"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571"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11.11. Table of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6549390" cy="73285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549390" cy="7328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hanging="253"/>
        <w:spacing w:after="0"/>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19" w:lineRule="exact"/>
        <w:rPr>
          <w:rFonts w:ascii="Arial" w:cs="Arial" w:eastAsia="Arial" w:hAnsi="Arial"/>
          <w:sz w:val="18"/>
          <w:szCs w:val="18"/>
          <w:color w:val="auto"/>
        </w:rPr>
      </w:pPr>
    </w:p>
    <w:p>
      <w:pPr>
        <w:ind w:left="260" w:hanging="253"/>
        <w:spacing w:after="0"/>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Includes total deposits, due to banks and correspondents, BCRP instruments, repurchase agreements and bonds and notes issued.</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Does not include Life insurance business.</w:t>
      </w:r>
    </w:p>
    <w:p>
      <w:pPr>
        <w:spacing w:after="0" w:line="6" w:lineRule="exact"/>
        <w:rPr>
          <w:rFonts w:ascii="Arial" w:cs="Arial" w:eastAsia="Arial" w:hAnsi="Arial"/>
          <w:sz w:val="18"/>
          <w:szCs w:val="18"/>
          <w:color w:val="auto"/>
        </w:rPr>
      </w:pPr>
    </w:p>
    <w:p>
      <w:pPr>
        <w:jc w:val="both"/>
        <w:ind w:firstLine="7"/>
        <w:spacing w:after="0" w:line="262" w:lineRule="auto"/>
        <w:tabs>
          <w:tab w:leader="none" w:pos="263" w:val="left"/>
        </w:tabs>
        <w:numPr>
          <w:ilvl w:val="0"/>
          <w:numId w:val="95"/>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3"/>
        <w:spacing w:after="0"/>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Includes investment in subsidiaries, goodwill, intangibles and deferred tax that rely on future profitability.</w:t>
      </w:r>
    </w:p>
    <w:p>
      <w:pPr>
        <w:spacing w:after="0" w:line="200" w:lineRule="exact"/>
        <w:rPr>
          <w:sz w:val="20"/>
          <w:szCs w:val="20"/>
          <w:color w:val="auto"/>
        </w:rPr>
      </w:pPr>
    </w:p>
    <w:p>
      <w:pPr>
        <w:spacing w:after="0" w:line="220" w:lineRule="exact"/>
        <w:rPr>
          <w:sz w:val="20"/>
          <w:szCs w:val="20"/>
          <w:color w:val="auto"/>
        </w:rPr>
      </w:pPr>
    </w:p>
    <w:p>
      <w:pPr>
        <w:ind w:left="1102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342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022"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11.12. 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5930900" cy="30079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30900" cy="3007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sectPr>
      <w:pgSz w:w="11900" w:h="16838" w:orient="portrait"/>
      <w:cols w:equalWidth="0" w:num="1">
        <w:col w:w="11200"/>
      </w:cols>
      <w:pgMar w:left="320" w:top="89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1)"/>
      <w:numFmt w:val="decimal"/>
      <w:start w:val="1"/>
    </w:lvl>
  </w:abstractNum>
  <w:abstractNum w:abstractNumId="1">
    <w:nsid w:val="32FFF902"/>
    <w:multiLevelType w:val="hybridMultilevel"/>
    <w:lvl w:ilvl="0">
      <w:lvlJc w:val="left"/>
      <w:lvlText w:val="(%1)"/>
      <w:numFmt w:val="decimal"/>
      <w:start w:val="1"/>
    </w:lvl>
  </w:abstractNum>
  <w:abstractNum w:abstractNumId="2">
    <w:nsid w:val="684A481A"/>
    <w:multiLevelType w:val="hybridMultilevel"/>
    <w:lvl w:ilvl="0">
      <w:lvlJc w:val="left"/>
      <w:lvlText w:val="(%1)"/>
      <w:numFmt w:val="decimal"/>
      <w:start w:val="2"/>
    </w:lvl>
  </w:abstractNum>
  <w:abstractNum w:abstractNumId="3">
    <w:nsid w:val="579478FE"/>
    <w:multiLevelType w:val="hybridMultilevel"/>
    <w:lvl w:ilvl="0">
      <w:lvlJc w:val="left"/>
      <w:lvlText w:val="%1."/>
      <w:numFmt w:val="decimal"/>
      <w:start w:val="1"/>
    </w:lvl>
  </w:abstractNum>
  <w:abstractNum w:abstractNumId="4">
    <w:nsid w:val="749ABB43"/>
    <w:multiLevelType w:val="hybridMultilevel"/>
    <w:lvl w:ilvl="0">
      <w:lvlJc w:val="left"/>
      <w:lvlText w:val="(%1)"/>
      <w:numFmt w:val="decimal"/>
      <w:start w:val="1"/>
    </w:lvl>
  </w:abstractNum>
  <w:abstractNum w:abstractNumId="5">
    <w:nsid w:val="3DC240FB"/>
    <w:multiLevelType w:val="hybridMultilevel"/>
    <w:lvl w:ilvl="0">
      <w:lvlJc w:val="left"/>
      <w:lvlText w:val="(%1)"/>
      <w:numFmt w:val="decimal"/>
      <w:start w:val="1"/>
    </w:lvl>
  </w:abstractNum>
  <w:abstractNum w:abstractNumId="6">
    <w:nsid w:val="1BA026FA"/>
    <w:multiLevelType w:val="hybridMultilevel"/>
    <w:lvl w:ilvl="0">
      <w:lvlJc w:val="left"/>
      <w:lvlText w:val="(%1)"/>
      <w:numFmt w:val="decimal"/>
      <w:start w:val="1"/>
    </w:lvl>
  </w:abstractNum>
  <w:abstractNum w:abstractNumId="7">
    <w:nsid w:val="79A1DEAA"/>
    <w:multiLevelType w:val="hybridMultilevel"/>
    <w:lvl w:ilvl="0">
      <w:lvlJc w:val="left"/>
      <w:lvlText w:val="(%1)"/>
      <w:numFmt w:val="decimal"/>
      <w:start w:val="1"/>
    </w:lvl>
  </w:abstractNum>
  <w:abstractNum w:abstractNumId="8">
    <w:nsid w:val="75C6C33A"/>
    <w:multiLevelType w:val="hybridMultilevel"/>
    <w:lvl w:ilvl="0">
      <w:lvlJc w:val="left"/>
      <w:lvlText w:val="1"/>
      <w:numFmt w:val="bullet"/>
      <w:start w:val="1"/>
    </w:lvl>
  </w:abstractNum>
  <w:abstractNum w:abstractNumId="9">
    <w:nsid w:val="12E685FB"/>
    <w:multiLevelType w:val="hybridMultilevel"/>
    <w:lvl w:ilvl="0">
      <w:lvlJc w:val="left"/>
      <w:lvlText w:val="%1."/>
      <w:numFmt w:val="decimal"/>
      <w:start w:val="2"/>
    </w:lvl>
  </w:abstractNum>
  <w:abstractNum w:abstractNumId="10">
    <w:nsid w:val="70C6A529"/>
    <w:multiLevelType w:val="hybridMultilevel"/>
    <w:lvl w:ilvl="0">
      <w:lvlJc w:val="left"/>
      <w:lvlText w:val="(%1)"/>
      <w:numFmt w:val="lowerRoman"/>
      <w:start w:val="1"/>
    </w:lvl>
  </w:abstractNum>
  <w:abstractNum w:abstractNumId="11">
    <w:nsid w:val="520EEDD1"/>
    <w:multiLevelType w:val="hybridMultilevel"/>
    <w:lvl w:ilvl="0">
      <w:lvlJc w:val="left"/>
      <w:lvlText w:val="(%1)"/>
      <w:numFmt w:val="lowerRoman"/>
      <w:start w:val="3"/>
    </w:lvl>
  </w:abstractNum>
  <w:abstractNum w:abstractNumId="12">
    <w:nsid w:val="374A3FE6"/>
    <w:multiLevelType w:val="hybridMultilevel"/>
    <w:lvl w:ilvl="0">
      <w:lvlJc w:val="left"/>
      <w:lvlText w:val="(%1)"/>
      <w:numFmt w:val="lowerRoman"/>
      <w:start w:val="1"/>
    </w:lvl>
  </w:abstractNum>
  <w:abstractNum w:abstractNumId="13">
    <w:nsid w:val="4F4EF005"/>
    <w:multiLevelType w:val="hybridMultilevel"/>
    <w:lvl w:ilvl="0">
      <w:lvlJc w:val="left"/>
      <w:lvlText w:val="(%1)"/>
      <w:numFmt w:val="lowerRoman"/>
      <w:start w:val="1"/>
    </w:lvl>
  </w:abstractNum>
  <w:abstractNum w:abstractNumId="14">
    <w:nsid w:val="23F9C13C"/>
    <w:multiLevelType w:val="hybridMultilevel"/>
    <w:lvl w:ilvl="0">
      <w:lvlJc w:val="left"/>
      <w:lvlText w:val="(%1)"/>
      <w:numFmt w:val="decimal"/>
      <w:start w:val="1"/>
    </w:lvl>
  </w:abstractNum>
  <w:abstractNum w:abstractNumId="15">
    <w:nsid w:val="649BB77C"/>
    <w:multiLevelType w:val="hybridMultilevel"/>
    <w:lvl w:ilvl="0">
      <w:lvlJc w:val="left"/>
      <w:lvlText w:val="(%1)"/>
      <w:numFmt w:val="lowerRoman"/>
      <w:start w:val="1"/>
    </w:lvl>
  </w:abstractNum>
  <w:abstractNum w:abstractNumId="16">
    <w:nsid w:val="275AC794"/>
    <w:multiLevelType w:val="hybridMultilevel"/>
    <w:lvl w:ilvl="0">
      <w:lvlJc w:val="left"/>
      <w:lvlText w:val="(%1)"/>
      <w:numFmt w:val="lowerRoman"/>
      <w:start w:val="2"/>
    </w:lvl>
  </w:abstractNum>
  <w:abstractNum w:abstractNumId="17">
    <w:nsid w:val="39386575"/>
    <w:multiLevelType w:val="hybridMultilevel"/>
    <w:lvl w:ilvl="0">
      <w:lvlJc w:val="left"/>
      <w:lvlText w:val="(%1)"/>
      <w:numFmt w:val="lowerRoman"/>
      <w:start w:val="1"/>
    </w:lvl>
  </w:abstractNum>
  <w:abstractNum w:abstractNumId="18">
    <w:nsid w:val="1CF10FD8"/>
    <w:multiLevelType w:val="hybridMultilevel"/>
    <w:lvl w:ilvl="0">
      <w:lvlJc w:val="left"/>
      <w:lvlText w:val="%1"/>
      <w:numFmt w:val="lowerRoman"/>
      <w:start w:val="1"/>
    </w:lvl>
    <w:lvl w:ilvl="1">
      <w:lvlJc w:val="left"/>
      <w:lvlText w:val="(%2)"/>
      <w:numFmt w:val="decimal"/>
      <w:start w:val="1"/>
    </w:lvl>
  </w:abstractNum>
  <w:abstractNum w:abstractNumId="19">
    <w:nsid w:val="180115BE"/>
    <w:multiLevelType w:val="hybridMultilevel"/>
    <w:lvl w:ilvl="0">
      <w:lvlJc w:val="left"/>
      <w:lvlText w:val="(%1)"/>
      <w:numFmt w:val="lowerRoman"/>
      <w:start w:val="1"/>
    </w:lvl>
    <w:lvl w:ilvl="1">
      <w:lvlJc w:val="left"/>
      <w:lvlText w:val="%2"/>
      <w:numFmt w:val="decimal"/>
      <w:start w:val="1"/>
    </w:lvl>
  </w:abstractNum>
  <w:abstractNum w:abstractNumId="20">
    <w:nsid w:val="235BA861"/>
    <w:multiLevelType w:val="hybridMultilevel"/>
    <w:lvl w:ilvl="0">
      <w:lvlJc w:val="left"/>
      <w:lvlText w:val="%1."/>
      <w:numFmt w:val="decimal"/>
      <w:start w:val="3"/>
    </w:lvl>
  </w:abstractNum>
  <w:abstractNum w:abstractNumId="21">
    <w:nsid w:val="47398C89"/>
    <w:multiLevelType w:val="hybridMultilevel"/>
    <w:lvl w:ilvl="0">
      <w:lvlJc w:val="left"/>
      <w:lvlText w:val="(%1)"/>
      <w:numFmt w:val="lowerRoman"/>
      <w:start w:val="1"/>
    </w:lvl>
  </w:abstractNum>
  <w:abstractNum w:abstractNumId="22">
    <w:nsid w:val="354FE9F9"/>
    <w:multiLevelType w:val="hybridMultilevel"/>
    <w:lvl w:ilvl="0">
      <w:lvlJc w:val="left"/>
      <w:lvlText w:val="(%1)"/>
      <w:numFmt w:val="decimal"/>
      <w:start w:val="1"/>
    </w:lvl>
  </w:abstractNum>
  <w:abstractNum w:abstractNumId="23">
    <w:nsid w:val="15B5AF5C"/>
    <w:multiLevelType w:val="hybridMultilevel"/>
    <w:lvl w:ilvl="0">
      <w:lvlJc w:val="left"/>
      <w:lvlText w:val="(%1)"/>
      <w:numFmt w:val="decimal"/>
      <w:start w:val="1"/>
    </w:lvl>
  </w:abstractNum>
  <w:abstractNum w:abstractNumId="24">
    <w:nsid w:val="741226BB"/>
    <w:multiLevelType w:val="hybridMultilevel"/>
    <w:lvl w:ilvl="0">
      <w:lvlJc w:val="left"/>
      <w:lvlText w:val="(%1)"/>
      <w:numFmt w:val="lowerRoman"/>
      <w:start w:val="1"/>
    </w:lvl>
  </w:abstractNum>
  <w:abstractNum w:abstractNumId="25">
    <w:nsid w:val="D34B6A8"/>
    <w:multiLevelType w:val="hybridMultilevel"/>
    <w:lvl w:ilvl="0">
      <w:lvlJc w:val="left"/>
      <w:lvlText w:val="(%1)"/>
      <w:numFmt w:val="decimal"/>
      <w:start w:val="1"/>
    </w:lvl>
  </w:abstractNum>
  <w:abstractNum w:abstractNumId="26">
    <w:nsid w:val="10233C99"/>
    <w:multiLevelType w:val="hybridMultilevel"/>
    <w:lvl w:ilvl="0">
      <w:lvlJc w:val="left"/>
      <w:lvlText w:val="(%1)"/>
      <w:numFmt w:val="lowerRoman"/>
      <w:start w:val="1"/>
    </w:lvl>
  </w:abstractNum>
  <w:abstractNum w:abstractNumId="27">
    <w:nsid w:val="3F6AB60F"/>
    <w:multiLevelType w:val="hybridMultilevel"/>
    <w:lvl w:ilvl="0">
      <w:lvlJc w:val="left"/>
      <w:lvlText w:val="(%1)"/>
      <w:numFmt w:val="lowerRoman"/>
      <w:start w:val="1"/>
    </w:lvl>
  </w:abstractNum>
  <w:abstractNum w:abstractNumId="28">
    <w:nsid w:val="61574095"/>
    <w:multiLevelType w:val="hybridMultilevel"/>
    <w:lvl w:ilvl="0">
      <w:lvlJc w:val="left"/>
      <w:lvlText w:val="(%1)"/>
      <w:numFmt w:val="lowerRoman"/>
      <w:start w:val="2"/>
    </w:lvl>
  </w:abstractNum>
  <w:abstractNum w:abstractNumId="29">
    <w:nsid w:val="7E0C57B1"/>
    <w:multiLevelType w:val="hybridMultilevel"/>
    <w:lvl w:ilvl="0">
      <w:lvlJc w:val="left"/>
      <w:lvlText w:val="(%1)"/>
      <w:numFmt w:val="lowerRoman"/>
      <w:start w:val="3"/>
    </w:lvl>
  </w:abstractNum>
  <w:abstractNum w:abstractNumId="30">
    <w:nsid w:val="77AE35EB"/>
    <w:multiLevelType w:val="hybridMultilevel"/>
    <w:lvl w:ilvl="0">
      <w:lvlJc w:val="left"/>
      <w:lvlText w:val="(%1)"/>
      <w:numFmt w:val="lowerRoman"/>
      <w:start w:val="4"/>
    </w:lvl>
  </w:abstractNum>
  <w:abstractNum w:abstractNumId="31">
    <w:nsid w:val="579BE4F1"/>
    <w:multiLevelType w:val="hybridMultilevel"/>
    <w:lvl w:ilvl="0">
      <w:lvlJc w:val="left"/>
      <w:lvlText w:val="(%1)"/>
      <w:numFmt w:val="lowerRoman"/>
      <w:start w:val="5"/>
    </w:lvl>
  </w:abstractNum>
  <w:abstractNum w:abstractNumId="32">
    <w:nsid w:val="310C50B3"/>
    <w:multiLevelType w:val="hybridMultilevel"/>
    <w:lvl w:ilvl="0">
      <w:lvlJc w:val="left"/>
      <w:lvlText w:val="(%1)"/>
      <w:numFmt w:val="lowerRoman"/>
      <w:start w:val="6"/>
    </w:lvl>
  </w:abstractNum>
  <w:abstractNum w:abstractNumId="33">
    <w:nsid w:val="5FF87E05"/>
    <w:multiLevelType w:val="hybridMultilevel"/>
    <w:lvl w:ilvl="0">
      <w:lvlJc w:val="left"/>
      <w:lvlText w:val="(%1)"/>
      <w:numFmt w:val="lowerRoman"/>
      <w:start w:val="7"/>
    </w:lvl>
  </w:abstractNum>
  <w:abstractNum w:abstractNumId="34">
    <w:nsid w:val="2F305DEF"/>
    <w:multiLevelType w:val="hybridMultilevel"/>
    <w:lvl w:ilvl="0">
      <w:lvlJc w:val="left"/>
      <w:lvlText w:val="(%1)"/>
      <w:numFmt w:val="lowerRoman"/>
      <w:start w:val="8"/>
    </w:lvl>
  </w:abstractNum>
  <w:abstractNum w:abstractNumId="35">
    <w:nsid w:val="25A70BF7"/>
    <w:multiLevelType w:val="hybridMultilevel"/>
    <w:lvl w:ilvl="0">
      <w:lvlJc w:val="left"/>
      <w:lvlText w:val="%1."/>
      <w:numFmt w:val="decimal"/>
      <w:start w:val="4"/>
    </w:lvl>
  </w:abstractNum>
  <w:abstractNum w:abstractNumId="36">
    <w:nsid w:val="1DBABF00"/>
    <w:multiLevelType w:val="hybridMultilevel"/>
    <w:lvl w:ilvl="0">
      <w:lvlJc w:val="left"/>
      <w:lvlText w:val="(%1)"/>
      <w:numFmt w:val="decimal"/>
      <w:start w:val="1"/>
    </w:lvl>
  </w:abstractNum>
  <w:abstractNum w:abstractNumId="37">
    <w:nsid w:val="4AD084E9"/>
    <w:multiLevelType w:val="hybridMultilevel"/>
    <w:lvl w:ilvl="0">
      <w:lvlJc w:val="left"/>
      <w:lvlText w:val="(%1)"/>
      <w:numFmt w:val="lowerRoman"/>
      <w:start w:val="1"/>
    </w:lvl>
  </w:abstractNum>
  <w:abstractNum w:abstractNumId="38">
    <w:nsid w:val="1F48EAA1"/>
    <w:multiLevelType w:val="hybridMultilevel"/>
    <w:lvl w:ilvl="0">
      <w:lvlJc w:val="left"/>
      <w:lvlText w:val="(%1)"/>
      <w:numFmt w:val="lowerRoman"/>
      <w:start w:val="2"/>
    </w:lvl>
  </w:abstractNum>
  <w:abstractNum w:abstractNumId="39">
    <w:nsid w:val="1381823A"/>
    <w:multiLevelType w:val="hybridMultilevel"/>
    <w:lvl w:ilvl="0">
      <w:lvlJc w:val="left"/>
      <w:lvlText w:val="(%1)"/>
      <w:numFmt w:val="lowerRoman"/>
      <w:start w:val="1"/>
    </w:lvl>
    <w:lvl w:ilvl="1">
      <w:lvlJc w:val="left"/>
      <w:lvlText w:val="%2."/>
      <w:numFmt w:val="lowerLetter"/>
      <w:start w:val="1"/>
    </w:lvl>
  </w:abstractNum>
  <w:abstractNum w:abstractNumId="40">
    <w:nsid w:val="5DB70AE5"/>
    <w:multiLevelType w:val="hybridMultilevel"/>
    <w:lvl w:ilvl="0">
      <w:lvlJc w:val="left"/>
      <w:lvlText w:val="(%1)"/>
      <w:numFmt w:val="lowerRoman"/>
      <w:start w:val="1"/>
    </w:lvl>
  </w:abstractNum>
  <w:abstractNum w:abstractNumId="41">
    <w:nsid w:val="100F8FCA"/>
    <w:multiLevelType w:val="hybridMultilevel"/>
    <w:lvl w:ilvl="0">
      <w:lvlJc w:val="left"/>
      <w:lvlText w:val="(%1)"/>
      <w:numFmt w:val="lowerRoman"/>
      <w:start w:val="1"/>
    </w:lvl>
  </w:abstractNum>
  <w:abstractNum w:abstractNumId="42">
    <w:nsid w:val="6590700B"/>
    <w:multiLevelType w:val="hybridMultilevel"/>
    <w:lvl w:ilvl="0">
      <w:lvlJc w:val="left"/>
      <w:lvlText w:val="(%1)"/>
      <w:numFmt w:val="lowerRoman"/>
      <w:start w:val="1"/>
    </w:lvl>
  </w:abstractNum>
  <w:abstractNum w:abstractNumId="43">
    <w:nsid w:val="15014ACB"/>
    <w:multiLevelType w:val="hybridMultilevel"/>
    <w:lvl w:ilvl="0">
      <w:lvlJc w:val="left"/>
      <w:lvlText w:val="(%1)"/>
      <w:numFmt w:val="lowerRoman"/>
      <w:start w:val="1"/>
    </w:lvl>
    <w:lvl w:ilvl="1">
      <w:lvlJc w:val="left"/>
      <w:lvlText w:val="%2."/>
      <w:numFmt w:val="lowerLetter"/>
      <w:start w:val="1"/>
    </w:lvl>
  </w:abstractNum>
  <w:abstractNum w:abstractNumId="44">
    <w:nsid w:val="5F5E7FD0"/>
    <w:multiLevelType w:val="hybridMultilevel"/>
    <w:lvl w:ilvl="0">
      <w:lvlJc w:val="left"/>
      <w:lvlText w:val="(%1)"/>
      <w:numFmt w:val="decimal"/>
      <w:start w:val="1"/>
    </w:lvl>
  </w:abstractNum>
  <w:abstractNum w:abstractNumId="45">
    <w:nsid w:val="98A3148"/>
    <w:multiLevelType w:val="hybridMultilevel"/>
    <w:lvl w:ilvl="0">
      <w:lvlJc w:val="left"/>
      <w:lvlText w:val="(%1)"/>
      <w:numFmt w:val="decimal"/>
      <w:start w:val="3"/>
    </w:lvl>
  </w:abstractNum>
  <w:abstractNum w:abstractNumId="46">
    <w:nsid w:val="799D0247"/>
    <w:multiLevelType w:val="hybridMultilevel"/>
    <w:lvl w:ilvl="0">
      <w:lvlJc w:val="left"/>
      <w:lvlText w:val="(%1)"/>
      <w:numFmt w:val="decimal"/>
      <w:start w:val="3"/>
    </w:lvl>
  </w:abstractNum>
  <w:abstractNum w:abstractNumId="47">
    <w:nsid w:val="6B94764"/>
    <w:multiLevelType w:val="hybridMultilevel"/>
    <w:lvl w:ilvl="0">
      <w:lvlJc w:val="left"/>
      <w:lvlText w:val="(%1)"/>
      <w:numFmt w:val="decimal"/>
      <w:start w:val="2"/>
    </w:lvl>
  </w:abstractNum>
  <w:abstractNum w:abstractNumId="48">
    <w:nsid w:val="42C296BD"/>
    <w:multiLevelType w:val="hybridMultilevel"/>
    <w:lvl w:ilvl="0">
      <w:lvlJc w:val="left"/>
      <w:lvlText w:val="(%1)"/>
      <w:numFmt w:val="decimal"/>
      <w:start w:val="1"/>
    </w:lvl>
  </w:abstractNum>
  <w:abstractNum w:abstractNumId="49">
    <w:nsid w:val="168E121F"/>
    <w:multiLevelType w:val="hybridMultilevel"/>
    <w:lvl w:ilvl="0">
      <w:lvlJc w:val="left"/>
      <w:lvlText w:val="(%1)"/>
      <w:numFmt w:val="decimal"/>
      <w:start w:val="3"/>
    </w:lvl>
  </w:abstractNum>
  <w:abstractNum w:abstractNumId="50">
    <w:nsid w:val="1EBA5D23"/>
    <w:multiLevelType w:val="hybridMultilevel"/>
    <w:lvl w:ilvl="0">
      <w:lvlJc w:val="left"/>
      <w:lvlText w:val="(%1)"/>
      <w:numFmt w:val="decimal"/>
      <w:start w:val="3"/>
    </w:lvl>
  </w:abstractNum>
  <w:abstractNum w:abstractNumId="51">
    <w:nsid w:val="661E3F1E"/>
    <w:multiLevelType w:val="hybridMultilevel"/>
    <w:lvl w:ilvl="0">
      <w:lvlJc w:val="left"/>
      <w:lvlText w:val="%1."/>
      <w:numFmt w:val="decimal"/>
      <w:start w:val="5"/>
    </w:lvl>
  </w:abstractNum>
  <w:abstractNum w:abstractNumId="52">
    <w:nsid w:val="5DC79EA8"/>
    <w:multiLevelType w:val="hybridMultilevel"/>
    <w:lvl w:ilvl="0">
      <w:lvlJc w:val="left"/>
      <w:lvlText w:val="(%1)"/>
      <w:numFmt w:val="decimal"/>
      <w:start w:val="1"/>
    </w:lvl>
  </w:abstractNum>
  <w:abstractNum w:abstractNumId="53">
    <w:nsid w:val="540A471C"/>
    <w:multiLevelType w:val="hybridMultilevel"/>
    <w:lvl w:ilvl="0">
      <w:lvlJc w:val="left"/>
      <w:lvlText w:val="(%1)"/>
      <w:numFmt w:val="lowerRoman"/>
      <w:start w:val="1"/>
    </w:lvl>
  </w:abstractNum>
  <w:abstractNum w:abstractNumId="54">
    <w:nsid w:val="7BD3EE7B"/>
    <w:multiLevelType w:val="hybridMultilevel"/>
    <w:lvl w:ilvl="0">
      <w:lvlJc w:val="left"/>
      <w:lvlText w:val="(%1)"/>
      <w:numFmt w:val="lowerRoman"/>
      <w:start w:val="1"/>
    </w:lvl>
  </w:abstractNum>
  <w:abstractNum w:abstractNumId="55">
    <w:nsid w:val="51D9C564"/>
    <w:multiLevelType w:val="hybridMultilevel"/>
    <w:lvl w:ilvl="0">
      <w:lvlJc w:val="left"/>
      <w:lvlText w:val="(%1)"/>
      <w:numFmt w:val="lowerRoman"/>
      <w:start w:val="3"/>
    </w:lvl>
  </w:abstractNum>
  <w:abstractNum w:abstractNumId="56">
    <w:nsid w:val="613EFDC5"/>
    <w:multiLevelType w:val="hybridMultilevel"/>
    <w:lvl w:ilvl="0">
      <w:lvlJc w:val="left"/>
      <w:lvlText w:val="(%1)"/>
      <w:numFmt w:val="lowerRoman"/>
      <w:start w:val="2"/>
    </w:lvl>
  </w:abstractNum>
  <w:abstractNum w:abstractNumId="57">
    <w:nsid w:val="BF72B14"/>
    <w:multiLevelType w:val="hybridMultilevel"/>
    <w:lvl w:ilvl="0">
      <w:lvlJc w:val="left"/>
      <w:lvlText w:val="(%1)"/>
      <w:numFmt w:val="lowerRoman"/>
      <w:start w:val="1"/>
    </w:lvl>
  </w:abstractNum>
  <w:abstractNum w:abstractNumId="58">
    <w:nsid w:val="11447B73"/>
    <w:multiLevelType w:val="hybridMultilevel"/>
    <w:lvl w:ilvl="0">
      <w:lvlJc w:val="left"/>
      <w:lvlText w:val="(%1)"/>
      <w:numFmt w:val="lowerRoman"/>
      <w:start w:val="2"/>
    </w:lvl>
  </w:abstractNum>
  <w:abstractNum w:abstractNumId="59">
    <w:nsid w:val="42963E5A"/>
    <w:multiLevelType w:val="hybridMultilevel"/>
    <w:lvl w:ilvl="0">
      <w:lvlJc w:val="left"/>
      <w:lvlText w:val="(%1)"/>
      <w:numFmt w:val="decimal"/>
      <w:start w:val="1"/>
    </w:lvl>
  </w:abstractNum>
  <w:abstractNum w:abstractNumId="60">
    <w:nsid w:val="A0382C5"/>
    <w:multiLevelType w:val="hybridMultilevel"/>
    <w:lvl w:ilvl="0">
      <w:lvlJc w:val="left"/>
      <w:lvlText w:val="(%1)"/>
      <w:numFmt w:val="lowerRoman"/>
      <w:start w:val="1"/>
    </w:lvl>
  </w:abstractNum>
  <w:abstractNum w:abstractNumId="61">
    <w:nsid w:val="8F2B15E"/>
    <w:multiLevelType w:val="hybridMultilevel"/>
    <w:lvl w:ilvl="0">
      <w:lvlJc w:val="left"/>
      <w:lvlText w:val="(%1)"/>
      <w:numFmt w:val="decimal"/>
      <w:start w:val="1"/>
    </w:lvl>
  </w:abstractNum>
  <w:abstractNum w:abstractNumId="62">
    <w:nsid w:val="1A32234B"/>
    <w:multiLevelType w:val="hybridMultilevel"/>
    <w:lvl w:ilvl="0">
      <w:lvlJc w:val="left"/>
      <w:lvlText w:val="(%1)"/>
      <w:numFmt w:val="decimal"/>
      <w:start w:val="1"/>
    </w:lvl>
  </w:abstractNum>
  <w:abstractNum w:abstractNumId="63">
    <w:nsid w:val="3B0FD379"/>
    <w:multiLevelType w:val="hybridMultilevel"/>
    <w:lvl w:ilvl="0">
      <w:lvlJc w:val="left"/>
      <w:lvlText w:val="(%1)"/>
      <w:numFmt w:val="decimal"/>
      <w:start w:val="1"/>
    </w:lvl>
  </w:abstractNum>
  <w:abstractNum w:abstractNumId="64">
    <w:nsid w:val="68EB2F63"/>
    <w:multiLevelType w:val="hybridMultilevel"/>
    <w:lvl w:ilvl="0">
      <w:lvlJc w:val="left"/>
      <w:lvlText w:val="(%1)"/>
      <w:numFmt w:val="lowerRoman"/>
      <w:start w:val="1"/>
    </w:lvl>
  </w:abstractNum>
  <w:abstractNum w:abstractNumId="65">
    <w:nsid w:val="4962813B"/>
    <w:multiLevelType w:val="hybridMultilevel"/>
    <w:lvl w:ilvl="0">
      <w:lvlJc w:val="left"/>
      <w:lvlText w:val="(%1)"/>
      <w:numFmt w:val="lowerRoman"/>
      <w:start w:val="1"/>
    </w:lvl>
  </w:abstractNum>
  <w:abstractNum w:abstractNumId="66">
    <w:nsid w:val="60B6DF70"/>
    <w:multiLevelType w:val="hybridMultilevel"/>
    <w:lvl w:ilvl="0">
      <w:lvlJc w:val="left"/>
      <w:lvlText w:val="(%1)"/>
      <w:numFmt w:val="decimal"/>
      <w:start w:val="1"/>
    </w:lvl>
  </w:abstractNum>
  <w:abstractNum w:abstractNumId="67">
    <w:nsid w:val="6A5EE64"/>
    <w:multiLevelType w:val="hybridMultilevel"/>
    <w:lvl w:ilvl="0">
      <w:lvlJc w:val="left"/>
      <w:lvlText w:val="(%1)"/>
      <w:numFmt w:val="lowerRoman"/>
      <w:start w:val="1"/>
    </w:lvl>
  </w:abstractNum>
  <w:abstractNum w:abstractNumId="68">
    <w:nsid w:val="14330624"/>
    <w:multiLevelType w:val="hybridMultilevel"/>
    <w:lvl w:ilvl="0">
      <w:lvlJc w:val="left"/>
      <w:lvlText w:val="(%1)"/>
      <w:numFmt w:val="decimal"/>
      <w:start w:val="1"/>
    </w:lvl>
  </w:abstractNum>
  <w:abstractNum w:abstractNumId="69">
    <w:nsid w:val="7FFFCA11"/>
    <w:multiLevelType w:val="hybridMultilevel"/>
    <w:lvl w:ilvl="0">
      <w:lvlJc w:val="left"/>
      <w:lvlText w:val="(%1)"/>
      <w:numFmt w:val="decimal"/>
      <w:start w:val="1"/>
    </w:lvl>
  </w:abstractNum>
  <w:abstractNum w:abstractNumId="70">
    <w:nsid w:val="1A27709E"/>
    <w:multiLevelType w:val="hybridMultilevel"/>
    <w:lvl w:ilvl="0">
      <w:lvlJc w:val="left"/>
      <w:lvlText w:val="(%1)"/>
      <w:numFmt w:val="lowerRoman"/>
      <w:start w:val="1"/>
    </w:lvl>
  </w:abstractNum>
  <w:abstractNum w:abstractNumId="71">
    <w:nsid w:val="71EA1109"/>
    <w:multiLevelType w:val="hybridMultilevel"/>
    <w:lvl w:ilvl="0">
      <w:lvlJc w:val="left"/>
      <w:lvlText w:val="(%1)"/>
      <w:numFmt w:val="decimal"/>
      <w:start w:val="1"/>
    </w:lvl>
  </w:abstractNum>
  <w:abstractNum w:abstractNumId="72">
    <w:nsid w:val="100F59DC"/>
    <w:multiLevelType w:val="hybridMultilevel"/>
    <w:lvl w:ilvl="0">
      <w:lvlJc w:val="left"/>
      <w:lvlText w:val="(%1)"/>
      <w:numFmt w:val="decimal"/>
      <w:start w:val="1"/>
    </w:lvl>
  </w:abstractNum>
  <w:abstractNum w:abstractNumId="73">
    <w:nsid w:val="7FB7E0AA"/>
    <w:multiLevelType w:val="hybridMultilevel"/>
    <w:lvl w:ilvl="0">
      <w:lvlJc w:val="left"/>
      <w:lvlText w:val="(%1)"/>
      <w:numFmt w:val="decimal"/>
      <w:start w:val="1"/>
    </w:lvl>
  </w:abstractNum>
  <w:abstractNum w:abstractNumId="74">
    <w:nsid w:val="6EB5BD4"/>
    <w:multiLevelType w:val="hybridMultilevel"/>
    <w:lvl w:ilvl="0">
      <w:lvlJc w:val="left"/>
      <w:lvlText w:val="%1."/>
      <w:numFmt w:val="decimal"/>
      <w:start w:val="9"/>
    </w:lvl>
  </w:abstractNum>
  <w:abstractNum w:abstractNumId="75">
    <w:nsid w:val="6F6DD9AC"/>
    <w:multiLevelType w:val="hybridMultilevel"/>
    <w:lvl w:ilvl="0">
      <w:lvlJc w:val="left"/>
      <w:lvlText w:val="(%1)"/>
      <w:numFmt w:val="decimal"/>
      <w:start w:val="1"/>
    </w:lvl>
  </w:abstractNum>
  <w:abstractNum w:abstractNumId="76">
    <w:nsid w:val="94211F2"/>
    <w:multiLevelType w:val="hybridMultilevel"/>
    <w:lvl w:ilvl="0">
      <w:lvlJc w:val="left"/>
      <w:lvlText w:val="(%1)"/>
      <w:numFmt w:val="lowerRoman"/>
      <w:start w:val="1"/>
    </w:lvl>
  </w:abstractNum>
  <w:abstractNum w:abstractNumId="77">
    <w:nsid w:val="885E1B"/>
    <w:multiLevelType w:val="hybridMultilevel"/>
    <w:lvl w:ilvl="0">
      <w:lvlJc w:val="left"/>
      <w:lvlText w:val="(%1)"/>
      <w:numFmt w:val="decimal"/>
      <w:start w:val="1"/>
    </w:lvl>
  </w:abstractNum>
  <w:abstractNum w:abstractNumId="78">
    <w:nsid w:val="76272110"/>
    <w:multiLevelType w:val="hybridMultilevel"/>
    <w:lvl w:ilvl="0">
      <w:lvlJc w:val="left"/>
      <w:lvlText w:val="(%1)"/>
      <w:numFmt w:val="decimal"/>
      <w:start w:val="1"/>
    </w:lvl>
  </w:abstractNum>
  <w:abstractNum w:abstractNumId="79">
    <w:nsid w:val="4C04A8AF"/>
    <w:multiLevelType w:val="hybridMultilevel"/>
    <w:lvl w:ilvl="0">
      <w:lvlJc w:val="left"/>
      <w:lvlText w:val="(%1)"/>
      <w:numFmt w:val="decimal"/>
      <w:start w:val="1"/>
    </w:lvl>
  </w:abstractNum>
  <w:abstractNum w:abstractNumId="80">
    <w:nsid w:val="1716703B"/>
    <w:multiLevelType w:val="hybridMultilevel"/>
    <w:lvl w:ilvl="0">
      <w:lvlJc w:val="left"/>
      <w:lvlText w:val="%1."/>
      <w:numFmt w:val="decimal"/>
      <w:start w:val="11"/>
    </w:lvl>
  </w:abstractNum>
  <w:abstractNum w:abstractNumId="81">
    <w:nsid w:val="14E17E33"/>
    <w:multiLevelType w:val="hybridMultilevel"/>
    <w:lvl w:ilvl="0">
      <w:lvlJc w:val="left"/>
      <w:lvlText w:val="11.%1."/>
      <w:numFmt w:val="decimal"/>
      <w:start w:val="1"/>
    </w:lvl>
  </w:abstractNum>
  <w:abstractNum w:abstractNumId="82">
    <w:nsid w:val="3222E7CD"/>
    <w:multiLevelType w:val="hybridMultilevel"/>
    <w:lvl w:ilvl="0">
      <w:lvlJc w:val="left"/>
      <w:lvlText w:val="(%1)"/>
      <w:numFmt w:val="decimal"/>
      <w:start w:val="1"/>
    </w:lvl>
  </w:abstractNum>
  <w:abstractNum w:abstractNumId="83">
    <w:nsid w:val="74DE0EE3"/>
    <w:multiLevelType w:val="hybridMultilevel"/>
    <w:lvl w:ilvl="0">
      <w:lvlJc w:val="left"/>
      <w:lvlText w:val="(%1)"/>
      <w:numFmt w:val="decimal"/>
      <w:start w:val="1"/>
    </w:lvl>
  </w:abstractNum>
  <w:abstractNum w:abstractNumId="84">
    <w:nsid w:val="68EBC550"/>
    <w:multiLevelType w:val="hybridMultilevel"/>
    <w:lvl w:ilvl="0">
      <w:lvlJc w:val="left"/>
      <w:lvlText w:val="(%1)"/>
      <w:numFmt w:val="decimal"/>
      <w:start w:val="1"/>
    </w:lvl>
  </w:abstractNum>
  <w:abstractNum w:abstractNumId="85">
    <w:nsid w:val="2DF6D648"/>
    <w:multiLevelType w:val="hybridMultilevel"/>
    <w:lvl w:ilvl="0">
      <w:lvlJc w:val="left"/>
      <w:lvlText w:val="(%1)"/>
      <w:numFmt w:val="decimal"/>
      <w:start w:val="1"/>
    </w:lvl>
  </w:abstractNum>
  <w:abstractNum w:abstractNumId="86">
    <w:nsid w:val="46B7D447"/>
    <w:multiLevelType w:val="hybridMultilevel"/>
    <w:lvl w:ilvl="0">
      <w:lvlJc w:val="left"/>
      <w:lvlText w:val="(%1)"/>
      <w:numFmt w:val="decimal"/>
      <w:start w:val="1"/>
    </w:lvl>
  </w:abstractNum>
  <w:abstractNum w:abstractNumId="87">
    <w:nsid w:val="4A2AC315"/>
    <w:multiLevelType w:val="hybridMultilevel"/>
    <w:lvl w:ilvl="0">
      <w:lvlJc w:val="left"/>
      <w:lvlText w:val="(%1)"/>
      <w:numFmt w:val="decimal"/>
      <w:start w:val="1"/>
    </w:lvl>
  </w:abstractNum>
  <w:abstractNum w:abstractNumId="88">
    <w:nsid w:val="39EE015C"/>
    <w:multiLevelType w:val="hybridMultilevel"/>
    <w:lvl w:ilvl="0">
      <w:lvlJc w:val="left"/>
      <w:lvlText w:val="(%1)"/>
      <w:numFmt w:val="decimal"/>
      <w:start w:val="1"/>
    </w:lvl>
  </w:abstractNum>
  <w:abstractNum w:abstractNumId="89">
    <w:nsid w:val="57FC4FBB"/>
    <w:multiLevelType w:val="hybridMultilevel"/>
    <w:lvl w:ilvl="0">
      <w:lvlJc w:val="left"/>
      <w:lvlText w:val="(%1)"/>
      <w:numFmt w:val="decimal"/>
      <w:start w:val="1"/>
    </w:lvl>
  </w:abstractNum>
  <w:abstractNum w:abstractNumId="90">
    <w:nsid w:val="CC1016F"/>
    <w:multiLevelType w:val="hybridMultilevel"/>
    <w:lvl w:ilvl="0">
      <w:lvlJc w:val="left"/>
      <w:lvlText w:val="(%1)"/>
      <w:numFmt w:val="decimal"/>
      <w:start w:val="1"/>
    </w:lvl>
  </w:abstractNum>
  <w:abstractNum w:abstractNumId="91">
    <w:nsid w:val="43F18422"/>
    <w:multiLevelType w:val="hybridMultilevel"/>
    <w:lvl w:ilvl="0">
      <w:lvlJc w:val="left"/>
      <w:lvlText w:val="(%1)"/>
      <w:numFmt w:val="decimal"/>
      <w:start w:val="1"/>
    </w:lvl>
  </w:abstractNum>
  <w:abstractNum w:abstractNumId="92">
    <w:nsid w:val="60EF0119"/>
    <w:multiLevelType w:val="hybridMultilevel"/>
    <w:lvl w:ilvl="0">
      <w:lvlJc w:val="left"/>
      <w:lvlText w:val="(%1)"/>
      <w:numFmt w:val="lowerRoman"/>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2020-08-07T15:30:17Z</dcterms:created>
  <dcterms:modified xsi:type="dcterms:W3CDTF">2020-08-07T15:30:17Z</dcterms:modified>
</cp:coreProperties>
</file>