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Pursuant to Rule 13a-16 or 15d-16 under the</w:t>
      </w:r>
    </w:p>
    <w:p>
      <w:pPr>
        <w:jc w:val="center"/>
        <w:ind w:right="-159"/>
        <w:spacing w:after="0"/>
        <w:rPr>
          <w:sz w:val="20"/>
          <w:szCs w:val="20"/>
          <w:color w:val="auto"/>
        </w:rPr>
      </w:pPr>
      <w:r>
        <w:rPr>
          <w:rFonts w:ascii="Times New Roman" w:cs="Times New Roman" w:eastAsia="Times New Roman" w:hAnsi="Times New Roman"/>
          <w:sz w:val="22"/>
          <w:szCs w:val="22"/>
          <w:color w:val="auto"/>
        </w:rPr>
        <w:t>Securities Exchange Act of 1934</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 the month of April 2022</w:t>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Commission File Number: 001-14014</w:t>
      </w: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our subsidiary</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Banco de Credito del Peru:</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Calle Centenario 156</w:t>
      </w:r>
    </w:p>
    <w:p>
      <w:pPr>
        <w:jc w:val="center"/>
        <w:ind w:right="-159"/>
        <w:spacing w:after="0" w:line="231" w:lineRule="auto"/>
        <w:rPr>
          <w:sz w:val="20"/>
          <w:szCs w:val="20"/>
          <w:color w:val="auto"/>
        </w:rPr>
      </w:pPr>
      <w:r>
        <w:rPr>
          <w:rFonts w:ascii="Times New Roman" w:cs="Times New Roman" w:eastAsia="Times New Roman" w:hAnsi="Times New Roman"/>
          <w:sz w:val="22"/>
          <w:szCs w:val="22"/>
          <w:b w:val="1"/>
          <w:bCs w:val="1"/>
          <w:color w:val="auto"/>
        </w:rPr>
        <w:t>La Molina</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Lima 12, Peru</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13" w:lineRule="exact"/>
        <w:rPr>
          <w:sz w:val="24"/>
          <w:szCs w:val="24"/>
          <w:color w:val="auto"/>
        </w:rPr>
      </w:pPr>
    </w:p>
    <w:p>
      <w:pPr>
        <w:jc w:val="center"/>
        <w:ind w:right="-159"/>
        <w:spacing w:after="0" w:line="253" w:lineRule="exact"/>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247"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101(b)(1): </w:t>
      </w:r>
      <w:r>
        <w:rPr>
          <w:rFonts w:ascii="MS PGothic" w:cs="MS PGothic" w:eastAsia="MS PGothic" w:hAnsi="MS PGothic"/>
          <w:sz w:val="21"/>
          <w:szCs w:val="21"/>
          <w:color w:val="auto"/>
        </w:rPr>
        <w:t>☐</w:t>
      </w:r>
    </w:p>
    <w:p>
      <w:pPr>
        <w:spacing w:after="0" w:line="258"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262890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356870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502920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80" w:top="529"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5145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51455" cy="420370"/>
                    </a:xfrm>
                    <a:prstGeom prst="rect">
                      <a:avLst/>
                    </a:prstGeom>
                    <a:noFill/>
                  </pic:spPr>
                </pic:pic>
              </a:graphicData>
            </a:graphic>
          </wp:anchor>
        </w:drawing>
        <w:t>April 28, 2022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 - SEC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MATERIAL EVENT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hereby notify you as a Material Event that, in its session held on April 28, 2022, the Board of Directors of Credicorp Ltd. (the ‘Company) agreed unanimously the distribution of a dividend according to the Bye-Laws of the Company and considering a total net income attained in the financial year 2021 of S/3,584,581,793.19.</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Company’s Board of Directors approved to pay its shareholders a cash dividend of S/1,415,734,755.00 for a total of 94,382,317 outstanding shares, which is equivalent to S/15.0000 per share.</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cash dividend will be paid out on June 10, 2022, without withholding tax at source, to shareholders of record on May 20, 2022. The dividend will be paid in US Dollars using the weighted exchange rate registered by the Superintendency of Banks, Insurance and Pension Funds (Superintendencia de Banca, Seguros y AFP) for the transactions at the close of business on June 8, 2022. The US Dollar dividend amount will be rounded up to four decimals.</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u w:val="single" w:color="auto"/>
          <w:color w:val="auto"/>
        </w:rPr>
        <w:t>Miriam Böttger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Authorized Representative</w:t>
      </w:r>
    </w:p>
    <w:p>
      <w:pPr>
        <w:spacing w:after="0"/>
        <w:rPr>
          <w:sz w:val="20"/>
          <w:szCs w:val="20"/>
          <w:color w:val="auto"/>
        </w:rPr>
      </w:pPr>
      <w:r>
        <w:rPr>
          <w:rFonts w:ascii="Times New Roman" w:cs="Times New Roman" w:eastAsia="Times New Roman" w:hAnsi="Times New Roman"/>
          <w:sz w:val="22"/>
          <w:szCs w:val="22"/>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firstLine="535"/>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Date: April 28, 2022</w:t>
      </w: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21513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1380"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2022-04-28T17:34:50Z</dcterms:created>
  <dcterms:modified xsi:type="dcterms:W3CDTF">2022-04-28T17:34:50Z</dcterms:modified>
</cp:coreProperties>
</file>